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2ADAF1">
      <w:pPr>
        <w:rPr>
          <w:rFonts w:hint="default" w:ascii="宋体" w:hAnsi="宋体" w:eastAsia="宋体"/>
          <w:b/>
          <w:bCs/>
          <w:sz w:val="28"/>
          <w:szCs w:val="28"/>
          <w:lang w:val="en-US" w:eastAsia="zh-CN"/>
        </w:rPr>
      </w:pPr>
      <w:r>
        <w:rPr>
          <w:rFonts w:hint="eastAsia" w:ascii="宋体" w:hAnsi="宋体"/>
          <w:sz w:val="28"/>
          <w:szCs w:val="28"/>
        </w:rPr>
        <w:t>竞争性谈判采购编号：</w:t>
      </w:r>
      <w:r>
        <w:rPr>
          <w:rFonts w:hint="eastAsia" w:ascii="宋体" w:hAnsi="宋体"/>
          <w:sz w:val="28"/>
          <w:szCs w:val="28"/>
          <w:lang w:val="en-US" w:eastAsia="zh-CN"/>
        </w:rPr>
        <w:t>HLZC-[2024]-00166号</w:t>
      </w:r>
    </w:p>
    <w:p w14:paraId="07F18D01">
      <w:pPr>
        <w:rPr>
          <w:rFonts w:hint="eastAsia" w:ascii="仿宋" w:hAnsi="仿宋" w:eastAsia="仿宋"/>
          <w:b/>
          <w:bCs/>
          <w:sz w:val="24"/>
        </w:rPr>
      </w:pPr>
    </w:p>
    <w:p w14:paraId="2A455423">
      <w:pPr>
        <w:widowControl/>
        <w:jc w:val="center"/>
        <w:rPr>
          <w:rFonts w:hint="eastAsia" w:ascii="仿宋" w:hAnsi="仿宋" w:eastAsia="仿宋"/>
          <w:b/>
          <w:bCs/>
          <w:sz w:val="44"/>
        </w:rPr>
      </w:pPr>
      <w:r>
        <w:rPr>
          <w:rFonts w:hint="eastAsia" w:ascii="宋体" w:hAnsi="宋体"/>
          <w:bCs/>
          <w:sz w:val="18"/>
          <w:szCs w:val="18"/>
        </w:rPr>
        <w:t xml:space="preserve"> </w:t>
      </w:r>
    </w:p>
    <w:p w14:paraId="31A295CD">
      <w:pPr>
        <w:rPr>
          <w:rFonts w:hint="eastAsia" w:ascii="仿宋" w:hAnsi="仿宋" w:eastAsia="仿宋"/>
          <w:b/>
          <w:bCs/>
          <w:sz w:val="44"/>
        </w:rPr>
      </w:pPr>
    </w:p>
    <w:p w14:paraId="674F3317">
      <w:pPr>
        <w:ind w:firstLine="0" w:firstLineChars="0"/>
        <w:jc w:val="center"/>
        <w:rPr>
          <w:rFonts w:hint="eastAsia" w:ascii="宋体" w:hAnsi="宋体"/>
          <w:b/>
          <w:bCs/>
          <w:sz w:val="44"/>
          <w:lang w:val="en-US" w:eastAsia="zh-CN"/>
        </w:rPr>
      </w:pPr>
      <w:r>
        <w:rPr>
          <w:rFonts w:hint="eastAsia" w:ascii="宋体" w:hAnsi="宋体"/>
          <w:b/>
          <w:bCs/>
          <w:sz w:val="44"/>
          <w:lang w:val="en-US" w:eastAsia="zh-CN"/>
        </w:rPr>
        <w:t>和龙市职业中等专业学校设备</w:t>
      </w:r>
    </w:p>
    <w:p w14:paraId="21AD1BE5">
      <w:pPr>
        <w:ind w:firstLine="0" w:firstLineChars="0"/>
        <w:jc w:val="center"/>
        <w:rPr>
          <w:rFonts w:hint="eastAsia" w:ascii="宋体" w:hAnsi="宋体"/>
          <w:b/>
          <w:bCs/>
          <w:sz w:val="44"/>
        </w:rPr>
      </w:pPr>
      <w:r>
        <w:rPr>
          <w:rFonts w:hint="eastAsia" w:ascii="宋体" w:hAnsi="宋体"/>
          <w:b/>
          <w:bCs/>
          <w:sz w:val="44"/>
          <w:lang w:val="en-US" w:eastAsia="zh-CN"/>
        </w:rPr>
        <w:t>采购项目</w:t>
      </w:r>
    </w:p>
    <w:p w14:paraId="7F510A3D">
      <w:pPr>
        <w:ind w:firstLine="1316" w:firstLineChars="298"/>
        <w:rPr>
          <w:rFonts w:hint="eastAsia" w:ascii="宋体" w:hAnsi="宋体"/>
          <w:b/>
          <w:bCs/>
          <w:sz w:val="44"/>
        </w:rPr>
      </w:pPr>
    </w:p>
    <w:p w14:paraId="62988B45">
      <w:pPr>
        <w:ind w:firstLine="1316" w:firstLineChars="298"/>
        <w:rPr>
          <w:rFonts w:hint="eastAsia" w:ascii="宋体" w:hAnsi="宋体"/>
          <w:b/>
          <w:bCs/>
          <w:sz w:val="44"/>
        </w:rPr>
      </w:pPr>
    </w:p>
    <w:p w14:paraId="0D7C3220">
      <w:pPr>
        <w:ind w:firstLine="1533" w:firstLineChars="347"/>
        <w:rPr>
          <w:rFonts w:hint="eastAsia" w:ascii="宋体" w:hAnsi="宋体"/>
          <w:b/>
          <w:bCs/>
          <w:sz w:val="36"/>
        </w:rPr>
      </w:pPr>
      <w:r>
        <w:rPr>
          <w:rFonts w:hint="eastAsia" w:ascii="宋体" w:hAnsi="宋体"/>
          <w:b/>
          <w:bCs/>
          <w:sz w:val="44"/>
        </w:rPr>
        <w:t>竞　争　性　谈　判　文　件</w:t>
      </w:r>
    </w:p>
    <w:p w14:paraId="54A96DDE">
      <w:pPr>
        <w:rPr>
          <w:rFonts w:hint="eastAsia" w:ascii="仿宋" w:hAnsi="仿宋" w:eastAsia="仿宋"/>
          <w:sz w:val="36"/>
        </w:rPr>
      </w:pPr>
    </w:p>
    <w:p w14:paraId="252C9E8D">
      <w:pPr>
        <w:rPr>
          <w:rFonts w:hint="eastAsia" w:ascii="仿宋" w:hAnsi="仿宋" w:eastAsia="仿宋"/>
        </w:rPr>
      </w:pPr>
    </w:p>
    <w:p w14:paraId="25399EFB">
      <w:pPr>
        <w:rPr>
          <w:rFonts w:hint="eastAsia" w:ascii="仿宋" w:hAnsi="仿宋" w:eastAsia="仿宋"/>
        </w:rPr>
      </w:pPr>
    </w:p>
    <w:p w14:paraId="2E68A341">
      <w:pPr>
        <w:rPr>
          <w:rFonts w:hint="eastAsia" w:ascii="仿宋" w:hAnsi="仿宋" w:eastAsia="仿宋"/>
        </w:rPr>
      </w:pPr>
    </w:p>
    <w:p w14:paraId="48091F51">
      <w:pPr>
        <w:pStyle w:val="28"/>
        <w:rPr>
          <w:rFonts w:hint="eastAsia" w:ascii="仿宋" w:hAnsi="仿宋" w:eastAsia="仿宋"/>
        </w:rPr>
      </w:pPr>
    </w:p>
    <w:p w14:paraId="5EE66696">
      <w:pPr>
        <w:pStyle w:val="28"/>
        <w:rPr>
          <w:rFonts w:hint="eastAsia" w:ascii="仿宋" w:hAnsi="仿宋" w:eastAsia="仿宋"/>
        </w:rPr>
      </w:pPr>
    </w:p>
    <w:p w14:paraId="3E5ECE16">
      <w:pPr>
        <w:rPr>
          <w:rFonts w:hint="eastAsia" w:ascii="仿宋" w:hAnsi="仿宋" w:eastAsia="仿宋"/>
        </w:rPr>
      </w:pPr>
    </w:p>
    <w:p w14:paraId="76F27BA9">
      <w:pPr>
        <w:spacing w:before="120" w:beforeLines="50" w:after="120" w:afterLines="50" w:line="288" w:lineRule="auto"/>
        <w:jc w:val="center"/>
        <w:rPr>
          <w:rFonts w:hint="eastAsia" w:ascii="宋体" w:hAnsi="宋体" w:cs="宋体"/>
          <w:b/>
          <w:bCs/>
          <w:color w:val="000000"/>
          <w:sz w:val="30"/>
          <w:szCs w:val="30"/>
        </w:rPr>
      </w:pPr>
      <w:r>
        <w:rPr>
          <w:rFonts w:hint="eastAsia" w:ascii="宋体" w:hAnsi="宋体" w:cs="宋体"/>
          <w:b/>
          <w:bCs/>
          <w:color w:val="000000"/>
          <w:sz w:val="30"/>
          <w:szCs w:val="30"/>
        </w:rPr>
        <w:t>采购人：</w:t>
      </w:r>
      <w:r>
        <w:rPr>
          <w:rFonts w:hint="eastAsia" w:ascii="宋体" w:hAnsi="宋体" w:cs="宋体"/>
          <w:b/>
          <w:bCs/>
          <w:color w:val="000000"/>
          <w:sz w:val="30"/>
          <w:szCs w:val="30"/>
          <w:lang w:eastAsia="zh-CN"/>
        </w:rPr>
        <w:t>和龙市职业中等专业学校</w:t>
      </w:r>
    </w:p>
    <w:p w14:paraId="5E57D08B">
      <w:pPr>
        <w:pStyle w:val="15"/>
        <w:rPr>
          <w:rFonts w:hint="eastAsia"/>
          <w:lang w:eastAsia="ko-KR"/>
        </w:rPr>
      </w:pPr>
    </w:p>
    <w:p w14:paraId="26410676">
      <w:pPr>
        <w:spacing w:before="120" w:beforeLines="50" w:after="120" w:afterLines="50" w:line="288" w:lineRule="auto"/>
        <w:jc w:val="center"/>
        <w:rPr>
          <w:rFonts w:hint="eastAsia" w:ascii="宋体" w:hAnsi="宋体" w:cs="宋体"/>
          <w:b/>
          <w:bCs/>
          <w:color w:val="000000"/>
          <w:sz w:val="30"/>
          <w:szCs w:val="30"/>
        </w:rPr>
      </w:pPr>
      <w:r>
        <w:rPr>
          <w:rFonts w:hint="eastAsia" w:ascii="宋体" w:hAnsi="宋体" w:eastAsia="Malgun Gothic" w:cs="宋体"/>
          <w:b/>
          <w:bCs/>
          <w:color w:val="000000"/>
          <w:sz w:val="30"/>
          <w:szCs w:val="30"/>
          <w:lang w:eastAsia="ko-KR"/>
        </w:rPr>
        <w:t xml:space="preserve"> </w:t>
      </w:r>
      <w:r>
        <w:rPr>
          <w:rFonts w:hint="eastAsia" w:ascii="宋体" w:hAnsi="宋体" w:cs="宋体"/>
          <w:b/>
          <w:bCs/>
          <w:color w:val="000000"/>
          <w:sz w:val="30"/>
          <w:szCs w:val="30"/>
        </w:rPr>
        <w:t>采购</w:t>
      </w:r>
      <w:r>
        <w:rPr>
          <w:rFonts w:hint="eastAsia" w:ascii="宋体" w:hAnsi="宋体" w:cs="宋体"/>
          <w:b/>
          <w:bCs/>
          <w:color w:val="000000"/>
          <w:sz w:val="30"/>
          <w:szCs w:val="30"/>
          <w:lang w:eastAsia="zh-CN"/>
        </w:rPr>
        <w:t>代理</w:t>
      </w:r>
      <w:r>
        <w:rPr>
          <w:rFonts w:hint="eastAsia" w:ascii="宋体" w:hAnsi="宋体" w:cs="宋体"/>
          <w:b/>
          <w:bCs/>
          <w:color w:val="000000"/>
          <w:sz w:val="30"/>
          <w:szCs w:val="30"/>
        </w:rPr>
        <w:t>机构：</w:t>
      </w:r>
      <w:r>
        <w:rPr>
          <w:rFonts w:hint="eastAsia" w:ascii="宋体" w:hAnsi="宋体" w:cs="宋体"/>
          <w:b/>
          <w:bCs/>
          <w:color w:val="000000"/>
          <w:sz w:val="30"/>
          <w:szCs w:val="30"/>
          <w:lang w:eastAsia="zh-CN"/>
        </w:rPr>
        <w:t>和龙市</w:t>
      </w:r>
      <w:r>
        <w:rPr>
          <w:rFonts w:hint="eastAsia" w:ascii="宋体" w:hAnsi="宋体" w:cs="宋体"/>
          <w:b/>
          <w:bCs/>
          <w:color w:val="000000"/>
          <w:sz w:val="30"/>
          <w:szCs w:val="30"/>
        </w:rPr>
        <w:t>政府采购中心</w:t>
      </w:r>
    </w:p>
    <w:p w14:paraId="3DA70FFB">
      <w:pPr>
        <w:pStyle w:val="28"/>
        <w:ind w:left="0" w:leftChars="0" w:firstLine="0" w:firstLineChars="0"/>
        <w:rPr>
          <w:rFonts w:hint="eastAsia" w:ascii="宋体" w:hAnsi="宋体"/>
          <w:sz w:val="28"/>
        </w:rPr>
      </w:pPr>
    </w:p>
    <w:p w14:paraId="37E4A8D1">
      <w:pPr>
        <w:ind w:firstLine="3360" w:firstLineChars="1200"/>
        <w:rPr>
          <w:rFonts w:hint="eastAsia" w:ascii="宋体" w:hAnsi="宋体"/>
          <w:sz w:val="28"/>
        </w:rPr>
      </w:pPr>
      <w:r>
        <w:rPr>
          <w:rFonts w:hint="eastAsia" w:ascii="宋体" w:hAnsi="宋体"/>
          <w:sz w:val="28"/>
        </w:rPr>
        <w:t>20</w:t>
      </w:r>
      <w:r>
        <w:rPr>
          <w:rFonts w:hint="eastAsia" w:ascii="宋体" w:hAnsi="宋体"/>
          <w:sz w:val="28"/>
          <w:lang w:val="en-US" w:eastAsia="zh-CN"/>
        </w:rPr>
        <w:t>24</w:t>
      </w:r>
      <w:r>
        <w:rPr>
          <w:rFonts w:hint="eastAsia" w:ascii="宋体" w:hAnsi="宋体"/>
          <w:sz w:val="28"/>
        </w:rPr>
        <w:t>年</w:t>
      </w:r>
      <w:r>
        <w:rPr>
          <w:rFonts w:hint="eastAsia" w:ascii="宋体" w:hAnsi="宋体"/>
          <w:sz w:val="28"/>
          <w:lang w:val="en-US" w:eastAsia="zh-CN"/>
        </w:rPr>
        <w:t>12</w:t>
      </w:r>
      <w:r>
        <w:rPr>
          <w:rFonts w:hint="eastAsia" w:ascii="宋体" w:hAnsi="宋体"/>
          <w:sz w:val="28"/>
        </w:rPr>
        <w:t>月</w:t>
      </w:r>
      <w:r>
        <w:rPr>
          <w:rFonts w:hint="eastAsia" w:ascii="宋体" w:hAnsi="宋体"/>
          <w:sz w:val="28"/>
          <w:lang w:val="en-US" w:eastAsia="zh-CN"/>
        </w:rPr>
        <w:t>10</w:t>
      </w:r>
      <w:r>
        <w:rPr>
          <w:rFonts w:hint="eastAsia" w:ascii="宋体" w:hAnsi="宋体"/>
          <w:sz w:val="28"/>
        </w:rPr>
        <w:t>日</w:t>
      </w:r>
    </w:p>
    <w:p w14:paraId="7B614090">
      <w:pPr>
        <w:pStyle w:val="28"/>
        <w:ind w:left="0" w:leftChars="0" w:firstLine="0" w:firstLineChars="0"/>
        <w:rPr>
          <w:rFonts w:hint="eastAsia" w:eastAsia="宋体"/>
          <w:lang w:eastAsia="zh-CN"/>
        </w:rPr>
      </w:pPr>
    </w:p>
    <w:p w14:paraId="5D96BB8B">
      <w:pPr>
        <w:spacing w:line="440" w:lineRule="exact"/>
        <w:ind w:firstLine="3614" w:firstLineChars="1000"/>
        <w:rPr>
          <w:rFonts w:hint="eastAsia" w:ascii="宋体" w:hAnsi="宋体"/>
          <w:b/>
          <w:sz w:val="36"/>
        </w:rPr>
      </w:pPr>
    </w:p>
    <w:sdt>
      <w:sdtPr>
        <w:rPr>
          <w:rFonts w:ascii="宋体" w:hAnsi="宋体" w:eastAsia="宋体" w:cs="Times New Roman"/>
          <w:sz w:val="21"/>
          <w:szCs w:val="28"/>
          <w:lang w:val="en-US" w:eastAsia="zh-CN" w:bidi="ar-SA"/>
        </w:rPr>
        <w:id w:val="147466624"/>
        <w15:color w:val="DBDBDB"/>
        <w:docPartObj>
          <w:docPartGallery w:val="Table of Contents"/>
          <w:docPartUnique/>
        </w:docPartObj>
      </w:sdtPr>
      <w:sdtEndPr>
        <w:rPr>
          <w:rFonts w:hint="eastAsia" w:ascii="Calibri" w:hAnsi="Calibri" w:eastAsia="宋体" w:cs="Times New Roman"/>
          <w:b/>
          <w:kern w:val="2"/>
          <w:sz w:val="21"/>
          <w:szCs w:val="22"/>
          <w:lang w:val="en-US" w:eastAsia="zh-CN" w:bidi="ar-SA"/>
        </w:rPr>
      </w:sdtEndPr>
      <w:sdtContent>
        <w:p w14:paraId="67E1874A">
          <w:pPr>
            <w:spacing w:before="0" w:beforeLines="0" w:after="0" w:afterLines="0" w:line="240" w:lineRule="auto"/>
            <w:ind w:left="0" w:leftChars="0" w:right="0" w:rightChars="0" w:firstLine="0" w:firstLineChars="0"/>
            <w:jc w:val="center"/>
            <w:rPr>
              <w:b/>
            </w:rPr>
          </w:pPr>
          <w:r>
            <w:rPr>
              <w:rFonts w:ascii="宋体" w:hAnsi="宋体" w:eastAsia="宋体"/>
              <w:sz w:val="36"/>
              <w:szCs w:val="36"/>
            </w:rPr>
            <w:t>目录</w:t>
          </w:r>
          <w:r>
            <w:rPr>
              <w:rFonts w:hint="eastAsia"/>
            </w:rPr>
            <w:fldChar w:fldCharType="begin"/>
          </w:r>
          <w:r>
            <w:rPr>
              <w:rFonts w:hint="eastAsia"/>
            </w:rPr>
            <w:instrText xml:space="preserve">TOC \o "1-2" \h \u </w:instrText>
          </w:r>
          <w:r>
            <w:rPr>
              <w:rFonts w:hint="eastAsia"/>
            </w:rPr>
            <w:fldChar w:fldCharType="separate"/>
          </w:r>
        </w:p>
        <w:p w14:paraId="3C5D252A">
          <w:pPr>
            <w:pStyle w:val="90"/>
            <w:tabs>
              <w:tab w:val="right" w:leader="dot" w:pos="8306"/>
            </w:tabs>
            <w:rPr>
              <w:b/>
            </w:rPr>
          </w:pPr>
          <w:r>
            <w:rPr>
              <w:rFonts w:hint="eastAsia"/>
              <w:b/>
            </w:rPr>
            <w:fldChar w:fldCharType="begin"/>
          </w:r>
          <w:r>
            <w:rPr>
              <w:rFonts w:hint="eastAsia"/>
              <w:b/>
            </w:rPr>
            <w:instrText xml:space="preserve"> HYPERLINK \l _Toc12415 </w:instrText>
          </w:r>
          <w:r>
            <w:rPr>
              <w:rFonts w:hint="eastAsia"/>
              <w:b/>
            </w:rPr>
            <w:fldChar w:fldCharType="separate"/>
          </w:r>
          <w:r>
            <w:rPr>
              <w:rFonts w:hint="eastAsia" w:asciiTheme="majorEastAsia" w:hAnsiTheme="majorEastAsia" w:eastAsiaTheme="majorEastAsia" w:cstheme="majorEastAsia"/>
              <w:b/>
              <w:bCs w:val="0"/>
              <w:szCs w:val="44"/>
              <w:lang w:val="zh-CN"/>
            </w:rPr>
            <w:t>竞争性谈判文件（通用部分）</w:t>
          </w:r>
          <w:r>
            <w:rPr>
              <w:b/>
            </w:rPr>
            <w:tab/>
          </w:r>
          <w:r>
            <w:rPr>
              <w:b/>
            </w:rPr>
            <w:fldChar w:fldCharType="begin"/>
          </w:r>
          <w:r>
            <w:rPr>
              <w:b/>
            </w:rPr>
            <w:instrText xml:space="preserve"> PAGEREF _Toc12415 \h </w:instrText>
          </w:r>
          <w:r>
            <w:rPr>
              <w:b/>
            </w:rPr>
            <w:fldChar w:fldCharType="separate"/>
          </w:r>
          <w:r>
            <w:rPr>
              <w:b/>
            </w:rPr>
            <w:t>3</w:t>
          </w:r>
          <w:r>
            <w:rPr>
              <w:b/>
            </w:rPr>
            <w:fldChar w:fldCharType="end"/>
          </w:r>
          <w:r>
            <w:rPr>
              <w:rFonts w:hint="eastAsia"/>
              <w:b/>
            </w:rPr>
            <w:fldChar w:fldCharType="end"/>
          </w:r>
        </w:p>
        <w:p w14:paraId="36B0A24C">
          <w:pPr>
            <w:pStyle w:val="90"/>
            <w:tabs>
              <w:tab w:val="right" w:leader="dot" w:pos="8306"/>
            </w:tabs>
            <w:rPr>
              <w:b/>
            </w:rPr>
          </w:pPr>
          <w:r>
            <w:rPr>
              <w:rFonts w:hint="eastAsia"/>
              <w:b/>
            </w:rPr>
            <w:fldChar w:fldCharType="begin"/>
          </w:r>
          <w:r>
            <w:rPr>
              <w:rFonts w:hint="eastAsia"/>
              <w:b/>
            </w:rPr>
            <w:instrText xml:space="preserve"> HYPERLINK \l _Toc4409 </w:instrText>
          </w:r>
          <w:r>
            <w:rPr>
              <w:rFonts w:hint="eastAsia"/>
              <w:b/>
            </w:rPr>
            <w:fldChar w:fldCharType="separate"/>
          </w:r>
          <w:r>
            <w:rPr>
              <w:rFonts w:hint="eastAsia" w:ascii="黑体" w:hAnsi="黑体" w:eastAsia="黑体" w:cs="黑体"/>
              <w:b/>
              <w:bCs w:val="0"/>
              <w:szCs w:val="32"/>
              <w:lang w:val="zh-CN"/>
            </w:rPr>
            <w:t>第一章  供应商须知</w:t>
          </w:r>
          <w:r>
            <w:rPr>
              <w:b/>
            </w:rPr>
            <w:tab/>
          </w:r>
          <w:r>
            <w:rPr>
              <w:b/>
            </w:rPr>
            <w:fldChar w:fldCharType="begin"/>
          </w:r>
          <w:r>
            <w:rPr>
              <w:b/>
            </w:rPr>
            <w:instrText xml:space="preserve"> PAGEREF _Toc4409 \h </w:instrText>
          </w:r>
          <w:r>
            <w:rPr>
              <w:b/>
            </w:rPr>
            <w:fldChar w:fldCharType="separate"/>
          </w:r>
          <w:r>
            <w:rPr>
              <w:b/>
            </w:rPr>
            <w:t>3</w:t>
          </w:r>
          <w:r>
            <w:rPr>
              <w:b/>
            </w:rPr>
            <w:fldChar w:fldCharType="end"/>
          </w:r>
          <w:r>
            <w:rPr>
              <w:rFonts w:hint="eastAsia"/>
              <w:b/>
            </w:rPr>
            <w:fldChar w:fldCharType="end"/>
          </w:r>
        </w:p>
        <w:p w14:paraId="39AD822F">
          <w:pPr>
            <w:pStyle w:val="91"/>
            <w:tabs>
              <w:tab w:val="right" w:leader="dot" w:pos="8306"/>
            </w:tabs>
          </w:pPr>
          <w:r>
            <w:rPr>
              <w:rFonts w:hint="eastAsia"/>
            </w:rPr>
            <w:fldChar w:fldCharType="begin"/>
          </w:r>
          <w:r>
            <w:rPr>
              <w:rFonts w:hint="eastAsia"/>
            </w:rPr>
            <w:instrText xml:space="preserve"> HYPERLINK \l _Toc521 </w:instrText>
          </w:r>
          <w:r>
            <w:rPr>
              <w:rFonts w:hint="eastAsia"/>
            </w:rPr>
            <w:fldChar w:fldCharType="separate"/>
          </w:r>
          <w:r>
            <w:rPr>
              <w:rFonts w:hint="default" w:ascii="华文楷体" w:hAnsi="华文楷体" w:eastAsia="华文楷体" w:cs="华文楷体"/>
              <w:szCs w:val="32"/>
              <w:lang w:val="zh-CN"/>
            </w:rPr>
            <w:t xml:space="preserve">1. </w:t>
          </w:r>
          <w:r>
            <w:rPr>
              <w:rFonts w:hint="eastAsia" w:ascii="华文楷体" w:hAnsi="华文楷体" w:eastAsia="华文楷体" w:cs="华文楷体"/>
              <w:szCs w:val="32"/>
              <w:lang w:val="zh-CN"/>
            </w:rPr>
            <w:t>适用法律</w:t>
          </w:r>
          <w:r>
            <w:tab/>
          </w:r>
          <w:r>
            <w:fldChar w:fldCharType="begin"/>
          </w:r>
          <w:r>
            <w:instrText xml:space="preserve"> PAGEREF _Toc521 \h </w:instrText>
          </w:r>
          <w:r>
            <w:fldChar w:fldCharType="separate"/>
          </w:r>
          <w:r>
            <w:t>3</w:t>
          </w:r>
          <w:r>
            <w:fldChar w:fldCharType="end"/>
          </w:r>
          <w:r>
            <w:rPr>
              <w:rFonts w:hint="eastAsia"/>
            </w:rPr>
            <w:fldChar w:fldCharType="end"/>
          </w:r>
        </w:p>
        <w:p w14:paraId="45163680">
          <w:pPr>
            <w:pStyle w:val="91"/>
            <w:tabs>
              <w:tab w:val="right" w:leader="dot" w:pos="8306"/>
            </w:tabs>
          </w:pPr>
          <w:r>
            <w:rPr>
              <w:rFonts w:hint="eastAsia"/>
            </w:rPr>
            <w:fldChar w:fldCharType="begin"/>
          </w:r>
          <w:r>
            <w:rPr>
              <w:rFonts w:hint="eastAsia"/>
            </w:rPr>
            <w:instrText xml:space="preserve"> HYPERLINK \l _Toc9613 </w:instrText>
          </w:r>
          <w:r>
            <w:rPr>
              <w:rFonts w:hint="eastAsia"/>
            </w:rPr>
            <w:fldChar w:fldCharType="separate"/>
          </w:r>
          <w:r>
            <w:rPr>
              <w:rFonts w:hint="eastAsia" w:ascii="华文楷体" w:hAnsi="华文楷体" w:eastAsia="华文楷体" w:cs="华文楷体"/>
              <w:bCs w:val="0"/>
              <w:szCs w:val="32"/>
              <w:lang w:val="zh-CN"/>
            </w:rPr>
            <w:t>2． 采购组织者和采购人</w:t>
          </w:r>
          <w:r>
            <w:tab/>
          </w:r>
          <w:r>
            <w:fldChar w:fldCharType="begin"/>
          </w:r>
          <w:r>
            <w:instrText xml:space="preserve"> PAGEREF _Toc9613 \h </w:instrText>
          </w:r>
          <w:r>
            <w:fldChar w:fldCharType="separate"/>
          </w:r>
          <w:r>
            <w:t>3</w:t>
          </w:r>
          <w:r>
            <w:fldChar w:fldCharType="end"/>
          </w:r>
          <w:r>
            <w:rPr>
              <w:rFonts w:hint="eastAsia"/>
            </w:rPr>
            <w:fldChar w:fldCharType="end"/>
          </w:r>
        </w:p>
        <w:p w14:paraId="5421CA82">
          <w:pPr>
            <w:pStyle w:val="91"/>
            <w:tabs>
              <w:tab w:val="right" w:leader="dot" w:pos="8306"/>
            </w:tabs>
          </w:pPr>
          <w:r>
            <w:rPr>
              <w:rFonts w:hint="eastAsia"/>
            </w:rPr>
            <w:fldChar w:fldCharType="begin"/>
          </w:r>
          <w:r>
            <w:rPr>
              <w:rFonts w:hint="eastAsia"/>
            </w:rPr>
            <w:instrText xml:space="preserve"> HYPERLINK \l _Toc3161 </w:instrText>
          </w:r>
          <w:r>
            <w:rPr>
              <w:rFonts w:hint="eastAsia"/>
            </w:rPr>
            <w:fldChar w:fldCharType="separate"/>
          </w:r>
          <w:r>
            <w:rPr>
              <w:rFonts w:hint="eastAsia" w:ascii="仿宋" w:hAnsi="仿宋" w:eastAsia="仿宋" w:cs="仿宋"/>
              <w:bCs/>
              <w:szCs w:val="32"/>
              <w:lang w:val="zh-CN"/>
            </w:rPr>
            <w:t>3． 谈判费用</w:t>
          </w:r>
          <w:r>
            <w:tab/>
          </w:r>
          <w:r>
            <w:fldChar w:fldCharType="begin"/>
          </w:r>
          <w:r>
            <w:instrText xml:space="preserve"> PAGEREF _Toc3161 \h </w:instrText>
          </w:r>
          <w:r>
            <w:fldChar w:fldCharType="separate"/>
          </w:r>
          <w:r>
            <w:t>3</w:t>
          </w:r>
          <w:r>
            <w:fldChar w:fldCharType="end"/>
          </w:r>
          <w:r>
            <w:rPr>
              <w:rFonts w:hint="eastAsia"/>
            </w:rPr>
            <w:fldChar w:fldCharType="end"/>
          </w:r>
        </w:p>
        <w:p w14:paraId="56E54AE1">
          <w:pPr>
            <w:pStyle w:val="91"/>
            <w:tabs>
              <w:tab w:val="right" w:leader="dot" w:pos="8306"/>
            </w:tabs>
          </w:pPr>
          <w:r>
            <w:rPr>
              <w:rFonts w:hint="eastAsia"/>
            </w:rPr>
            <w:fldChar w:fldCharType="begin"/>
          </w:r>
          <w:r>
            <w:rPr>
              <w:rFonts w:hint="eastAsia"/>
            </w:rPr>
            <w:instrText xml:space="preserve"> HYPERLINK \l _Toc2654 </w:instrText>
          </w:r>
          <w:r>
            <w:rPr>
              <w:rFonts w:hint="eastAsia"/>
            </w:rPr>
            <w:fldChar w:fldCharType="separate"/>
          </w:r>
          <w:r>
            <w:rPr>
              <w:rFonts w:hint="eastAsia" w:ascii="仿宋" w:hAnsi="仿宋" w:eastAsia="仿宋" w:cs="仿宋"/>
              <w:bCs/>
              <w:szCs w:val="32"/>
              <w:lang w:val="zh-CN"/>
            </w:rPr>
            <w:t>4． 禁止一标多投</w:t>
          </w:r>
          <w:r>
            <w:tab/>
          </w:r>
          <w:r>
            <w:fldChar w:fldCharType="begin"/>
          </w:r>
          <w:r>
            <w:instrText xml:space="preserve"> PAGEREF _Toc2654 \h </w:instrText>
          </w:r>
          <w:r>
            <w:fldChar w:fldCharType="separate"/>
          </w:r>
          <w:r>
            <w:t>3</w:t>
          </w:r>
          <w:r>
            <w:fldChar w:fldCharType="end"/>
          </w:r>
          <w:r>
            <w:rPr>
              <w:rFonts w:hint="eastAsia"/>
            </w:rPr>
            <w:fldChar w:fldCharType="end"/>
          </w:r>
        </w:p>
        <w:p w14:paraId="6FC800EE">
          <w:pPr>
            <w:pStyle w:val="91"/>
            <w:tabs>
              <w:tab w:val="right" w:leader="dot" w:pos="8306"/>
            </w:tabs>
          </w:pPr>
          <w:r>
            <w:rPr>
              <w:rFonts w:hint="eastAsia"/>
            </w:rPr>
            <w:fldChar w:fldCharType="begin"/>
          </w:r>
          <w:r>
            <w:rPr>
              <w:rFonts w:hint="eastAsia"/>
            </w:rPr>
            <w:instrText xml:space="preserve"> HYPERLINK \l _Toc17854 </w:instrText>
          </w:r>
          <w:r>
            <w:rPr>
              <w:rFonts w:hint="eastAsia"/>
            </w:rPr>
            <w:fldChar w:fldCharType="separate"/>
          </w:r>
          <w:r>
            <w:rPr>
              <w:rFonts w:hint="eastAsia" w:ascii="仿宋" w:hAnsi="仿宋" w:eastAsia="仿宋" w:cs="仿宋"/>
              <w:bCs/>
              <w:szCs w:val="32"/>
              <w:lang w:val="zh-CN"/>
            </w:rPr>
            <w:t>5．竞争性谈判文件（以下简称谈判文件）：</w:t>
          </w:r>
          <w:r>
            <w:tab/>
          </w:r>
          <w:r>
            <w:fldChar w:fldCharType="begin"/>
          </w:r>
          <w:r>
            <w:instrText xml:space="preserve"> PAGEREF _Toc17854 \h </w:instrText>
          </w:r>
          <w:r>
            <w:fldChar w:fldCharType="separate"/>
          </w:r>
          <w:r>
            <w:t>4</w:t>
          </w:r>
          <w:r>
            <w:fldChar w:fldCharType="end"/>
          </w:r>
          <w:r>
            <w:rPr>
              <w:rFonts w:hint="eastAsia"/>
            </w:rPr>
            <w:fldChar w:fldCharType="end"/>
          </w:r>
        </w:p>
        <w:p w14:paraId="1D6F80C0">
          <w:pPr>
            <w:pStyle w:val="91"/>
            <w:tabs>
              <w:tab w:val="right" w:leader="dot" w:pos="8306"/>
            </w:tabs>
          </w:pPr>
          <w:r>
            <w:rPr>
              <w:rFonts w:hint="eastAsia"/>
            </w:rPr>
            <w:fldChar w:fldCharType="begin"/>
          </w:r>
          <w:r>
            <w:rPr>
              <w:rFonts w:hint="eastAsia"/>
            </w:rPr>
            <w:instrText xml:space="preserve"> HYPERLINK \l _Toc19781 </w:instrText>
          </w:r>
          <w:r>
            <w:rPr>
              <w:rFonts w:hint="eastAsia"/>
            </w:rPr>
            <w:fldChar w:fldCharType="separate"/>
          </w:r>
          <w:r>
            <w:rPr>
              <w:rFonts w:hint="eastAsia" w:ascii="仿宋" w:hAnsi="仿宋" w:eastAsia="仿宋" w:cs="仿宋"/>
              <w:bCs/>
              <w:szCs w:val="32"/>
              <w:lang w:val="zh-CN"/>
            </w:rPr>
            <w:t>6．谈判文件的澄清和修改</w:t>
          </w:r>
          <w:r>
            <w:tab/>
          </w:r>
          <w:r>
            <w:fldChar w:fldCharType="begin"/>
          </w:r>
          <w:r>
            <w:instrText xml:space="preserve"> PAGEREF _Toc19781 \h </w:instrText>
          </w:r>
          <w:r>
            <w:fldChar w:fldCharType="separate"/>
          </w:r>
          <w:r>
            <w:t>4</w:t>
          </w:r>
          <w:r>
            <w:fldChar w:fldCharType="end"/>
          </w:r>
          <w:r>
            <w:rPr>
              <w:rFonts w:hint="eastAsia"/>
            </w:rPr>
            <w:fldChar w:fldCharType="end"/>
          </w:r>
        </w:p>
        <w:p w14:paraId="3BC31CC2">
          <w:pPr>
            <w:pStyle w:val="91"/>
            <w:tabs>
              <w:tab w:val="right" w:leader="dot" w:pos="8306"/>
            </w:tabs>
          </w:pPr>
          <w:r>
            <w:rPr>
              <w:rFonts w:hint="eastAsia"/>
            </w:rPr>
            <w:fldChar w:fldCharType="begin"/>
          </w:r>
          <w:r>
            <w:rPr>
              <w:rFonts w:hint="eastAsia"/>
            </w:rPr>
            <w:instrText xml:space="preserve"> HYPERLINK \l _Toc15338 </w:instrText>
          </w:r>
          <w:r>
            <w:rPr>
              <w:rFonts w:hint="eastAsia"/>
            </w:rPr>
            <w:fldChar w:fldCharType="separate"/>
          </w:r>
          <w:r>
            <w:rPr>
              <w:rFonts w:hint="eastAsia" w:ascii="仿宋" w:hAnsi="仿宋" w:eastAsia="仿宋" w:cs="仿宋"/>
              <w:bCs/>
              <w:szCs w:val="32"/>
              <w:lang w:val="zh-CN"/>
            </w:rPr>
            <w:t>7.响应文件构成：供应商提交的响应文件应包括以下部分：</w:t>
          </w:r>
          <w:r>
            <w:tab/>
          </w:r>
          <w:r>
            <w:fldChar w:fldCharType="begin"/>
          </w:r>
          <w:r>
            <w:instrText xml:space="preserve"> PAGEREF _Toc15338 \h </w:instrText>
          </w:r>
          <w:r>
            <w:fldChar w:fldCharType="separate"/>
          </w:r>
          <w:r>
            <w:t>5</w:t>
          </w:r>
          <w:r>
            <w:fldChar w:fldCharType="end"/>
          </w:r>
          <w:r>
            <w:rPr>
              <w:rFonts w:hint="eastAsia"/>
            </w:rPr>
            <w:fldChar w:fldCharType="end"/>
          </w:r>
        </w:p>
        <w:p w14:paraId="53D0FF5A">
          <w:pPr>
            <w:pStyle w:val="91"/>
            <w:tabs>
              <w:tab w:val="right" w:leader="dot" w:pos="8306"/>
            </w:tabs>
          </w:pPr>
          <w:r>
            <w:rPr>
              <w:rFonts w:hint="eastAsia"/>
            </w:rPr>
            <w:fldChar w:fldCharType="begin"/>
          </w:r>
          <w:r>
            <w:rPr>
              <w:rFonts w:hint="eastAsia"/>
            </w:rPr>
            <w:instrText xml:space="preserve"> HYPERLINK \l _Toc2488 </w:instrText>
          </w:r>
          <w:r>
            <w:rPr>
              <w:rFonts w:hint="eastAsia"/>
            </w:rPr>
            <w:fldChar w:fldCharType="separate"/>
          </w:r>
          <w:r>
            <w:rPr>
              <w:rFonts w:hint="eastAsia" w:ascii="仿宋" w:hAnsi="仿宋" w:eastAsia="仿宋" w:cs="仿宋"/>
              <w:bCs w:val="0"/>
              <w:szCs w:val="32"/>
              <w:lang w:val="zh-CN"/>
            </w:rPr>
            <w:t>8．响应文件的编制</w:t>
          </w:r>
          <w:r>
            <w:tab/>
          </w:r>
          <w:r>
            <w:fldChar w:fldCharType="begin"/>
          </w:r>
          <w:r>
            <w:instrText xml:space="preserve"> PAGEREF _Toc2488 \h </w:instrText>
          </w:r>
          <w:r>
            <w:fldChar w:fldCharType="separate"/>
          </w:r>
          <w:r>
            <w:t>5</w:t>
          </w:r>
          <w:r>
            <w:fldChar w:fldCharType="end"/>
          </w:r>
          <w:r>
            <w:rPr>
              <w:rFonts w:hint="eastAsia"/>
            </w:rPr>
            <w:fldChar w:fldCharType="end"/>
          </w:r>
        </w:p>
        <w:p w14:paraId="1FB84E67">
          <w:pPr>
            <w:pStyle w:val="91"/>
            <w:tabs>
              <w:tab w:val="right" w:leader="dot" w:pos="8306"/>
            </w:tabs>
          </w:pPr>
          <w:r>
            <w:rPr>
              <w:rFonts w:hint="eastAsia"/>
            </w:rPr>
            <w:fldChar w:fldCharType="begin"/>
          </w:r>
          <w:r>
            <w:rPr>
              <w:rFonts w:hint="eastAsia"/>
            </w:rPr>
            <w:instrText xml:space="preserve"> HYPERLINK \l _Toc5831 </w:instrText>
          </w:r>
          <w:r>
            <w:rPr>
              <w:rFonts w:hint="eastAsia"/>
            </w:rPr>
            <w:fldChar w:fldCharType="separate"/>
          </w:r>
          <w:r>
            <w:rPr>
              <w:rFonts w:hint="eastAsia" w:ascii="仿宋" w:hAnsi="仿宋" w:eastAsia="仿宋" w:cs="仿宋"/>
              <w:bCs w:val="0"/>
              <w:szCs w:val="32"/>
              <w:lang w:val="zh-CN"/>
            </w:rPr>
            <w:t>9．报价方式</w:t>
          </w:r>
          <w:r>
            <w:tab/>
          </w:r>
          <w:r>
            <w:fldChar w:fldCharType="begin"/>
          </w:r>
          <w:r>
            <w:instrText xml:space="preserve"> PAGEREF _Toc5831 \h </w:instrText>
          </w:r>
          <w:r>
            <w:fldChar w:fldCharType="separate"/>
          </w:r>
          <w:r>
            <w:t>6</w:t>
          </w:r>
          <w:r>
            <w:fldChar w:fldCharType="end"/>
          </w:r>
          <w:r>
            <w:rPr>
              <w:rFonts w:hint="eastAsia"/>
            </w:rPr>
            <w:fldChar w:fldCharType="end"/>
          </w:r>
        </w:p>
        <w:p w14:paraId="6A66B6C9">
          <w:pPr>
            <w:pStyle w:val="91"/>
            <w:tabs>
              <w:tab w:val="right" w:leader="dot" w:pos="8306"/>
            </w:tabs>
          </w:pPr>
          <w:r>
            <w:rPr>
              <w:rFonts w:hint="eastAsia"/>
            </w:rPr>
            <w:fldChar w:fldCharType="begin"/>
          </w:r>
          <w:r>
            <w:rPr>
              <w:rFonts w:hint="eastAsia"/>
            </w:rPr>
            <w:instrText xml:space="preserve"> HYPERLINK \l _Toc289 </w:instrText>
          </w:r>
          <w:r>
            <w:rPr>
              <w:rFonts w:hint="eastAsia"/>
            </w:rPr>
            <w:fldChar w:fldCharType="separate"/>
          </w:r>
          <w:r>
            <w:rPr>
              <w:rFonts w:hint="eastAsia" w:ascii="仿宋" w:hAnsi="仿宋" w:eastAsia="仿宋" w:cs="仿宋"/>
              <w:bCs w:val="0"/>
              <w:szCs w:val="32"/>
              <w:lang w:val="zh-CN"/>
            </w:rPr>
            <w:t>10．谈判保证金</w:t>
          </w:r>
          <w:r>
            <w:tab/>
          </w:r>
          <w:r>
            <w:fldChar w:fldCharType="begin"/>
          </w:r>
          <w:r>
            <w:instrText xml:space="preserve"> PAGEREF _Toc289 \h </w:instrText>
          </w:r>
          <w:r>
            <w:fldChar w:fldCharType="separate"/>
          </w:r>
          <w:r>
            <w:t>7</w:t>
          </w:r>
          <w:r>
            <w:fldChar w:fldCharType="end"/>
          </w:r>
          <w:r>
            <w:rPr>
              <w:rFonts w:hint="eastAsia"/>
            </w:rPr>
            <w:fldChar w:fldCharType="end"/>
          </w:r>
        </w:p>
        <w:p w14:paraId="34EB089C">
          <w:pPr>
            <w:pStyle w:val="91"/>
            <w:tabs>
              <w:tab w:val="right" w:leader="dot" w:pos="8306"/>
            </w:tabs>
          </w:pPr>
          <w:r>
            <w:rPr>
              <w:rFonts w:hint="eastAsia"/>
            </w:rPr>
            <w:fldChar w:fldCharType="begin"/>
          </w:r>
          <w:r>
            <w:rPr>
              <w:rFonts w:hint="eastAsia"/>
            </w:rPr>
            <w:instrText xml:space="preserve"> HYPERLINK \l _Toc28335 </w:instrText>
          </w:r>
          <w:r>
            <w:rPr>
              <w:rFonts w:hint="eastAsia"/>
            </w:rPr>
            <w:fldChar w:fldCharType="separate"/>
          </w:r>
          <w:r>
            <w:rPr>
              <w:rFonts w:hint="eastAsia" w:ascii="仿宋" w:hAnsi="仿宋" w:eastAsia="仿宋" w:cs="仿宋"/>
              <w:bCs w:val="0"/>
              <w:szCs w:val="32"/>
              <w:lang w:val="zh-CN"/>
            </w:rPr>
            <w:t>11．报价有效期：</w:t>
          </w:r>
          <w:r>
            <w:tab/>
          </w:r>
          <w:r>
            <w:fldChar w:fldCharType="begin"/>
          </w:r>
          <w:r>
            <w:instrText xml:space="preserve"> PAGEREF _Toc28335 \h </w:instrText>
          </w:r>
          <w:r>
            <w:fldChar w:fldCharType="separate"/>
          </w:r>
          <w:r>
            <w:t>7</w:t>
          </w:r>
          <w:r>
            <w:fldChar w:fldCharType="end"/>
          </w:r>
          <w:r>
            <w:rPr>
              <w:rFonts w:hint="eastAsia"/>
            </w:rPr>
            <w:fldChar w:fldCharType="end"/>
          </w:r>
        </w:p>
        <w:p w14:paraId="4DE68816">
          <w:pPr>
            <w:pStyle w:val="91"/>
            <w:tabs>
              <w:tab w:val="right" w:leader="dot" w:pos="8306"/>
            </w:tabs>
          </w:pPr>
          <w:r>
            <w:rPr>
              <w:rFonts w:hint="eastAsia"/>
            </w:rPr>
            <w:fldChar w:fldCharType="begin"/>
          </w:r>
          <w:r>
            <w:rPr>
              <w:rFonts w:hint="eastAsia"/>
            </w:rPr>
            <w:instrText xml:space="preserve"> HYPERLINK \l _Toc15522 </w:instrText>
          </w:r>
          <w:r>
            <w:rPr>
              <w:rFonts w:hint="eastAsia"/>
            </w:rPr>
            <w:fldChar w:fldCharType="separate"/>
          </w:r>
          <w:r>
            <w:rPr>
              <w:rFonts w:hint="eastAsia" w:ascii="仿宋" w:hAnsi="仿宋" w:eastAsia="仿宋" w:cs="仿宋"/>
              <w:bCs/>
              <w:szCs w:val="32"/>
              <w:lang w:val="zh-CN"/>
            </w:rPr>
            <w:t>12．响应文件的式样和签署</w:t>
          </w:r>
          <w:r>
            <w:tab/>
          </w:r>
          <w:r>
            <w:fldChar w:fldCharType="begin"/>
          </w:r>
          <w:r>
            <w:instrText xml:space="preserve"> PAGEREF _Toc15522 \h </w:instrText>
          </w:r>
          <w:r>
            <w:fldChar w:fldCharType="separate"/>
          </w:r>
          <w:r>
            <w:t>8</w:t>
          </w:r>
          <w:r>
            <w:fldChar w:fldCharType="end"/>
          </w:r>
          <w:r>
            <w:rPr>
              <w:rFonts w:hint="eastAsia"/>
            </w:rPr>
            <w:fldChar w:fldCharType="end"/>
          </w:r>
        </w:p>
        <w:p w14:paraId="15C43C6E">
          <w:pPr>
            <w:pStyle w:val="91"/>
            <w:tabs>
              <w:tab w:val="right" w:leader="dot" w:pos="8306"/>
            </w:tabs>
          </w:pPr>
          <w:r>
            <w:rPr>
              <w:rFonts w:hint="eastAsia"/>
            </w:rPr>
            <w:fldChar w:fldCharType="begin"/>
          </w:r>
          <w:r>
            <w:rPr>
              <w:rFonts w:hint="eastAsia"/>
            </w:rPr>
            <w:instrText xml:space="preserve"> HYPERLINK \l _Toc31143 </w:instrText>
          </w:r>
          <w:r>
            <w:rPr>
              <w:rFonts w:hint="eastAsia"/>
            </w:rPr>
            <w:fldChar w:fldCharType="separate"/>
          </w:r>
          <w:r>
            <w:rPr>
              <w:rFonts w:hint="eastAsia" w:ascii="仿宋" w:hAnsi="仿宋" w:eastAsia="仿宋" w:cs="仿宋"/>
              <w:bCs w:val="0"/>
              <w:szCs w:val="32"/>
              <w:lang w:val="zh-CN"/>
            </w:rPr>
            <w:t>13．响应文件的修改和撤回</w:t>
          </w:r>
          <w:r>
            <w:tab/>
          </w:r>
          <w:r>
            <w:fldChar w:fldCharType="begin"/>
          </w:r>
          <w:r>
            <w:instrText xml:space="preserve"> PAGEREF _Toc31143 \h </w:instrText>
          </w:r>
          <w:r>
            <w:fldChar w:fldCharType="separate"/>
          </w:r>
          <w:r>
            <w:t>9</w:t>
          </w:r>
          <w:r>
            <w:fldChar w:fldCharType="end"/>
          </w:r>
          <w:r>
            <w:rPr>
              <w:rFonts w:hint="eastAsia"/>
            </w:rPr>
            <w:fldChar w:fldCharType="end"/>
          </w:r>
        </w:p>
        <w:p w14:paraId="6CA3C8AF">
          <w:pPr>
            <w:pStyle w:val="91"/>
            <w:tabs>
              <w:tab w:val="right" w:leader="dot" w:pos="8306"/>
            </w:tabs>
          </w:pPr>
          <w:r>
            <w:rPr>
              <w:rFonts w:hint="eastAsia"/>
            </w:rPr>
            <w:fldChar w:fldCharType="begin"/>
          </w:r>
          <w:r>
            <w:rPr>
              <w:rFonts w:hint="eastAsia"/>
            </w:rPr>
            <w:instrText xml:space="preserve"> HYPERLINK \l _Toc19946 </w:instrText>
          </w:r>
          <w:r>
            <w:rPr>
              <w:rFonts w:hint="eastAsia"/>
            </w:rPr>
            <w:fldChar w:fldCharType="separate"/>
          </w:r>
          <w:r>
            <w:rPr>
              <w:rFonts w:hint="eastAsia" w:ascii="仿宋" w:hAnsi="仿宋" w:eastAsia="仿宋" w:cs="仿宋"/>
              <w:bCs w:val="0"/>
              <w:szCs w:val="32"/>
              <w:lang w:val="zh-CN"/>
            </w:rPr>
            <w:t>14．响应文件的递交</w:t>
          </w:r>
          <w:r>
            <w:tab/>
          </w:r>
          <w:r>
            <w:fldChar w:fldCharType="begin"/>
          </w:r>
          <w:r>
            <w:instrText xml:space="preserve"> PAGEREF _Toc19946 \h </w:instrText>
          </w:r>
          <w:r>
            <w:fldChar w:fldCharType="separate"/>
          </w:r>
          <w:r>
            <w:t>9</w:t>
          </w:r>
          <w:r>
            <w:fldChar w:fldCharType="end"/>
          </w:r>
          <w:r>
            <w:rPr>
              <w:rFonts w:hint="eastAsia"/>
            </w:rPr>
            <w:fldChar w:fldCharType="end"/>
          </w:r>
        </w:p>
        <w:p w14:paraId="0AA63F15">
          <w:pPr>
            <w:pStyle w:val="91"/>
            <w:tabs>
              <w:tab w:val="right" w:leader="dot" w:pos="8306"/>
            </w:tabs>
            <w:rPr>
              <w:rFonts w:hint="eastAsia"/>
            </w:rPr>
          </w:pPr>
          <w:r>
            <w:rPr>
              <w:rFonts w:hint="eastAsia"/>
            </w:rPr>
            <w:fldChar w:fldCharType="begin"/>
          </w:r>
          <w:r>
            <w:rPr>
              <w:rFonts w:hint="eastAsia"/>
            </w:rPr>
            <w:instrText xml:space="preserve"> HYPERLINK \l _Toc28507 </w:instrText>
          </w:r>
          <w:r>
            <w:rPr>
              <w:rFonts w:hint="eastAsia"/>
            </w:rPr>
            <w:fldChar w:fldCharType="separate"/>
          </w:r>
          <w:r>
            <w:rPr>
              <w:rFonts w:hint="eastAsia" w:ascii="仿宋" w:hAnsi="仿宋" w:eastAsia="仿宋" w:cs="仿宋"/>
              <w:bCs w:val="0"/>
              <w:szCs w:val="32"/>
              <w:lang w:val="zh-CN"/>
            </w:rPr>
            <w:t>15.谈判预备会议</w:t>
          </w:r>
          <w:r>
            <w:tab/>
          </w:r>
          <w:r>
            <w:fldChar w:fldCharType="begin"/>
          </w:r>
          <w:r>
            <w:instrText xml:space="preserve"> PAGEREF _Toc28507 \h </w:instrText>
          </w:r>
          <w:r>
            <w:fldChar w:fldCharType="separate"/>
          </w:r>
          <w:r>
            <w:t>10</w:t>
          </w:r>
          <w:r>
            <w:fldChar w:fldCharType="end"/>
          </w:r>
          <w:r>
            <w:rPr>
              <w:rFonts w:hint="eastAsia"/>
            </w:rPr>
            <w:fldChar w:fldCharType="end"/>
          </w:r>
        </w:p>
        <w:p w14:paraId="6AD9D7D9">
          <w:pPr>
            <w:pStyle w:val="91"/>
            <w:tabs>
              <w:tab w:val="right" w:leader="dot" w:pos="8306"/>
            </w:tabs>
            <w:rPr>
              <w:rFonts w:hint="default" w:eastAsia="宋体"/>
              <w:lang w:val="en-US" w:eastAsia="zh-CN"/>
            </w:rPr>
          </w:pPr>
          <w:r>
            <w:rPr>
              <w:rFonts w:hint="eastAsia"/>
              <w:lang w:val="en-US" w:eastAsia="zh-CN"/>
            </w:rPr>
            <w:t>16.</w:t>
          </w:r>
          <w:r>
            <w:rPr>
              <w:rFonts w:hint="eastAsia" w:ascii="仿宋" w:hAnsi="仿宋" w:eastAsia="仿宋" w:cs="仿宋"/>
              <w:bCs w:val="0"/>
              <w:szCs w:val="32"/>
              <w:lang w:val="en-US" w:eastAsia="zh-CN"/>
            </w:rPr>
            <w:t>谈判和评审过程的保密性..</w:t>
          </w:r>
          <w:r>
            <w:rPr>
              <w:rFonts w:hint="eastAsia"/>
              <w:lang w:val="en-US" w:eastAsia="zh-CN"/>
            </w:rPr>
            <w:t>..................................................................... ...........................11</w:t>
          </w:r>
        </w:p>
        <w:p w14:paraId="537CA107">
          <w:pPr>
            <w:pStyle w:val="91"/>
            <w:tabs>
              <w:tab w:val="right" w:leader="dot" w:pos="8306"/>
            </w:tabs>
          </w:pPr>
          <w:r>
            <w:rPr>
              <w:rFonts w:hint="eastAsia"/>
            </w:rPr>
            <w:fldChar w:fldCharType="begin"/>
          </w:r>
          <w:r>
            <w:rPr>
              <w:rFonts w:hint="eastAsia"/>
            </w:rPr>
            <w:instrText xml:space="preserve"> HYPERLINK \l _Toc12236 </w:instrText>
          </w:r>
          <w:r>
            <w:rPr>
              <w:rFonts w:hint="eastAsia"/>
            </w:rPr>
            <w:fldChar w:fldCharType="separate"/>
          </w:r>
          <w:r>
            <w:rPr>
              <w:rFonts w:hint="eastAsia" w:ascii="仿宋" w:hAnsi="仿宋" w:eastAsia="仿宋" w:cs="仿宋"/>
              <w:bCs/>
              <w:szCs w:val="32"/>
              <w:lang w:val="zh-CN"/>
            </w:rPr>
            <w:t>17．谈判程序</w:t>
          </w:r>
          <w:r>
            <w:tab/>
          </w:r>
          <w:r>
            <w:fldChar w:fldCharType="begin"/>
          </w:r>
          <w:r>
            <w:instrText xml:space="preserve"> PAGEREF _Toc12236 \h </w:instrText>
          </w:r>
          <w:r>
            <w:fldChar w:fldCharType="separate"/>
          </w:r>
          <w:r>
            <w:t>11</w:t>
          </w:r>
          <w:r>
            <w:fldChar w:fldCharType="end"/>
          </w:r>
          <w:r>
            <w:rPr>
              <w:rFonts w:hint="eastAsia"/>
            </w:rPr>
            <w:fldChar w:fldCharType="end"/>
          </w:r>
        </w:p>
        <w:p w14:paraId="5AA30F95">
          <w:pPr>
            <w:pStyle w:val="91"/>
            <w:tabs>
              <w:tab w:val="right" w:leader="dot" w:pos="8306"/>
            </w:tabs>
          </w:pPr>
          <w:r>
            <w:rPr>
              <w:rFonts w:hint="eastAsia"/>
            </w:rPr>
            <w:fldChar w:fldCharType="begin"/>
          </w:r>
          <w:r>
            <w:rPr>
              <w:rFonts w:hint="eastAsia"/>
            </w:rPr>
            <w:instrText xml:space="preserve"> HYPERLINK \l _Toc16859 </w:instrText>
          </w:r>
          <w:r>
            <w:rPr>
              <w:rFonts w:hint="eastAsia"/>
            </w:rPr>
            <w:fldChar w:fldCharType="separate"/>
          </w:r>
          <w:r>
            <w:rPr>
              <w:rFonts w:hint="eastAsia" w:ascii="仿宋" w:hAnsi="仿宋" w:eastAsia="仿宋" w:cs="仿宋"/>
              <w:bCs/>
              <w:szCs w:val="32"/>
              <w:lang w:val="zh-CN"/>
            </w:rPr>
            <w:t>18. 政府采购进口产品的规定</w:t>
          </w:r>
          <w:r>
            <w:tab/>
          </w:r>
          <w:r>
            <w:fldChar w:fldCharType="begin"/>
          </w:r>
          <w:r>
            <w:instrText xml:space="preserve"> PAGEREF _Toc16859 \h </w:instrText>
          </w:r>
          <w:r>
            <w:fldChar w:fldCharType="separate"/>
          </w:r>
          <w:r>
            <w:t>15</w:t>
          </w:r>
          <w:r>
            <w:fldChar w:fldCharType="end"/>
          </w:r>
          <w:r>
            <w:rPr>
              <w:rFonts w:hint="eastAsia"/>
            </w:rPr>
            <w:fldChar w:fldCharType="end"/>
          </w:r>
        </w:p>
        <w:p w14:paraId="2FC596D4">
          <w:pPr>
            <w:pStyle w:val="91"/>
            <w:tabs>
              <w:tab w:val="right" w:leader="dot" w:pos="8306"/>
            </w:tabs>
          </w:pPr>
          <w:r>
            <w:rPr>
              <w:rFonts w:hint="eastAsia"/>
            </w:rPr>
            <w:fldChar w:fldCharType="begin"/>
          </w:r>
          <w:r>
            <w:rPr>
              <w:rFonts w:hint="eastAsia"/>
            </w:rPr>
            <w:instrText xml:space="preserve"> HYPERLINK \l _Toc3193 </w:instrText>
          </w:r>
          <w:r>
            <w:rPr>
              <w:rFonts w:hint="eastAsia"/>
            </w:rPr>
            <w:fldChar w:fldCharType="separate"/>
          </w:r>
          <w:r>
            <w:rPr>
              <w:rFonts w:hint="eastAsia" w:ascii="仿宋" w:hAnsi="仿宋" w:eastAsia="仿宋" w:cs="仿宋"/>
              <w:bCs/>
              <w:szCs w:val="32"/>
              <w:lang w:val="zh-CN"/>
            </w:rPr>
            <w:t>19.政府强制采购节能产品的规定</w:t>
          </w:r>
          <w:r>
            <w:tab/>
          </w:r>
          <w:r>
            <w:fldChar w:fldCharType="begin"/>
          </w:r>
          <w:r>
            <w:instrText xml:space="preserve"> PAGEREF _Toc3193 \h </w:instrText>
          </w:r>
          <w:r>
            <w:fldChar w:fldCharType="separate"/>
          </w:r>
          <w:r>
            <w:t>15</w:t>
          </w:r>
          <w:r>
            <w:fldChar w:fldCharType="end"/>
          </w:r>
          <w:r>
            <w:rPr>
              <w:rFonts w:hint="eastAsia"/>
            </w:rPr>
            <w:fldChar w:fldCharType="end"/>
          </w:r>
        </w:p>
        <w:p w14:paraId="289A753D">
          <w:pPr>
            <w:pStyle w:val="91"/>
            <w:tabs>
              <w:tab w:val="right" w:leader="dot" w:pos="8306"/>
            </w:tabs>
          </w:pPr>
          <w:r>
            <w:rPr>
              <w:rFonts w:hint="eastAsia"/>
            </w:rPr>
            <w:fldChar w:fldCharType="begin"/>
          </w:r>
          <w:r>
            <w:rPr>
              <w:rFonts w:hint="eastAsia"/>
            </w:rPr>
            <w:instrText xml:space="preserve"> HYPERLINK \l _Toc31089 </w:instrText>
          </w:r>
          <w:r>
            <w:rPr>
              <w:rFonts w:hint="eastAsia"/>
            </w:rPr>
            <w:fldChar w:fldCharType="separate"/>
          </w:r>
          <w:r>
            <w:rPr>
              <w:rFonts w:hint="eastAsia" w:ascii="仿宋" w:hAnsi="仿宋" w:eastAsia="仿宋" w:cs="仿宋"/>
              <w:bCs/>
              <w:szCs w:val="32"/>
              <w:lang w:val="zh-CN"/>
            </w:rPr>
            <w:t>20. 信用记录查询</w:t>
          </w:r>
          <w:r>
            <w:tab/>
          </w:r>
          <w:r>
            <w:fldChar w:fldCharType="begin"/>
          </w:r>
          <w:r>
            <w:instrText xml:space="preserve"> PAGEREF _Toc31089 \h </w:instrText>
          </w:r>
          <w:r>
            <w:fldChar w:fldCharType="separate"/>
          </w:r>
          <w:r>
            <w:t>16</w:t>
          </w:r>
          <w:r>
            <w:fldChar w:fldCharType="end"/>
          </w:r>
          <w:r>
            <w:rPr>
              <w:rFonts w:hint="eastAsia"/>
            </w:rPr>
            <w:fldChar w:fldCharType="end"/>
          </w:r>
        </w:p>
        <w:p w14:paraId="68575CAA">
          <w:pPr>
            <w:pStyle w:val="91"/>
            <w:tabs>
              <w:tab w:val="right" w:leader="dot" w:pos="8306"/>
            </w:tabs>
          </w:pPr>
          <w:r>
            <w:rPr>
              <w:rFonts w:hint="eastAsia"/>
            </w:rPr>
            <w:fldChar w:fldCharType="begin"/>
          </w:r>
          <w:r>
            <w:rPr>
              <w:rFonts w:hint="eastAsia"/>
            </w:rPr>
            <w:instrText xml:space="preserve"> HYPERLINK \l _Toc7811 </w:instrText>
          </w:r>
          <w:r>
            <w:rPr>
              <w:rFonts w:hint="eastAsia"/>
            </w:rPr>
            <w:fldChar w:fldCharType="separate"/>
          </w:r>
          <w:r>
            <w:rPr>
              <w:rFonts w:hint="eastAsia" w:ascii="仿宋" w:hAnsi="仿宋" w:eastAsia="仿宋" w:cs="仿宋"/>
              <w:bCs/>
              <w:szCs w:val="32"/>
              <w:lang w:val="zh-CN"/>
            </w:rPr>
            <w:t>21.签订合同：</w:t>
          </w:r>
          <w:r>
            <w:tab/>
          </w:r>
          <w:r>
            <w:fldChar w:fldCharType="begin"/>
          </w:r>
          <w:r>
            <w:instrText xml:space="preserve"> PAGEREF _Toc7811 \h </w:instrText>
          </w:r>
          <w:r>
            <w:fldChar w:fldCharType="separate"/>
          </w:r>
          <w:r>
            <w:t>16</w:t>
          </w:r>
          <w:r>
            <w:fldChar w:fldCharType="end"/>
          </w:r>
          <w:r>
            <w:rPr>
              <w:rFonts w:hint="eastAsia"/>
            </w:rPr>
            <w:fldChar w:fldCharType="end"/>
          </w:r>
        </w:p>
        <w:p w14:paraId="5DC6BE5F">
          <w:pPr>
            <w:pStyle w:val="91"/>
            <w:tabs>
              <w:tab w:val="right" w:leader="dot" w:pos="8306"/>
            </w:tabs>
          </w:pPr>
          <w:r>
            <w:rPr>
              <w:rFonts w:hint="eastAsia"/>
            </w:rPr>
            <w:fldChar w:fldCharType="begin"/>
          </w:r>
          <w:r>
            <w:rPr>
              <w:rFonts w:hint="eastAsia"/>
            </w:rPr>
            <w:instrText xml:space="preserve"> HYPERLINK \l _Toc13325 </w:instrText>
          </w:r>
          <w:r>
            <w:rPr>
              <w:rFonts w:hint="eastAsia"/>
            </w:rPr>
            <w:fldChar w:fldCharType="separate"/>
          </w:r>
          <w:r>
            <w:rPr>
              <w:rFonts w:hint="eastAsia" w:ascii="仿宋" w:hAnsi="仿宋" w:eastAsia="仿宋" w:cs="仿宋"/>
              <w:bCs/>
              <w:szCs w:val="32"/>
              <w:lang w:val="zh-CN"/>
            </w:rPr>
            <w:t>22．</w:t>
          </w:r>
          <w:r>
            <w:rPr>
              <w:rFonts w:hint="eastAsia" w:ascii="仿宋" w:hAnsi="仿宋" w:eastAsia="仿宋" w:cs="仿宋"/>
              <w:bCs/>
              <w:szCs w:val="32"/>
              <w:highlight w:val="none"/>
              <w:lang w:val="zh-CN"/>
            </w:rPr>
            <w:t>保密和披露：</w:t>
          </w:r>
          <w:r>
            <w:tab/>
          </w:r>
          <w:r>
            <w:fldChar w:fldCharType="begin"/>
          </w:r>
          <w:r>
            <w:instrText xml:space="preserve"> PAGEREF _Toc13325 \h </w:instrText>
          </w:r>
          <w:r>
            <w:fldChar w:fldCharType="separate"/>
          </w:r>
          <w:r>
            <w:t>17</w:t>
          </w:r>
          <w:r>
            <w:fldChar w:fldCharType="end"/>
          </w:r>
          <w:r>
            <w:rPr>
              <w:rFonts w:hint="eastAsia"/>
            </w:rPr>
            <w:fldChar w:fldCharType="end"/>
          </w:r>
        </w:p>
        <w:p w14:paraId="20B38995">
          <w:pPr>
            <w:pStyle w:val="91"/>
            <w:tabs>
              <w:tab w:val="right" w:leader="dot" w:pos="8306"/>
            </w:tabs>
          </w:pPr>
          <w:r>
            <w:rPr>
              <w:rFonts w:hint="eastAsia"/>
            </w:rPr>
            <w:fldChar w:fldCharType="begin"/>
          </w:r>
          <w:r>
            <w:rPr>
              <w:rFonts w:hint="eastAsia"/>
            </w:rPr>
            <w:instrText xml:space="preserve"> HYPERLINK \l _Toc19230 </w:instrText>
          </w:r>
          <w:r>
            <w:rPr>
              <w:rFonts w:hint="eastAsia"/>
            </w:rPr>
            <w:fldChar w:fldCharType="separate"/>
          </w:r>
          <w:r>
            <w:rPr>
              <w:rFonts w:hint="eastAsia" w:ascii="仿宋" w:hAnsi="仿宋" w:eastAsia="仿宋" w:cs="仿宋"/>
              <w:szCs w:val="32"/>
              <w:lang w:val="zh-CN"/>
            </w:rPr>
            <w:t>23.质疑和投诉</w:t>
          </w:r>
          <w:r>
            <w:tab/>
          </w:r>
          <w:r>
            <w:fldChar w:fldCharType="begin"/>
          </w:r>
          <w:r>
            <w:instrText xml:space="preserve"> PAGEREF _Toc19230 \h </w:instrText>
          </w:r>
          <w:r>
            <w:fldChar w:fldCharType="separate"/>
          </w:r>
          <w:r>
            <w:t>18</w:t>
          </w:r>
          <w:r>
            <w:fldChar w:fldCharType="end"/>
          </w:r>
          <w:r>
            <w:rPr>
              <w:rFonts w:hint="eastAsia"/>
            </w:rPr>
            <w:fldChar w:fldCharType="end"/>
          </w:r>
        </w:p>
        <w:p w14:paraId="03572B57">
          <w:pPr>
            <w:pStyle w:val="90"/>
            <w:tabs>
              <w:tab w:val="right" w:leader="dot" w:pos="8306"/>
            </w:tabs>
            <w:rPr>
              <w:b/>
            </w:rPr>
          </w:pPr>
          <w:r>
            <w:rPr>
              <w:rFonts w:hint="eastAsia"/>
              <w:b/>
            </w:rPr>
            <w:fldChar w:fldCharType="begin"/>
          </w:r>
          <w:r>
            <w:rPr>
              <w:rFonts w:hint="eastAsia"/>
              <w:b/>
            </w:rPr>
            <w:instrText xml:space="preserve"> HYPERLINK \l _Toc3345 </w:instrText>
          </w:r>
          <w:r>
            <w:rPr>
              <w:rFonts w:hint="eastAsia"/>
              <w:b/>
            </w:rPr>
            <w:fldChar w:fldCharType="separate"/>
          </w:r>
          <w:r>
            <w:rPr>
              <w:rFonts w:hint="eastAsia" w:ascii="黑体" w:hAnsi="黑体" w:eastAsia="黑体" w:cs="黑体"/>
              <w:b/>
              <w:bCs/>
              <w:szCs w:val="32"/>
              <w:lang w:val="zh-CN"/>
            </w:rPr>
            <w:t>第二章 合同条款</w:t>
          </w:r>
          <w:r>
            <w:rPr>
              <w:b/>
            </w:rPr>
            <w:tab/>
          </w:r>
          <w:r>
            <w:rPr>
              <w:b/>
            </w:rPr>
            <w:fldChar w:fldCharType="begin"/>
          </w:r>
          <w:r>
            <w:rPr>
              <w:b/>
            </w:rPr>
            <w:instrText xml:space="preserve"> PAGEREF _Toc3345 \h </w:instrText>
          </w:r>
          <w:r>
            <w:rPr>
              <w:b/>
            </w:rPr>
            <w:fldChar w:fldCharType="separate"/>
          </w:r>
          <w:r>
            <w:rPr>
              <w:b/>
            </w:rPr>
            <w:t>18</w:t>
          </w:r>
          <w:r>
            <w:rPr>
              <w:b/>
            </w:rPr>
            <w:fldChar w:fldCharType="end"/>
          </w:r>
          <w:r>
            <w:rPr>
              <w:rFonts w:hint="eastAsia"/>
              <w:b/>
            </w:rPr>
            <w:fldChar w:fldCharType="end"/>
          </w:r>
        </w:p>
        <w:p w14:paraId="3B50C6CD">
          <w:pPr>
            <w:pStyle w:val="91"/>
            <w:tabs>
              <w:tab w:val="right" w:leader="dot" w:pos="8306"/>
            </w:tabs>
          </w:pPr>
        </w:p>
        <w:p w14:paraId="7F46F73A">
          <w:pPr>
            <w:pStyle w:val="90"/>
            <w:tabs>
              <w:tab w:val="right" w:leader="dot" w:pos="8306"/>
            </w:tabs>
            <w:rPr>
              <w:rFonts w:hint="eastAsia" w:eastAsia="宋体"/>
              <w:b/>
              <w:lang w:val="en-US" w:eastAsia="zh-CN"/>
            </w:rPr>
          </w:pPr>
          <w:r>
            <w:rPr>
              <w:rFonts w:hint="eastAsia"/>
              <w:b/>
            </w:rPr>
            <w:fldChar w:fldCharType="begin"/>
          </w:r>
          <w:r>
            <w:rPr>
              <w:rFonts w:hint="eastAsia"/>
              <w:b/>
            </w:rPr>
            <w:instrText xml:space="preserve"> HYPERLINK \l _Toc19519 </w:instrText>
          </w:r>
          <w:r>
            <w:rPr>
              <w:rFonts w:hint="eastAsia"/>
              <w:b/>
            </w:rPr>
            <w:fldChar w:fldCharType="separate"/>
          </w:r>
          <w:r>
            <w:rPr>
              <w:rFonts w:hint="eastAsia" w:ascii="黑体" w:hAnsi="黑体" w:eastAsia="黑体" w:cs="黑体"/>
              <w:b/>
              <w:bCs/>
              <w:szCs w:val="32"/>
              <w:lang w:val="zh-CN"/>
            </w:rPr>
            <w:t>第三章 政府采购合同书格式</w:t>
          </w:r>
          <w:r>
            <w:rPr>
              <w:b/>
            </w:rPr>
            <w:tab/>
          </w:r>
          <w:r>
            <w:rPr>
              <w:b/>
            </w:rPr>
            <w:fldChar w:fldCharType="begin"/>
          </w:r>
          <w:r>
            <w:rPr>
              <w:b/>
            </w:rPr>
            <w:instrText xml:space="preserve"> PAGEREF _Toc19519 \h </w:instrText>
          </w:r>
          <w:r>
            <w:rPr>
              <w:b/>
            </w:rPr>
            <w:fldChar w:fldCharType="separate"/>
          </w:r>
          <w:r>
            <w:rPr>
              <w:b/>
            </w:rPr>
            <w:t>26</w:t>
          </w:r>
          <w:r>
            <w:rPr>
              <w:b/>
            </w:rPr>
            <w:fldChar w:fldCharType="end"/>
          </w:r>
          <w:r>
            <w:rPr>
              <w:rFonts w:hint="eastAsia"/>
              <w:b/>
            </w:rPr>
            <w:fldChar w:fldCharType="end"/>
          </w:r>
        </w:p>
        <w:p w14:paraId="3BB2C742">
          <w:pPr>
            <w:pStyle w:val="91"/>
            <w:tabs>
              <w:tab w:val="right" w:leader="dot" w:pos="8306"/>
            </w:tabs>
          </w:pPr>
        </w:p>
        <w:p w14:paraId="097E887A">
          <w:pPr>
            <w:pStyle w:val="90"/>
            <w:tabs>
              <w:tab w:val="right" w:leader="dot" w:pos="8306"/>
            </w:tabs>
            <w:rPr>
              <w:b/>
            </w:rPr>
          </w:pPr>
          <w:r>
            <w:rPr>
              <w:rFonts w:hint="eastAsia" w:asciiTheme="majorEastAsia" w:hAnsiTheme="majorEastAsia" w:eastAsiaTheme="majorEastAsia" w:cstheme="majorEastAsia"/>
              <w:b/>
              <w:bCs w:val="0"/>
              <w:szCs w:val="44"/>
              <w:lang w:val="zh-CN"/>
            </w:rPr>
            <w:t>竞争性谈判文件（需求部分）</w:t>
          </w:r>
          <w:r>
            <w:rPr>
              <w:rFonts w:hint="eastAsia"/>
              <w:b/>
            </w:rPr>
            <w:fldChar w:fldCharType="begin"/>
          </w:r>
          <w:r>
            <w:rPr>
              <w:rFonts w:hint="eastAsia"/>
              <w:b/>
            </w:rPr>
            <w:instrText xml:space="preserve"> HYPERLINK \l _Toc742 </w:instrText>
          </w:r>
          <w:r>
            <w:rPr>
              <w:rFonts w:hint="eastAsia"/>
              <w:b/>
            </w:rPr>
            <w:fldChar w:fldCharType="separate"/>
          </w:r>
          <w:r>
            <w:rPr>
              <w:b/>
            </w:rPr>
            <w:tab/>
          </w:r>
          <w:r>
            <w:rPr>
              <w:b/>
            </w:rPr>
            <w:fldChar w:fldCharType="begin"/>
          </w:r>
          <w:r>
            <w:rPr>
              <w:b/>
            </w:rPr>
            <w:instrText xml:space="preserve"> PAGEREF _Toc742 \h </w:instrText>
          </w:r>
          <w:r>
            <w:rPr>
              <w:b/>
            </w:rPr>
            <w:fldChar w:fldCharType="separate"/>
          </w:r>
          <w:r>
            <w:rPr>
              <w:b/>
            </w:rPr>
            <w:t>29</w:t>
          </w:r>
          <w:r>
            <w:rPr>
              <w:b/>
            </w:rPr>
            <w:fldChar w:fldCharType="end"/>
          </w:r>
          <w:r>
            <w:rPr>
              <w:rFonts w:hint="eastAsia"/>
              <w:b/>
            </w:rPr>
            <w:fldChar w:fldCharType="end"/>
          </w:r>
        </w:p>
        <w:p w14:paraId="6E997D0C">
          <w:pPr>
            <w:pStyle w:val="90"/>
            <w:tabs>
              <w:tab w:val="right" w:leader="dot" w:pos="8306"/>
            </w:tabs>
            <w:rPr>
              <w:b/>
            </w:rPr>
          </w:pPr>
          <w:r>
            <w:rPr>
              <w:rFonts w:hint="eastAsia"/>
              <w:b/>
            </w:rPr>
            <w:fldChar w:fldCharType="begin"/>
          </w:r>
          <w:r>
            <w:rPr>
              <w:rFonts w:hint="eastAsia"/>
              <w:b/>
            </w:rPr>
            <w:instrText xml:space="preserve"> HYPERLINK \l _Toc20789 </w:instrText>
          </w:r>
          <w:r>
            <w:rPr>
              <w:rFonts w:hint="eastAsia"/>
              <w:b/>
            </w:rPr>
            <w:fldChar w:fldCharType="separate"/>
          </w:r>
          <w:r>
            <w:rPr>
              <w:rFonts w:hint="eastAsia" w:ascii="黑体" w:hAnsi="黑体" w:eastAsia="黑体" w:cs="黑体"/>
              <w:b/>
              <w:bCs/>
              <w:szCs w:val="32"/>
              <w:lang w:val="zh-CN"/>
            </w:rPr>
            <w:t>第一章 竞争性谈判邀请书</w:t>
          </w:r>
          <w:r>
            <w:rPr>
              <w:b/>
            </w:rPr>
            <w:tab/>
          </w:r>
          <w:r>
            <w:rPr>
              <w:b/>
            </w:rPr>
            <w:fldChar w:fldCharType="begin"/>
          </w:r>
          <w:r>
            <w:rPr>
              <w:b/>
            </w:rPr>
            <w:instrText xml:space="preserve"> PAGEREF _Toc20789 \h </w:instrText>
          </w:r>
          <w:r>
            <w:rPr>
              <w:b/>
            </w:rPr>
            <w:fldChar w:fldCharType="separate"/>
          </w:r>
          <w:r>
            <w:rPr>
              <w:b/>
            </w:rPr>
            <w:t>29</w:t>
          </w:r>
          <w:r>
            <w:rPr>
              <w:b/>
            </w:rPr>
            <w:fldChar w:fldCharType="end"/>
          </w:r>
          <w:r>
            <w:rPr>
              <w:rFonts w:hint="eastAsia"/>
              <w:b/>
            </w:rPr>
            <w:fldChar w:fldCharType="end"/>
          </w:r>
        </w:p>
        <w:p w14:paraId="087DD22A">
          <w:pPr>
            <w:pStyle w:val="91"/>
            <w:tabs>
              <w:tab w:val="right" w:leader="dot" w:pos="8306"/>
            </w:tabs>
          </w:pPr>
        </w:p>
        <w:p w14:paraId="5BEFBA2A">
          <w:pPr>
            <w:pStyle w:val="90"/>
            <w:tabs>
              <w:tab w:val="right" w:leader="dot" w:pos="8306"/>
            </w:tabs>
            <w:rPr>
              <w:rFonts w:hint="eastAsia" w:eastAsia="宋体"/>
              <w:b/>
              <w:lang w:val="en-US" w:eastAsia="zh-CN"/>
            </w:rPr>
          </w:pPr>
          <w:r>
            <w:rPr>
              <w:rFonts w:hint="eastAsia"/>
              <w:b/>
            </w:rPr>
            <w:fldChar w:fldCharType="begin"/>
          </w:r>
          <w:r>
            <w:rPr>
              <w:rFonts w:hint="eastAsia"/>
              <w:b/>
            </w:rPr>
            <w:instrText xml:space="preserve"> HYPERLINK \l _Toc24979 </w:instrText>
          </w:r>
          <w:r>
            <w:rPr>
              <w:rFonts w:hint="eastAsia"/>
              <w:b/>
            </w:rPr>
            <w:fldChar w:fldCharType="separate"/>
          </w:r>
          <w:r>
            <w:rPr>
              <w:rFonts w:hint="eastAsia" w:ascii="黑体" w:hAnsi="黑体" w:eastAsia="黑体" w:cs="黑体"/>
              <w:b/>
              <w:bCs/>
              <w:szCs w:val="32"/>
              <w:lang w:val="zh-CN"/>
            </w:rPr>
            <w:t>第二章 货物需求和评审方法</w:t>
          </w:r>
          <w:r>
            <w:rPr>
              <w:b/>
            </w:rPr>
            <w:tab/>
          </w:r>
          <w:r>
            <w:rPr>
              <w:b/>
            </w:rPr>
            <w:fldChar w:fldCharType="begin"/>
          </w:r>
          <w:r>
            <w:rPr>
              <w:b/>
            </w:rPr>
            <w:instrText xml:space="preserve"> PAGEREF _Toc24979 \h </w:instrText>
          </w:r>
          <w:r>
            <w:rPr>
              <w:b/>
            </w:rPr>
            <w:fldChar w:fldCharType="separate"/>
          </w:r>
          <w:r>
            <w:rPr>
              <w:b/>
            </w:rPr>
            <w:t>32</w:t>
          </w:r>
          <w:r>
            <w:rPr>
              <w:b/>
            </w:rPr>
            <w:fldChar w:fldCharType="end"/>
          </w:r>
          <w:r>
            <w:rPr>
              <w:rFonts w:hint="eastAsia"/>
              <w:b/>
            </w:rPr>
            <w:fldChar w:fldCharType="end"/>
          </w:r>
        </w:p>
        <w:p w14:paraId="2412B9C7">
          <w:pPr>
            <w:pStyle w:val="91"/>
            <w:tabs>
              <w:tab w:val="right" w:leader="dot" w:pos="8306"/>
            </w:tabs>
          </w:pPr>
        </w:p>
        <w:p w14:paraId="295F67B9">
          <w:pPr>
            <w:pStyle w:val="90"/>
            <w:tabs>
              <w:tab w:val="right" w:leader="dot" w:pos="8306"/>
            </w:tabs>
            <w:rPr>
              <w:rFonts w:hint="default" w:eastAsia="宋体"/>
              <w:b/>
              <w:lang w:val="en-US" w:eastAsia="zh-CN"/>
            </w:rPr>
          </w:pPr>
          <w:r>
            <w:rPr>
              <w:rFonts w:hint="eastAsia"/>
              <w:b/>
            </w:rPr>
            <w:fldChar w:fldCharType="begin"/>
          </w:r>
          <w:r>
            <w:rPr>
              <w:rFonts w:hint="eastAsia"/>
              <w:b/>
            </w:rPr>
            <w:instrText xml:space="preserve"> HYPERLINK \l _Toc28104 </w:instrText>
          </w:r>
          <w:r>
            <w:rPr>
              <w:rFonts w:hint="eastAsia"/>
              <w:b/>
            </w:rPr>
            <w:fldChar w:fldCharType="separate"/>
          </w:r>
          <w:r>
            <w:rPr>
              <w:rFonts w:hint="eastAsia" w:ascii="黑体" w:hAnsi="黑体" w:eastAsia="黑体" w:cs="黑体"/>
              <w:b/>
              <w:bCs/>
              <w:szCs w:val="32"/>
              <w:lang w:val="zh-CN"/>
            </w:rPr>
            <w:t>第三章  响应文件构成、要求及格式</w:t>
          </w:r>
          <w:r>
            <w:rPr>
              <w:b/>
            </w:rPr>
            <w:tab/>
          </w:r>
          <w:r>
            <w:rPr>
              <w:rFonts w:hint="eastAsia"/>
              <w:b/>
            </w:rPr>
            <w:fldChar w:fldCharType="end"/>
          </w:r>
          <w:r>
            <w:rPr>
              <w:rFonts w:hint="eastAsia"/>
              <w:b/>
              <w:lang w:val="en-US" w:eastAsia="zh-CN"/>
            </w:rPr>
            <w:t>45</w:t>
          </w:r>
        </w:p>
        <w:p w14:paraId="211DFAF3">
          <w:pPr>
            <w:pStyle w:val="91"/>
            <w:tabs>
              <w:tab w:val="right" w:leader="dot" w:pos="8306"/>
            </w:tabs>
          </w:pPr>
        </w:p>
        <w:p w14:paraId="6B8D9563">
          <w:pPr>
            <w:pStyle w:val="90"/>
            <w:tabs>
              <w:tab w:val="right" w:leader="dot" w:pos="8306"/>
            </w:tabs>
            <w:rPr>
              <w:rFonts w:hint="default" w:eastAsia="宋体"/>
              <w:lang w:val="en-US" w:eastAsia="zh-CN"/>
            </w:rPr>
          </w:pPr>
          <w:r>
            <w:rPr>
              <w:rFonts w:hint="eastAsia"/>
              <w:b/>
            </w:rPr>
            <w:fldChar w:fldCharType="begin"/>
          </w:r>
          <w:r>
            <w:rPr>
              <w:rFonts w:hint="eastAsia"/>
              <w:b/>
            </w:rPr>
            <w:instrText xml:space="preserve"> HYPERLINK \l _Toc14378 </w:instrText>
          </w:r>
          <w:r>
            <w:rPr>
              <w:rFonts w:hint="eastAsia"/>
              <w:b/>
            </w:rPr>
            <w:fldChar w:fldCharType="separate"/>
          </w:r>
          <w:r>
            <w:rPr>
              <w:rFonts w:hint="eastAsia" w:ascii="黑体" w:hAnsi="黑体" w:eastAsia="黑体" w:cs="黑体"/>
              <w:b/>
              <w:bCs/>
              <w:szCs w:val="32"/>
              <w:lang w:val="zh-CN"/>
            </w:rPr>
            <w:t xml:space="preserve">第四章 </w:t>
          </w:r>
          <w:r>
            <w:rPr>
              <w:rFonts w:hint="eastAsia" w:ascii="黑体" w:hAnsi="黑体" w:eastAsia="黑体" w:cs="黑体"/>
              <w:b/>
              <w:bCs/>
              <w:szCs w:val="32"/>
            </w:rPr>
            <w:t xml:space="preserve"> </w:t>
          </w:r>
          <w:r>
            <w:rPr>
              <w:rFonts w:hint="eastAsia" w:ascii="黑体" w:hAnsi="黑体" w:eastAsia="黑体" w:cs="黑体"/>
              <w:b/>
              <w:bCs/>
              <w:szCs w:val="32"/>
              <w:lang w:val="zh-CN"/>
            </w:rPr>
            <w:t>附件</w:t>
          </w:r>
          <w:r>
            <w:rPr>
              <w:b/>
            </w:rPr>
            <w:tab/>
          </w:r>
          <w:r>
            <w:rPr>
              <w:rFonts w:hint="eastAsia"/>
              <w:b/>
            </w:rPr>
            <w:fldChar w:fldCharType="end"/>
          </w:r>
          <w:r>
            <w:rPr>
              <w:rFonts w:hint="eastAsia"/>
              <w:b/>
              <w:lang w:val="en-US" w:eastAsia="zh-CN"/>
            </w:rPr>
            <w:t>61</w:t>
          </w:r>
        </w:p>
        <w:p w14:paraId="6A573C19">
          <w:pPr>
            <w:jc w:val="both"/>
            <w:outlineLvl w:val="0"/>
            <w:rPr>
              <w:rFonts w:hint="eastAsia"/>
              <w:b/>
            </w:rPr>
          </w:pPr>
          <w:r>
            <w:rPr>
              <w:rFonts w:hint="eastAsia"/>
              <w:b/>
            </w:rPr>
            <w:fldChar w:fldCharType="end"/>
          </w:r>
          <w:bookmarkStart w:id="0" w:name="_Toc23075"/>
          <w:bookmarkStart w:id="1" w:name="_Toc1381"/>
          <w:bookmarkStart w:id="2" w:name="_Toc20906"/>
          <w:bookmarkStart w:id="3" w:name="_Toc27835"/>
          <w:bookmarkStart w:id="4" w:name="_Toc2843"/>
        </w:p>
        <w:p w14:paraId="00EB66D3">
          <w:pPr>
            <w:jc w:val="both"/>
            <w:outlineLvl w:val="0"/>
            <w:rPr>
              <w:rFonts w:hint="eastAsia"/>
              <w:b/>
            </w:rPr>
          </w:pPr>
        </w:p>
        <w:p w14:paraId="41DA012B">
          <w:pPr>
            <w:jc w:val="both"/>
            <w:outlineLvl w:val="0"/>
            <w:rPr>
              <w:rFonts w:hint="eastAsia" w:ascii="Calibri" w:hAnsi="Calibri" w:eastAsia="宋体" w:cs="Times New Roman"/>
              <w:b/>
              <w:kern w:val="2"/>
              <w:sz w:val="21"/>
              <w:szCs w:val="22"/>
              <w:lang w:val="en-US" w:eastAsia="zh-CN" w:bidi="ar-SA"/>
            </w:rPr>
          </w:pPr>
        </w:p>
      </w:sdtContent>
    </w:sdt>
    <w:p w14:paraId="461A6058">
      <w:pPr>
        <w:jc w:val="center"/>
        <w:outlineLvl w:val="0"/>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和龙市职业中等专业学校设备</w:t>
      </w:r>
    </w:p>
    <w:p w14:paraId="7DDCBDDA">
      <w:pPr>
        <w:jc w:val="center"/>
        <w:outlineLvl w:val="0"/>
        <w:rPr>
          <w:rFonts w:hint="eastAsia" w:asciiTheme="majorEastAsia" w:hAnsiTheme="majorEastAsia" w:eastAsiaTheme="majorEastAsia" w:cstheme="majorEastAsia"/>
          <w:b w:val="0"/>
          <w:bCs w:val="0"/>
          <w:sz w:val="44"/>
          <w:szCs w:val="44"/>
          <w:lang w:val="zh-CN"/>
        </w:rPr>
      </w:pPr>
      <w:r>
        <w:rPr>
          <w:rFonts w:hint="eastAsia" w:asciiTheme="majorEastAsia" w:hAnsiTheme="majorEastAsia" w:eastAsiaTheme="majorEastAsia" w:cstheme="majorEastAsia"/>
          <w:b w:val="0"/>
          <w:bCs w:val="0"/>
          <w:sz w:val="44"/>
          <w:szCs w:val="44"/>
          <w:lang w:val="en-US" w:eastAsia="zh-CN"/>
        </w:rPr>
        <w:t>采购项目</w:t>
      </w:r>
      <w:bookmarkEnd w:id="0"/>
      <w:bookmarkEnd w:id="1"/>
      <w:bookmarkEnd w:id="2"/>
      <w:bookmarkEnd w:id="3"/>
      <w:bookmarkEnd w:id="4"/>
      <w:bookmarkStart w:id="5" w:name="_Toc12415"/>
      <w:bookmarkStart w:id="6" w:name="_Toc4015"/>
      <w:bookmarkStart w:id="7" w:name="_Toc27211"/>
      <w:bookmarkStart w:id="8" w:name="_Toc17889"/>
      <w:bookmarkStart w:id="9" w:name="_Toc26436"/>
      <w:r>
        <w:rPr>
          <w:rFonts w:hint="eastAsia" w:asciiTheme="majorEastAsia" w:hAnsiTheme="majorEastAsia" w:eastAsiaTheme="majorEastAsia" w:cstheme="majorEastAsia"/>
          <w:b w:val="0"/>
          <w:bCs w:val="0"/>
          <w:sz w:val="44"/>
          <w:szCs w:val="44"/>
          <w:lang w:val="zh-CN"/>
        </w:rPr>
        <w:t>竞争性谈判文件</w:t>
      </w:r>
      <w:bookmarkEnd w:id="5"/>
      <w:bookmarkEnd w:id="6"/>
      <w:bookmarkEnd w:id="7"/>
      <w:bookmarkEnd w:id="8"/>
      <w:bookmarkEnd w:id="9"/>
    </w:p>
    <w:p w14:paraId="43816030">
      <w:pPr>
        <w:jc w:val="center"/>
        <w:rPr>
          <w:rFonts w:hint="eastAsia" w:ascii="仿宋" w:hAnsi="仿宋" w:eastAsia="仿宋" w:cs="仿宋"/>
          <w:sz w:val="32"/>
          <w:szCs w:val="32"/>
          <w:lang w:val="zh-CN"/>
        </w:rPr>
      </w:pPr>
      <w:r>
        <w:rPr>
          <w:rFonts w:hint="eastAsia" w:ascii="华文楷体" w:hAnsi="华文楷体" w:eastAsia="华文楷体" w:cs="华文楷体"/>
          <w:b w:val="0"/>
          <w:bCs w:val="0"/>
          <w:sz w:val="32"/>
          <w:szCs w:val="32"/>
          <w:lang w:val="zh-CN"/>
        </w:rPr>
        <w:t>（通用部分）</w:t>
      </w:r>
    </w:p>
    <w:p w14:paraId="447B4C1E">
      <w:pPr>
        <w:jc w:val="center"/>
        <w:outlineLvl w:val="0"/>
        <w:rPr>
          <w:rFonts w:hint="eastAsia" w:ascii="黑体" w:hAnsi="黑体" w:eastAsia="黑体" w:cs="黑体"/>
          <w:b w:val="0"/>
          <w:bCs w:val="0"/>
          <w:sz w:val="32"/>
          <w:szCs w:val="32"/>
          <w:lang w:val="zh-CN"/>
        </w:rPr>
      </w:pPr>
      <w:bookmarkStart w:id="10" w:name="_Toc23741"/>
      <w:bookmarkStart w:id="11" w:name="_Toc28825"/>
      <w:bookmarkStart w:id="12" w:name="_Toc61"/>
      <w:bookmarkStart w:id="13" w:name="_Toc19008"/>
      <w:bookmarkStart w:id="14" w:name="_Toc4409"/>
      <w:r>
        <w:rPr>
          <w:rFonts w:hint="eastAsia" w:ascii="黑体" w:hAnsi="黑体" w:eastAsia="黑体" w:cs="黑体"/>
          <w:b w:val="0"/>
          <w:bCs w:val="0"/>
          <w:sz w:val="32"/>
          <w:szCs w:val="32"/>
          <w:lang w:val="zh-CN"/>
        </w:rPr>
        <w:t>第一章  供应商须知</w:t>
      </w:r>
      <w:bookmarkEnd w:id="10"/>
      <w:bookmarkEnd w:id="11"/>
      <w:bookmarkEnd w:id="12"/>
      <w:bookmarkEnd w:id="13"/>
      <w:bookmarkEnd w:id="14"/>
    </w:p>
    <w:p w14:paraId="57089A1F">
      <w:pPr>
        <w:jc w:val="center"/>
        <w:rPr>
          <w:rFonts w:hint="eastAsia" w:ascii="仿宋" w:hAnsi="仿宋" w:eastAsia="仿宋" w:cs="仿宋"/>
          <w:b/>
          <w:bCs/>
          <w:color w:val="000000"/>
          <w:sz w:val="32"/>
          <w:szCs w:val="32"/>
          <w:lang w:val="zh-CN"/>
        </w:rPr>
      </w:pPr>
    </w:p>
    <w:p w14:paraId="350E3686">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3" w:firstLineChars="200"/>
        <w:textAlignment w:val="auto"/>
        <w:outlineLvl w:val="1"/>
        <w:rPr>
          <w:rFonts w:hint="eastAsia" w:ascii="仿宋" w:hAnsi="仿宋" w:eastAsia="仿宋" w:cs="仿宋"/>
          <w:b/>
          <w:bCs/>
          <w:color w:val="000000"/>
          <w:sz w:val="32"/>
          <w:szCs w:val="32"/>
          <w:lang w:val="zh-CN"/>
        </w:rPr>
      </w:pPr>
      <w:bookmarkStart w:id="15" w:name="_Toc4310"/>
      <w:bookmarkStart w:id="16" w:name="_Toc521"/>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lang w:val="zh-CN"/>
        </w:rPr>
        <w:t>适用法律</w:t>
      </w:r>
      <w:bookmarkEnd w:id="15"/>
      <w:bookmarkEnd w:id="16"/>
    </w:p>
    <w:p w14:paraId="533F1353">
      <w:pPr>
        <w:numPr>
          <w:ilvl w:val="-1"/>
          <w:numId w:val="0"/>
        </w:numPr>
        <w:ind w:firstLine="640" w:firstLineChars="20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本次采购的适用法律法规为《中华人民共和国政府采购法》、</w:t>
      </w:r>
      <w:r>
        <w:rPr>
          <w:rFonts w:hint="eastAsia" w:ascii="仿宋" w:hAnsi="仿宋" w:eastAsia="仿宋" w:cs="仿宋"/>
          <w:bCs/>
          <w:color w:val="000000"/>
          <w:sz w:val="32"/>
          <w:szCs w:val="32"/>
        </w:rPr>
        <w:t>《中华人民共和国政府采购法实施条例》、</w:t>
      </w:r>
      <w:r>
        <w:rPr>
          <w:rFonts w:hint="eastAsia" w:ascii="仿宋" w:hAnsi="仿宋" w:eastAsia="仿宋" w:cs="仿宋"/>
          <w:color w:val="000000"/>
          <w:sz w:val="32"/>
          <w:szCs w:val="32"/>
        </w:rPr>
        <w:t>《政府采购非招标采购方式管理办法》</w:t>
      </w:r>
      <w:r>
        <w:rPr>
          <w:rFonts w:hint="eastAsia" w:ascii="仿宋" w:hAnsi="仿宋" w:eastAsia="仿宋" w:cs="仿宋"/>
          <w:color w:val="000000"/>
          <w:sz w:val="32"/>
          <w:szCs w:val="32"/>
          <w:lang w:val="zh-CN"/>
        </w:rPr>
        <w:t>及政府采购其它相关法规。</w:t>
      </w:r>
    </w:p>
    <w:p w14:paraId="7E9513DD">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482"/>
        <w:textAlignment w:val="auto"/>
        <w:outlineLvl w:val="1"/>
        <w:rPr>
          <w:rFonts w:hint="eastAsia" w:ascii="仿宋" w:hAnsi="仿宋" w:eastAsia="仿宋" w:cs="仿宋"/>
          <w:b/>
          <w:bCs/>
          <w:color w:val="000000"/>
          <w:sz w:val="32"/>
          <w:szCs w:val="32"/>
          <w:lang w:val="zh-CN"/>
        </w:rPr>
      </w:pPr>
      <w:bookmarkStart w:id="17" w:name="_Toc20716"/>
      <w:bookmarkStart w:id="18" w:name="_Toc9613"/>
      <w:r>
        <w:rPr>
          <w:rFonts w:hint="eastAsia" w:ascii="仿宋" w:hAnsi="仿宋" w:eastAsia="仿宋" w:cs="仿宋"/>
          <w:b/>
          <w:bCs/>
          <w:color w:val="000000"/>
          <w:sz w:val="32"/>
          <w:szCs w:val="32"/>
          <w:lang w:val="zh-CN"/>
        </w:rPr>
        <w:t>采购组织者和采购人</w:t>
      </w:r>
      <w:bookmarkEnd w:id="17"/>
      <w:bookmarkEnd w:id="18"/>
    </w:p>
    <w:p w14:paraId="52A98AD7">
      <w:pPr>
        <w:numPr>
          <w:ilvl w:val="-1"/>
          <w:numId w:val="0"/>
        </w:numPr>
        <w:ind w:firstLine="640" w:firstLineChars="200"/>
        <w:rPr>
          <w:rFonts w:hint="eastAsia" w:ascii="仿宋" w:hAnsi="仿宋" w:eastAsia="仿宋" w:cs="仿宋"/>
          <w:b/>
          <w:bCs/>
          <w:color w:val="000000"/>
          <w:sz w:val="32"/>
          <w:szCs w:val="32"/>
          <w:lang w:val="zh-CN"/>
        </w:rPr>
      </w:pPr>
      <w:r>
        <w:rPr>
          <w:rFonts w:hint="eastAsia" w:ascii="仿宋" w:hAnsi="仿宋" w:eastAsia="仿宋" w:cs="仿宋"/>
          <w:b w:val="0"/>
          <w:bCs w:val="0"/>
          <w:color w:val="auto"/>
          <w:sz w:val="32"/>
          <w:szCs w:val="32"/>
          <w:lang w:val="zh-CN"/>
        </w:rPr>
        <w:t>本项目由和龙市政府采购中心（以下简称采购中心）负责组织；采购人为和龙市职业中等专业学校，负责采购项目的整体规划、采购需求设计和可行性论证，作为合同的需方，承担质疑答复，合同履行、验收、评价等义务。</w:t>
      </w:r>
    </w:p>
    <w:p w14:paraId="7E402ABC">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482"/>
        <w:textAlignment w:val="auto"/>
        <w:outlineLvl w:val="1"/>
        <w:rPr>
          <w:rFonts w:hint="eastAsia" w:ascii="仿宋" w:hAnsi="仿宋" w:eastAsia="仿宋" w:cs="仿宋"/>
          <w:b/>
          <w:bCs/>
          <w:color w:val="000000"/>
          <w:sz w:val="32"/>
          <w:szCs w:val="32"/>
          <w:lang w:val="zh-CN"/>
        </w:rPr>
      </w:pPr>
      <w:bookmarkStart w:id="19" w:name="_Toc3161"/>
      <w:bookmarkStart w:id="20" w:name="_Toc16249"/>
      <w:r>
        <w:rPr>
          <w:rFonts w:hint="eastAsia" w:ascii="仿宋" w:hAnsi="仿宋" w:eastAsia="仿宋" w:cs="仿宋"/>
          <w:b/>
          <w:bCs/>
          <w:color w:val="000000"/>
          <w:sz w:val="32"/>
          <w:szCs w:val="32"/>
          <w:lang w:val="zh-CN"/>
        </w:rPr>
        <w:t>谈判费用</w:t>
      </w:r>
      <w:bookmarkEnd w:id="19"/>
      <w:bookmarkEnd w:id="20"/>
    </w:p>
    <w:p w14:paraId="252FE568">
      <w:pPr>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ind w:firstLine="0"/>
        <w:textAlignment w:val="auto"/>
        <w:rPr>
          <w:rFonts w:hint="eastAsia" w:ascii="仿宋" w:hAnsi="仿宋" w:eastAsia="仿宋" w:cs="仿宋"/>
          <w:b w:val="0"/>
          <w:bCs w:val="0"/>
          <w:color w:val="auto"/>
          <w:sz w:val="32"/>
          <w:szCs w:val="32"/>
          <w:lang w:val="zh-CN"/>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val="zh-CN"/>
        </w:rPr>
        <w:t xml:space="preserve">供应商应自行承担所有与编写和提交竞争性谈判响应文件（以下简称响应文件）有关的费用，无论谈判的结果如何，采购中心和采购人在任何情况下均无义务和责任承担这些费用。    </w:t>
      </w:r>
    </w:p>
    <w:p w14:paraId="186598E9">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firstLine="482"/>
        <w:textAlignment w:val="auto"/>
        <w:outlineLvl w:val="1"/>
        <w:rPr>
          <w:rFonts w:hint="eastAsia" w:ascii="仿宋" w:hAnsi="仿宋" w:eastAsia="仿宋" w:cs="仿宋"/>
          <w:b/>
          <w:bCs/>
          <w:color w:val="000000"/>
          <w:sz w:val="32"/>
          <w:szCs w:val="32"/>
          <w:lang w:val="zh-CN"/>
        </w:rPr>
      </w:pPr>
      <w:bookmarkStart w:id="21" w:name="_Toc23443"/>
      <w:bookmarkStart w:id="22" w:name="_Toc2654"/>
      <w:r>
        <w:rPr>
          <w:rFonts w:hint="eastAsia" w:ascii="仿宋" w:hAnsi="仿宋" w:eastAsia="仿宋" w:cs="仿宋"/>
          <w:b/>
          <w:bCs/>
          <w:color w:val="000000"/>
          <w:sz w:val="32"/>
          <w:szCs w:val="32"/>
          <w:lang w:val="zh-CN"/>
        </w:rPr>
        <w:t>禁止一标多投</w:t>
      </w:r>
      <w:bookmarkEnd w:id="21"/>
      <w:bookmarkEnd w:id="22"/>
    </w:p>
    <w:p w14:paraId="36D12180">
      <w:pPr>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b/>
          <w:bCs/>
          <w:color w:val="000000"/>
          <w:sz w:val="32"/>
          <w:szCs w:val="32"/>
          <w:lang w:val="zh-CN"/>
        </w:rPr>
      </w:pPr>
      <w:r>
        <w:rPr>
          <w:rFonts w:hint="eastAsia" w:ascii="仿宋" w:hAnsi="仿宋" w:eastAsia="仿宋" w:cs="仿宋"/>
          <w:color w:val="000000"/>
          <w:sz w:val="32"/>
          <w:szCs w:val="32"/>
          <w:lang w:val="zh-CN"/>
        </w:rPr>
        <w:t>每个供应商只能提交一套响应文件。参与提交了一套以上响应文件的供应商将使其参与提交的全部响应文件无效。</w:t>
      </w:r>
    </w:p>
    <w:p w14:paraId="0A7C02EC">
      <w:pPr>
        <w:spacing w:line="240" w:lineRule="auto"/>
        <w:outlineLvl w:val="1"/>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 xml:space="preserve">   </w:t>
      </w:r>
      <w:bookmarkStart w:id="23" w:name="_Toc153"/>
      <w:bookmarkStart w:id="24" w:name="_Toc9245"/>
      <w:bookmarkStart w:id="25" w:name="_Toc13168"/>
      <w:bookmarkStart w:id="26" w:name="_Toc17854"/>
      <w:r>
        <w:rPr>
          <w:rFonts w:hint="eastAsia" w:ascii="仿宋" w:hAnsi="仿宋" w:eastAsia="仿宋" w:cs="仿宋"/>
          <w:b/>
          <w:bCs/>
          <w:color w:val="000000"/>
          <w:sz w:val="32"/>
          <w:szCs w:val="32"/>
          <w:lang w:val="zh-CN"/>
        </w:rPr>
        <w:t>5．竞争性谈判文件（以下简称谈判文件）：</w:t>
      </w:r>
      <w:bookmarkEnd w:id="23"/>
      <w:bookmarkEnd w:id="24"/>
      <w:bookmarkEnd w:id="25"/>
      <w:bookmarkEnd w:id="26"/>
    </w:p>
    <w:p w14:paraId="72E5BE6A">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5.1 谈判文件的构成：</w:t>
      </w:r>
    </w:p>
    <w:p w14:paraId="4806CB94">
      <w:pPr>
        <w:keepNext w:val="0"/>
        <w:keepLines w:val="0"/>
        <w:pageBreakBefore w:val="0"/>
        <w:widowControl w:val="0"/>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(通用部分)</w:t>
      </w:r>
    </w:p>
    <w:p w14:paraId="7C1880DD">
      <w:pPr>
        <w:keepNext w:val="0"/>
        <w:keepLines w:val="0"/>
        <w:pageBreakBefore w:val="0"/>
        <w:widowControl w:val="0"/>
        <w:kinsoku/>
        <w:wordWrap/>
        <w:overflowPunct/>
        <w:topLinePunct w:val="0"/>
        <w:autoSpaceDE w:val="0"/>
        <w:autoSpaceDN w:val="0"/>
        <w:bidi w:val="0"/>
        <w:adjustRightInd w:val="0"/>
        <w:snapToGrid/>
        <w:spacing w:line="240" w:lineRule="auto"/>
        <w:ind w:firstLine="72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第一章  供应商须知 </w:t>
      </w:r>
    </w:p>
    <w:p w14:paraId="005BBD19">
      <w:pPr>
        <w:keepNext w:val="0"/>
        <w:keepLines w:val="0"/>
        <w:pageBreakBefore w:val="0"/>
        <w:widowControl w:val="0"/>
        <w:kinsoku/>
        <w:wordWrap/>
        <w:overflowPunct/>
        <w:topLinePunct w:val="0"/>
        <w:autoSpaceDE w:val="0"/>
        <w:autoSpaceDN w:val="0"/>
        <w:bidi w:val="0"/>
        <w:adjustRightInd w:val="0"/>
        <w:snapToGrid/>
        <w:spacing w:line="240" w:lineRule="auto"/>
        <w:ind w:firstLine="72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第二章  合同条款</w:t>
      </w:r>
    </w:p>
    <w:p w14:paraId="1EE6E7A8">
      <w:pPr>
        <w:keepNext w:val="0"/>
        <w:keepLines w:val="0"/>
        <w:pageBreakBefore w:val="0"/>
        <w:widowControl w:val="0"/>
        <w:kinsoku/>
        <w:wordWrap/>
        <w:overflowPunct/>
        <w:topLinePunct w:val="0"/>
        <w:autoSpaceDE w:val="0"/>
        <w:autoSpaceDN w:val="0"/>
        <w:bidi w:val="0"/>
        <w:adjustRightInd w:val="0"/>
        <w:snapToGrid/>
        <w:spacing w:line="240" w:lineRule="auto"/>
        <w:ind w:firstLine="72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第三章  政府采购合同书格式</w:t>
      </w:r>
    </w:p>
    <w:p w14:paraId="68E8A4AC">
      <w:pPr>
        <w:keepNext w:val="0"/>
        <w:keepLines w:val="0"/>
        <w:pageBreakBefore w:val="0"/>
        <w:widowControl w:val="0"/>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(需求部分)</w:t>
      </w:r>
    </w:p>
    <w:p w14:paraId="4176B2F7">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560" w:firstLineChars="175"/>
        <w:textAlignment w:val="auto"/>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第一章  竞争性谈判邀请书</w:t>
      </w:r>
    </w:p>
    <w:p w14:paraId="3A653BF5">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560" w:firstLineChars="175"/>
        <w:textAlignment w:val="auto"/>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第二章  货物需求和评审方法</w:t>
      </w:r>
    </w:p>
    <w:p w14:paraId="2C72B724">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560" w:firstLineChars="175"/>
        <w:textAlignment w:val="auto"/>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第三章  响应文件构成、要求及格式</w:t>
      </w:r>
    </w:p>
    <w:p w14:paraId="6AE3D9D3">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560" w:firstLineChars="175"/>
        <w:textAlignment w:val="auto"/>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第四章  附件</w:t>
      </w:r>
    </w:p>
    <w:p w14:paraId="292FACA2">
      <w:pPr>
        <w:keepNext w:val="0"/>
        <w:keepLines w:val="0"/>
        <w:pageBreakBefore w:val="0"/>
        <w:widowControl w:val="0"/>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5.2 供应商应认真阅读谈判文件中所有的事项、格式、条款和技术规范等要求。如果供应商没有按照谈判文件要求提交全部文件资料或者响应文件没有对谈判文件在各方面都做出实质性响应，是供应商的风险。</w:t>
      </w:r>
    </w:p>
    <w:p w14:paraId="495F6C82">
      <w:pPr>
        <w:keepNext w:val="0"/>
        <w:keepLines w:val="0"/>
        <w:pageBreakBefore w:val="0"/>
        <w:widowControl w:val="0"/>
        <w:kinsoku/>
        <w:wordWrap/>
        <w:overflowPunct/>
        <w:topLinePunct w:val="0"/>
        <w:autoSpaceDE w:val="0"/>
        <w:autoSpaceDN w:val="0"/>
        <w:bidi w:val="0"/>
        <w:adjustRightInd w:val="0"/>
        <w:snapToGrid/>
        <w:spacing w:line="240" w:lineRule="auto"/>
        <w:ind w:firstLine="480"/>
        <w:textAlignment w:val="auto"/>
        <w:outlineLvl w:val="1"/>
        <w:rPr>
          <w:rFonts w:hint="eastAsia" w:ascii="仿宋" w:hAnsi="仿宋" w:eastAsia="仿宋" w:cs="仿宋"/>
          <w:b/>
          <w:bCs/>
          <w:color w:val="000000"/>
          <w:sz w:val="32"/>
          <w:szCs w:val="32"/>
          <w:lang w:val="zh-CN"/>
        </w:rPr>
      </w:pPr>
      <w:bookmarkStart w:id="27" w:name="_Toc25107"/>
      <w:bookmarkStart w:id="28" w:name="_Toc26693"/>
      <w:bookmarkStart w:id="29" w:name="_Toc15629"/>
      <w:bookmarkStart w:id="30" w:name="_Toc19781"/>
      <w:r>
        <w:rPr>
          <w:rFonts w:hint="eastAsia" w:ascii="仿宋" w:hAnsi="仿宋" w:eastAsia="仿宋" w:cs="仿宋"/>
          <w:b/>
          <w:bCs/>
          <w:color w:val="000000"/>
          <w:sz w:val="32"/>
          <w:szCs w:val="32"/>
          <w:lang w:val="zh-CN"/>
        </w:rPr>
        <w:t>6．谈判文件的澄清和修改</w:t>
      </w:r>
      <w:bookmarkEnd w:id="27"/>
      <w:bookmarkEnd w:id="28"/>
      <w:bookmarkEnd w:id="29"/>
      <w:bookmarkEnd w:id="30"/>
    </w:p>
    <w:p w14:paraId="1D216109">
      <w:pPr>
        <w:keepNext w:val="0"/>
        <w:keepLines w:val="0"/>
        <w:pageBreakBefore w:val="0"/>
        <w:widowControl w:val="0"/>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b/>
          <w:bCs/>
          <w:color w:val="000000"/>
          <w:sz w:val="32"/>
          <w:szCs w:val="32"/>
          <w:lang w:val="zh-CN"/>
        </w:rPr>
      </w:pPr>
      <w:r>
        <w:rPr>
          <w:rFonts w:hint="eastAsia" w:ascii="仿宋" w:hAnsi="仿宋" w:eastAsia="仿宋" w:cs="仿宋"/>
          <w:color w:val="000000"/>
          <w:sz w:val="32"/>
          <w:szCs w:val="32"/>
          <w:lang w:val="zh-CN"/>
        </w:rPr>
        <w:t>6.1 采购人可在首次提交响应文件截止之日3个工作日前对谈判文件进行修改、补充。不足上述时间的，应当顺延提交响应文件的截止时间</w:t>
      </w:r>
      <w:r>
        <w:rPr>
          <w:rFonts w:hint="eastAsia" w:ascii="仿宋" w:hAnsi="仿宋" w:eastAsia="仿宋" w:cs="仿宋"/>
          <w:b/>
          <w:bCs/>
          <w:color w:val="000000"/>
          <w:sz w:val="32"/>
          <w:szCs w:val="32"/>
          <w:lang w:val="zh-CN"/>
        </w:rPr>
        <w:t>。</w:t>
      </w:r>
    </w:p>
    <w:p w14:paraId="1FBD1A6F">
      <w:pPr>
        <w:keepNext w:val="0"/>
        <w:keepLines w:val="0"/>
        <w:pageBreakBefore w:val="0"/>
        <w:widowControl w:val="0"/>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6.2 谈判文件的澄清、修改、补充文件均构成谈判文件的组成部分，对所有供应商具有约束力，而无论其是否已经实际收到该澄清、修改、补充文件（包括答疑会纪要）。</w:t>
      </w:r>
    </w:p>
    <w:p w14:paraId="2A968BEA">
      <w:pPr>
        <w:keepNext w:val="0"/>
        <w:keepLines w:val="0"/>
        <w:pageBreakBefore w:val="0"/>
        <w:widowControl w:val="0"/>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b/>
          <w:bCs/>
          <w:color w:val="000000"/>
          <w:sz w:val="32"/>
          <w:szCs w:val="32"/>
          <w:lang w:val="zh-CN"/>
        </w:rPr>
      </w:pPr>
      <w:r>
        <w:rPr>
          <w:rFonts w:hint="eastAsia" w:ascii="仿宋" w:hAnsi="仿宋" w:eastAsia="仿宋" w:cs="仿宋"/>
          <w:color w:val="000000"/>
          <w:sz w:val="32"/>
          <w:szCs w:val="32"/>
          <w:lang w:val="zh-CN"/>
        </w:rPr>
        <w:t>6.3 为使供应商有充分的时间对谈判文件的澄清、修改、补充部分进行研究，招标人可在响应截止时间3个工作日前自行决定酌情延长响应截止时间，延长响应截止时间的公告将在发布竞争性谈判公告的媒体上发布，</w:t>
      </w:r>
      <w:r>
        <w:rPr>
          <w:rFonts w:hint="eastAsia" w:ascii="仿宋" w:hAnsi="仿宋" w:eastAsia="仿宋" w:cs="仿宋"/>
          <w:color w:val="auto"/>
          <w:sz w:val="32"/>
          <w:szCs w:val="32"/>
          <w:lang w:val="zh-CN"/>
        </w:rPr>
        <w:t>并以</w:t>
      </w:r>
      <w:r>
        <w:rPr>
          <w:rFonts w:hint="eastAsia" w:ascii="仿宋" w:hAnsi="仿宋" w:eastAsia="仿宋" w:cs="仿宋"/>
          <w:color w:val="auto"/>
          <w:sz w:val="32"/>
          <w:szCs w:val="32"/>
          <w:lang w:val="en-US" w:eastAsia="zh-CN"/>
        </w:rPr>
        <w:t>发布公告的</w:t>
      </w:r>
      <w:r>
        <w:rPr>
          <w:rFonts w:hint="eastAsia" w:ascii="仿宋" w:hAnsi="仿宋" w:eastAsia="仿宋" w:cs="仿宋"/>
          <w:color w:val="auto"/>
          <w:sz w:val="32"/>
          <w:szCs w:val="32"/>
          <w:lang w:val="zh-CN"/>
        </w:rPr>
        <w:t>方式向所有潜在供应商发出。在这种情况下，招标人和供应商受响应截止时间制约的所有权利和义务均相应延长至新的响应截止时间。</w:t>
      </w:r>
    </w:p>
    <w:p w14:paraId="7F1CD54C">
      <w:pPr>
        <w:keepNext w:val="0"/>
        <w:keepLines w:val="0"/>
        <w:pageBreakBefore w:val="0"/>
        <w:widowControl w:val="0"/>
        <w:kinsoku/>
        <w:wordWrap/>
        <w:overflowPunct/>
        <w:topLinePunct w:val="0"/>
        <w:autoSpaceDE w:val="0"/>
        <w:autoSpaceDN w:val="0"/>
        <w:bidi w:val="0"/>
        <w:adjustRightInd w:val="0"/>
        <w:snapToGrid/>
        <w:spacing w:line="240" w:lineRule="auto"/>
        <w:ind w:firstLine="482"/>
        <w:textAlignment w:val="auto"/>
        <w:outlineLvl w:val="1"/>
        <w:rPr>
          <w:rFonts w:hint="eastAsia" w:ascii="仿宋" w:hAnsi="仿宋" w:eastAsia="仿宋" w:cs="仿宋"/>
          <w:b/>
          <w:bCs/>
          <w:color w:val="000000"/>
          <w:sz w:val="32"/>
          <w:szCs w:val="32"/>
          <w:lang w:val="zh-CN"/>
        </w:rPr>
      </w:pPr>
      <w:bookmarkStart w:id="31" w:name="_Toc22533"/>
      <w:bookmarkStart w:id="32" w:name="_Toc27531"/>
      <w:bookmarkStart w:id="33" w:name="_Toc874"/>
      <w:bookmarkStart w:id="34" w:name="_Toc15338"/>
      <w:r>
        <w:rPr>
          <w:rFonts w:hint="eastAsia" w:ascii="仿宋" w:hAnsi="仿宋" w:eastAsia="仿宋" w:cs="仿宋"/>
          <w:b/>
          <w:bCs/>
          <w:color w:val="000000"/>
          <w:sz w:val="32"/>
          <w:szCs w:val="32"/>
          <w:lang w:val="zh-CN"/>
        </w:rPr>
        <w:t>7.响应文件构成：供应商提交的响应文件应包括以下部分：</w:t>
      </w:r>
      <w:bookmarkEnd w:id="31"/>
      <w:bookmarkEnd w:id="32"/>
      <w:bookmarkEnd w:id="33"/>
      <w:bookmarkEnd w:id="34"/>
    </w:p>
    <w:p w14:paraId="388EA05C">
      <w:pPr>
        <w:keepNext w:val="0"/>
        <w:keepLines w:val="0"/>
        <w:pageBreakBefore w:val="0"/>
        <w:widowControl w:val="0"/>
        <w:kinsoku/>
        <w:wordWrap/>
        <w:overflowPunct/>
        <w:topLinePunct w:val="0"/>
        <w:autoSpaceDE w:val="0"/>
        <w:autoSpaceDN w:val="0"/>
        <w:bidi w:val="0"/>
        <w:adjustRightInd w:val="0"/>
        <w:snapToGrid/>
        <w:spacing w:line="240" w:lineRule="auto"/>
        <w:ind w:firstLine="482"/>
        <w:textAlignment w:val="auto"/>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7.1 响应文件分为商务部分和技术部分。商务部分是供应商提交的证明其具有合格资格和成交后有能力履行合同的文件。技术部分是能够证明供应商所提供货物和服务的合格性和符合谈判文件规定的文件。</w:t>
      </w:r>
    </w:p>
    <w:p w14:paraId="3C7E0B3D">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7.2 供应商应提交竞争性谈判文件（需求部分）第三章《响应文件构成、要求及格式》规定的全部商务文件和技术文件，若有缺失、无效或者不符合谈判文件要求，将导致其报价被拒绝。</w:t>
      </w:r>
    </w:p>
    <w:p w14:paraId="54D15080">
      <w:pPr>
        <w:spacing w:line="240" w:lineRule="auto"/>
        <w:ind w:firstLine="482"/>
        <w:outlineLvl w:val="1"/>
        <w:rPr>
          <w:rFonts w:hint="eastAsia" w:ascii="仿宋" w:hAnsi="仿宋" w:eastAsia="仿宋" w:cs="仿宋"/>
          <w:b w:val="0"/>
          <w:bCs w:val="0"/>
          <w:color w:val="000000"/>
          <w:sz w:val="32"/>
          <w:szCs w:val="32"/>
          <w:lang w:val="zh-CN"/>
        </w:rPr>
      </w:pPr>
      <w:bookmarkStart w:id="35" w:name="_Toc8067"/>
      <w:bookmarkStart w:id="36" w:name="_Toc32717"/>
      <w:bookmarkStart w:id="37" w:name="_Toc16702"/>
      <w:bookmarkStart w:id="38" w:name="_Toc2488"/>
      <w:r>
        <w:rPr>
          <w:rFonts w:hint="eastAsia" w:ascii="仿宋" w:hAnsi="仿宋" w:eastAsia="仿宋" w:cs="仿宋"/>
          <w:b w:val="0"/>
          <w:bCs w:val="0"/>
          <w:color w:val="000000"/>
          <w:sz w:val="32"/>
          <w:szCs w:val="32"/>
          <w:lang w:val="zh-CN"/>
        </w:rPr>
        <w:t>8．响应文件的编制</w:t>
      </w:r>
      <w:bookmarkEnd w:id="35"/>
      <w:bookmarkEnd w:id="36"/>
      <w:bookmarkEnd w:id="37"/>
      <w:bookmarkEnd w:id="38"/>
    </w:p>
    <w:p w14:paraId="5F49E600">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8.1 报价货币：所有报价均以人民币元为计算单位。</w:t>
      </w:r>
    </w:p>
    <w:p w14:paraId="0815B6C0">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8.2 报价语言：响应文件以及供应商与采购中心就有关提交报价的来往函电均使用中文。 </w:t>
      </w:r>
    </w:p>
    <w:p w14:paraId="59889A68">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8.3 计量单位：中华人民共和国法定计量单位。</w:t>
      </w:r>
    </w:p>
    <w:p w14:paraId="11C57178">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8.4 响应文件规格应采用A4幅面，按照谈判文件规定的顺序，统一编目，连续编码，技术文件中的各项表格应按照</w:t>
      </w:r>
      <w:r>
        <w:rPr>
          <w:rFonts w:hint="eastAsia" w:ascii="仿宋" w:hAnsi="仿宋" w:eastAsia="仿宋" w:cs="仿宋"/>
          <w:bCs/>
          <w:color w:val="000000"/>
          <w:sz w:val="32"/>
          <w:szCs w:val="32"/>
          <w:lang w:val="zh-CN"/>
        </w:rPr>
        <w:t>竞争性谈判文件（需求部分）第</w:t>
      </w:r>
      <w:r>
        <w:rPr>
          <w:rFonts w:hint="eastAsia" w:ascii="仿宋" w:hAnsi="仿宋" w:eastAsia="仿宋" w:cs="仿宋"/>
          <w:color w:val="000000"/>
          <w:sz w:val="32"/>
          <w:szCs w:val="32"/>
          <w:lang w:val="zh-CN"/>
        </w:rPr>
        <w:t>三</w:t>
      </w:r>
      <w:r>
        <w:rPr>
          <w:rFonts w:hint="eastAsia" w:ascii="仿宋" w:hAnsi="仿宋" w:eastAsia="仿宋" w:cs="仿宋"/>
          <w:bCs/>
          <w:color w:val="000000"/>
          <w:sz w:val="32"/>
          <w:szCs w:val="32"/>
          <w:lang w:val="zh-CN"/>
        </w:rPr>
        <w:t>章《响应文件构成、要求及格式》</w:t>
      </w:r>
      <w:r>
        <w:rPr>
          <w:rFonts w:hint="eastAsia" w:ascii="仿宋" w:hAnsi="仿宋" w:eastAsia="仿宋" w:cs="仿宋"/>
          <w:color w:val="000000"/>
          <w:sz w:val="32"/>
          <w:szCs w:val="32"/>
          <w:lang w:val="zh-CN"/>
        </w:rPr>
        <w:t>规定的格式制作。</w:t>
      </w:r>
    </w:p>
    <w:p w14:paraId="510FAA2A">
      <w:pPr>
        <w:spacing w:line="240" w:lineRule="auto"/>
        <w:ind w:firstLine="482"/>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8.5 供应商在响应文件以及在提交报价、谈判、合同签订、履行过程中所签署的相关文件中所加盖的公章，均须按照谈判文件的规定加盖与报价供应商名称全称相一致，不得使用彩喷或者彩印的印章，否则将被视为无效。</w:t>
      </w:r>
    </w:p>
    <w:p w14:paraId="3108ACF1">
      <w:pPr>
        <w:tabs>
          <w:tab w:val="left" w:pos="709"/>
        </w:tabs>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8.6 采购中心不接受采用传真方式提交的响应文件。</w:t>
      </w:r>
    </w:p>
    <w:p w14:paraId="0AD9A7A1">
      <w:pPr>
        <w:spacing w:line="240" w:lineRule="auto"/>
        <w:ind w:firstLine="482"/>
        <w:outlineLvl w:val="1"/>
        <w:rPr>
          <w:rFonts w:hint="eastAsia" w:ascii="仿宋" w:hAnsi="仿宋" w:eastAsia="仿宋" w:cs="仿宋"/>
          <w:b w:val="0"/>
          <w:bCs w:val="0"/>
          <w:color w:val="000000"/>
          <w:sz w:val="32"/>
          <w:szCs w:val="32"/>
          <w:lang w:val="zh-CN"/>
        </w:rPr>
      </w:pPr>
      <w:bookmarkStart w:id="39" w:name="_Toc4884"/>
      <w:bookmarkStart w:id="40" w:name="_Toc24647"/>
      <w:bookmarkStart w:id="41" w:name="_Toc5770"/>
      <w:bookmarkStart w:id="42" w:name="_Toc5831"/>
      <w:r>
        <w:rPr>
          <w:rFonts w:hint="eastAsia" w:ascii="仿宋" w:hAnsi="仿宋" w:eastAsia="仿宋" w:cs="仿宋"/>
          <w:b w:val="0"/>
          <w:bCs w:val="0"/>
          <w:color w:val="000000"/>
          <w:sz w:val="32"/>
          <w:szCs w:val="32"/>
          <w:lang w:val="zh-CN"/>
        </w:rPr>
        <w:t>9．报价方式</w:t>
      </w:r>
      <w:bookmarkEnd w:id="39"/>
      <w:bookmarkEnd w:id="40"/>
      <w:bookmarkEnd w:id="41"/>
      <w:bookmarkEnd w:id="42"/>
    </w:p>
    <w:p w14:paraId="571A203D">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val="0"/>
          <w:bCs w:val="0"/>
          <w:color w:val="000000"/>
          <w:sz w:val="32"/>
          <w:szCs w:val="32"/>
          <w:lang w:val="zh-CN"/>
        </w:rPr>
        <w:t>9.1 采用两次报价方式。</w:t>
      </w:r>
      <w:r>
        <w:rPr>
          <w:rFonts w:hint="eastAsia" w:ascii="仿宋" w:hAnsi="仿宋" w:eastAsia="仿宋" w:cs="仿宋"/>
          <w:color w:val="000000"/>
          <w:sz w:val="32"/>
          <w:szCs w:val="32"/>
          <w:lang w:val="zh-CN"/>
        </w:rPr>
        <w:t>供应商在提交的响应文件中进行第一次报价，在谈判后根据谈判小组的要求进行第二次报价。</w:t>
      </w:r>
      <w:r>
        <w:rPr>
          <w:rFonts w:hint="eastAsia" w:ascii="仿宋" w:hAnsi="仿宋" w:eastAsia="仿宋" w:cs="仿宋"/>
          <w:b/>
          <w:bCs/>
          <w:color w:val="000000"/>
          <w:sz w:val="32"/>
          <w:szCs w:val="32"/>
          <w:lang w:val="zh-CN"/>
        </w:rPr>
        <w:t>第二次报价为最终报价。</w:t>
      </w:r>
    </w:p>
    <w:p w14:paraId="096D6CBF">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9.2 两次报价均应报出拟提供货物的单价和总价。第二次报价时每项货物只允许有一个报价，任何有选择的报价将不予接受。</w:t>
      </w:r>
    </w:p>
    <w:p w14:paraId="4620872C">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9.3 两次报价均应报出在谈判文件指定地点交货、以及由供应商负责安装、调试、验收合格并交付的全部价格。供应商第二次报价的价格在合同执行过程中是固定不变的，不得以任何理由予以变更，以可调整的价格提交的响应文件将作为非响应性响应文件予以拒绝。</w:t>
      </w:r>
    </w:p>
    <w:p w14:paraId="1BE02832">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9.4 最低报价不能作为成交的保证。</w:t>
      </w:r>
    </w:p>
    <w:p w14:paraId="2D2FFE98">
      <w:pPr>
        <w:spacing w:line="240" w:lineRule="auto"/>
        <w:ind w:firstLine="482"/>
        <w:outlineLvl w:val="1"/>
        <w:rPr>
          <w:rFonts w:hint="eastAsia" w:ascii="仿宋" w:hAnsi="仿宋" w:eastAsia="仿宋" w:cs="仿宋"/>
          <w:b w:val="0"/>
          <w:bCs w:val="0"/>
          <w:color w:val="000000"/>
          <w:sz w:val="32"/>
          <w:szCs w:val="32"/>
          <w:lang w:val="zh-CN"/>
        </w:rPr>
      </w:pPr>
      <w:bookmarkStart w:id="43" w:name="_Toc372"/>
      <w:bookmarkStart w:id="44" w:name="_Toc16537"/>
      <w:bookmarkStart w:id="45" w:name="_Toc11375"/>
      <w:bookmarkStart w:id="46" w:name="_Toc289"/>
      <w:r>
        <w:rPr>
          <w:rFonts w:hint="eastAsia" w:ascii="仿宋" w:hAnsi="仿宋" w:eastAsia="仿宋" w:cs="仿宋"/>
          <w:b w:val="0"/>
          <w:bCs w:val="0"/>
          <w:color w:val="000000"/>
          <w:sz w:val="32"/>
          <w:szCs w:val="32"/>
          <w:lang w:val="zh-CN"/>
        </w:rPr>
        <w:t>10．谈判保证金</w:t>
      </w:r>
      <w:bookmarkEnd w:id="43"/>
      <w:bookmarkEnd w:id="44"/>
      <w:bookmarkEnd w:id="45"/>
      <w:bookmarkEnd w:id="46"/>
    </w:p>
    <w:p w14:paraId="64B9F9D5">
      <w:pPr>
        <w:spacing w:line="240" w:lineRule="auto"/>
        <w:ind w:firstLine="480"/>
        <w:rPr>
          <w:rFonts w:hint="default" w:ascii="仿宋" w:hAnsi="仿宋" w:eastAsia="仿宋" w:cs="仿宋"/>
          <w:b/>
          <w:bCs/>
          <w:color w:val="000000"/>
          <w:sz w:val="32"/>
          <w:szCs w:val="32"/>
          <w:highlight w:val="none"/>
          <w:lang w:val="en-US" w:eastAsia="zh-CN"/>
        </w:rPr>
      </w:pPr>
      <w:bookmarkStart w:id="47" w:name="_Toc16086"/>
      <w:bookmarkStart w:id="48" w:name="_Toc13469"/>
      <w:bookmarkStart w:id="49" w:name="_Toc28335"/>
      <w:bookmarkStart w:id="50" w:name="_Toc8966"/>
      <w:r>
        <w:rPr>
          <w:rFonts w:hint="eastAsia" w:ascii="仿宋" w:hAnsi="仿宋" w:eastAsia="仿宋" w:cs="仿宋"/>
          <w:b/>
          <w:bCs/>
          <w:color w:val="000000"/>
          <w:sz w:val="32"/>
          <w:szCs w:val="32"/>
          <w:highlight w:val="none"/>
          <w:lang w:val="en-US" w:eastAsia="zh-CN"/>
        </w:rPr>
        <w:t>本次竞争性谈判需要缴纳谈判保证金8000元</w:t>
      </w:r>
    </w:p>
    <w:p w14:paraId="43D1328A">
      <w:pPr>
        <w:spacing w:line="240" w:lineRule="auto"/>
        <w:ind w:firstLine="48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10.1</w:t>
      </w:r>
      <w:r>
        <w:rPr>
          <w:rFonts w:hint="default" w:ascii="仿宋" w:hAnsi="仿宋" w:eastAsia="仿宋" w:cs="仿宋"/>
          <w:color w:val="000000"/>
          <w:sz w:val="32"/>
          <w:szCs w:val="32"/>
          <w:lang w:val="en-US" w:eastAsia="zh-CN"/>
        </w:rPr>
        <w:t>投标人在提交投标文件截止时间之前，必须提交投标人须知前附表中规定数额的投标保证金。投标保证金应当以支票、汇票、本票或者金融机构、担保机构出具的保函等非现金形式提交。投标人未按照招标文件要求提交投标保证金的，投标无效。</w:t>
      </w:r>
    </w:p>
    <w:p w14:paraId="79B9C56D">
      <w:pPr>
        <w:spacing w:line="240" w:lineRule="auto"/>
        <w:ind w:firstLine="480"/>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政府采购中心特别声明：开标时投标人</w:t>
      </w:r>
      <w:r>
        <w:rPr>
          <w:rFonts w:hint="eastAsia" w:ascii="仿宋" w:hAnsi="仿宋" w:eastAsia="仿宋" w:cs="仿宋"/>
          <w:b/>
          <w:bCs/>
          <w:color w:val="000000"/>
          <w:sz w:val="32"/>
          <w:szCs w:val="32"/>
          <w:lang w:val="en-US" w:eastAsia="zh-CN"/>
        </w:rPr>
        <w:t>凭借</w:t>
      </w:r>
      <w:r>
        <w:rPr>
          <w:rFonts w:hint="default" w:ascii="仿宋" w:hAnsi="仿宋" w:eastAsia="仿宋" w:cs="仿宋"/>
          <w:b/>
          <w:bCs/>
          <w:color w:val="000000"/>
          <w:sz w:val="32"/>
          <w:szCs w:val="32"/>
          <w:lang w:val="en-US" w:eastAsia="zh-CN"/>
        </w:rPr>
        <w:t>投标保证金票据或保函（均为原件）参加开标会，同时投标人将票据复印件（加盖投标人公章或财务章）装订于资格审查文件内。</w:t>
      </w:r>
    </w:p>
    <w:p w14:paraId="049FB502">
      <w:pPr>
        <w:spacing w:line="240" w:lineRule="auto"/>
        <w:ind w:firstLine="480"/>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 xml:space="preserve">收取投标保证金账号：0790502011015200029217 </w:t>
      </w:r>
    </w:p>
    <w:p w14:paraId="309D58D8">
      <w:pPr>
        <w:spacing w:line="240" w:lineRule="auto"/>
        <w:ind w:firstLine="480"/>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 xml:space="preserve">转入单位名称：和龙市政府采购中心 </w:t>
      </w:r>
    </w:p>
    <w:p w14:paraId="329EBED2">
      <w:pPr>
        <w:spacing w:line="240" w:lineRule="auto"/>
        <w:ind w:firstLine="480"/>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账户名称：和龙市政府采购中心</w:t>
      </w:r>
    </w:p>
    <w:p w14:paraId="72E4653D">
      <w:pPr>
        <w:spacing w:line="240" w:lineRule="auto"/>
        <w:ind w:firstLine="480"/>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账户号码：0790502011015200029217</w:t>
      </w:r>
    </w:p>
    <w:p w14:paraId="2E00BB8D">
      <w:pPr>
        <w:spacing w:line="240" w:lineRule="auto"/>
        <w:ind w:firstLine="480"/>
        <w:rPr>
          <w:rFonts w:hint="default" w:ascii="仿宋" w:hAnsi="仿宋" w:eastAsia="仿宋" w:cs="仿宋"/>
          <w:b/>
          <w:bCs/>
          <w:color w:val="000000"/>
          <w:sz w:val="32"/>
          <w:szCs w:val="32"/>
          <w:lang w:val="en-US" w:eastAsia="zh-CN"/>
        </w:rPr>
      </w:pPr>
      <w:r>
        <w:rPr>
          <w:rFonts w:hint="default" w:ascii="仿宋" w:hAnsi="仿宋" w:eastAsia="仿宋" w:cs="仿宋"/>
          <w:b/>
          <w:bCs/>
          <w:color w:val="000000"/>
          <w:sz w:val="32"/>
          <w:szCs w:val="32"/>
          <w:lang w:val="en-US" w:eastAsia="zh-CN"/>
        </w:rPr>
        <w:t>开户银行：和龙农商行股份有限公司营业部</w:t>
      </w:r>
    </w:p>
    <w:p w14:paraId="440C1D21">
      <w:pPr>
        <w:spacing w:line="240" w:lineRule="auto"/>
        <w:ind w:firstLine="480"/>
        <w:rPr>
          <w:rFonts w:hint="default" w:ascii="仿宋" w:hAnsi="仿宋" w:eastAsia="仿宋" w:cs="仿宋"/>
          <w:color w:val="000000"/>
          <w:sz w:val="32"/>
          <w:szCs w:val="32"/>
          <w:lang w:val="en-US" w:eastAsia="zh-CN"/>
        </w:rPr>
      </w:pPr>
      <w:r>
        <w:rPr>
          <w:rFonts w:hint="default" w:ascii="仿宋" w:hAnsi="仿宋" w:eastAsia="仿宋" w:cs="仿宋"/>
          <w:b/>
          <w:bCs/>
          <w:color w:val="000000"/>
          <w:sz w:val="32"/>
          <w:szCs w:val="32"/>
          <w:lang w:val="en-US" w:eastAsia="zh-CN"/>
        </w:rPr>
        <w:t>注：投标保证金必须从投标单位基本账号汇出</w:t>
      </w:r>
      <w:r>
        <w:rPr>
          <w:rFonts w:hint="default" w:ascii="仿宋" w:hAnsi="仿宋" w:eastAsia="仿宋" w:cs="仿宋"/>
          <w:color w:val="000000"/>
          <w:sz w:val="32"/>
          <w:szCs w:val="32"/>
          <w:lang w:val="en-US" w:eastAsia="zh-CN"/>
        </w:rPr>
        <w:t xml:space="preserve">  　</w:t>
      </w:r>
    </w:p>
    <w:p w14:paraId="136F95F5">
      <w:pPr>
        <w:spacing w:line="240" w:lineRule="auto"/>
        <w:ind w:firstLine="48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en-US" w:eastAsia="zh-CN"/>
        </w:rPr>
        <w:t>10</w:t>
      </w:r>
      <w:r>
        <w:rPr>
          <w:rFonts w:hint="default" w:ascii="仿宋" w:hAnsi="仿宋" w:eastAsia="仿宋" w:cs="仿宋"/>
          <w:color w:val="000000"/>
          <w:sz w:val="32"/>
          <w:szCs w:val="32"/>
          <w:lang w:val="en-US" w:eastAsia="zh-CN"/>
        </w:rPr>
        <w:t>.2 未中标人的投标保证金，将在中标通知书发出后五个工作日内退还。　</w:t>
      </w:r>
    </w:p>
    <w:p w14:paraId="22E1D500">
      <w:pPr>
        <w:spacing w:line="240" w:lineRule="auto"/>
        <w:ind w:firstLine="48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en-US" w:eastAsia="zh-CN"/>
        </w:rPr>
        <w:t>10</w:t>
      </w:r>
      <w:r>
        <w:rPr>
          <w:rFonts w:hint="default" w:ascii="仿宋" w:hAnsi="仿宋" w:eastAsia="仿宋" w:cs="仿宋"/>
          <w:color w:val="000000"/>
          <w:sz w:val="32"/>
          <w:szCs w:val="32"/>
          <w:lang w:val="en-US" w:eastAsia="zh-CN"/>
        </w:rPr>
        <w:t>.3</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中标人的投标保证金，将在中标人按规定签订合同，并合同生效后五个工作日内退还。</w:t>
      </w:r>
    </w:p>
    <w:p w14:paraId="7823428E">
      <w:pPr>
        <w:spacing w:line="240" w:lineRule="auto"/>
        <w:ind w:firstLine="867" w:firstLineChars="271"/>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w:t>
      </w:r>
      <w:r>
        <w:rPr>
          <w:rFonts w:hint="default" w:ascii="仿宋" w:hAnsi="仿宋" w:eastAsia="仿宋" w:cs="仿宋"/>
          <w:color w:val="000000"/>
          <w:sz w:val="32"/>
          <w:szCs w:val="32"/>
          <w:lang w:val="en-US" w:eastAsia="zh-CN"/>
        </w:rPr>
        <w:t>.4</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投标人在投标截止时间前撤回已提交的投标文件的，采购中心应当自收到投标人书面撤回通知之日起５个工作日内，退还已收取的投标保证金，但因投标人自身原因导致无法及时退还的除外。</w:t>
      </w:r>
    </w:p>
    <w:p w14:paraId="08DB6C55">
      <w:pPr>
        <w:spacing w:line="240" w:lineRule="auto"/>
        <w:ind w:firstLine="48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en-US" w:eastAsia="zh-CN"/>
        </w:rPr>
        <w:t>10</w:t>
      </w:r>
      <w:r>
        <w:rPr>
          <w:rFonts w:hint="default" w:ascii="仿宋" w:hAnsi="仿宋" w:eastAsia="仿宋" w:cs="仿宋"/>
          <w:color w:val="000000"/>
          <w:sz w:val="32"/>
          <w:szCs w:val="32"/>
          <w:lang w:val="en-US" w:eastAsia="zh-CN"/>
        </w:rPr>
        <w:t>.5 下列任何情况发生时，投标人将不得要求政府采购中心退还其投标保证金：</w:t>
      </w:r>
    </w:p>
    <w:p w14:paraId="2F1F17E9">
      <w:pPr>
        <w:spacing w:line="240" w:lineRule="auto"/>
        <w:ind w:firstLine="640" w:firstLineChars="200"/>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A、在投标有效期内投标人撤销投标文件的；</w:t>
      </w:r>
    </w:p>
    <w:p w14:paraId="349875B5">
      <w:pPr>
        <w:spacing w:line="240" w:lineRule="auto"/>
        <w:ind w:firstLine="640" w:firstLineChars="200"/>
        <w:outlineLvl w:val="1"/>
        <w:rPr>
          <w:rFonts w:hint="eastAsia" w:ascii="仿宋" w:hAnsi="仿宋" w:eastAsia="仿宋" w:cs="仿宋"/>
          <w:b w:val="0"/>
          <w:bCs w:val="0"/>
          <w:color w:val="000000"/>
          <w:sz w:val="32"/>
          <w:szCs w:val="32"/>
          <w:lang w:val="zh-CN"/>
        </w:rPr>
      </w:pPr>
      <w:r>
        <w:rPr>
          <w:rFonts w:hint="default" w:ascii="仿宋" w:hAnsi="仿宋" w:eastAsia="仿宋" w:cs="仿宋"/>
          <w:color w:val="000000"/>
          <w:sz w:val="32"/>
          <w:szCs w:val="32"/>
          <w:lang w:val="en-US" w:eastAsia="zh-CN"/>
        </w:rPr>
        <w:t>B、中标人在规定期限内未能</w:t>
      </w:r>
      <w:r>
        <w:rPr>
          <w:rFonts w:hint="eastAsia" w:ascii="仿宋" w:hAnsi="仿宋" w:eastAsia="仿宋" w:cs="仿宋"/>
          <w:color w:val="000000"/>
          <w:sz w:val="32"/>
          <w:szCs w:val="32"/>
          <w:lang w:val="en-US" w:eastAsia="zh-CN"/>
        </w:rPr>
        <w:t>按</w:t>
      </w:r>
      <w:r>
        <w:rPr>
          <w:rFonts w:hint="default" w:ascii="仿宋" w:hAnsi="仿宋" w:eastAsia="仿宋" w:cs="仿宋"/>
          <w:color w:val="000000"/>
          <w:sz w:val="32"/>
          <w:szCs w:val="32"/>
          <w:lang w:val="en-US" w:eastAsia="zh-CN"/>
        </w:rPr>
        <w:t>规定签订合同</w:t>
      </w:r>
      <w:r>
        <w:rPr>
          <w:rFonts w:hint="eastAsia" w:ascii="仿宋" w:hAnsi="仿宋" w:eastAsia="仿宋" w:cs="仿宋"/>
          <w:color w:val="000000"/>
          <w:sz w:val="32"/>
          <w:szCs w:val="32"/>
          <w:lang w:val="en-US" w:eastAsia="zh-CN"/>
        </w:rPr>
        <w:t>。</w:t>
      </w:r>
      <w:bookmarkEnd w:id="47"/>
      <w:bookmarkEnd w:id="48"/>
      <w:bookmarkEnd w:id="49"/>
      <w:bookmarkEnd w:id="50"/>
    </w:p>
    <w:p w14:paraId="514A9F51">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11.1</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lang w:val="zh-CN"/>
        </w:rPr>
        <w:t>报价有效期为自公开报价之时起90天</w:t>
      </w:r>
      <w:r>
        <w:rPr>
          <w:rFonts w:hint="eastAsia" w:ascii="仿宋" w:hAnsi="仿宋" w:eastAsia="仿宋" w:cs="仿宋"/>
          <w:color w:val="000000"/>
          <w:sz w:val="32"/>
          <w:szCs w:val="32"/>
          <w:lang w:val="zh-CN"/>
        </w:rPr>
        <w:t>。响应文件在这个规定期限内应保持有效。</w:t>
      </w:r>
    </w:p>
    <w:p w14:paraId="7B0189FA">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11.2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在特殊情况下，采购中心可与报价供应商协商延长报价有效期。这种要求和答复都应以书面形式进行。供应商可以拒绝接受延期要求而不会被没收报价保证金。同意延长报价有效期的供应商除按照采购中心要求修改响应文件的有效期外，不能修改响应文件的其他内容。</w:t>
      </w:r>
    </w:p>
    <w:p w14:paraId="40A348E0">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11.3成交供应商的响应文件有效期等同于合同履行期。</w:t>
      </w:r>
    </w:p>
    <w:p w14:paraId="11C62B00">
      <w:pPr>
        <w:spacing w:line="240" w:lineRule="auto"/>
        <w:ind w:firstLine="482"/>
        <w:outlineLvl w:val="1"/>
        <w:rPr>
          <w:rFonts w:hint="eastAsia" w:ascii="仿宋" w:hAnsi="仿宋" w:eastAsia="仿宋" w:cs="仿宋"/>
          <w:b/>
          <w:bCs/>
          <w:color w:val="000000"/>
          <w:sz w:val="32"/>
          <w:szCs w:val="32"/>
          <w:lang w:val="zh-CN"/>
        </w:rPr>
      </w:pPr>
      <w:bookmarkStart w:id="51" w:name="_Toc23263"/>
      <w:bookmarkStart w:id="52" w:name="_Toc14640"/>
      <w:bookmarkStart w:id="53" w:name="_Toc25202"/>
      <w:bookmarkStart w:id="54" w:name="_Toc15522"/>
      <w:r>
        <w:rPr>
          <w:rFonts w:hint="eastAsia" w:ascii="仿宋" w:hAnsi="仿宋" w:eastAsia="仿宋" w:cs="仿宋"/>
          <w:b/>
          <w:bCs/>
          <w:color w:val="000000"/>
          <w:sz w:val="32"/>
          <w:szCs w:val="32"/>
          <w:lang w:val="zh-CN"/>
        </w:rPr>
        <w:t>12．响应文件的式样和签署</w:t>
      </w:r>
      <w:bookmarkEnd w:id="51"/>
      <w:bookmarkEnd w:id="52"/>
      <w:bookmarkEnd w:id="53"/>
      <w:bookmarkEnd w:id="54"/>
    </w:p>
    <w:p w14:paraId="36B17683">
      <w:pPr>
        <w:spacing w:line="240" w:lineRule="auto"/>
        <w:ind w:firstLine="480"/>
        <w:rPr>
          <w:rFonts w:hint="eastAsia" w:ascii="仿宋" w:hAnsi="仿宋" w:eastAsia="仿宋" w:cs="仿宋"/>
          <w:bCs/>
          <w:color w:val="000000"/>
          <w:sz w:val="32"/>
          <w:szCs w:val="32"/>
          <w:lang w:val="zh-CN"/>
        </w:rPr>
      </w:pPr>
      <w:r>
        <w:rPr>
          <w:rFonts w:hint="eastAsia" w:ascii="仿宋" w:hAnsi="仿宋" w:eastAsia="仿宋" w:cs="仿宋"/>
          <w:color w:val="000000"/>
          <w:sz w:val="32"/>
          <w:szCs w:val="32"/>
          <w:lang w:val="zh-CN"/>
        </w:rPr>
        <w:t xml:space="preserve">12.1 </w:t>
      </w:r>
      <w:r>
        <w:rPr>
          <w:rFonts w:hint="eastAsia" w:ascii="仿宋" w:hAnsi="仿宋" w:eastAsia="仿宋" w:cs="仿宋"/>
          <w:bCs/>
          <w:color w:val="000000"/>
          <w:sz w:val="32"/>
          <w:szCs w:val="32"/>
          <w:lang w:val="zh-CN"/>
        </w:rPr>
        <w:t>竞争性谈判文件（需求部分）第</w:t>
      </w:r>
      <w:r>
        <w:rPr>
          <w:rFonts w:hint="eastAsia" w:ascii="仿宋" w:hAnsi="仿宋" w:eastAsia="仿宋" w:cs="仿宋"/>
          <w:color w:val="000000"/>
          <w:sz w:val="32"/>
          <w:szCs w:val="32"/>
          <w:lang w:val="zh-CN"/>
        </w:rPr>
        <w:t>三</w:t>
      </w:r>
      <w:r>
        <w:rPr>
          <w:rFonts w:hint="eastAsia" w:ascii="仿宋" w:hAnsi="仿宋" w:eastAsia="仿宋" w:cs="仿宋"/>
          <w:bCs/>
          <w:color w:val="000000"/>
          <w:sz w:val="32"/>
          <w:szCs w:val="32"/>
          <w:lang w:val="zh-CN"/>
        </w:rPr>
        <w:t>章《响应文件构成、要求及格式》中凡要求签署或加盖公章的，均须由供应商的法定代表人或其授权代理人手书签字或加盖供应商公章。响应文件由法定代表人签署的，须与企业法人营业执照相符；由授权代理人签署的，须提交以书面形式出具的“法定代表人授权书”（按规定的格式提交）。</w:t>
      </w:r>
    </w:p>
    <w:p w14:paraId="5FE4B6AA">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12.2 响应文件中如有修改错漏处，应在修改处由</w:t>
      </w:r>
      <w:r>
        <w:rPr>
          <w:rFonts w:hint="eastAsia" w:ascii="仿宋" w:hAnsi="仿宋" w:eastAsia="仿宋" w:cs="仿宋"/>
          <w:bCs/>
          <w:color w:val="000000"/>
          <w:sz w:val="32"/>
          <w:szCs w:val="32"/>
          <w:lang w:val="zh-CN"/>
        </w:rPr>
        <w:t>法定代表人或其授权代理人手书签字（需要加盖</w:t>
      </w:r>
      <w:r>
        <w:rPr>
          <w:rFonts w:hint="eastAsia" w:ascii="仿宋" w:hAnsi="仿宋" w:eastAsia="仿宋" w:cs="仿宋"/>
          <w:color w:val="000000"/>
          <w:sz w:val="32"/>
          <w:szCs w:val="32"/>
          <w:lang w:val="zh-CN"/>
        </w:rPr>
        <w:t>公章的，规定时间内补盖）。</w:t>
      </w:r>
    </w:p>
    <w:p w14:paraId="2A6D3D02">
      <w:pPr>
        <w:spacing w:line="240" w:lineRule="auto"/>
        <w:ind w:firstLine="482"/>
        <w:outlineLvl w:val="1"/>
        <w:rPr>
          <w:rFonts w:hint="eastAsia" w:ascii="仿宋" w:hAnsi="仿宋" w:eastAsia="仿宋" w:cs="仿宋"/>
          <w:b w:val="0"/>
          <w:bCs w:val="0"/>
          <w:color w:val="000000"/>
          <w:sz w:val="32"/>
          <w:szCs w:val="32"/>
          <w:lang w:val="zh-CN"/>
        </w:rPr>
      </w:pPr>
      <w:bookmarkStart w:id="55" w:name="_Toc21292"/>
      <w:bookmarkStart w:id="56" w:name="_Toc13024"/>
      <w:bookmarkStart w:id="57" w:name="_Toc31861"/>
      <w:bookmarkStart w:id="58" w:name="_Toc31143"/>
      <w:r>
        <w:rPr>
          <w:rFonts w:hint="eastAsia" w:ascii="仿宋" w:hAnsi="仿宋" w:eastAsia="仿宋" w:cs="仿宋"/>
          <w:b w:val="0"/>
          <w:bCs w:val="0"/>
          <w:color w:val="000000"/>
          <w:sz w:val="32"/>
          <w:szCs w:val="32"/>
          <w:lang w:val="zh-CN"/>
        </w:rPr>
        <w:t>13．响应文件的修改和撤回</w:t>
      </w:r>
      <w:bookmarkEnd w:id="55"/>
      <w:bookmarkEnd w:id="56"/>
      <w:bookmarkEnd w:id="57"/>
      <w:bookmarkEnd w:id="58"/>
    </w:p>
    <w:p w14:paraId="052A24C6">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13.1 供应商在递交响应文件后，可以修改或撤回其响应文件，但必须在规定的报价截止时间之前，采购中心收到供应商修改或撤回的书面通知。</w:t>
      </w:r>
    </w:p>
    <w:p w14:paraId="27C162E9">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13.2 供应商的修改或撤回通知应按对响应文件的规定一样进行编制、密封、标记和递交，并标明</w:t>
      </w:r>
      <w:r>
        <w:rPr>
          <w:rFonts w:hint="eastAsia" w:ascii="仿宋" w:hAnsi="仿宋" w:eastAsia="仿宋" w:cs="仿宋"/>
          <w:color w:val="000000"/>
          <w:sz w:val="32"/>
          <w:szCs w:val="32"/>
        </w:rPr>
        <w:t>“</w:t>
      </w:r>
      <w:r>
        <w:rPr>
          <w:rFonts w:hint="eastAsia" w:ascii="仿宋" w:hAnsi="仿宋" w:eastAsia="仿宋" w:cs="仿宋"/>
          <w:color w:val="000000"/>
          <w:sz w:val="32"/>
          <w:szCs w:val="32"/>
          <w:lang w:val="zh-CN"/>
        </w:rPr>
        <w:t>修改</w:t>
      </w:r>
      <w:r>
        <w:rPr>
          <w:rFonts w:hint="eastAsia" w:ascii="仿宋" w:hAnsi="仿宋" w:eastAsia="仿宋" w:cs="仿宋"/>
          <w:color w:val="000000"/>
          <w:sz w:val="32"/>
          <w:szCs w:val="32"/>
        </w:rPr>
        <w:t>”</w:t>
      </w:r>
      <w:r>
        <w:rPr>
          <w:rFonts w:hint="eastAsia" w:ascii="仿宋" w:hAnsi="仿宋" w:eastAsia="仿宋" w:cs="仿宋"/>
          <w:color w:val="000000"/>
          <w:sz w:val="32"/>
          <w:szCs w:val="32"/>
          <w:lang w:val="zh-CN"/>
        </w:rPr>
        <w:t>或</w:t>
      </w:r>
      <w:r>
        <w:rPr>
          <w:rFonts w:hint="eastAsia" w:ascii="仿宋" w:hAnsi="仿宋" w:eastAsia="仿宋" w:cs="仿宋"/>
          <w:color w:val="000000"/>
          <w:sz w:val="32"/>
          <w:szCs w:val="32"/>
        </w:rPr>
        <w:t>“</w:t>
      </w:r>
      <w:r>
        <w:rPr>
          <w:rFonts w:hint="eastAsia" w:ascii="仿宋" w:hAnsi="仿宋" w:eastAsia="仿宋" w:cs="仿宋"/>
          <w:color w:val="000000"/>
          <w:sz w:val="32"/>
          <w:szCs w:val="32"/>
          <w:lang w:val="zh-CN"/>
        </w:rPr>
        <w:t>撤回</w:t>
      </w:r>
      <w:r>
        <w:rPr>
          <w:rFonts w:hint="eastAsia" w:ascii="仿宋" w:hAnsi="仿宋" w:eastAsia="仿宋" w:cs="仿宋"/>
          <w:color w:val="000000"/>
          <w:sz w:val="32"/>
          <w:szCs w:val="32"/>
        </w:rPr>
        <w:t>”</w:t>
      </w:r>
      <w:r>
        <w:rPr>
          <w:rFonts w:hint="eastAsia" w:ascii="仿宋" w:hAnsi="仿宋" w:eastAsia="仿宋" w:cs="仿宋"/>
          <w:color w:val="000000"/>
          <w:sz w:val="32"/>
          <w:szCs w:val="32"/>
          <w:lang w:val="zh-CN"/>
        </w:rPr>
        <w:t>字样。</w:t>
      </w:r>
    </w:p>
    <w:p w14:paraId="1ED4494F">
      <w:pPr>
        <w:spacing w:line="240" w:lineRule="auto"/>
        <w:ind w:firstLine="482"/>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13.3 在报价截止时间之后，供应商不得撤回其响应文件，否则，其谈判保证金将不予退还。</w:t>
      </w:r>
    </w:p>
    <w:p w14:paraId="450CAAD2">
      <w:pPr>
        <w:spacing w:line="240" w:lineRule="auto"/>
        <w:ind w:firstLine="482"/>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13.4 在第二次报价截止时间之后，供应商不得对其响应文件做任何修改。</w:t>
      </w:r>
    </w:p>
    <w:p w14:paraId="766F203F">
      <w:pPr>
        <w:spacing w:line="240" w:lineRule="auto"/>
        <w:ind w:firstLine="482"/>
        <w:outlineLvl w:val="1"/>
        <w:rPr>
          <w:rFonts w:hint="eastAsia" w:ascii="仿宋" w:hAnsi="仿宋" w:eastAsia="仿宋" w:cs="仿宋"/>
          <w:b w:val="0"/>
          <w:bCs w:val="0"/>
          <w:color w:val="000000"/>
          <w:sz w:val="32"/>
          <w:szCs w:val="32"/>
          <w:lang w:val="zh-CN"/>
        </w:rPr>
      </w:pPr>
      <w:bookmarkStart w:id="59" w:name="_Toc6040"/>
      <w:bookmarkStart w:id="60" w:name="_Toc19946"/>
      <w:bookmarkStart w:id="61" w:name="_Toc29644"/>
      <w:bookmarkStart w:id="62" w:name="_Toc29352"/>
      <w:r>
        <w:rPr>
          <w:rFonts w:hint="eastAsia" w:ascii="仿宋" w:hAnsi="仿宋" w:eastAsia="仿宋" w:cs="仿宋"/>
          <w:b w:val="0"/>
          <w:bCs w:val="0"/>
          <w:color w:val="000000"/>
          <w:sz w:val="32"/>
          <w:szCs w:val="32"/>
          <w:lang w:val="zh-CN"/>
        </w:rPr>
        <w:t>14．响应文件的递交</w:t>
      </w:r>
      <w:bookmarkEnd w:id="59"/>
      <w:bookmarkEnd w:id="60"/>
      <w:bookmarkEnd w:id="61"/>
      <w:bookmarkEnd w:id="62"/>
    </w:p>
    <w:p w14:paraId="37E5F8FA">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14.1 供应商应按本竞争性谈判文件规定的格式和顺序编制响应文件并上传，</w:t>
      </w:r>
      <w:r>
        <w:rPr>
          <w:rFonts w:hint="eastAsia" w:ascii="仿宋" w:hAnsi="仿宋" w:eastAsia="仿宋" w:cs="仿宋"/>
          <w:b/>
          <w:bCs/>
          <w:color w:val="000000"/>
          <w:sz w:val="32"/>
          <w:szCs w:val="32"/>
          <w:lang w:val="zh-CN"/>
        </w:rPr>
        <w:t>在采购项目名称、项目编号、供应商名称、地址、联系方式和邮编处加盖供应商公章，</w:t>
      </w:r>
      <w:r>
        <w:rPr>
          <w:rFonts w:hint="eastAsia" w:ascii="仿宋" w:hAnsi="仿宋" w:eastAsia="仿宋" w:cs="仿宋"/>
          <w:color w:val="000000"/>
          <w:sz w:val="32"/>
          <w:szCs w:val="32"/>
          <w:lang w:val="zh-CN"/>
        </w:rPr>
        <w:t>在“谈判邀请书”规定的谈判地点和报价截止时间前递交给采购中心。</w:t>
      </w:r>
    </w:p>
    <w:p w14:paraId="5898B54B">
      <w:pPr>
        <w:spacing w:line="240" w:lineRule="auto"/>
        <w:ind w:firstLine="482"/>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14.</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lang w:val="zh-CN"/>
        </w:rPr>
        <w:t xml:space="preserve"> 采购中心将拒绝接受在报价截止时间以后送达的响应文件。</w:t>
      </w:r>
    </w:p>
    <w:p w14:paraId="79BDFEED">
      <w:pPr>
        <w:spacing w:line="24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14.4 出现下列情况之一的，本项目废标。</w:t>
      </w:r>
    </w:p>
    <w:p w14:paraId="1FB439D5">
      <w:pPr>
        <w:spacing w:line="240" w:lineRule="auto"/>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（1）投标截止后，如果确认参加</w:t>
      </w:r>
      <w:r>
        <w:rPr>
          <w:rFonts w:hint="eastAsia" w:ascii="仿宋" w:hAnsi="仿宋" w:eastAsia="仿宋" w:cs="仿宋"/>
          <w:color w:val="auto"/>
          <w:sz w:val="32"/>
          <w:szCs w:val="32"/>
          <w:lang w:val="en"/>
        </w:rPr>
        <w:t>供应商</w:t>
      </w:r>
      <w:r>
        <w:rPr>
          <w:rFonts w:hint="eastAsia" w:ascii="仿宋" w:hAnsi="仿宋" w:eastAsia="仿宋" w:cs="仿宋"/>
          <w:color w:val="auto"/>
          <w:sz w:val="32"/>
          <w:szCs w:val="32"/>
          <w:lang w:val="zh-CN"/>
        </w:rPr>
        <w:t>不足3家；</w:t>
      </w:r>
    </w:p>
    <w:p w14:paraId="650C4CA2">
      <w:pPr>
        <w:spacing w:line="240" w:lineRule="auto"/>
        <w:ind w:firstLine="640" w:firstLineChars="200"/>
        <w:rPr>
          <w:rFonts w:hint="eastAsia" w:ascii="仿宋" w:hAnsi="仿宋" w:eastAsia="仿宋" w:cs="仿宋"/>
          <w:bCs/>
          <w:color w:val="auto"/>
          <w:sz w:val="32"/>
          <w:szCs w:val="32"/>
        </w:rPr>
      </w:pPr>
      <w:r>
        <w:rPr>
          <w:rFonts w:hint="eastAsia" w:ascii="仿宋" w:hAnsi="仿宋" w:eastAsia="仿宋" w:cs="仿宋"/>
          <w:color w:val="auto"/>
          <w:sz w:val="32"/>
          <w:szCs w:val="32"/>
          <w:lang w:val="zh-CN"/>
        </w:rPr>
        <w:t>（2）报价截止后，提交响应文件的供应商不足3家</w:t>
      </w:r>
      <w:r>
        <w:rPr>
          <w:rFonts w:hint="eastAsia" w:ascii="仿宋" w:hAnsi="仿宋" w:eastAsia="仿宋" w:cs="仿宋"/>
          <w:bCs/>
          <w:color w:val="auto"/>
          <w:sz w:val="32"/>
          <w:szCs w:val="32"/>
        </w:rPr>
        <w:t>；</w:t>
      </w:r>
    </w:p>
    <w:p w14:paraId="547B424B">
      <w:pPr>
        <w:spacing w:line="240" w:lineRule="auto"/>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（3）评</w:t>
      </w:r>
      <w:r>
        <w:rPr>
          <w:rFonts w:hint="eastAsia" w:ascii="仿宋" w:hAnsi="仿宋" w:eastAsia="仿宋" w:cs="仿宋"/>
          <w:bCs/>
          <w:color w:val="auto"/>
          <w:sz w:val="32"/>
          <w:szCs w:val="32"/>
          <w:lang w:eastAsia="zh-CN"/>
        </w:rPr>
        <w:t>审</w:t>
      </w:r>
      <w:r>
        <w:rPr>
          <w:rFonts w:hint="eastAsia" w:ascii="仿宋" w:hAnsi="仿宋" w:eastAsia="仿宋" w:cs="仿宋"/>
          <w:bCs/>
          <w:color w:val="auto"/>
          <w:sz w:val="32"/>
          <w:szCs w:val="32"/>
        </w:rPr>
        <w:t>过程中出现</w:t>
      </w:r>
      <w:r>
        <w:rPr>
          <w:rFonts w:hint="eastAsia" w:ascii="仿宋" w:hAnsi="仿宋" w:eastAsia="仿宋" w:cs="仿宋"/>
          <w:color w:val="auto"/>
          <w:sz w:val="32"/>
          <w:szCs w:val="32"/>
        </w:rPr>
        <w:t>符合专业条件的供应商或者对谈判文件作实质性响应的供应商不足3家的</w:t>
      </w:r>
      <w:r>
        <w:rPr>
          <w:rFonts w:hint="eastAsia" w:ascii="仿宋" w:hAnsi="仿宋" w:eastAsia="仿宋" w:cs="仿宋"/>
          <w:bCs/>
          <w:color w:val="auto"/>
          <w:sz w:val="32"/>
          <w:szCs w:val="32"/>
        </w:rPr>
        <w:t>。</w:t>
      </w:r>
    </w:p>
    <w:p w14:paraId="796C5EDB">
      <w:pPr>
        <w:spacing w:line="240" w:lineRule="auto"/>
        <w:ind w:firstLine="482"/>
        <w:outlineLvl w:val="1"/>
        <w:rPr>
          <w:rFonts w:hint="eastAsia" w:ascii="仿宋" w:hAnsi="仿宋" w:eastAsia="仿宋" w:cs="仿宋"/>
          <w:b w:val="0"/>
          <w:bCs w:val="0"/>
          <w:color w:val="000000"/>
          <w:sz w:val="32"/>
          <w:szCs w:val="32"/>
          <w:lang w:val="zh-CN"/>
        </w:rPr>
      </w:pPr>
      <w:bookmarkStart w:id="63" w:name="_Toc11910"/>
      <w:bookmarkStart w:id="64" w:name="_Toc823"/>
      <w:bookmarkStart w:id="65" w:name="_Toc28507"/>
      <w:bookmarkStart w:id="66" w:name="_Toc20377"/>
      <w:r>
        <w:rPr>
          <w:rFonts w:hint="eastAsia" w:ascii="仿宋" w:hAnsi="仿宋" w:eastAsia="仿宋" w:cs="仿宋"/>
          <w:b w:val="0"/>
          <w:bCs w:val="0"/>
          <w:color w:val="000000"/>
          <w:sz w:val="32"/>
          <w:szCs w:val="32"/>
          <w:lang w:val="zh-CN"/>
        </w:rPr>
        <w:t>15.谈判预备会议</w:t>
      </w:r>
      <w:bookmarkEnd w:id="63"/>
      <w:bookmarkEnd w:id="64"/>
      <w:bookmarkEnd w:id="65"/>
      <w:bookmarkEnd w:id="66"/>
    </w:p>
    <w:p w14:paraId="7F9D8A3C">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15.1 采购中心将在</w:t>
      </w:r>
      <w:r>
        <w:rPr>
          <w:rFonts w:hint="eastAsia" w:ascii="仿宋" w:hAnsi="仿宋" w:eastAsia="仿宋" w:cs="仿宋"/>
          <w:color w:val="auto"/>
          <w:sz w:val="32"/>
          <w:szCs w:val="32"/>
          <w:lang w:val="zh-CN"/>
        </w:rPr>
        <w:t>《竞争性谈判邀请书》</w:t>
      </w:r>
      <w:r>
        <w:rPr>
          <w:rFonts w:hint="eastAsia" w:ascii="仿宋" w:hAnsi="仿宋" w:eastAsia="仿宋" w:cs="仿宋"/>
          <w:color w:val="000000"/>
          <w:sz w:val="32"/>
          <w:szCs w:val="32"/>
          <w:lang w:val="zh-CN"/>
        </w:rPr>
        <w:t>规定的时间和地点召开谈判预备会议，</w:t>
      </w:r>
      <w:r>
        <w:rPr>
          <w:rFonts w:hint="eastAsia" w:ascii="仿宋" w:hAnsi="仿宋" w:eastAsia="仿宋" w:cs="仿宋"/>
          <w:bCs/>
          <w:color w:val="000000"/>
          <w:sz w:val="32"/>
          <w:szCs w:val="32"/>
          <w:lang w:val="zh-CN"/>
        </w:rPr>
        <w:t>供应商法定代表人或其授权代理人应参加并签名报到以证明其出席，并携带有效身份证件以备审查。</w:t>
      </w:r>
    </w:p>
    <w:p w14:paraId="7A78F0E5">
      <w:pPr>
        <w:spacing w:line="240" w:lineRule="auto"/>
        <w:ind w:firstLine="480"/>
        <w:rPr>
          <w:rFonts w:hint="eastAsia" w:ascii="仿宋" w:hAnsi="仿宋" w:eastAsia="仿宋" w:cs="仿宋"/>
          <w:color w:val="auto"/>
          <w:sz w:val="32"/>
          <w:szCs w:val="32"/>
          <w:lang w:val="zh-CN"/>
        </w:rPr>
      </w:pPr>
      <w:r>
        <w:rPr>
          <w:rFonts w:hint="eastAsia" w:ascii="仿宋" w:hAnsi="仿宋" w:eastAsia="仿宋" w:cs="仿宋"/>
          <w:color w:val="000000"/>
          <w:sz w:val="32"/>
          <w:szCs w:val="32"/>
          <w:lang w:val="zh-CN"/>
        </w:rPr>
        <w:t>15.2 谈判预备会议由采购中心组织。会议开始，先由供应商代表检查响应文件的密封情况并当场宣布检查情况；</w:t>
      </w:r>
      <w:r>
        <w:rPr>
          <w:rFonts w:hint="eastAsia" w:ascii="仿宋" w:hAnsi="仿宋" w:eastAsia="仿宋" w:cs="仿宋"/>
          <w:color w:val="auto"/>
          <w:sz w:val="32"/>
          <w:szCs w:val="32"/>
          <w:lang w:val="zh-CN"/>
        </w:rPr>
        <w:t>然后，由采购中心当众宣读在规定的“谈判截止时间”之前确认参加谈判的供应商名单、提交谈判文件的情况，报价方式、谈判程序、评标方法和标准。</w:t>
      </w:r>
    </w:p>
    <w:p w14:paraId="7951F29A">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15.3 按照本须知第13条规定，提交了可接受“撤回”通知的响应文件将原封退回供应商。</w:t>
      </w:r>
    </w:p>
    <w:p w14:paraId="52684E31">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15.4 采购中心将做会议记录，会议记录包括按供应商须知第15.2款的规定在会上宣读的全部内容。</w:t>
      </w:r>
    </w:p>
    <w:p w14:paraId="55ECDC3B">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15.5</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lang w:val="zh-CN"/>
        </w:rPr>
        <w:t>有下列情形之一的为无效响应文件：</w:t>
      </w:r>
    </w:p>
    <w:p w14:paraId="55225FA2">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（1）响应文件在规定的报价截止时间以后送达的；</w:t>
      </w:r>
    </w:p>
    <w:p w14:paraId="7CE0F5BB">
      <w:pPr>
        <w:spacing w:line="240" w:lineRule="auto"/>
        <w:ind w:firstLine="480"/>
        <w:rPr>
          <w:rFonts w:hint="eastAsia" w:ascii="仿宋" w:hAnsi="仿宋" w:eastAsia="仿宋" w:cs="仿宋"/>
          <w:bCs/>
          <w:color w:val="000000"/>
          <w:sz w:val="32"/>
          <w:szCs w:val="32"/>
          <w:lang w:val="zh-CN"/>
        </w:rPr>
      </w:pPr>
      <w:r>
        <w:rPr>
          <w:rFonts w:hint="eastAsia" w:ascii="仿宋" w:hAnsi="仿宋" w:eastAsia="仿宋" w:cs="仿宋"/>
          <w:color w:val="000000"/>
          <w:sz w:val="32"/>
          <w:szCs w:val="32"/>
          <w:lang w:val="zh-CN"/>
        </w:rPr>
        <w:t>（2）未按谈判文件规定提交谈判保证金的；</w:t>
      </w:r>
    </w:p>
    <w:p w14:paraId="0E252125">
      <w:pPr>
        <w:spacing w:line="240" w:lineRule="auto"/>
        <w:ind w:firstLine="482"/>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lang w:val="zh-CN"/>
        </w:rPr>
        <w:t xml:space="preserve">）到谈判截止时间未签到的； </w:t>
      </w:r>
    </w:p>
    <w:p w14:paraId="6BEF2A01">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zh-CN"/>
        </w:rPr>
        <w:t>）</w:t>
      </w:r>
      <w:r>
        <w:rPr>
          <w:rFonts w:hint="eastAsia" w:ascii="仿宋" w:hAnsi="仿宋" w:eastAsia="仿宋" w:cs="仿宋"/>
          <w:bCs/>
          <w:color w:val="000000"/>
          <w:sz w:val="32"/>
          <w:szCs w:val="32"/>
          <w:lang w:val="zh-CN"/>
        </w:rPr>
        <w:t>未点击确认参加谈判的，或者报价供应商名称与确认参加谈判的供应商名称不符的；</w:t>
      </w:r>
    </w:p>
    <w:p w14:paraId="56F9F7F7">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val="zh-CN"/>
        </w:rPr>
        <w:t>）谈判文件规定提交响应文件时属于无效报价其他情形的。</w:t>
      </w:r>
    </w:p>
    <w:p w14:paraId="30542108">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16．谈判和评审过程的保密性：</w:t>
      </w:r>
      <w:r>
        <w:rPr>
          <w:rFonts w:hint="eastAsia" w:ascii="仿宋" w:hAnsi="仿宋" w:eastAsia="仿宋" w:cs="仿宋"/>
          <w:color w:val="000000"/>
          <w:sz w:val="32"/>
          <w:szCs w:val="32"/>
          <w:lang w:val="zh-CN"/>
        </w:rPr>
        <w:t>从报价截止时间起，直至向成交供应商授予合同时止，除按谈判文件规定予以公开的评审结果外，凡与谈判有关的资料以及授予合同的意见等，均不得向供应商及与谈判项目无关的其他人透露。</w:t>
      </w:r>
    </w:p>
    <w:p w14:paraId="522284C8">
      <w:pPr>
        <w:spacing w:line="240" w:lineRule="auto"/>
        <w:ind w:firstLine="482"/>
        <w:outlineLvl w:val="1"/>
        <w:rPr>
          <w:rFonts w:hint="eastAsia" w:ascii="仿宋" w:hAnsi="仿宋" w:eastAsia="仿宋" w:cs="仿宋"/>
          <w:b/>
          <w:bCs/>
          <w:color w:val="000000"/>
          <w:sz w:val="32"/>
          <w:szCs w:val="32"/>
          <w:lang w:val="zh-CN"/>
        </w:rPr>
      </w:pPr>
      <w:bookmarkStart w:id="67" w:name="_Toc12171"/>
      <w:bookmarkStart w:id="68" w:name="_Toc11251"/>
      <w:bookmarkStart w:id="69" w:name="_Toc31880"/>
      <w:bookmarkStart w:id="70" w:name="_Toc12236"/>
      <w:r>
        <w:rPr>
          <w:rFonts w:hint="eastAsia" w:ascii="仿宋" w:hAnsi="仿宋" w:eastAsia="仿宋" w:cs="仿宋"/>
          <w:b/>
          <w:bCs/>
          <w:color w:val="000000"/>
          <w:sz w:val="32"/>
          <w:szCs w:val="32"/>
          <w:lang w:val="zh-CN"/>
        </w:rPr>
        <w:t>17．谈判程序</w:t>
      </w:r>
      <w:bookmarkEnd w:id="67"/>
      <w:bookmarkEnd w:id="68"/>
      <w:bookmarkEnd w:id="69"/>
      <w:bookmarkEnd w:id="70"/>
    </w:p>
    <w:p w14:paraId="4F097C19">
      <w:pPr>
        <w:spacing w:line="240" w:lineRule="auto"/>
        <w:ind w:firstLine="482"/>
        <w:rPr>
          <w:rFonts w:hint="eastAsia" w:ascii="仿宋" w:hAnsi="仿宋" w:eastAsia="仿宋" w:cs="仿宋"/>
          <w:color w:val="000000"/>
          <w:sz w:val="32"/>
          <w:szCs w:val="32"/>
          <w:highlight w:val="none"/>
          <w:lang w:val="zh-CN"/>
        </w:rPr>
      </w:pPr>
      <w:r>
        <w:rPr>
          <w:rFonts w:hint="eastAsia" w:ascii="仿宋" w:hAnsi="仿宋" w:eastAsia="仿宋" w:cs="仿宋"/>
          <w:b w:val="0"/>
          <w:bCs w:val="0"/>
          <w:color w:val="000000"/>
          <w:sz w:val="32"/>
          <w:szCs w:val="32"/>
          <w:lang w:val="zh-CN"/>
        </w:rPr>
        <w:t>17.1 谈判小组：</w:t>
      </w:r>
      <w:r>
        <w:rPr>
          <w:rFonts w:hint="eastAsia" w:ascii="仿宋" w:hAnsi="仿宋" w:eastAsia="仿宋" w:cs="仿宋"/>
          <w:color w:val="000000"/>
          <w:sz w:val="32"/>
          <w:szCs w:val="32"/>
          <w:lang w:val="zh-CN"/>
        </w:rPr>
        <w:t>谈判工作由采购中心负责组织，具体谈判和评审工作由谈判小组负责。谈判小组由有关的技术、经济方面的专家和采购人代表组成。谈判小组的专家成员由采购人代表从</w:t>
      </w:r>
      <w:r>
        <w:rPr>
          <w:rFonts w:hint="eastAsia" w:ascii="仿宋" w:hAnsi="仿宋" w:eastAsia="仿宋" w:cs="仿宋"/>
          <w:color w:val="auto"/>
          <w:sz w:val="32"/>
          <w:szCs w:val="32"/>
          <w:highlight w:val="none"/>
          <w:lang w:val="zh-CN"/>
        </w:rPr>
        <w:t>政府采购评审</w:t>
      </w:r>
      <w:r>
        <w:rPr>
          <w:rFonts w:hint="eastAsia" w:ascii="仿宋" w:hAnsi="仿宋" w:eastAsia="仿宋" w:cs="仿宋"/>
          <w:color w:val="auto"/>
          <w:sz w:val="32"/>
          <w:szCs w:val="32"/>
          <w:lang w:val="zh-CN"/>
        </w:rPr>
        <w:t>专家库中随机抽取产生，采购人代表由采购人委派。</w:t>
      </w:r>
      <w:r>
        <w:rPr>
          <w:rFonts w:hint="eastAsia" w:ascii="仿宋" w:hAnsi="仿宋" w:eastAsia="仿宋" w:cs="仿宋"/>
          <w:color w:val="000000"/>
          <w:sz w:val="32"/>
          <w:szCs w:val="32"/>
          <w:lang w:val="zh-CN"/>
        </w:rPr>
        <w:t>谈判小组组长由专家担任并由谈判小组成员选举产生，负责主持谈判和评审工作。谈判小组根据谈判文件规定的程序、方法和标准独立进行谈判和评审，负责完成谈判和评审的全过程。采购中心只负责</w:t>
      </w:r>
      <w:r>
        <w:rPr>
          <w:rFonts w:hint="eastAsia" w:ascii="仿宋" w:hAnsi="仿宋" w:eastAsia="仿宋" w:cs="仿宋"/>
          <w:color w:val="000000"/>
          <w:sz w:val="32"/>
          <w:szCs w:val="32"/>
          <w:highlight w:val="none"/>
          <w:lang w:val="zh-CN"/>
        </w:rPr>
        <w:t>评审组织工作，不参加评审。</w:t>
      </w:r>
    </w:p>
    <w:p w14:paraId="6736C4E9">
      <w:pPr>
        <w:spacing w:line="240" w:lineRule="auto"/>
        <w:ind w:firstLine="482"/>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zh-CN"/>
        </w:rPr>
        <w:t>采购中心</w:t>
      </w:r>
      <w:r>
        <w:rPr>
          <w:rFonts w:hint="eastAsia" w:ascii="仿宋" w:hAnsi="仿宋" w:eastAsia="仿宋" w:cs="仿宋"/>
          <w:color w:val="000000"/>
          <w:sz w:val="32"/>
          <w:szCs w:val="32"/>
        </w:rPr>
        <w:t>应当组织评审专家认真核对</w:t>
      </w:r>
      <w:r>
        <w:rPr>
          <w:rFonts w:hint="eastAsia" w:ascii="仿宋" w:hAnsi="仿宋" w:eastAsia="仿宋" w:cs="仿宋"/>
          <w:color w:val="000000"/>
          <w:sz w:val="32"/>
          <w:szCs w:val="32"/>
          <w:lang w:eastAsia="zh-CN"/>
        </w:rPr>
        <w:t>谈判文件</w:t>
      </w:r>
      <w:r>
        <w:rPr>
          <w:rFonts w:hint="eastAsia" w:ascii="仿宋" w:hAnsi="仿宋" w:eastAsia="仿宋" w:cs="仿宋"/>
          <w:color w:val="000000"/>
          <w:sz w:val="32"/>
          <w:szCs w:val="32"/>
        </w:rPr>
        <w:t>、响应文件及相关资信证明材料，切实履行职责。如发现</w:t>
      </w:r>
      <w:r>
        <w:rPr>
          <w:rFonts w:hint="eastAsia" w:ascii="仿宋" w:hAnsi="仿宋" w:eastAsia="仿宋" w:cs="仿宋"/>
          <w:color w:val="000000"/>
          <w:sz w:val="32"/>
          <w:szCs w:val="32"/>
          <w:highlight w:val="none"/>
          <w:lang w:eastAsia="zh-CN"/>
        </w:rPr>
        <w:t>评审</w:t>
      </w:r>
      <w:r>
        <w:rPr>
          <w:rFonts w:hint="eastAsia" w:ascii="仿宋" w:hAnsi="仿宋" w:eastAsia="仿宋" w:cs="仿宋"/>
          <w:color w:val="000000"/>
          <w:sz w:val="32"/>
          <w:szCs w:val="32"/>
          <w:highlight w:val="none"/>
        </w:rPr>
        <w:t>过程中评审专家对有关政策、法律、制度规定等方面出现的误解，应当并进行正确的阐述和纠偏。</w:t>
      </w:r>
    </w:p>
    <w:p w14:paraId="76B32CD2">
      <w:pPr>
        <w:spacing w:line="24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highlight w:val="none"/>
        </w:rPr>
        <w:t>谈判小组成员如发现竞争性谈判文件内容违反国家有关强制性规定的，应当停止评审并向采购人或者</w:t>
      </w:r>
      <w:r>
        <w:rPr>
          <w:rFonts w:hint="eastAsia" w:ascii="仿宋" w:hAnsi="仿宋" w:eastAsia="仿宋" w:cs="仿宋"/>
          <w:color w:val="000000"/>
          <w:sz w:val="32"/>
          <w:szCs w:val="32"/>
          <w:highlight w:val="none"/>
          <w:lang w:val="zh-CN"/>
        </w:rPr>
        <w:t>采购中心</w:t>
      </w:r>
      <w:r>
        <w:rPr>
          <w:rFonts w:hint="eastAsia" w:ascii="仿宋" w:hAnsi="仿宋" w:eastAsia="仿宋" w:cs="仿宋"/>
          <w:color w:val="000000"/>
          <w:sz w:val="32"/>
          <w:szCs w:val="32"/>
          <w:highlight w:val="none"/>
        </w:rPr>
        <w:t>说</w:t>
      </w:r>
      <w:r>
        <w:rPr>
          <w:rFonts w:hint="eastAsia" w:ascii="仿宋" w:hAnsi="仿宋" w:eastAsia="仿宋" w:cs="仿宋"/>
          <w:color w:val="000000"/>
          <w:sz w:val="32"/>
          <w:szCs w:val="32"/>
        </w:rPr>
        <w:t>明情况并提出修改意见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采购人应当按照评审专家给出的意见修改竞争性谈判文件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如采购人坚持不修改，采购中心可暂停本项目的采购工作，并报政府采购监督管理部门处理。</w:t>
      </w:r>
    </w:p>
    <w:p w14:paraId="56D4E63C">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17.2 审查供应商是否存在串通投标行为：</w:t>
      </w:r>
      <w:r>
        <w:rPr>
          <w:rFonts w:hint="eastAsia" w:ascii="仿宋" w:hAnsi="仿宋" w:eastAsia="仿宋" w:cs="仿宋"/>
          <w:color w:val="000000"/>
          <w:sz w:val="32"/>
          <w:szCs w:val="32"/>
          <w:lang w:val="zh-CN"/>
        </w:rPr>
        <w:t>谈判小组发现供应商有下列情形之一的，将认定属于串通投标行为，相关供应商的报价应作废标处理。评审结束后，采购中心将以书面形式报告政府采购监督管理部门：</w:t>
      </w:r>
    </w:p>
    <w:p w14:paraId="2488769E">
      <w:pPr>
        <w:spacing w:line="24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（1）不同投标人的投标文件由同一单位或者个人编制；</w:t>
      </w:r>
    </w:p>
    <w:p w14:paraId="37EDB8CC">
      <w:pPr>
        <w:spacing w:line="24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（2）不同投标人委托同一单位或者个人办理投标事宜；</w:t>
      </w:r>
    </w:p>
    <w:p w14:paraId="753311B6">
      <w:pPr>
        <w:spacing w:line="24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（3）不同投标人的投标文件载明的项目管理成员或者联系人员为同一人；</w:t>
      </w:r>
    </w:p>
    <w:p w14:paraId="54B92648">
      <w:pPr>
        <w:spacing w:line="24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（4）不同投标人的投标文件异常一致或者投标报价呈规律性差异；</w:t>
      </w:r>
    </w:p>
    <w:p w14:paraId="62F6B88B">
      <w:pPr>
        <w:spacing w:line="24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（5）不同投标人的投标文件相互混装；</w:t>
      </w:r>
    </w:p>
    <w:p w14:paraId="060AE238">
      <w:pPr>
        <w:spacing w:line="240" w:lineRule="auto"/>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（6）不同投标人的投标保证金从同一单位或者个人的账户转出。</w:t>
      </w:r>
    </w:p>
    <w:p w14:paraId="440AE154">
      <w:pPr>
        <w:spacing w:line="240" w:lineRule="auto"/>
        <w:ind w:firstLine="482"/>
        <w:rPr>
          <w:rFonts w:hint="eastAsia" w:ascii="仿宋" w:hAnsi="仿宋" w:eastAsia="仿宋" w:cs="仿宋"/>
          <w:bCs/>
          <w:color w:val="000000"/>
          <w:sz w:val="32"/>
          <w:szCs w:val="32"/>
          <w:lang w:val="zh-CN"/>
        </w:rPr>
      </w:pPr>
      <w:r>
        <w:rPr>
          <w:rFonts w:hint="eastAsia" w:ascii="仿宋" w:hAnsi="仿宋" w:eastAsia="仿宋" w:cs="仿宋"/>
          <w:b/>
          <w:bCs/>
          <w:color w:val="000000"/>
          <w:sz w:val="32"/>
          <w:szCs w:val="32"/>
          <w:lang w:val="zh-CN"/>
        </w:rPr>
        <w:t>17.3 对响应文件商务部分（供应商资格）进行审查：</w:t>
      </w:r>
      <w:r>
        <w:rPr>
          <w:rFonts w:hint="eastAsia" w:ascii="仿宋" w:hAnsi="仿宋" w:eastAsia="仿宋" w:cs="仿宋"/>
          <w:color w:val="000000"/>
          <w:sz w:val="32"/>
          <w:szCs w:val="32"/>
          <w:lang w:val="zh-CN"/>
        </w:rPr>
        <w:t>谈判小组将审查每个供应商提交的商务文件是否齐全完整，是否合法有效，是否有重大偏离，是否符合谈判文件要求。</w:t>
      </w:r>
      <w:r>
        <w:rPr>
          <w:rFonts w:hint="eastAsia" w:ascii="仿宋" w:hAnsi="仿宋" w:eastAsia="仿宋" w:cs="仿宋"/>
          <w:bCs/>
          <w:color w:val="000000"/>
          <w:sz w:val="32"/>
          <w:szCs w:val="32"/>
          <w:lang w:val="zh-CN"/>
        </w:rPr>
        <w:t>商务（供应商资格）审查不符合谈判文件要求的供应商将被取消参加谈判的资格。</w:t>
      </w:r>
    </w:p>
    <w:p w14:paraId="4825AFBC">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val="0"/>
          <w:bCs w:val="0"/>
          <w:color w:val="000000"/>
          <w:sz w:val="32"/>
          <w:szCs w:val="32"/>
          <w:lang w:val="zh-CN"/>
        </w:rPr>
        <w:t>17.4 谈判</w:t>
      </w:r>
      <w:r>
        <w:rPr>
          <w:rFonts w:hint="eastAsia" w:ascii="仿宋" w:hAnsi="仿宋" w:eastAsia="仿宋" w:cs="仿宋"/>
          <w:b/>
          <w:bCs/>
          <w:color w:val="000000"/>
          <w:sz w:val="32"/>
          <w:szCs w:val="32"/>
          <w:lang w:val="zh-CN"/>
        </w:rPr>
        <w:t>：</w:t>
      </w:r>
      <w:r>
        <w:rPr>
          <w:rFonts w:hint="eastAsia" w:ascii="仿宋" w:hAnsi="仿宋" w:eastAsia="仿宋" w:cs="仿宋"/>
          <w:color w:val="000000"/>
          <w:sz w:val="32"/>
          <w:szCs w:val="32"/>
          <w:lang w:val="zh-CN"/>
        </w:rPr>
        <w:t>谈判小组根据谈判文件的规定，集体与商务（</w:t>
      </w:r>
      <w:r>
        <w:rPr>
          <w:rFonts w:hint="eastAsia" w:ascii="仿宋" w:hAnsi="仿宋" w:eastAsia="仿宋" w:cs="仿宋"/>
          <w:color w:val="000000"/>
          <w:sz w:val="32"/>
          <w:szCs w:val="32"/>
          <w:lang w:val="en"/>
        </w:rPr>
        <w:t>供应商</w:t>
      </w:r>
      <w:r>
        <w:rPr>
          <w:rFonts w:hint="eastAsia" w:ascii="仿宋" w:hAnsi="仿宋" w:eastAsia="仿宋" w:cs="仿宋"/>
          <w:color w:val="000000"/>
          <w:sz w:val="32"/>
          <w:szCs w:val="32"/>
          <w:lang w:val="zh-CN"/>
        </w:rPr>
        <w:t>资格）审查合格的供应商分别进行谈判。</w:t>
      </w:r>
    </w:p>
    <w:p w14:paraId="222286E9">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17.5 商务（供应商资格）审查合格的供应商进行第二次报价（最终报价）。</w:t>
      </w:r>
    </w:p>
    <w:p w14:paraId="11F7DDE8">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17.5.1 谈判小组将根据谈判情况，对谈判文件的商务部分和技术部分进行修改完善，形成“修改后的谈判文件”，并提交给商务审查合格的供应商，由供应商在规定的时间内按照“修改后的谈判文件”要求进行第二次报价。</w:t>
      </w:r>
    </w:p>
    <w:p w14:paraId="49A809CB">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17.5.2 第二次响应文件必须由供应商法定代表人或其授权代理人手书签字（必须与响应文件签字人相符，并提交其有效身份证件供审查，需要加盖公章时，供应商应按谈判小组的要求在规定时间内加盖公章）；</w:t>
      </w:r>
    </w:p>
    <w:p w14:paraId="79B7B9FB">
      <w:pPr>
        <w:spacing w:line="240" w:lineRule="auto"/>
        <w:ind w:firstLine="482"/>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17.5.3 第二次报价将在所有合格供应商在场的情况下公开进行，供应商法定代表人或其授权代理人应参加并签名报到以证明其出席。</w:t>
      </w:r>
    </w:p>
    <w:p w14:paraId="40867CF7">
      <w:pPr>
        <w:spacing w:line="240" w:lineRule="auto"/>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17.6 审查合格供应商的第二次报价是否均超过采购预算：</w:t>
      </w:r>
      <w:r>
        <w:rPr>
          <w:rFonts w:hint="eastAsia" w:ascii="仿宋" w:hAnsi="仿宋" w:eastAsia="仿宋" w:cs="仿宋"/>
          <w:color w:val="000000"/>
          <w:sz w:val="32"/>
          <w:szCs w:val="32"/>
          <w:lang w:val="zh-CN"/>
        </w:rPr>
        <w:t>根据《中华人民共和国政府采购法》的规定，所有供应商的报价均超过采购预算，采购人不能支付的，应予废标。</w:t>
      </w:r>
    </w:p>
    <w:p w14:paraId="6EEC0E74">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17.7 审查第二次响应文件是否实质性响应了“修改后的谈判文件”的要求</w:t>
      </w:r>
    </w:p>
    <w:p w14:paraId="71691EAB">
      <w:pPr>
        <w:spacing w:line="240" w:lineRule="auto"/>
        <w:ind w:firstLine="480"/>
        <w:rPr>
          <w:rFonts w:hint="eastAsia" w:ascii="仿宋" w:hAnsi="仿宋" w:eastAsia="仿宋" w:cs="仿宋"/>
          <w:b/>
          <w:bCs/>
          <w:color w:val="000000"/>
          <w:sz w:val="32"/>
          <w:szCs w:val="32"/>
          <w:lang w:val="zh-CN"/>
        </w:rPr>
      </w:pPr>
      <w:r>
        <w:rPr>
          <w:rFonts w:hint="eastAsia" w:ascii="仿宋" w:hAnsi="仿宋" w:eastAsia="仿宋" w:cs="仿宋"/>
          <w:color w:val="000000"/>
          <w:sz w:val="32"/>
          <w:szCs w:val="32"/>
          <w:lang w:val="zh-CN"/>
        </w:rPr>
        <w:t>17.7.1 实质性响应的响应文件是指与“修改后的谈判文件”的全部条款、条件和技术规范相符，没有重大偏离。没有实质性响应谈判文件要求的响应文件将被拒绝。</w:t>
      </w:r>
    </w:p>
    <w:p w14:paraId="144A84FE">
      <w:pPr>
        <w:spacing w:line="240" w:lineRule="auto"/>
        <w:ind w:firstLine="482"/>
        <w:rPr>
          <w:rFonts w:hint="eastAsia" w:ascii="仿宋" w:hAnsi="仿宋" w:eastAsia="仿宋" w:cs="仿宋"/>
          <w:b/>
          <w:bCs/>
          <w:color w:val="000000"/>
          <w:sz w:val="32"/>
          <w:szCs w:val="32"/>
          <w:lang w:val="zh-CN"/>
        </w:rPr>
      </w:pPr>
      <w:r>
        <w:rPr>
          <w:rFonts w:hint="eastAsia" w:ascii="仿宋" w:hAnsi="仿宋" w:eastAsia="仿宋" w:cs="仿宋"/>
          <w:b w:val="0"/>
          <w:bCs w:val="0"/>
          <w:color w:val="000000"/>
          <w:sz w:val="32"/>
          <w:szCs w:val="32"/>
          <w:lang w:val="zh-CN"/>
        </w:rPr>
        <w:t>17.7.2 重大偏离是指实质上影响合同的供货范围、质量和性能，或者实质上限制了合同中采购人的权利或供应商的义务。</w:t>
      </w:r>
      <w:r>
        <w:rPr>
          <w:rFonts w:hint="eastAsia" w:ascii="仿宋" w:hAnsi="仿宋" w:eastAsia="仿宋" w:cs="仿宋"/>
          <w:b/>
          <w:bCs/>
          <w:color w:val="000000"/>
          <w:sz w:val="32"/>
          <w:szCs w:val="32"/>
          <w:lang w:val="zh-CN"/>
        </w:rPr>
        <w:t>第二次响应文件有下列情形之一的属于重大偏离，将作为无效响应文件予以拒绝。</w:t>
      </w:r>
    </w:p>
    <w:p w14:paraId="28D3ADAB">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（1）响应文件未按谈判文件的规定</w:t>
      </w:r>
      <w:r>
        <w:rPr>
          <w:rFonts w:hint="eastAsia" w:ascii="仿宋" w:hAnsi="仿宋" w:eastAsia="仿宋" w:cs="仿宋"/>
          <w:bCs/>
          <w:color w:val="000000"/>
          <w:sz w:val="32"/>
          <w:szCs w:val="32"/>
          <w:lang w:val="zh-CN"/>
        </w:rPr>
        <w:t>有效签署或加盖公章；</w:t>
      </w:r>
    </w:p>
    <w:p w14:paraId="613E10CB">
      <w:pPr>
        <w:tabs>
          <w:tab w:val="left" w:pos="1920"/>
        </w:tabs>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（2）响应文件载明的项目完成期限超过谈判文件规定的期限；</w:t>
      </w:r>
    </w:p>
    <w:p w14:paraId="5E90DBFE">
      <w:pPr>
        <w:tabs>
          <w:tab w:val="left" w:pos="1920"/>
        </w:tabs>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（3）响应文件明显不符合谈判文件规定的技术规格、技术标准要求；</w:t>
      </w:r>
    </w:p>
    <w:p w14:paraId="649F1C4F">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（4）响应文件载明的货物检验标准和方法等明显不符合谈判文件要求；</w:t>
      </w:r>
    </w:p>
    <w:p w14:paraId="32FB4F8E">
      <w:pPr>
        <w:tabs>
          <w:tab w:val="left" w:pos="1920"/>
        </w:tabs>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（5）响应文件附有采购人不能接受的条件；</w:t>
      </w:r>
    </w:p>
    <w:p w14:paraId="0D2092F3">
      <w:pPr>
        <w:tabs>
          <w:tab w:val="left" w:pos="1920"/>
        </w:tabs>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（6）其他非实质性响应谈判文件要求的情形。</w:t>
      </w:r>
    </w:p>
    <w:p w14:paraId="035AC257">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17.7.3 谈判小组将允许修正响应文件中不构成重大偏离的细微偏离，但这些修正应不会对实质上响应谈判文件要求的供应商的竞争地位（相互排序）产生不公正的影响。</w:t>
      </w:r>
    </w:p>
    <w:p w14:paraId="47CD5626">
      <w:pPr>
        <w:spacing w:line="240" w:lineRule="auto"/>
        <w:ind w:firstLine="482"/>
        <w:rPr>
          <w:rFonts w:hint="eastAsia" w:ascii="仿宋" w:hAnsi="仿宋" w:eastAsia="仿宋" w:cs="仿宋"/>
          <w:bCs/>
          <w:color w:val="000000"/>
          <w:sz w:val="32"/>
          <w:szCs w:val="32"/>
          <w:lang w:val="zh-CN"/>
        </w:rPr>
      </w:pPr>
      <w:r>
        <w:rPr>
          <w:rFonts w:hint="eastAsia" w:ascii="仿宋" w:hAnsi="仿宋" w:eastAsia="仿宋" w:cs="仿宋"/>
          <w:bCs/>
          <w:color w:val="000000"/>
          <w:sz w:val="32"/>
          <w:szCs w:val="32"/>
          <w:lang w:val="zh-CN"/>
        </w:rPr>
        <w:t>17.7.4 谈判小组对响应文件的判定，只依据响应文件内容本身，不依据任何外来证明。</w:t>
      </w:r>
    </w:p>
    <w:p w14:paraId="5D4E3F18">
      <w:pPr>
        <w:spacing w:line="240" w:lineRule="auto"/>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 xml:space="preserve">17.8 </w:t>
      </w:r>
      <w:r>
        <w:rPr>
          <w:rFonts w:hint="eastAsia" w:ascii="仿宋" w:hAnsi="仿宋" w:eastAsia="仿宋" w:cs="仿宋"/>
          <w:b/>
          <w:bCs/>
          <w:color w:val="000000"/>
          <w:sz w:val="32"/>
          <w:szCs w:val="32"/>
          <w:highlight w:val="none"/>
          <w:lang w:val="zh-CN"/>
        </w:rPr>
        <w:t>报价的审查：</w:t>
      </w:r>
      <w:r>
        <w:rPr>
          <w:rFonts w:hint="eastAsia" w:ascii="仿宋" w:hAnsi="仿宋" w:eastAsia="仿宋" w:cs="仿宋"/>
          <w:color w:val="000000"/>
          <w:sz w:val="32"/>
          <w:szCs w:val="32"/>
          <w:highlight w:val="none"/>
          <w:lang w:val="zh-CN"/>
        </w:rPr>
        <w:t>所有供应商的报价均以第二次公开报价会上当众宣布的总报价为准。公开宣布的总报价即为评标价。</w:t>
      </w:r>
      <w:r>
        <w:rPr>
          <w:rFonts w:hint="eastAsia" w:ascii="仿宋" w:hAnsi="仿宋" w:eastAsia="仿宋" w:cs="仿宋"/>
          <w:b/>
          <w:color w:val="000000"/>
          <w:sz w:val="32"/>
          <w:szCs w:val="32"/>
        </w:rPr>
        <w:t xml:space="preserve">   </w:t>
      </w:r>
    </w:p>
    <w:p w14:paraId="6365498E">
      <w:pPr>
        <w:tabs>
          <w:tab w:val="left" w:pos="3675"/>
        </w:tabs>
        <w:spacing w:line="240" w:lineRule="auto"/>
        <w:ind w:firstLine="482"/>
        <w:outlineLvl w:val="1"/>
        <w:rPr>
          <w:rFonts w:hint="eastAsia" w:ascii="仿宋" w:hAnsi="仿宋" w:eastAsia="仿宋" w:cs="仿宋"/>
          <w:bCs/>
          <w:sz w:val="32"/>
          <w:szCs w:val="32"/>
          <w:lang w:val="zh-CN"/>
        </w:rPr>
      </w:pPr>
      <w:bookmarkStart w:id="71" w:name="_Toc23504"/>
      <w:bookmarkStart w:id="72" w:name="_Toc16859"/>
      <w:bookmarkStart w:id="73" w:name="_Toc27706"/>
      <w:bookmarkStart w:id="74" w:name="_Toc25433"/>
      <w:r>
        <w:rPr>
          <w:rFonts w:hint="eastAsia" w:ascii="仿宋" w:hAnsi="仿宋" w:eastAsia="仿宋" w:cs="仿宋"/>
          <w:bCs/>
          <w:sz w:val="32"/>
          <w:szCs w:val="32"/>
          <w:lang w:val="zh-CN"/>
        </w:rPr>
        <w:t>18. 政府采购进口产品的规定</w:t>
      </w:r>
      <w:bookmarkEnd w:id="71"/>
      <w:bookmarkEnd w:id="72"/>
      <w:bookmarkEnd w:id="73"/>
      <w:bookmarkEnd w:id="74"/>
    </w:p>
    <w:p w14:paraId="18FE39EC">
      <w:pPr>
        <w:spacing w:line="240" w:lineRule="auto"/>
        <w:ind w:firstLine="480"/>
        <w:rPr>
          <w:rFonts w:hint="eastAsia" w:ascii="仿宋" w:hAnsi="仿宋" w:eastAsia="仿宋" w:cs="仿宋"/>
          <w:sz w:val="32"/>
          <w:szCs w:val="32"/>
        </w:rPr>
      </w:pPr>
      <w:r>
        <w:rPr>
          <w:rFonts w:hint="eastAsia" w:ascii="仿宋" w:hAnsi="仿宋" w:eastAsia="仿宋" w:cs="仿宋"/>
          <w:sz w:val="32"/>
          <w:szCs w:val="32"/>
          <w:lang w:val="zh-CN"/>
        </w:rPr>
        <w:t>按照财政部《政府采购进口产品管理办法》第一章第四条关于“政府采购应当采购本国产品，确需采购进口产品（指通过中国海关报关验放进入中国境内且产自关境外的产品）的，实行审核管理”的规定，磋商采购文件中凡未明确标明采购进口产品的，均为采购本国产品，供应商必须投标本国产品，投标进口产品的为无效投标。</w:t>
      </w:r>
    </w:p>
    <w:p w14:paraId="7156C3B7">
      <w:pPr>
        <w:tabs>
          <w:tab w:val="left" w:pos="3120"/>
        </w:tabs>
        <w:spacing w:line="240" w:lineRule="auto"/>
        <w:ind w:firstLine="482"/>
        <w:rPr>
          <w:rFonts w:hint="eastAsia" w:ascii="仿宋" w:hAnsi="仿宋" w:eastAsia="仿宋" w:cs="仿宋"/>
          <w:bCs/>
          <w:sz w:val="32"/>
          <w:szCs w:val="32"/>
          <w:lang w:val="zh-CN"/>
        </w:rPr>
      </w:pPr>
      <w:r>
        <w:rPr>
          <w:rFonts w:hint="eastAsia" w:ascii="仿宋" w:hAnsi="仿宋" w:eastAsia="仿宋" w:cs="仿宋"/>
          <w:bCs/>
          <w:sz w:val="32"/>
          <w:szCs w:val="32"/>
          <w:lang w:val="zh-CN"/>
        </w:rPr>
        <w:t>在中国境内生产或组装的外国品牌产品须标明该产品在中国国内制造厂商名称。否则，按进口产品对待。</w:t>
      </w:r>
    </w:p>
    <w:p w14:paraId="5C556CB9">
      <w:pPr>
        <w:spacing w:line="240" w:lineRule="auto"/>
        <w:ind w:firstLine="482"/>
        <w:outlineLvl w:val="1"/>
        <w:rPr>
          <w:rFonts w:hint="eastAsia" w:ascii="仿宋" w:hAnsi="仿宋" w:eastAsia="仿宋" w:cs="仿宋"/>
          <w:bCs/>
          <w:sz w:val="32"/>
          <w:szCs w:val="32"/>
        </w:rPr>
      </w:pPr>
      <w:bookmarkStart w:id="75" w:name="_Toc3193"/>
      <w:bookmarkStart w:id="76" w:name="_Toc16435"/>
      <w:bookmarkStart w:id="77" w:name="_Toc24760"/>
      <w:bookmarkStart w:id="78" w:name="_Toc24287"/>
      <w:r>
        <w:rPr>
          <w:rFonts w:hint="eastAsia" w:ascii="仿宋" w:hAnsi="仿宋" w:eastAsia="仿宋" w:cs="仿宋"/>
          <w:bCs/>
          <w:sz w:val="32"/>
          <w:szCs w:val="32"/>
          <w:lang w:val="zh-CN"/>
        </w:rPr>
        <w:t>19.政府强制采购节能产品的规定</w:t>
      </w:r>
      <w:bookmarkEnd w:id="75"/>
      <w:bookmarkEnd w:id="76"/>
      <w:bookmarkEnd w:id="77"/>
      <w:bookmarkEnd w:id="78"/>
    </w:p>
    <w:p w14:paraId="7A57263A">
      <w:pPr>
        <w:numPr>
          <w:ilvl w:val="-1"/>
          <w:numId w:val="0"/>
        </w:numPr>
        <w:ind w:left="0" w:leftChars="0"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rPr>
        <w:t>9.1 按照财政部、发展改革委、生态环境部、市场监管总局最新发布执行的《节能产品、环境认证产品政府采购品目清单》的规定，若所投产品属于政府强制采购节能产品，供应商必须提供该产品取得国家确定的认证机构出具的、处于有效期内的节能产品认证证书，否则投标无效。</w:t>
      </w:r>
    </w:p>
    <w:p w14:paraId="616DBCB8">
      <w:pPr>
        <w:spacing w:line="240" w:lineRule="auto"/>
        <w:ind w:firstLine="482"/>
        <w:rPr>
          <w:rFonts w:hint="eastAsia" w:ascii="仿宋" w:hAnsi="仿宋" w:eastAsia="仿宋" w:cs="仿宋"/>
          <w:bCs/>
          <w:sz w:val="32"/>
          <w:szCs w:val="32"/>
          <w:lang w:val="zh-CN"/>
        </w:rPr>
      </w:pPr>
      <w:r>
        <w:rPr>
          <w:rFonts w:hint="eastAsia" w:ascii="仿宋" w:hAnsi="仿宋" w:eastAsia="仿宋" w:cs="仿宋"/>
          <w:bCs/>
          <w:color w:val="auto"/>
          <w:sz w:val="32"/>
          <w:szCs w:val="32"/>
          <w:lang w:val="zh-CN"/>
        </w:rPr>
        <w:t>19.2 采购需求中包含计算机设备的</w:t>
      </w:r>
      <w:r>
        <w:rPr>
          <w:rFonts w:hint="eastAsia" w:ascii="仿宋" w:hAnsi="仿宋" w:eastAsia="仿宋" w:cs="仿宋"/>
          <w:bCs/>
          <w:sz w:val="32"/>
          <w:szCs w:val="32"/>
          <w:lang w:val="zh-CN"/>
        </w:rPr>
        <w:t>，供应商必须安装正版操作系统软件，否则无效。</w:t>
      </w:r>
    </w:p>
    <w:p w14:paraId="7A2C2D86">
      <w:pPr>
        <w:ind w:firstLine="482"/>
        <w:outlineLvl w:val="1"/>
        <w:rPr>
          <w:rFonts w:hint="eastAsia" w:ascii="仿宋" w:hAnsi="仿宋" w:eastAsia="仿宋" w:cs="仿宋"/>
          <w:b/>
          <w:bCs/>
          <w:sz w:val="32"/>
          <w:szCs w:val="32"/>
          <w:lang w:val="zh-CN"/>
        </w:rPr>
      </w:pPr>
      <w:bookmarkStart w:id="79" w:name="_Toc31089"/>
      <w:bookmarkStart w:id="80" w:name="_Toc941"/>
      <w:bookmarkStart w:id="81" w:name="_Toc12767"/>
      <w:bookmarkStart w:id="82" w:name="_Toc8978"/>
      <w:r>
        <w:rPr>
          <w:rFonts w:hint="eastAsia" w:ascii="仿宋" w:hAnsi="仿宋" w:eastAsia="仿宋" w:cs="仿宋"/>
          <w:bCs/>
          <w:sz w:val="32"/>
          <w:szCs w:val="32"/>
          <w:lang w:val="zh-CN"/>
        </w:rPr>
        <w:t>20.</w:t>
      </w:r>
      <w:r>
        <w:rPr>
          <w:rFonts w:hint="eastAsia" w:ascii="仿宋" w:hAnsi="仿宋" w:eastAsia="仿宋" w:cs="仿宋"/>
          <w:b/>
          <w:bCs/>
          <w:color w:val="000000"/>
          <w:sz w:val="32"/>
          <w:szCs w:val="32"/>
          <w:lang w:val="zh-CN"/>
        </w:rPr>
        <w:t xml:space="preserve"> </w:t>
      </w:r>
      <w:r>
        <w:rPr>
          <w:rFonts w:hint="eastAsia" w:ascii="仿宋" w:hAnsi="仿宋" w:eastAsia="仿宋" w:cs="仿宋"/>
          <w:b/>
          <w:bCs/>
          <w:sz w:val="32"/>
          <w:szCs w:val="32"/>
          <w:lang w:val="zh-CN"/>
        </w:rPr>
        <w:t>信用记录查询</w:t>
      </w:r>
      <w:bookmarkEnd w:id="79"/>
      <w:bookmarkEnd w:id="80"/>
      <w:bookmarkEnd w:id="81"/>
      <w:bookmarkEnd w:id="82"/>
    </w:p>
    <w:p w14:paraId="6448138E">
      <w:pPr>
        <w:spacing w:line="240" w:lineRule="auto"/>
        <w:ind w:firstLine="482"/>
        <w:rPr>
          <w:rFonts w:hint="eastAsia" w:ascii="仿宋" w:hAnsi="仿宋" w:eastAsia="仿宋" w:cs="仿宋"/>
          <w:b/>
          <w:bCs/>
          <w:color w:val="000000"/>
          <w:sz w:val="32"/>
          <w:szCs w:val="32"/>
          <w:lang w:val="zh-CN"/>
        </w:rPr>
      </w:pPr>
      <w:r>
        <w:rPr>
          <w:rFonts w:hint="eastAsia" w:ascii="仿宋" w:hAnsi="仿宋" w:eastAsia="仿宋" w:cs="仿宋"/>
          <w:bCs/>
          <w:sz w:val="32"/>
          <w:szCs w:val="32"/>
          <w:lang w:val="zh-CN"/>
        </w:rPr>
        <w:t>根据《财政部关于在政府采购活动中查询及使用信用记录有关问题的通知》</w:t>
      </w:r>
      <w:r>
        <w:rPr>
          <w:rFonts w:hint="eastAsia" w:ascii="仿宋" w:hAnsi="仿宋" w:eastAsia="仿宋" w:cs="仿宋"/>
          <w:bCs/>
          <w:color w:val="auto"/>
          <w:sz w:val="32"/>
          <w:szCs w:val="32"/>
          <w:lang w:val="zh-CN"/>
        </w:rPr>
        <w:t>（财库【2016】125号）</w:t>
      </w:r>
      <w:r>
        <w:rPr>
          <w:rFonts w:hint="eastAsia" w:ascii="仿宋" w:hAnsi="仿宋" w:eastAsia="仿宋" w:cs="仿宋"/>
          <w:bCs/>
          <w:sz w:val="32"/>
          <w:szCs w:val="32"/>
          <w:lang w:val="zh-CN"/>
        </w:rPr>
        <w:t>的规定，</w:t>
      </w:r>
      <w:r>
        <w:rPr>
          <w:rFonts w:hint="eastAsia" w:ascii="仿宋" w:hAnsi="仿宋" w:eastAsia="仿宋" w:cs="仿宋"/>
          <w:b/>
          <w:sz w:val="32"/>
          <w:szCs w:val="32"/>
        </w:rPr>
        <w:t>通过“信用中国”网站(www.creditchina.gov.cn)、中国政府采购网(www.ccgp.gov.cn)渠道查询投标人信用记录，经查询列入失信被执行人、重大税收违法案件当事人名单、政府采购严重违法失信行为记录名单</w:t>
      </w:r>
      <w:r>
        <w:rPr>
          <w:rFonts w:hint="eastAsia" w:ascii="仿宋" w:hAnsi="仿宋" w:eastAsia="仿宋" w:cs="仿宋"/>
          <w:b/>
          <w:sz w:val="32"/>
          <w:szCs w:val="32"/>
          <w:lang w:eastAsia="zh-CN"/>
        </w:rPr>
        <w:t>的</w:t>
      </w:r>
      <w:r>
        <w:rPr>
          <w:rFonts w:hint="eastAsia" w:ascii="仿宋" w:hAnsi="仿宋" w:eastAsia="仿宋" w:cs="仿宋"/>
          <w:b/>
          <w:sz w:val="32"/>
          <w:szCs w:val="32"/>
        </w:rPr>
        <w:t>，其投标无效，无效投标人的信用记录查询结果截图将作为项目材料的组成部分。</w:t>
      </w:r>
    </w:p>
    <w:p w14:paraId="6F90B77D">
      <w:pPr>
        <w:spacing w:line="240" w:lineRule="auto"/>
        <w:ind w:firstLine="643" w:firstLineChars="200"/>
        <w:outlineLvl w:val="1"/>
        <w:rPr>
          <w:rFonts w:hint="eastAsia" w:ascii="仿宋" w:hAnsi="仿宋" w:eastAsia="仿宋" w:cs="仿宋"/>
          <w:b/>
          <w:bCs/>
          <w:color w:val="000000"/>
          <w:sz w:val="32"/>
          <w:szCs w:val="32"/>
          <w:lang w:val="zh-CN"/>
        </w:rPr>
      </w:pPr>
      <w:bookmarkStart w:id="83" w:name="_Toc12559"/>
      <w:bookmarkStart w:id="84" w:name="_Toc6529"/>
      <w:bookmarkStart w:id="85" w:name="_Toc31953"/>
      <w:bookmarkStart w:id="86" w:name="_Toc7811"/>
      <w:r>
        <w:rPr>
          <w:rFonts w:hint="eastAsia" w:ascii="仿宋" w:hAnsi="仿宋" w:eastAsia="仿宋" w:cs="仿宋"/>
          <w:b/>
          <w:bCs/>
          <w:color w:val="000000"/>
          <w:sz w:val="32"/>
          <w:szCs w:val="32"/>
          <w:lang w:val="zh-CN"/>
        </w:rPr>
        <w:t>21.签订合同：</w:t>
      </w:r>
      <w:bookmarkEnd w:id="83"/>
      <w:bookmarkEnd w:id="84"/>
      <w:bookmarkEnd w:id="85"/>
      <w:bookmarkEnd w:id="86"/>
    </w:p>
    <w:p w14:paraId="3FDB9786">
      <w:pPr>
        <w:spacing w:line="240" w:lineRule="auto"/>
        <w:ind w:firstLine="560" w:firstLineChars="175"/>
        <w:rPr>
          <w:rFonts w:hint="eastAsia" w:ascii="仿宋" w:hAnsi="仿宋" w:eastAsia="仿宋" w:cs="仿宋"/>
          <w:sz w:val="32"/>
          <w:szCs w:val="32"/>
          <w:lang w:val="en-US" w:eastAsia="zh-CN"/>
        </w:rPr>
      </w:pPr>
      <w:r>
        <w:rPr>
          <w:rFonts w:hint="eastAsia" w:ascii="仿宋" w:hAnsi="仿宋" w:eastAsia="仿宋" w:cs="仿宋"/>
          <w:color w:val="000000"/>
          <w:sz w:val="32"/>
          <w:szCs w:val="32"/>
          <w:lang w:val="zh-CN"/>
        </w:rPr>
        <w:t xml:space="preserve">21.1 </w:t>
      </w:r>
      <w:r>
        <w:rPr>
          <w:rFonts w:hint="eastAsia" w:ascii="仿宋" w:hAnsi="仿宋" w:eastAsia="仿宋" w:cs="仿宋"/>
          <w:sz w:val="32"/>
          <w:szCs w:val="32"/>
          <w:lang w:val="en-US" w:eastAsia="zh-CN"/>
        </w:rPr>
        <w:t xml:space="preserve"> 采购中心应当在评审结束后2个工作日内将评审报告送采购人确认。</w:t>
      </w:r>
    </w:p>
    <w:p w14:paraId="64C3442F">
      <w:pPr>
        <w:spacing w:line="240" w:lineRule="auto"/>
        <w:ind w:firstLine="480"/>
        <w:rPr>
          <w:rFonts w:hint="eastAsia" w:ascii="仿宋" w:hAnsi="仿宋" w:eastAsia="仿宋" w:cs="仿宋"/>
          <w:sz w:val="32"/>
          <w:szCs w:val="32"/>
        </w:rPr>
      </w:pPr>
      <w:r>
        <w:rPr>
          <w:rFonts w:hint="eastAsia" w:ascii="仿宋" w:hAnsi="仿宋" w:eastAsia="仿宋" w:cs="仿宋"/>
          <w:kern w:val="0"/>
          <w:sz w:val="32"/>
          <w:szCs w:val="32"/>
        </w:rPr>
        <w:t>采购</w:t>
      </w:r>
      <w:r>
        <w:rPr>
          <w:rFonts w:hint="eastAsia" w:ascii="仿宋" w:hAnsi="仿宋" w:eastAsia="仿宋" w:cs="仿宋"/>
          <w:kern w:val="0"/>
          <w:sz w:val="32"/>
          <w:szCs w:val="32"/>
          <w:lang w:eastAsia="zh-CN"/>
        </w:rPr>
        <w:t>人</w:t>
      </w:r>
      <w:r>
        <w:rPr>
          <w:rFonts w:hint="eastAsia" w:ascii="仿宋" w:hAnsi="仿宋" w:eastAsia="仿宋" w:cs="仿宋"/>
          <w:kern w:val="0"/>
          <w:sz w:val="32"/>
          <w:szCs w:val="32"/>
        </w:rPr>
        <w:t>应</w:t>
      </w:r>
      <w:r>
        <w:rPr>
          <w:rFonts w:hint="eastAsia" w:ascii="仿宋" w:hAnsi="仿宋" w:eastAsia="仿宋" w:cs="仿宋"/>
          <w:sz w:val="32"/>
          <w:szCs w:val="32"/>
        </w:rPr>
        <w:t>当</w:t>
      </w:r>
      <w:r>
        <w:rPr>
          <w:rFonts w:hint="eastAsia" w:ascii="仿宋" w:hAnsi="仿宋" w:eastAsia="仿宋" w:cs="仿宋"/>
          <w:sz w:val="32"/>
          <w:szCs w:val="32"/>
          <w:lang w:eastAsia="zh-CN"/>
        </w:rPr>
        <w:t>在</w:t>
      </w:r>
      <w:r>
        <w:rPr>
          <w:rFonts w:hint="eastAsia" w:ascii="仿宋" w:hAnsi="仿宋" w:eastAsia="仿宋" w:cs="仿宋"/>
          <w:sz w:val="32"/>
          <w:szCs w:val="32"/>
        </w:rPr>
        <w:t>收到</w:t>
      </w:r>
      <w:r>
        <w:rPr>
          <w:rFonts w:hint="eastAsia" w:ascii="仿宋" w:hAnsi="仿宋" w:eastAsia="仿宋" w:cs="仿宋"/>
          <w:sz w:val="32"/>
          <w:szCs w:val="32"/>
          <w:lang w:eastAsia="zh-CN"/>
        </w:rPr>
        <w:t>评审</w:t>
      </w:r>
      <w:r>
        <w:rPr>
          <w:rFonts w:hint="eastAsia" w:ascii="仿宋" w:hAnsi="仿宋" w:eastAsia="仿宋" w:cs="仿宋"/>
          <w:sz w:val="32"/>
          <w:szCs w:val="32"/>
        </w:rPr>
        <w:t>报告之日起５个工作日内，</w:t>
      </w:r>
      <w:r>
        <w:rPr>
          <w:rFonts w:hint="eastAsia" w:ascii="仿宋" w:hAnsi="仿宋" w:eastAsia="仿宋" w:cs="仿宋"/>
          <w:sz w:val="32"/>
          <w:szCs w:val="32"/>
          <w:lang w:eastAsia="zh-CN"/>
        </w:rPr>
        <w:t>从评审</w:t>
      </w:r>
      <w:r>
        <w:rPr>
          <w:rFonts w:hint="eastAsia" w:ascii="仿宋" w:hAnsi="仿宋" w:eastAsia="仿宋" w:cs="仿宋"/>
          <w:sz w:val="32"/>
          <w:szCs w:val="32"/>
        </w:rPr>
        <w:t>报告</w:t>
      </w:r>
      <w:r>
        <w:rPr>
          <w:rFonts w:hint="eastAsia" w:ascii="仿宋" w:hAnsi="仿宋" w:eastAsia="仿宋" w:cs="仿宋"/>
          <w:sz w:val="32"/>
          <w:szCs w:val="32"/>
          <w:lang w:eastAsia="zh-CN"/>
        </w:rPr>
        <w:t>提出</w:t>
      </w:r>
      <w:r>
        <w:rPr>
          <w:rFonts w:hint="eastAsia" w:ascii="仿宋" w:hAnsi="仿宋" w:eastAsia="仿宋" w:cs="仿宋"/>
          <w:sz w:val="32"/>
          <w:szCs w:val="32"/>
        </w:rPr>
        <w:t>的</w:t>
      </w:r>
      <w:r>
        <w:rPr>
          <w:rFonts w:hint="eastAsia" w:ascii="仿宋" w:hAnsi="仿宋" w:eastAsia="仿宋" w:cs="仿宋"/>
          <w:sz w:val="32"/>
          <w:szCs w:val="32"/>
          <w:lang w:eastAsia="zh-CN"/>
        </w:rPr>
        <w:t>成交</w:t>
      </w:r>
      <w:r>
        <w:rPr>
          <w:rFonts w:hint="eastAsia" w:ascii="仿宋" w:hAnsi="仿宋" w:eastAsia="仿宋" w:cs="仿宋"/>
          <w:sz w:val="32"/>
          <w:szCs w:val="32"/>
        </w:rPr>
        <w:t>候选人中</w:t>
      </w:r>
      <w:r>
        <w:rPr>
          <w:rFonts w:hint="eastAsia" w:ascii="仿宋" w:hAnsi="仿宋" w:eastAsia="仿宋" w:cs="仿宋"/>
          <w:sz w:val="32"/>
          <w:szCs w:val="32"/>
          <w:lang w:eastAsia="zh-CN"/>
        </w:rPr>
        <w:t>，根据货物质量和服务要求均能满足采购文件实质性响应要求且最后报价最低的原则</w:t>
      </w:r>
      <w:r>
        <w:rPr>
          <w:rFonts w:hint="eastAsia" w:ascii="仿宋" w:hAnsi="仿宋" w:eastAsia="仿宋" w:cs="仿宋"/>
          <w:sz w:val="32"/>
          <w:szCs w:val="32"/>
        </w:rPr>
        <w:t>确定</w:t>
      </w:r>
      <w:r>
        <w:rPr>
          <w:rFonts w:hint="eastAsia" w:ascii="仿宋" w:hAnsi="仿宋" w:eastAsia="仿宋" w:cs="仿宋"/>
          <w:sz w:val="32"/>
          <w:szCs w:val="32"/>
          <w:lang w:eastAsia="zh-CN"/>
        </w:rPr>
        <w:t>成交供应商，</w:t>
      </w:r>
      <w:r>
        <w:rPr>
          <w:rFonts w:hint="eastAsia" w:ascii="仿宋" w:hAnsi="仿宋" w:eastAsia="仿宋" w:cs="仿宋"/>
          <w:b/>
          <w:bCs/>
          <w:sz w:val="32"/>
          <w:szCs w:val="32"/>
          <w:lang w:eastAsia="zh-CN"/>
        </w:rPr>
        <w:t>也可以书面授权谈判小组直接确定成交供应商</w:t>
      </w:r>
      <w:r>
        <w:rPr>
          <w:rFonts w:hint="eastAsia" w:ascii="仿宋" w:hAnsi="仿宋" w:eastAsia="仿宋" w:cs="仿宋"/>
          <w:sz w:val="32"/>
          <w:szCs w:val="32"/>
        </w:rPr>
        <w:t>。</w:t>
      </w:r>
    </w:p>
    <w:p w14:paraId="38293774">
      <w:pPr>
        <w:spacing w:line="240" w:lineRule="auto"/>
        <w:ind w:firstLine="640" w:firstLineChars="200"/>
        <w:rPr>
          <w:rFonts w:hint="eastAsia" w:ascii="仿宋" w:hAnsi="仿宋" w:eastAsia="仿宋" w:cs="仿宋"/>
          <w:color w:val="000000"/>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color w:val="000000"/>
          <w:sz w:val="32"/>
          <w:szCs w:val="32"/>
          <w:lang w:val="zh-CN"/>
        </w:rPr>
        <w:t>在确定成交供应商后，采购中心向其发出《成交通知书》。成交通知书是合同的组成部分，对采购人和供应商均具有法律约束力。</w:t>
      </w:r>
    </w:p>
    <w:p w14:paraId="365E04A4">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21.</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 xml:space="preserve"> 成交通知书发出后，采购人改变成交结果的，或者供应商放弃成交项目的，应当依法承担法律责任。</w:t>
      </w:r>
    </w:p>
    <w:p w14:paraId="41061143">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21.</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zh-CN"/>
        </w:rPr>
        <w:t xml:space="preserve"> 成交供应商应按成交通知书规定的时间与采购人</w:t>
      </w:r>
      <w:r>
        <w:rPr>
          <w:rFonts w:hint="eastAsia" w:ascii="仿宋" w:hAnsi="仿宋" w:eastAsia="仿宋" w:cs="仿宋"/>
          <w:color w:val="000000"/>
          <w:sz w:val="32"/>
          <w:szCs w:val="32"/>
          <w:highlight w:val="none"/>
          <w:lang w:val="zh-CN"/>
        </w:rPr>
        <w:t>签订合</w:t>
      </w:r>
      <w:r>
        <w:rPr>
          <w:rFonts w:hint="eastAsia" w:ascii="仿宋" w:hAnsi="仿宋" w:eastAsia="仿宋" w:cs="仿宋"/>
          <w:color w:val="000000"/>
          <w:sz w:val="32"/>
          <w:szCs w:val="32"/>
          <w:lang w:val="zh-CN"/>
        </w:rPr>
        <w:t>同。</w:t>
      </w:r>
      <w:r>
        <w:rPr>
          <w:rFonts w:hint="eastAsia" w:ascii="仿宋" w:hAnsi="仿宋" w:eastAsia="仿宋" w:cs="仿宋"/>
          <w:bCs/>
          <w:color w:val="000000"/>
          <w:sz w:val="32"/>
          <w:szCs w:val="32"/>
          <w:lang w:val="zh-CN"/>
        </w:rPr>
        <w:t>如果成交供应商不在规定的时间内签署合同，视为自动放弃成交资格，其提交的谈判保证金不予退还，列入不良行为记录名单，在一至三年内禁止参加政府采购活动并予以公告。供应商在被谈判小组评定为成交供应商之后、成交通知书发出之前放弃成交的，按本条规定处理。</w:t>
      </w:r>
    </w:p>
    <w:p w14:paraId="5BFAC438">
      <w:pPr>
        <w:spacing w:line="240" w:lineRule="auto"/>
        <w:ind w:firstLine="480"/>
        <w:rPr>
          <w:rFonts w:hint="eastAsia" w:ascii="仿宋" w:hAnsi="仿宋" w:eastAsia="仿宋" w:cs="仿宋"/>
          <w:b/>
          <w:bCs/>
          <w:color w:val="000000"/>
          <w:sz w:val="32"/>
          <w:szCs w:val="32"/>
          <w:lang w:val="zh-CN"/>
        </w:rPr>
      </w:pPr>
      <w:r>
        <w:rPr>
          <w:rFonts w:hint="eastAsia" w:ascii="仿宋" w:hAnsi="仿宋" w:eastAsia="仿宋" w:cs="仿宋"/>
          <w:color w:val="000000"/>
          <w:sz w:val="32"/>
          <w:szCs w:val="32"/>
          <w:lang w:val="zh-CN"/>
        </w:rPr>
        <w:t>21.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val="zh-CN"/>
        </w:rPr>
        <w:t xml:space="preserve"> 成交结果将在发布竞争性谈判采购信息公告的媒体上公告，不再另行通知未成交供应商。</w:t>
      </w:r>
    </w:p>
    <w:p w14:paraId="083A120D">
      <w:pPr>
        <w:spacing w:line="240" w:lineRule="auto"/>
        <w:ind w:firstLine="482"/>
        <w:outlineLvl w:val="1"/>
        <w:rPr>
          <w:rFonts w:hint="eastAsia" w:ascii="仿宋" w:hAnsi="仿宋" w:eastAsia="仿宋" w:cs="仿宋"/>
          <w:b/>
          <w:bCs/>
          <w:color w:val="000000"/>
          <w:sz w:val="32"/>
          <w:szCs w:val="32"/>
          <w:lang w:val="zh-CN"/>
        </w:rPr>
      </w:pPr>
      <w:bookmarkStart w:id="87" w:name="_Toc25815"/>
      <w:bookmarkStart w:id="88" w:name="_Toc23710"/>
      <w:bookmarkStart w:id="89" w:name="_Toc7165"/>
      <w:bookmarkStart w:id="90" w:name="_Toc13325"/>
      <w:r>
        <w:rPr>
          <w:rFonts w:hint="eastAsia" w:ascii="仿宋" w:hAnsi="仿宋" w:eastAsia="仿宋" w:cs="仿宋"/>
          <w:b/>
          <w:bCs/>
          <w:color w:val="000000"/>
          <w:sz w:val="32"/>
          <w:szCs w:val="32"/>
          <w:lang w:val="zh-CN"/>
        </w:rPr>
        <w:t>22．</w:t>
      </w:r>
      <w:r>
        <w:rPr>
          <w:rFonts w:hint="eastAsia" w:ascii="仿宋" w:hAnsi="仿宋" w:eastAsia="仿宋" w:cs="仿宋"/>
          <w:b/>
          <w:bCs/>
          <w:color w:val="000000"/>
          <w:sz w:val="32"/>
          <w:szCs w:val="32"/>
          <w:highlight w:val="none"/>
          <w:lang w:val="zh-CN"/>
        </w:rPr>
        <w:t>保密和披露：</w:t>
      </w:r>
      <w:bookmarkEnd w:id="87"/>
      <w:bookmarkEnd w:id="88"/>
      <w:bookmarkEnd w:id="89"/>
      <w:bookmarkEnd w:id="90"/>
    </w:p>
    <w:p w14:paraId="65ADC201">
      <w:pPr>
        <w:tabs>
          <w:tab w:val="left" w:pos="709"/>
        </w:tabs>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Cs/>
          <w:color w:val="000000"/>
          <w:sz w:val="32"/>
          <w:szCs w:val="32"/>
          <w:lang w:val="zh-CN"/>
        </w:rPr>
        <w:t xml:space="preserve">22.1 </w:t>
      </w:r>
      <w:r>
        <w:rPr>
          <w:rFonts w:hint="eastAsia" w:ascii="仿宋" w:hAnsi="仿宋" w:eastAsia="仿宋" w:cs="仿宋"/>
          <w:bCs/>
          <w:color w:val="000000"/>
          <w:sz w:val="32"/>
          <w:szCs w:val="32"/>
          <w:lang w:val="en"/>
        </w:rPr>
        <w:t>供应商</w:t>
      </w:r>
      <w:r>
        <w:rPr>
          <w:rFonts w:hint="eastAsia" w:ascii="仿宋" w:hAnsi="仿宋" w:eastAsia="仿宋" w:cs="仿宋"/>
          <w:bCs/>
          <w:color w:val="000000"/>
          <w:sz w:val="32"/>
          <w:szCs w:val="32"/>
          <w:lang w:val="zh-CN"/>
        </w:rPr>
        <w:t>自下载竞争性谈判文件之日起，</w:t>
      </w:r>
      <w:r>
        <w:rPr>
          <w:rFonts w:hint="eastAsia" w:ascii="仿宋" w:hAnsi="仿宋" w:eastAsia="仿宋" w:cs="仿宋"/>
          <w:color w:val="000000"/>
          <w:sz w:val="32"/>
          <w:szCs w:val="32"/>
          <w:lang w:val="zh-CN"/>
        </w:rPr>
        <w:t>须承诺承担本招标项目下的保密义务，不得将因本次招标获得的信息向第三人外传。</w:t>
      </w:r>
    </w:p>
    <w:p w14:paraId="1370FAC0">
      <w:pPr>
        <w:spacing w:line="240" w:lineRule="auto"/>
        <w:ind w:firstLine="478"/>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22.2 采购中心有权将</w:t>
      </w:r>
      <w:r>
        <w:rPr>
          <w:rFonts w:hint="eastAsia" w:ascii="仿宋" w:hAnsi="仿宋" w:eastAsia="仿宋" w:cs="仿宋"/>
          <w:color w:val="000000"/>
          <w:sz w:val="32"/>
          <w:szCs w:val="32"/>
          <w:lang w:val="en"/>
        </w:rPr>
        <w:t>供应商</w:t>
      </w:r>
      <w:r>
        <w:rPr>
          <w:rFonts w:hint="eastAsia" w:ascii="仿宋" w:hAnsi="仿宋" w:eastAsia="仿宋" w:cs="仿宋"/>
          <w:color w:val="000000"/>
          <w:sz w:val="32"/>
          <w:szCs w:val="32"/>
          <w:lang w:val="zh-CN"/>
        </w:rPr>
        <w:t>提供的</w:t>
      </w:r>
      <w:r>
        <w:rPr>
          <w:rFonts w:hint="eastAsia" w:ascii="仿宋" w:hAnsi="仿宋" w:eastAsia="仿宋" w:cs="仿宋"/>
          <w:color w:val="000000"/>
          <w:sz w:val="32"/>
          <w:szCs w:val="32"/>
          <w:highlight w:val="none"/>
          <w:lang w:val="zh-CN"/>
        </w:rPr>
        <w:t>所有资料向其他政府部门或有关的非政府机构负责评审标书的人员、或与评审有关的人员披露</w:t>
      </w:r>
      <w:r>
        <w:rPr>
          <w:rFonts w:hint="eastAsia" w:ascii="仿宋" w:hAnsi="仿宋" w:eastAsia="仿宋" w:cs="仿宋"/>
          <w:color w:val="000000"/>
          <w:sz w:val="32"/>
          <w:szCs w:val="32"/>
          <w:lang w:val="zh-CN"/>
        </w:rPr>
        <w:t>。</w:t>
      </w:r>
    </w:p>
    <w:p w14:paraId="2FD6ECA8">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22.3 在下列情形下：当国家机关调查、审查、审计时，以及在其他符合法律规定的情形下，招标人无须事先征求</w:t>
      </w:r>
      <w:r>
        <w:rPr>
          <w:rFonts w:hint="eastAsia" w:ascii="仿宋" w:hAnsi="仿宋" w:eastAsia="仿宋" w:cs="仿宋"/>
          <w:color w:val="000000"/>
          <w:sz w:val="32"/>
          <w:szCs w:val="32"/>
          <w:lang w:val="en"/>
        </w:rPr>
        <w:t>供应商</w:t>
      </w:r>
      <w:r>
        <w:rPr>
          <w:rFonts w:hint="eastAsia" w:ascii="仿宋" w:hAnsi="仿宋" w:eastAsia="仿宋" w:cs="仿宋"/>
          <w:color w:val="000000"/>
          <w:sz w:val="32"/>
          <w:szCs w:val="32"/>
          <w:lang w:val="zh-CN"/>
        </w:rPr>
        <w:t>/中标（成交）人同意而可以披露关于采购过程、投标（报价）文件、合同文本、合同签署情况的资料、</w:t>
      </w:r>
      <w:r>
        <w:rPr>
          <w:rFonts w:hint="eastAsia" w:ascii="仿宋" w:hAnsi="仿宋" w:eastAsia="仿宋" w:cs="仿宋"/>
          <w:color w:val="000000"/>
          <w:sz w:val="32"/>
          <w:szCs w:val="32"/>
          <w:lang w:val="en"/>
        </w:rPr>
        <w:t>供应商</w:t>
      </w:r>
      <w:r>
        <w:rPr>
          <w:rFonts w:hint="eastAsia" w:ascii="仿宋" w:hAnsi="仿宋" w:eastAsia="仿宋" w:cs="仿宋"/>
          <w:color w:val="000000"/>
          <w:sz w:val="32"/>
          <w:szCs w:val="32"/>
          <w:lang w:val="zh-CN"/>
        </w:rPr>
        <w:t>/中标（成交）人的名称及地址、采购内容的有关信息以及补充条款等，并且对任何已经公布过的内容或与之内容相同的资料无须再承担保密责任。</w:t>
      </w:r>
    </w:p>
    <w:p w14:paraId="19D636FF">
      <w:pPr>
        <w:spacing w:line="240" w:lineRule="auto"/>
        <w:ind w:firstLine="480"/>
        <w:outlineLvl w:val="1"/>
        <w:rPr>
          <w:rFonts w:hint="eastAsia" w:ascii="仿宋" w:hAnsi="仿宋" w:eastAsia="仿宋" w:cs="仿宋"/>
          <w:b/>
          <w:color w:val="auto"/>
          <w:sz w:val="32"/>
          <w:szCs w:val="32"/>
          <w:lang w:val="zh-CN"/>
        </w:rPr>
      </w:pPr>
      <w:bookmarkStart w:id="91" w:name="_Toc19230"/>
      <w:bookmarkStart w:id="92" w:name="_Toc18380"/>
      <w:bookmarkStart w:id="93" w:name="_Toc5769"/>
      <w:bookmarkStart w:id="94" w:name="_Toc27560"/>
      <w:r>
        <w:rPr>
          <w:rFonts w:hint="eastAsia" w:ascii="仿宋" w:hAnsi="仿宋" w:eastAsia="仿宋" w:cs="仿宋"/>
          <w:b/>
          <w:color w:val="auto"/>
          <w:sz w:val="32"/>
          <w:szCs w:val="32"/>
          <w:lang w:val="zh-CN"/>
        </w:rPr>
        <w:t>23.质疑和投诉</w:t>
      </w:r>
      <w:bookmarkEnd w:id="91"/>
      <w:bookmarkEnd w:id="92"/>
      <w:bookmarkEnd w:id="93"/>
      <w:bookmarkEnd w:id="94"/>
    </w:p>
    <w:p w14:paraId="5D17A8D9">
      <w:pPr>
        <w:spacing w:line="24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lang w:val="zh-CN"/>
        </w:rPr>
        <w:t>.1</w:t>
      </w:r>
      <w:r>
        <w:rPr>
          <w:rFonts w:hint="eastAsia" w:ascii="仿宋" w:hAnsi="仿宋" w:eastAsia="仿宋" w:cs="仿宋"/>
          <w:sz w:val="32"/>
          <w:szCs w:val="32"/>
          <w:lang w:val="en-US" w:eastAsia="zh-CN"/>
        </w:rPr>
        <w:t xml:space="preserve"> </w:t>
      </w:r>
      <w:r>
        <w:rPr>
          <w:rFonts w:hint="eastAsia" w:ascii="仿宋" w:hAnsi="仿宋" w:eastAsia="仿宋" w:cs="仿宋"/>
          <w:bCs/>
          <w:sz w:val="32"/>
          <w:szCs w:val="32"/>
        </w:rPr>
        <w:t>投标人认为招标文件、招标过程和中标结果使自己的合法权益受到损害的，应当在质疑有效期内，通过</w:t>
      </w:r>
      <w:r>
        <w:rPr>
          <w:rFonts w:hint="eastAsia" w:ascii="仿宋" w:hAnsi="仿宋" w:eastAsia="仿宋" w:cs="仿宋"/>
          <w:bCs/>
          <w:sz w:val="32"/>
          <w:szCs w:val="32"/>
          <w:lang w:eastAsia="zh-CN"/>
        </w:rPr>
        <w:t>和龙市</w:t>
      </w:r>
      <w:r>
        <w:rPr>
          <w:rFonts w:hint="eastAsia" w:ascii="仿宋" w:hAnsi="仿宋" w:eastAsia="仿宋" w:cs="仿宋"/>
          <w:bCs/>
          <w:sz w:val="32"/>
          <w:szCs w:val="32"/>
        </w:rPr>
        <w:t>政府采购电子化平台或书面向</w:t>
      </w:r>
      <w:r>
        <w:rPr>
          <w:rFonts w:hint="eastAsia" w:ascii="仿宋" w:hAnsi="仿宋" w:eastAsia="仿宋" w:cs="仿宋"/>
          <w:bCs/>
          <w:sz w:val="32"/>
          <w:szCs w:val="32"/>
          <w:lang w:eastAsia="zh-CN"/>
        </w:rPr>
        <w:t>和龙市</w:t>
      </w:r>
      <w:r>
        <w:rPr>
          <w:rFonts w:hint="eastAsia" w:ascii="仿宋" w:hAnsi="仿宋" w:eastAsia="仿宋" w:cs="仿宋"/>
          <w:bCs/>
          <w:sz w:val="32"/>
          <w:szCs w:val="32"/>
        </w:rPr>
        <w:t>政府采购中心提出质疑。</w:t>
      </w:r>
      <w:r>
        <w:rPr>
          <w:rFonts w:hint="eastAsia" w:ascii="仿宋" w:hAnsi="仿宋" w:eastAsia="仿宋" w:cs="仿宋"/>
          <w:sz w:val="32"/>
          <w:szCs w:val="32"/>
        </w:rPr>
        <w:t>投标人对质疑答复不满意或未在规定时间内作出答复的，可以在答复期满后十五个工作日内向同级采购监管部门投诉。</w:t>
      </w:r>
    </w:p>
    <w:p w14:paraId="55EA3448">
      <w:pPr>
        <w:spacing w:line="240" w:lineRule="auto"/>
        <w:ind w:firstLine="560" w:firstLineChars="175"/>
        <w:rPr>
          <w:rFonts w:hint="eastAsia"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lang w:val="zh-CN"/>
        </w:rPr>
        <w:t>.2</w:t>
      </w:r>
      <w:r>
        <w:rPr>
          <w:rFonts w:hint="eastAsia" w:ascii="仿宋" w:hAnsi="仿宋" w:eastAsia="仿宋" w:cs="仿宋"/>
          <w:sz w:val="32"/>
          <w:szCs w:val="32"/>
          <w:lang w:val="en-US" w:eastAsia="zh-CN"/>
        </w:rPr>
        <w:t xml:space="preserve"> </w:t>
      </w:r>
      <w:r>
        <w:rPr>
          <w:rFonts w:hint="eastAsia" w:ascii="仿宋" w:hAnsi="仿宋" w:eastAsia="仿宋" w:cs="仿宋"/>
          <w:bCs/>
          <w:sz w:val="32"/>
          <w:szCs w:val="32"/>
        </w:rPr>
        <w:t>投标人</w:t>
      </w:r>
      <w:r>
        <w:rPr>
          <w:rFonts w:hint="eastAsia" w:ascii="仿宋" w:hAnsi="仿宋" w:eastAsia="仿宋" w:cs="仿宋"/>
          <w:sz w:val="32"/>
          <w:szCs w:val="32"/>
        </w:rPr>
        <w:t>在法定质疑期内</w:t>
      </w:r>
      <w:r>
        <w:rPr>
          <w:rFonts w:hint="eastAsia" w:ascii="仿宋" w:hAnsi="仿宋" w:eastAsia="仿宋" w:cs="仿宋"/>
          <w:sz w:val="32"/>
          <w:szCs w:val="32"/>
          <w:lang w:eastAsia="zh-CN"/>
        </w:rPr>
        <w:t>应</w:t>
      </w:r>
      <w:r>
        <w:rPr>
          <w:rFonts w:hint="eastAsia" w:ascii="仿宋" w:hAnsi="仿宋" w:eastAsia="仿宋" w:cs="仿宋"/>
          <w:sz w:val="32"/>
          <w:szCs w:val="32"/>
        </w:rPr>
        <w:t>一次性提出针对同一采购程序环节的质疑。</w:t>
      </w:r>
      <w:r>
        <w:rPr>
          <w:rFonts w:hint="eastAsia" w:ascii="仿宋" w:hAnsi="仿宋" w:eastAsia="仿宋" w:cs="仿宋"/>
          <w:bCs/>
          <w:sz w:val="32"/>
          <w:szCs w:val="32"/>
        </w:rPr>
        <w:t>投标人</w:t>
      </w:r>
      <w:r>
        <w:rPr>
          <w:rFonts w:hint="eastAsia" w:ascii="仿宋" w:hAnsi="仿宋" w:eastAsia="仿宋" w:cs="仿宋"/>
          <w:sz w:val="32"/>
          <w:szCs w:val="32"/>
        </w:rPr>
        <w:t>提出质疑应符合《政府采购质疑和投诉办法》有关规定。</w:t>
      </w:r>
    </w:p>
    <w:p w14:paraId="653A07E8">
      <w:pPr>
        <w:spacing w:line="240" w:lineRule="auto"/>
        <w:ind w:firstLine="562" w:firstLineChars="175"/>
        <w:rPr>
          <w:rFonts w:hint="eastAsia" w:ascii="仿宋" w:hAnsi="仿宋" w:eastAsia="仿宋" w:cs="仿宋"/>
          <w:b/>
          <w:bCs/>
          <w:color w:val="000000"/>
          <w:sz w:val="32"/>
          <w:szCs w:val="32"/>
          <w:lang w:val="zh-CN" w:eastAsia="zh-CN"/>
        </w:rPr>
      </w:pPr>
    </w:p>
    <w:p w14:paraId="4497C6B7">
      <w:pPr>
        <w:jc w:val="center"/>
        <w:rPr>
          <w:rFonts w:hint="eastAsia" w:ascii="仿宋" w:hAnsi="仿宋" w:eastAsia="仿宋" w:cs="仿宋"/>
          <w:b/>
          <w:bCs/>
          <w:color w:val="000000"/>
          <w:sz w:val="32"/>
          <w:szCs w:val="32"/>
          <w:lang w:val="zh-CN"/>
        </w:rPr>
      </w:pPr>
    </w:p>
    <w:p w14:paraId="52A27AC1">
      <w:pPr>
        <w:jc w:val="center"/>
        <w:outlineLvl w:val="0"/>
        <w:rPr>
          <w:rFonts w:hint="eastAsia" w:ascii="黑体" w:hAnsi="黑体" w:eastAsia="黑体" w:cs="黑体"/>
          <w:b/>
          <w:bCs/>
          <w:color w:val="000000"/>
          <w:sz w:val="32"/>
          <w:szCs w:val="32"/>
          <w:lang w:val="zh-CN"/>
        </w:rPr>
      </w:pPr>
      <w:bookmarkStart w:id="95" w:name="_Toc30487"/>
      <w:bookmarkStart w:id="96" w:name="_Toc3627"/>
      <w:bookmarkStart w:id="97" w:name="_Toc3345"/>
      <w:bookmarkStart w:id="98" w:name="_Toc17671"/>
      <w:bookmarkStart w:id="99" w:name="_Toc12656"/>
      <w:r>
        <w:rPr>
          <w:rFonts w:hint="eastAsia" w:ascii="黑体" w:hAnsi="黑体" w:eastAsia="黑体" w:cs="黑体"/>
          <w:b/>
          <w:bCs/>
          <w:color w:val="000000"/>
          <w:sz w:val="32"/>
          <w:szCs w:val="32"/>
          <w:lang w:val="zh-CN"/>
        </w:rPr>
        <w:t>第二章 合同条款</w:t>
      </w:r>
      <w:bookmarkEnd w:id="95"/>
      <w:bookmarkEnd w:id="96"/>
      <w:bookmarkEnd w:id="97"/>
      <w:bookmarkEnd w:id="98"/>
      <w:bookmarkEnd w:id="99"/>
    </w:p>
    <w:p w14:paraId="0D8F2494">
      <w:pPr>
        <w:ind w:firstLine="482"/>
        <w:rPr>
          <w:rFonts w:hint="eastAsia" w:ascii="仿宋" w:hAnsi="仿宋" w:eastAsia="仿宋" w:cs="仿宋"/>
          <w:b/>
          <w:bCs/>
          <w:color w:val="000000"/>
          <w:sz w:val="32"/>
          <w:szCs w:val="32"/>
          <w:lang w:val="zh-CN"/>
        </w:rPr>
      </w:pPr>
    </w:p>
    <w:p w14:paraId="1A1943F0">
      <w:pPr>
        <w:numPr>
          <w:ilvl w:val="0"/>
          <w:numId w:val="2"/>
        </w:numPr>
        <w:ind w:firstLine="482"/>
        <w:outlineLvl w:val="1"/>
        <w:rPr>
          <w:rFonts w:hint="eastAsia" w:ascii="仿宋" w:hAnsi="仿宋" w:eastAsia="仿宋" w:cs="仿宋"/>
          <w:b/>
          <w:bCs/>
          <w:color w:val="000000"/>
          <w:sz w:val="32"/>
          <w:szCs w:val="32"/>
          <w:lang w:val="zh-CN"/>
        </w:rPr>
      </w:pPr>
      <w:bookmarkStart w:id="100" w:name="_Toc26991"/>
      <w:bookmarkStart w:id="101" w:name="_Toc8781"/>
      <w:bookmarkStart w:id="102" w:name="_Toc21034"/>
      <w:bookmarkStart w:id="103" w:name="_Toc18227"/>
      <w:r>
        <w:rPr>
          <w:rFonts w:hint="eastAsia" w:ascii="仿宋" w:hAnsi="仿宋" w:eastAsia="仿宋" w:cs="仿宋"/>
          <w:b/>
          <w:bCs/>
          <w:color w:val="000000"/>
          <w:sz w:val="32"/>
          <w:szCs w:val="32"/>
          <w:lang w:val="zh-CN"/>
        </w:rPr>
        <w:t>定义</w:t>
      </w:r>
      <w:bookmarkEnd w:id="100"/>
      <w:bookmarkEnd w:id="101"/>
      <w:bookmarkEnd w:id="102"/>
      <w:bookmarkEnd w:id="103"/>
    </w:p>
    <w:p w14:paraId="7A8CA02F">
      <w:pPr>
        <w:numPr>
          <w:ilvl w:val="-1"/>
          <w:numId w:val="0"/>
        </w:numPr>
        <w:ind w:firstLine="640" w:firstLineChars="200"/>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本合同下列术语应解释为：</w:t>
      </w:r>
    </w:p>
    <w:p w14:paraId="61D9EEFA">
      <w:pPr>
        <w:ind w:firstLine="48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（1）“合同”系指供需双方签署的、在合同格式中载明的合同各方所达成的协议，包括构成合同的所有文件。</w:t>
      </w:r>
    </w:p>
    <w:p w14:paraId="09890025">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（2）“合同价格”系指供方正确地完全履行合同义务后需方应支付给供方的价格。</w:t>
      </w:r>
    </w:p>
    <w:p w14:paraId="678AC9AC">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（3）“服务”系指根据合同规定供方承担的与供货和履行合同的有关的辅助服务。</w:t>
      </w:r>
    </w:p>
    <w:p w14:paraId="4374C79F">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（4）“货物”系指根据合同规定供方须向需方提供的一切材料、设备、机械、仪表、备件、工具和/或其它材料。</w:t>
      </w:r>
    </w:p>
    <w:p w14:paraId="5CDDB624">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（5）“需方”系指政府采购货物和服务的使用单位。</w:t>
      </w:r>
    </w:p>
    <w:p w14:paraId="4216CB9C">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（6）“供方”系指按照合同规定向需方提供货物和服务的公司或实体。</w:t>
      </w:r>
    </w:p>
    <w:p w14:paraId="5147E44E">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（7）“日、天”指日历天数。</w:t>
      </w:r>
    </w:p>
    <w:p w14:paraId="1C946E49">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（8）“工作日”指扣除法定节假日后的天数。</w:t>
      </w:r>
    </w:p>
    <w:p w14:paraId="08AC3484">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2．合同标的：</w:t>
      </w:r>
      <w:r>
        <w:rPr>
          <w:rFonts w:hint="eastAsia" w:ascii="仿宋" w:hAnsi="仿宋" w:eastAsia="仿宋" w:cs="仿宋"/>
          <w:color w:val="000000"/>
          <w:sz w:val="32"/>
          <w:szCs w:val="32"/>
          <w:lang w:val="zh-CN"/>
        </w:rPr>
        <w:t>详见谈判文件“货物需求及要求”及供方的响应文件。未尽事宜在“政府采购合同书中”约定。</w:t>
      </w:r>
    </w:p>
    <w:p w14:paraId="70D1AAEC">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3．合同价格、交货时间及地点、交货方式、付款方式及条件：</w:t>
      </w:r>
      <w:r>
        <w:rPr>
          <w:rFonts w:hint="eastAsia" w:ascii="仿宋" w:hAnsi="仿宋" w:eastAsia="仿宋" w:cs="仿宋"/>
          <w:color w:val="000000"/>
          <w:sz w:val="32"/>
          <w:szCs w:val="32"/>
          <w:lang w:val="zh-CN"/>
        </w:rPr>
        <w:t>在“政府采购合同书”中约定。</w:t>
      </w:r>
    </w:p>
    <w:p w14:paraId="178E447E">
      <w:pPr>
        <w:spacing w:line="240" w:lineRule="auto"/>
        <w:ind w:firstLine="482"/>
        <w:rPr>
          <w:rFonts w:hint="eastAsia" w:ascii="仿宋" w:hAnsi="仿宋" w:eastAsia="仿宋" w:cs="仿宋"/>
          <w:color w:val="auto"/>
          <w:sz w:val="32"/>
          <w:szCs w:val="32"/>
          <w:lang w:val="zh-CN"/>
        </w:rPr>
      </w:pPr>
      <w:r>
        <w:rPr>
          <w:rFonts w:hint="eastAsia" w:ascii="仿宋" w:hAnsi="仿宋" w:eastAsia="仿宋" w:cs="仿宋"/>
          <w:b w:val="0"/>
          <w:bCs w:val="0"/>
          <w:color w:val="000000"/>
          <w:sz w:val="32"/>
          <w:szCs w:val="32"/>
          <w:lang w:val="zh-CN"/>
        </w:rPr>
        <w:t>4．验收：</w:t>
      </w:r>
      <w:r>
        <w:rPr>
          <w:rFonts w:hint="eastAsia" w:ascii="仿宋" w:hAnsi="仿宋" w:eastAsia="仿宋" w:cs="仿宋"/>
          <w:color w:val="auto"/>
          <w:sz w:val="32"/>
          <w:szCs w:val="32"/>
          <w:lang w:val="zh-CN"/>
        </w:rPr>
        <w:t>供方提交的货物由需方负责验收。需方根据合同规定接收货物，在接收时对货物的品种、规格、性能、质量、数量、外观以及配件等进行验收。需方对货物的规格技术指标如有异议，应于七（7）天内按照合同规定的方式提出。</w:t>
      </w:r>
      <w:r>
        <w:rPr>
          <w:rFonts w:hint="eastAsia" w:ascii="仿宋" w:hAnsi="仿宋" w:eastAsia="仿宋" w:cs="仿宋"/>
          <w:b/>
          <w:bCs/>
          <w:color w:val="auto"/>
          <w:sz w:val="32"/>
          <w:szCs w:val="32"/>
          <w:lang w:val="zh-CN"/>
        </w:rPr>
        <w:t>验收通过后，需方与供方共同在《验收报告单》上签字和加盖单位公章，作为验收合格、同意付款的依据。</w:t>
      </w:r>
    </w:p>
    <w:p w14:paraId="0D72503D">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5．知识产权及有关规定：</w:t>
      </w:r>
      <w:r>
        <w:rPr>
          <w:rFonts w:hint="eastAsia" w:ascii="仿宋" w:hAnsi="仿宋" w:eastAsia="仿宋" w:cs="仿宋"/>
          <w:color w:val="000000"/>
          <w:sz w:val="32"/>
          <w:szCs w:val="32"/>
          <w:lang w:val="zh-CN"/>
        </w:rPr>
        <w:t>供方应保证需方在使用本合同项下的货物或其任何一部分时免受第三方提出侵犯其知识产权、商标权或工业设计权的起诉。如果发生此类问题，供方应负责交涉并承担一切费用和责任。</w:t>
      </w:r>
    </w:p>
    <w:p w14:paraId="5D3A7F17">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val="0"/>
          <w:bCs w:val="0"/>
          <w:color w:val="000000"/>
          <w:sz w:val="32"/>
          <w:szCs w:val="32"/>
          <w:lang w:val="zh-CN"/>
        </w:rPr>
        <w:t>6．包装要求及包装标志：</w:t>
      </w:r>
      <w:r>
        <w:rPr>
          <w:rFonts w:hint="eastAsia" w:ascii="仿宋" w:hAnsi="仿宋" w:eastAsia="仿宋" w:cs="仿宋"/>
          <w:color w:val="000000"/>
          <w:sz w:val="32"/>
          <w:szCs w:val="32"/>
          <w:lang w:val="zh-CN"/>
        </w:rPr>
        <w:t>供方提供的全部货物应按国家或者制造厂商的企业标准进行包装和标记。因包装出现问题导致货物毁损的,由供方向需方直接承担责任。每一个包装箱内应附一份详细的装箱单和质量合格证书。</w:t>
      </w:r>
    </w:p>
    <w:p w14:paraId="05BC1187">
      <w:pPr>
        <w:spacing w:line="240" w:lineRule="auto"/>
        <w:ind w:firstLine="482"/>
        <w:outlineLvl w:val="1"/>
        <w:rPr>
          <w:rFonts w:hint="eastAsia" w:ascii="仿宋" w:hAnsi="仿宋" w:eastAsia="仿宋" w:cs="仿宋"/>
          <w:b/>
          <w:bCs/>
          <w:color w:val="000000"/>
          <w:sz w:val="32"/>
          <w:szCs w:val="32"/>
          <w:lang w:val="zh-CN"/>
        </w:rPr>
      </w:pPr>
      <w:bookmarkStart w:id="104" w:name="_Toc31099"/>
      <w:bookmarkStart w:id="105" w:name="_Toc6185"/>
      <w:bookmarkStart w:id="106" w:name="_Toc6282"/>
      <w:bookmarkStart w:id="107" w:name="_Toc16832"/>
      <w:r>
        <w:rPr>
          <w:rFonts w:hint="eastAsia" w:ascii="仿宋" w:hAnsi="仿宋" w:eastAsia="仿宋" w:cs="仿宋"/>
          <w:b/>
          <w:bCs/>
          <w:color w:val="000000"/>
          <w:sz w:val="32"/>
          <w:szCs w:val="32"/>
          <w:lang w:val="zh-CN"/>
        </w:rPr>
        <w:t>7．伴随服务</w:t>
      </w:r>
      <w:bookmarkEnd w:id="104"/>
      <w:bookmarkEnd w:id="105"/>
      <w:bookmarkEnd w:id="106"/>
      <w:bookmarkEnd w:id="107"/>
    </w:p>
    <w:p w14:paraId="6B71559C">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7.1</w:t>
      </w: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lang w:val="zh-CN"/>
        </w:rPr>
        <w:t>供方应提供所交付货物的全套技术文件资料</w:t>
      </w:r>
      <w:r>
        <w:rPr>
          <w:rFonts w:hint="eastAsia" w:ascii="仿宋" w:hAnsi="仿宋" w:eastAsia="仿宋" w:cs="仿宋"/>
          <w:color w:val="000000"/>
          <w:sz w:val="32"/>
          <w:szCs w:val="32"/>
          <w:lang w:val="zh-CN"/>
        </w:rPr>
        <w:t>，包括材料、消耗品、备件、操作手册、使用说明、维护手册和服务指南等。</w:t>
      </w:r>
    </w:p>
    <w:p w14:paraId="69943735">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val="zh-CN"/>
        </w:rPr>
        <w:t>.2供方还应提供下列服务：</w:t>
      </w:r>
    </w:p>
    <w:p w14:paraId="6A3A836F">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val="zh-CN"/>
        </w:rPr>
        <w:t>.2.1货物的现场安装、启动和试运行；</w:t>
      </w:r>
    </w:p>
    <w:p w14:paraId="718EC147">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val="zh-CN"/>
        </w:rPr>
        <w:t>.2.2提供货物组装和维修所需的工具；</w:t>
      </w:r>
    </w:p>
    <w:p w14:paraId="641BF35A">
      <w:pPr>
        <w:spacing w:line="240" w:lineRule="auto"/>
        <w:ind w:firstLine="480"/>
        <w:rPr>
          <w:rFonts w:hint="eastAsia" w:ascii="仿宋" w:hAnsi="仿宋" w:eastAsia="仿宋" w:cs="仿宋"/>
          <w:sz w:val="32"/>
          <w:szCs w:val="32"/>
          <w:lang w:val="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val="zh-CN"/>
        </w:rPr>
        <w:t>.2.3在质量保</w:t>
      </w:r>
      <w:r>
        <w:rPr>
          <w:rFonts w:hint="eastAsia" w:ascii="仿宋" w:hAnsi="仿宋" w:eastAsia="仿宋" w:cs="仿宋"/>
          <w:sz w:val="32"/>
          <w:szCs w:val="32"/>
          <w:lang w:val="zh-CN"/>
        </w:rPr>
        <w:t>证期内对所交付货物提供运行监督、维修、保养等,如果采购文件没有特别要求，以供方在响应文件中提交的售后服务承诺书为准。如果上述文件规定有不一致之处，以对需方有利的为准。</w:t>
      </w:r>
    </w:p>
    <w:p w14:paraId="669F0ADC">
      <w:pPr>
        <w:adjustRightInd w:val="0"/>
        <w:snapToGrid w:val="0"/>
        <w:spacing w:line="360" w:lineRule="auto"/>
        <w:ind w:firstLine="640" w:firstLineChars="200"/>
        <w:rPr>
          <w:rFonts w:hint="eastAsia"/>
          <w:lang w:val="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val="zh-CN"/>
        </w:rPr>
        <w:t>.2.4在制造厂家或在项目现场就货物的安装、启动、</w:t>
      </w:r>
      <w:r>
        <w:rPr>
          <w:rFonts w:hint="eastAsia" w:ascii="仿宋" w:hAnsi="仿宋" w:eastAsia="仿宋" w:cs="仿宋"/>
          <w:sz w:val="32"/>
          <w:szCs w:val="32"/>
          <w:lang w:val="zh-CN"/>
        </w:rPr>
        <w:t>运行、维护等对需方人员进行培训，直至需方人员掌握全部上述技能为止。</w:t>
      </w:r>
    </w:p>
    <w:p w14:paraId="16E004E8">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w:t>
      </w:r>
      <w:r>
        <w:rPr>
          <w:rFonts w:hint="eastAsia" w:ascii="仿宋" w:hAnsi="仿宋" w:eastAsia="仿宋" w:cs="仿宋"/>
          <w:color w:val="000000"/>
          <w:sz w:val="32"/>
          <w:szCs w:val="32"/>
          <w:lang w:val="en-US" w:eastAsia="zh-CN"/>
        </w:rPr>
        <w:t xml:space="preserve">3 </w:t>
      </w:r>
      <w:r>
        <w:rPr>
          <w:rFonts w:hint="eastAsia" w:ascii="仿宋" w:hAnsi="仿宋" w:eastAsia="仿宋" w:cs="仿宋"/>
          <w:color w:val="000000"/>
          <w:sz w:val="32"/>
          <w:szCs w:val="32"/>
          <w:lang w:val="zh-CN"/>
        </w:rPr>
        <w:t>伴随服务的费用应包含在合同价中，不单独进行支付。</w:t>
      </w:r>
    </w:p>
    <w:p w14:paraId="0CBAA648">
      <w:pPr>
        <w:spacing w:line="240" w:lineRule="auto"/>
        <w:ind w:firstLine="482"/>
        <w:outlineLvl w:val="1"/>
        <w:rPr>
          <w:rFonts w:hint="eastAsia" w:ascii="仿宋" w:hAnsi="仿宋" w:eastAsia="仿宋" w:cs="仿宋"/>
          <w:b/>
          <w:bCs/>
          <w:color w:val="000000"/>
          <w:sz w:val="32"/>
          <w:szCs w:val="32"/>
          <w:highlight w:val="none"/>
          <w:lang w:val="zh-CN"/>
        </w:rPr>
      </w:pPr>
      <w:bookmarkStart w:id="108" w:name="_Toc16315"/>
      <w:bookmarkStart w:id="109" w:name="_Toc26178"/>
      <w:bookmarkStart w:id="110" w:name="_Toc28565"/>
      <w:bookmarkStart w:id="111" w:name="_Toc10517"/>
      <w:r>
        <w:rPr>
          <w:rFonts w:hint="eastAsia" w:ascii="仿宋" w:hAnsi="仿宋" w:eastAsia="仿宋" w:cs="仿宋"/>
          <w:b/>
          <w:bCs/>
          <w:color w:val="000000"/>
          <w:sz w:val="32"/>
          <w:szCs w:val="32"/>
          <w:highlight w:val="none"/>
          <w:lang w:val="zh-CN"/>
        </w:rPr>
        <w:t>8．验收</w:t>
      </w:r>
      <w:bookmarkEnd w:id="108"/>
      <w:bookmarkEnd w:id="109"/>
      <w:bookmarkEnd w:id="110"/>
      <w:bookmarkEnd w:id="111"/>
    </w:p>
    <w:p w14:paraId="73A08B4E">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val="0"/>
          <w:bCs w:val="0"/>
          <w:color w:val="000000"/>
          <w:sz w:val="32"/>
          <w:szCs w:val="32"/>
          <w:lang w:val="zh-CN"/>
        </w:rPr>
        <w:t>8.1</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color w:val="000000"/>
          <w:sz w:val="32"/>
          <w:szCs w:val="32"/>
          <w:lang w:val="zh-CN"/>
        </w:rPr>
        <w:t>供方提交的货物由需方负责检验验收，或由需方聘请当地有关部门对货物的品种、质量、数量、外观等进行检验，并出具检验证书。检验费用由供需双方协商确定。</w:t>
      </w:r>
    </w:p>
    <w:p w14:paraId="78E4F311">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8.2</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lang w:val="zh-CN"/>
        </w:rPr>
        <w:t>验收过程中，如果供需双方对合同标的质量发生争议，应当聘请当地有关部门对有争议的货物质量进行鉴定，检验费用由责任方承担。</w:t>
      </w:r>
    </w:p>
    <w:p w14:paraId="0E00DC3C">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8.3 按照规定必须由国家有关部门或者机构检验合格才允许使用的货物，由供方负责（需方配合）向有关部门或者机构申请检验并取得检验合格的报告（证书）或者使用许可证，费用包含在供方的总报价中。</w:t>
      </w:r>
    </w:p>
    <w:p w14:paraId="7AF012AA">
      <w:pPr>
        <w:spacing w:line="240" w:lineRule="auto"/>
        <w:ind w:firstLine="482"/>
        <w:outlineLvl w:val="1"/>
        <w:rPr>
          <w:rFonts w:hint="eastAsia" w:ascii="仿宋" w:hAnsi="仿宋" w:eastAsia="仿宋" w:cs="仿宋"/>
          <w:b/>
          <w:bCs/>
          <w:color w:val="000000"/>
          <w:sz w:val="32"/>
          <w:szCs w:val="32"/>
          <w:lang w:val="zh-CN"/>
        </w:rPr>
      </w:pPr>
      <w:bookmarkStart w:id="112" w:name="_Toc3831"/>
      <w:bookmarkStart w:id="113" w:name="_Toc13586"/>
      <w:bookmarkStart w:id="114" w:name="_Toc28238"/>
      <w:bookmarkStart w:id="115" w:name="_Toc26425"/>
      <w:r>
        <w:rPr>
          <w:rFonts w:hint="eastAsia" w:ascii="仿宋" w:hAnsi="仿宋" w:eastAsia="仿宋" w:cs="仿宋"/>
          <w:b/>
          <w:bCs/>
          <w:color w:val="000000"/>
          <w:sz w:val="32"/>
          <w:szCs w:val="32"/>
          <w:lang w:val="zh-CN"/>
        </w:rPr>
        <w:t>9．索赔</w:t>
      </w:r>
      <w:bookmarkEnd w:id="112"/>
      <w:bookmarkEnd w:id="113"/>
      <w:bookmarkEnd w:id="114"/>
      <w:bookmarkEnd w:id="115"/>
    </w:p>
    <w:p w14:paraId="08CD47AE">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9.1</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需方有权根据当地国家技术监督局、进出口商品检验局或其他具有法定资格的质检机构出具的检验证书向供方提出索赔。</w:t>
      </w:r>
    </w:p>
    <w:p w14:paraId="39831ABA">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9.2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如果供方对缺陷负有责任而需方提出索赔，供方应按照需方同意的下列一种或多种方式解决索赔事宜：</w:t>
      </w:r>
    </w:p>
    <w:p w14:paraId="0049F2CF">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（1）根据货物低劣、损坏程度以及需方所遭受损失的金额，经过供需双方商定降低货物的价格。</w:t>
      </w:r>
    </w:p>
    <w:p w14:paraId="7D61F83C">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（2）用符合合同规定的新零件或设备更换有缺陷的部分和／或修补缺陷部分，供方应承担一切费用和风险，并负担需方蒙受的全部直接损失。</w:t>
      </w:r>
    </w:p>
    <w:p w14:paraId="281A85FD">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9.3</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如果需方发出索赔通知后十天内供方未作答复，上述索赔应视为已被供方接受。如供方未能在接到需方索赔通知后十天内或需方同意的延长期限内，按照上述第9.2条规定的任何一种或多种方式解决索赔事宜并征得需方同意，需方有权拥有对赔偿不足部分进一步索赔的权利。</w:t>
      </w:r>
    </w:p>
    <w:p w14:paraId="3906FE31">
      <w:pPr>
        <w:spacing w:line="240" w:lineRule="auto"/>
        <w:ind w:firstLine="482"/>
        <w:outlineLvl w:val="1"/>
        <w:rPr>
          <w:rFonts w:hint="eastAsia" w:ascii="仿宋" w:hAnsi="仿宋" w:eastAsia="仿宋" w:cs="仿宋"/>
          <w:b/>
          <w:bCs/>
          <w:color w:val="000000"/>
          <w:sz w:val="32"/>
          <w:szCs w:val="32"/>
          <w:lang w:val="zh-CN"/>
        </w:rPr>
      </w:pPr>
      <w:bookmarkStart w:id="116" w:name="_Toc31952"/>
      <w:bookmarkStart w:id="117" w:name="_Toc3733"/>
      <w:bookmarkStart w:id="118" w:name="_Toc26922"/>
      <w:bookmarkStart w:id="119" w:name="_Toc16601"/>
      <w:r>
        <w:rPr>
          <w:rFonts w:hint="eastAsia" w:ascii="仿宋" w:hAnsi="仿宋" w:eastAsia="仿宋" w:cs="仿宋"/>
          <w:b/>
          <w:bCs/>
          <w:color w:val="000000"/>
          <w:sz w:val="32"/>
          <w:szCs w:val="32"/>
          <w:lang w:val="zh-CN"/>
        </w:rPr>
        <w:t>10．履约延误</w:t>
      </w:r>
      <w:bookmarkEnd w:id="116"/>
      <w:bookmarkEnd w:id="117"/>
      <w:bookmarkEnd w:id="118"/>
      <w:bookmarkEnd w:id="119"/>
    </w:p>
    <w:p w14:paraId="5BB83826">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10.1 供方应按照合同规定的时间、地点交货和提供服务；需方应按照合同规定的时间、地点接受货物和接受服务。</w:t>
      </w:r>
    </w:p>
    <w:p w14:paraId="2A7D800B">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10.2 如果供方无正当理由拖延交货，将受到以下制裁：加收误期赔偿，同时需方有权终止合同；如果需方无正当理由拖延接收货物和接受服务，应承担相应的违约责任。</w:t>
      </w:r>
    </w:p>
    <w:p w14:paraId="50282290">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10.3</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在履行合同过程中，如果供方遇到可能妨碍其按时提供货物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服务期限，或者终止合同。</w:t>
      </w:r>
    </w:p>
    <w:p w14:paraId="508BDECF">
      <w:pPr>
        <w:spacing w:line="240" w:lineRule="auto"/>
        <w:ind w:firstLine="482"/>
        <w:outlineLvl w:val="1"/>
        <w:rPr>
          <w:rFonts w:hint="eastAsia" w:ascii="仿宋" w:hAnsi="仿宋" w:eastAsia="仿宋" w:cs="仿宋"/>
          <w:b/>
          <w:bCs/>
          <w:color w:val="000000"/>
          <w:sz w:val="32"/>
          <w:szCs w:val="32"/>
          <w:lang w:val="zh-CN"/>
        </w:rPr>
      </w:pPr>
      <w:bookmarkStart w:id="120" w:name="_Toc26244"/>
      <w:bookmarkStart w:id="121" w:name="_Toc19036"/>
      <w:bookmarkStart w:id="122" w:name="_Toc20982"/>
      <w:bookmarkStart w:id="123" w:name="_Toc26633"/>
      <w:r>
        <w:rPr>
          <w:rFonts w:hint="eastAsia" w:ascii="仿宋" w:hAnsi="仿宋" w:eastAsia="仿宋" w:cs="仿宋"/>
          <w:b/>
          <w:bCs/>
          <w:color w:val="000000"/>
          <w:sz w:val="32"/>
          <w:szCs w:val="32"/>
          <w:lang w:val="zh-CN"/>
        </w:rPr>
        <w:t>11．误期赔偿</w:t>
      </w:r>
      <w:bookmarkEnd w:id="120"/>
      <w:bookmarkEnd w:id="121"/>
      <w:bookmarkEnd w:id="122"/>
      <w:bookmarkEnd w:id="123"/>
    </w:p>
    <w:p w14:paraId="0A09F29B">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11.1</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除合同条款第13条规定外，如果供方没有按照合同规定的时间交货和提供服务，供方应向需方支付误期赔偿费。误期赔偿费每周按迟交货物的交货价的百分之一计收，直至提供服务为止。一周按七天计算，不足七天按一周计算。误期赔偿费的最高限额不超过合同价的百分之五。</w:t>
      </w:r>
    </w:p>
    <w:p w14:paraId="06B7E826">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11.2</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误期赔偿费可从应付价款中扣除。</w:t>
      </w:r>
    </w:p>
    <w:p w14:paraId="3A05DEC5">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11.3</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收取误期赔偿费不影响需方采取合同规定的其他补救措施的权利。</w:t>
      </w:r>
    </w:p>
    <w:p w14:paraId="6A4ECEF6">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11.4</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在收取误期赔偿费基础上，需方有权决定是否终止合同。</w:t>
      </w:r>
    </w:p>
    <w:p w14:paraId="69B0E3BE">
      <w:pPr>
        <w:spacing w:line="240" w:lineRule="auto"/>
        <w:ind w:firstLine="482"/>
        <w:rPr>
          <w:rFonts w:hint="eastAsia" w:ascii="仿宋" w:hAnsi="仿宋" w:eastAsia="仿宋" w:cs="仿宋"/>
          <w:b/>
          <w:bCs/>
          <w:color w:val="000000"/>
          <w:sz w:val="32"/>
          <w:szCs w:val="32"/>
          <w:lang w:val="zh-CN"/>
        </w:rPr>
      </w:pPr>
      <w:r>
        <w:rPr>
          <w:rFonts w:hint="eastAsia" w:ascii="仿宋" w:hAnsi="仿宋" w:eastAsia="仿宋" w:cs="仿宋"/>
          <w:b w:val="0"/>
          <w:bCs w:val="0"/>
          <w:color w:val="000000"/>
          <w:sz w:val="32"/>
          <w:szCs w:val="32"/>
          <w:lang w:val="zh-CN"/>
        </w:rPr>
        <w:t>12．履约保证金：不收取</w:t>
      </w:r>
    </w:p>
    <w:p w14:paraId="33854300">
      <w:pPr>
        <w:spacing w:line="240" w:lineRule="auto"/>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13．不可抗力</w:t>
      </w:r>
    </w:p>
    <w:p w14:paraId="21810739">
      <w:pPr>
        <w:spacing w:line="24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13.1 如果供需双方因不可抗力导致合同实施延误或不能履行合同义务，不应承担误期赔偿或不能履行合同义务的责任。因供方或需方先延误或不能履行合同而后遇不可抗力的情形除外。</w:t>
      </w:r>
    </w:p>
    <w:p w14:paraId="61F82E23">
      <w:pPr>
        <w:spacing w:line="24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13.2 本条所述的“不可抗力”系指那些供需双方无法控制，不可预见的事件，但不包括双方的违约或疏忽。这些事件包括但不限于：战争、严重火灾、洪水、台风、地震以及其它双方商定的事件。</w:t>
      </w:r>
    </w:p>
    <w:p w14:paraId="5A0F10E7">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13.3 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4FD05735">
      <w:pPr>
        <w:spacing w:line="240" w:lineRule="auto"/>
        <w:ind w:firstLine="482"/>
        <w:outlineLvl w:val="1"/>
        <w:rPr>
          <w:rFonts w:hint="eastAsia" w:ascii="仿宋" w:hAnsi="仿宋" w:eastAsia="仿宋" w:cs="仿宋"/>
          <w:b/>
          <w:bCs/>
          <w:color w:val="000000"/>
          <w:sz w:val="32"/>
          <w:szCs w:val="32"/>
          <w:lang w:val="zh-CN"/>
        </w:rPr>
      </w:pPr>
      <w:bookmarkStart w:id="124" w:name="_Toc11086"/>
      <w:bookmarkStart w:id="125" w:name="_Toc20942"/>
      <w:bookmarkStart w:id="126" w:name="_Toc5194"/>
      <w:bookmarkStart w:id="127" w:name="_Toc29134"/>
      <w:r>
        <w:rPr>
          <w:rFonts w:hint="eastAsia" w:ascii="仿宋" w:hAnsi="仿宋" w:eastAsia="仿宋" w:cs="仿宋"/>
          <w:b/>
          <w:bCs/>
          <w:color w:val="000000"/>
          <w:sz w:val="32"/>
          <w:szCs w:val="32"/>
          <w:lang w:val="zh-CN"/>
        </w:rPr>
        <w:t>14．税费</w:t>
      </w:r>
      <w:bookmarkEnd w:id="124"/>
      <w:bookmarkEnd w:id="125"/>
      <w:bookmarkEnd w:id="126"/>
      <w:bookmarkEnd w:id="127"/>
    </w:p>
    <w:p w14:paraId="40685572">
      <w:pPr>
        <w:spacing w:line="24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14.1 根据现行法律规定对需方征收的与本合同有关的一切税费均由需方负担。</w:t>
      </w:r>
    </w:p>
    <w:p w14:paraId="2A5DDDE2">
      <w:pPr>
        <w:spacing w:line="24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14.2 根据现行法律规定对供方征收的与本合同有关的一切税费均由供方负担。</w:t>
      </w:r>
    </w:p>
    <w:p w14:paraId="7649F165">
      <w:pPr>
        <w:spacing w:line="240" w:lineRule="auto"/>
        <w:ind w:firstLine="480"/>
        <w:rPr>
          <w:rFonts w:hint="eastAsia" w:ascii="仿宋" w:hAnsi="仿宋" w:eastAsia="仿宋" w:cs="仿宋"/>
          <w:b/>
          <w:bCs/>
          <w:color w:val="000000"/>
          <w:sz w:val="32"/>
          <w:szCs w:val="32"/>
          <w:lang w:val="zh-CN"/>
        </w:rPr>
      </w:pPr>
      <w:r>
        <w:rPr>
          <w:rFonts w:hint="eastAsia" w:ascii="仿宋" w:hAnsi="仿宋" w:eastAsia="仿宋" w:cs="仿宋"/>
          <w:color w:val="000000"/>
          <w:sz w:val="32"/>
          <w:szCs w:val="32"/>
          <w:lang w:val="zh-CN"/>
        </w:rPr>
        <w:t>14.3 在中国境外发生的与执行本合同有关的一切税费均由供方负担。</w:t>
      </w:r>
    </w:p>
    <w:p w14:paraId="0C25236C">
      <w:pPr>
        <w:spacing w:line="240" w:lineRule="auto"/>
        <w:ind w:firstLine="482"/>
        <w:outlineLvl w:val="1"/>
        <w:rPr>
          <w:rFonts w:hint="eastAsia" w:ascii="仿宋" w:hAnsi="仿宋" w:eastAsia="仿宋" w:cs="仿宋"/>
          <w:b/>
          <w:bCs/>
          <w:color w:val="000000"/>
          <w:sz w:val="32"/>
          <w:szCs w:val="32"/>
          <w:lang w:val="zh-CN"/>
        </w:rPr>
      </w:pPr>
      <w:bookmarkStart w:id="128" w:name="_Toc29522"/>
      <w:bookmarkStart w:id="129" w:name="_Toc16150"/>
      <w:bookmarkStart w:id="130" w:name="_Toc24382"/>
      <w:bookmarkStart w:id="131" w:name="_Toc800"/>
      <w:r>
        <w:rPr>
          <w:rFonts w:hint="eastAsia" w:ascii="仿宋" w:hAnsi="仿宋" w:eastAsia="仿宋" w:cs="仿宋"/>
          <w:b/>
          <w:bCs/>
          <w:color w:val="000000"/>
          <w:sz w:val="32"/>
          <w:szCs w:val="32"/>
          <w:lang w:val="zh-CN"/>
        </w:rPr>
        <w:t>15．争议解决方式</w:t>
      </w:r>
      <w:bookmarkEnd w:id="128"/>
      <w:bookmarkEnd w:id="129"/>
      <w:bookmarkEnd w:id="130"/>
      <w:bookmarkEnd w:id="131"/>
    </w:p>
    <w:p w14:paraId="5E0A0955">
      <w:pPr>
        <w:spacing w:line="24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15.1 供需双方应通过友好协商，解决在执行本合同过程中所发生的或与本合同有关的争议。如果不能协商解决，可以向国家有关部门申请调解。如果调解不成，双方可以约定以下一种方式解决争议：</w:t>
      </w:r>
    </w:p>
    <w:p w14:paraId="07ED2E1E">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第一种方式：双方达成仲裁协议，向约定的仲裁机构申请仲裁；</w:t>
      </w:r>
    </w:p>
    <w:p w14:paraId="2157E3FD">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第二种方式：向有管辖权的人民法院提起诉讼。</w:t>
      </w:r>
    </w:p>
    <w:p w14:paraId="14C86814">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15.2因合同部分履行引发仲裁（诉讼）的，在仲裁（诉讼）期间，除正在进行仲裁（诉讼）的部分外，本合同的其它部分应继续执行。</w:t>
      </w:r>
    </w:p>
    <w:p w14:paraId="1712C7A3">
      <w:pPr>
        <w:spacing w:line="240" w:lineRule="auto"/>
        <w:ind w:firstLine="482"/>
        <w:outlineLvl w:val="1"/>
        <w:rPr>
          <w:rFonts w:hint="eastAsia" w:ascii="仿宋" w:hAnsi="仿宋" w:eastAsia="仿宋" w:cs="仿宋"/>
          <w:b/>
          <w:bCs/>
          <w:color w:val="000000"/>
          <w:sz w:val="32"/>
          <w:szCs w:val="32"/>
          <w:lang w:val="zh-CN"/>
        </w:rPr>
      </w:pPr>
      <w:bookmarkStart w:id="132" w:name="_Toc23667"/>
      <w:bookmarkStart w:id="133" w:name="_Toc20598"/>
      <w:bookmarkStart w:id="134" w:name="_Toc20382"/>
      <w:bookmarkStart w:id="135" w:name="_Toc17813"/>
      <w:r>
        <w:rPr>
          <w:rFonts w:hint="eastAsia" w:ascii="仿宋" w:hAnsi="仿宋" w:eastAsia="仿宋" w:cs="仿宋"/>
          <w:b/>
          <w:bCs/>
          <w:color w:val="000000"/>
          <w:sz w:val="32"/>
          <w:szCs w:val="32"/>
          <w:lang w:val="zh-CN"/>
        </w:rPr>
        <w:t>16．合同违约终止</w:t>
      </w:r>
      <w:bookmarkEnd w:id="132"/>
      <w:bookmarkEnd w:id="133"/>
      <w:bookmarkEnd w:id="134"/>
      <w:bookmarkEnd w:id="135"/>
    </w:p>
    <w:p w14:paraId="588E3ED3">
      <w:pPr>
        <w:spacing w:line="24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16.1 在需方因供方违约而按合同约定采取的任何补救措施不受影响的情况下，需方可在下列情况下向供方发出书面通知，提出终止部分或全部合同。</w:t>
      </w:r>
    </w:p>
    <w:p w14:paraId="79B55871">
      <w:pPr>
        <w:spacing w:line="24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（1）如果供方未能在合同规定的限期或需方同意延长的限期内提供部分或全部服务和货物。</w:t>
      </w:r>
    </w:p>
    <w:p w14:paraId="6AA50030">
      <w:pPr>
        <w:spacing w:line="24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（2）如果供方未能履行合同规定的其它任何义务。</w:t>
      </w:r>
    </w:p>
    <w:p w14:paraId="5F8F0E64">
      <w:pPr>
        <w:spacing w:line="240" w:lineRule="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 xml:space="preserve">   （3）如果供方在本合同订立和履行过程中采取了任何“不正当竞争行为”，危害到国家利益、社会公共利益和需方的合法权益。</w:t>
      </w:r>
    </w:p>
    <w:p w14:paraId="43FB58A5">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16.2 如果需方根据上述第1</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val="zh-CN"/>
        </w:rPr>
        <w:t>.1款的规定，终止了全部或部分合同，需方可以依其认为适当的条件和方法购买与未交货类似的货物，供方应对购买类似货物所超出的那部分费用负责。供方应继续履行合同中未终止的部分。</w:t>
      </w:r>
    </w:p>
    <w:p w14:paraId="17B5DF9C">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16.3</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如果需方违约，应承担相应的违约责任。</w:t>
      </w:r>
    </w:p>
    <w:p w14:paraId="18700749">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17．破产终止合同：</w:t>
      </w:r>
      <w:r>
        <w:rPr>
          <w:rFonts w:hint="eastAsia" w:ascii="仿宋" w:hAnsi="仿宋" w:eastAsia="仿宋" w:cs="仿宋"/>
          <w:color w:val="000000"/>
          <w:sz w:val="32"/>
          <w:szCs w:val="32"/>
          <w:lang w:val="zh-CN"/>
        </w:rPr>
        <w:t>如果供方破产或丧失清偿能力，需方可在任何时候以书面形式通知供方终止合同而不给供方补偿。该终止合同将不损害或影响需方已经采取或将要采取任何补救措施的权力。</w:t>
      </w:r>
    </w:p>
    <w:p w14:paraId="6D39EC0B">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18．合同转让和分包：</w:t>
      </w:r>
      <w:r>
        <w:rPr>
          <w:rFonts w:hint="eastAsia" w:ascii="仿宋" w:hAnsi="仿宋" w:eastAsia="仿宋" w:cs="仿宋"/>
          <w:color w:val="000000"/>
          <w:sz w:val="32"/>
          <w:szCs w:val="32"/>
          <w:lang w:val="zh-CN"/>
        </w:rPr>
        <w:t>本合同不得转让与分包。</w:t>
      </w:r>
    </w:p>
    <w:p w14:paraId="3746AD3E">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19．需要补充的合同条款：</w:t>
      </w:r>
      <w:r>
        <w:rPr>
          <w:rFonts w:hint="eastAsia" w:ascii="仿宋" w:hAnsi="仿宋" w:eastAsia="仿宋" w:cs="仿宋"/>
          <w:color w:val="000000"/>
          <w:sz w:val="32"/>
          <w:szCs w:val="32"/>
          <w:lang w:val="zh-CN"/>
        </w:rPr>
        <w:t>在政府采购合同书中约定。</w:t>
      </w:r>
    </w:p>
    <w:p w14:paraId="55236792">
      <w:pPr>
        <w:spacing w:line="240" w:lineRule="auto"/>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20．适用法律：</w:t>
      </w:r>
      <w:r>
        <w:rPr>
          <w:rFonts w:hint="eastAsia" w:ascii="仿宋" w:hAnsi="仿宋" w:eastAsia="仿宋" w:cs="仿宋"/>
          <w:color w:val="000000"/>
          <w:sz w:val="32"/>
          <w:szCs w:val="32"/>
          <w:lang w:val="zh-CN"/>
        </w:rPr>
        <w:t>本合同按照中华人民共和国的现行法律进行解释。</w:t>
      </w:r>
    </w:p>
    <w:p w14:paraId="2AA47EB1">
      <w:pPr>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 xml:space="preserve">   21．政府采购法对政府采购合同变更终止的规定：</w:t>
      </w:r>
      <w:r>
        <w:rPr>
          <w:rFonts w:hint="eastAsia" w:ascii="仿宋" w:hAnsi="仿宋" w:eastAsia="仿宋" w:cs="仿宋"/>
          <w:color w:val="000000"/>
          <w:sz w:val="32"/>
          <w:szCs w:val="32"/>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B2E828A">
      <w:pPr>
        <w:numPr>
          <w:ilvl w:val="0"/>
          <w:numId w:val="3"/>
        </w:numPr>
        <w:jc w:val="center"/>
        <w:outlineLvl w:val="0"/>
        <w:rPr>
          <w:rFonts w:hint="eastAsia" w:ascii="黑体" w:hAnsi="黑体" w:eastAsia="黑体" w:cs="黑体"/>
          <w:b/>
          <w:bCs/>
          <w:color w:val="000000"/>
          <w:sz w:val="32"/>
          <w:szCs w:val="32"/>
          <w:highlight w:val="none"/>
          <w:lang w:val="zh-CN"/>
        </w:rPr>
      </w:pPr>
      <w:bookmarkStart w:id="136" w:name="_Toc2872"/>
      <w:bookmarkStart w:id="137" w:name="_Toc31221"/>
      <w:bookmarkStart w:id="138" w:name="_Toc19519"/>
      <w:bookmarkStart w:id="139" w:name="_Toc31620"/>
      <w:bookmarkStart w:id="140" w:name="_Toc32002"/>
      <w:r>
        <w:rPr>
          <w:rFonts w:hint="eastAsia" w:ascii="黑体" w:hAnsi="黑体" w:eastAsia="黑体" w:cs="黑体"/>
          <w:b/>
          <w:bCs/>
          <w:color w:val="000000"/>
          <w:sz w:val="32"/>
          <w:szCs w:val="32"/>
          <w:highlight w:val="none"/>
          <w:lang w:val="zh-CN"/>
        </w:rPr>
        <w:t>政府采购合同书格式</w:t>
      </w:r>
      <w:bookmarkEnd w:id="136"/>
      <w:bookmarkEnd w:id="137"/>
      <w:bookmarkEnd w:id="138"/>
      <w:bookmarkEnd w:id="139"/>
      <w:bookmarkEnd w:id="140"/>
    </w:p>
    <w:p w14:paraId="046DF887">
      <w:pPr>
        <w:pStyle w:val="50"/>
        <w:numPr>
          <w:ilvl w:val="-1"/>
          <w:numId w:val="0"/>
        </w:numPr>
        <w:rPr>
          <w:rFonts w:hint="default" w:ascii="Calibri" w:hAnsi="Calibri" w:eastAsia="宋体" w:cs="Times New Roman"/>
          <w:color w:val="auto"/>
          <w:sz w:val="21"/>
          <w:szCs w:val="22"/>
          <w:lang w:val="zh-CN"/>
        </w:rPr>
      </w:pPr>
    </w:p>
    <w:p w14:paraId="01671A9A">
      <w:pP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合同编号：</w:t>
      </w:r>
      <w:r>
        <w:rPr>
          <w:rFonts w:hint="eastAsia" w:ascii="仿宋" w:hAnsi="仿宋" w:eastAsia="仿宋" w:cs="仿宋"/>
          <w:color w:val="FF0000"/>
          <w:sz w:val="32"/>
          <w:szCs w:val="32"/>
        </w:rPr>
        <w:t xml:space="preserve">    </w:t>
      </w:r>
    </w:p>
    <w:p w14:paraId="1BDF3C6D">
      <w:pP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签订地点： </w:t>
      </w:r>
    </w:p>
    <w:p w14:paraId="1B97EB1D">
      <w:pP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签订日期：     年  月  日 </w:t>
      </w:r>
    </w:p>
    <w:p w14:paraId="18536CD9">
      <w:pPr>
        <w:rPr>
          <w:rFonts w:hint="default" w:ascii="仿宋" w:hAnsi="仿宋" w:eastAsia="仿宋" w:cs="仿宋"/>
          <w:color w:val="auto"/>
          <w:sz w:val="32"/>
          <w:szCs w:val="32"/>
          <w:lang w:val="en-US" w:eastAsia="zh-CN"/>
        </w:rPr>
      </w:pPr>
      <w:r>
        <w:rPr>
          <w:rFonts w:hint="eastAsia" w:ascii="仿宋" w:hAnsi="仿宋" w:eastAsia="仿宋" w:cs="仿宋"/>
          <w:color w:val="000000"/>
          <w:sz w:val="32"/>
          <w:szCs w:val="32"/>
          <w:lang w:val="zh-CN"/>
        </w:rPr>
        <w:t>采购实施</w:t>
      </w:r>
      <w:r>
        <w:rPr>
          <w:rFonts w:hint="eastAsia" w:ascii="仿宋" w:hAnsi="仿宋" w:eastAsia="仿宋" w:cs="仿宋"/>
          <w:color w:val="000000"/>
          <w:sz w:val="32"/>
          <w:szCs w:val="32"/>
          <w:lang w:val="en-US" w:eastAsia="zh-CN"/>
        </w:rPr>
        <w:t>计划备案备案</w:t>
      </w:r>
      <w:r>
        <w:rPr>
          <w:rFonts w:hint="eastAsia" w:ascii="仿宋" w:hAnsi="仿宋" w:eastAsia="仿宋" w:cs="仿宋"/>
          <w:color w:val="000000"/>
          <w:sz w:val="32"/>
          <w:szCs w:val="32"/>
          <w:lang w:val="zh-CN"/>
        </w:rPr>
        <w:t>编号：采购计划备</w:t>
      </w:r>
      <w:r>
        <w:rPr>
          <w:rFonts w:hint="eastAsia" w:ascii="仿宋" w:hAnsi="仿宋" w:eastAsia="仿宋" w:cs="仿宋"/>
          <w:color w:val="000000"/>
          <w:sz w:val="32"/>
          <w:szCs w:val="32"/>
          <w:lang w:val="en-US" w:eastAsia="zh-CN"/>
        </w:rPr>
        <w:t>-</w:t>
      </w:r>
      <w:r>
        <w:rPr>
          <w:rFonts w:hint="eastAsia" w:ascii="仿宋" w:hAnsi="仿宋" w:eastAsia="仿宋" w:cs="仿宋"/>
          <w:color w:val="auto"/>
          <w:sz w:val="32"/>
          <w:szCs w:val="32"/>
          <w:lang w:val="en-US" w:eastAsia="zh-CN"/>
        </w:rPr>
        <w:t>[2024]-00125号</w:t>
      </w:r>
    </w:p>
    <w:p w14:paraId="764BCBC8">
      <w:pP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lang w:val="en-US" w:eastAsia="zh-CN"/>
        </w:rPr>
        <w:t>和龙市职业中等专业学校设备采购项目</w:t>
      </w:r>
      <w:r>
        <w:rPr>
          <w:rFonts w:hint="eastAsia" w:ascii="仿宋" w:hAnsi="仿宋" w:eastAsia="仿宋" w:cs="仿宋"/>
          <w:color w:val="000000"/>
          <w:sz w:val="32"/>
          <w:szCs w:val="32"/>
          <w:lang w:val="zh-CN"/>
        </w:rPr>
        <w:t>，经</w:t>
      </w:r>
      <w:r>
        <w:rPr>
          <w:rFonts w:hint="eastAsia" w:ascii="仿宋" w:hAnsi="仿宋" w:eastAsia="仿宋" w:cs="仿宋"/>
          <w:color w:val="000000"/>
          <w:sz w:val="32"/>
          <w:szCs w:val="32"/>
          <w:lang w:val="en-US" w:eastAsia="zh-CN"/>
        </w:rPr>
        <w:t>和龙市政府采购中心</w:t>
      </w:r>
      <w:r>
        <w:rPr>
          <w:rFonts w:hint="eastAsia" w:ascii="仿宋" w:hAnsi="仿宋" w:eastAsia="仿宋" w:cs="仿宋"/>
          <w:color w:val="000000"/>
          <w:spacing w:val="-11"/>
          <w:sz w:val="32"/>
          <w:szCs w:val="32"/>
          <w:lang w:val="zh-CN"/>
        </w:rPr>
        <w:t>以编号为</w:t>
      </w:r>
      <w:r>
        <w:rPr>
          <w:rFonts w:hint="eastAsia" w:ascii="仿宋" w:hAnsi="仿宋" w:eastAsia="仿宋" w:cs="仿宋"/>
          <w:color w:val="auto"/>
          <w:spacing w:val="-11"/>
          <w:sz w:val="32"/>
          <w:szCs w:val="32"/>
          <w:highlight w:val="none"/>
          <w:u w:val="single"/>
          <w:lang w:val="en-US" w:eastAsia="zh-CN"/>
        </w:rPr>
        <w:t>HLZC-[2024]-00166号</w:t>
      </w:r>
      <w:r>
        <w:rPr>
          <w:rFonts w:hint="eastAsia" w:ascii="仿宋" w:hAnsi="仿宋" w:eastAsia="仿宋" w:cs="仿宋"/>
          <w:color w:val="000000"/>
          <w:sz w:val="32"/>
          <w:szCs w:val="32"/>
          <w:lang w:val="zh-CN"/>
        </w:rPr>
        <w:t>的竞争性谈判文件在国内公开采购，谈判小组评定</w:t>
      </w:r>
      <w:r>
        <w:rPr>
          <w:rFonts w:hint="eastAsia" w:ascii="仿宋" w:hAnsi="仿宋" w:eastAsia="仿宋" w:cs="仿宋"/>
          <w:color w:val="000000"/>
          <w:sz w:val="32"/>
          <w:szCs w:val="32"/>
          <w:u w:val="single"/>
          <w:lang w:val="zh-CN"/>
        </w:rPr>
        <w:t xml:space="preserve">  （</w:t>
      </w:r>
      <w:r>
        <w:rPr>
          <w:rFonts w:hint="eastAsia" w:ascii="仿宋" w:hAnsi="仿宋" w:eastAsia="仿宋" w:cs="仿宋"/>
          <w:i/>
          <w:iCs/>
          <w:color w:val="000000"/>
          <w:sz w:val="32"/>
          <w:szCs w:val="32"/>
          <w:u w:val="single"/>
          <w:lang w:val="zh-CN"/>
        </w:rPr>
        <w:t>供方名称</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为成交供应商。供需双方按照《中华人民共和国民法典》和有关法律法规，遵循平等、自愿、公平和诚实信用原则，同意按照下面的条款和条件订立本合同，共同信守。</w:t>
      </w:r>
    </w:p>
    <w:p w14:paraId="465FD0EA">
      <w:pPr>
        <w:ind w:firstLine="482"/>
        <w:outlineLvl w:val="1"/>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1.合同标的：</w:t>
      </w:r>
    </w:p>
    <w:p w14:paraId="4B5E121E">
      <w:pPr>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2.合同价格：人民币（大写）             元，（小写）￥:            元。</w:t>
      </w:r>
    </w:p>
    <w:p w14:paraId="5374A7F8">
      <w:pPr>
        <w:ind w:firstLine="482"/>
        <w:outlineLvl w:val="1"/>
        <w:rPr>
          <w:rFonts w:hint="eastAsia" w:ascii="仿宋" w:hAnsi="仿宋" w:eastAsia="仿宋" w:cs="仿宋"/>
          <w:b/>
          <w:bCs/>
          <w:color w:val="000000"/>
          <w:sz w:val="32"/>
          <w:szCs w:val="32"/>
          <w:lang w:val="zh-CN"/>
        </w:rPr>
      </w:pPr>
      <w:bookmarkStart w:id="141" w:name="_Toc4354"/>
      <w:bookmarkStart w:id="142" w:name="_Toc12389"/>
      <w:bookmarkStart w:id="143" w:name="_Toc4260"/>
      <w:bookmarkStart w:id="144" w:name="_Toc26815"/>
      <w:r>
        <w:rPr>
          <w:rFonts w:hint="eastAsia" w:ascii="仿宋" w:hAnsi="仿宋" w:eastAsia="仿宋" w:cs="仿宋"/>
          <w:b/>
          <w:bCs/>
          <w:color w:val="000000"/>
          <w:sz w:val="32"/>
          <w:szCs w:val="32"/>
          <w:lang w:val="zh-CN"/>
        </w:rPr>
        <w:t>3.交货地点、时间、方式</w:t>
      </w:r>
      <w:bookmarkEnd w:id="141"/>
      <w:bookmarkEnd w:id="142"/>
      <w:bookmarkEnd w:id="143"/>
      <w:bookmarkEnd w:id="144"/>
    </w:p>
    <w:p w14:paraId="4C7FA9E9">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3.1交货时间：合同订立后</w:t>
      </w:r>
      <w:r>
        <w:rPr>
          <w:rFonts w:hint="eastAsia" w:ascii="仿宋" w:hAnsi="仿宋" w:eastAsia="仿宋" w:cs="仿宋"/>
          <w:color w:val="000000"/>
          <w:sz w:val="32"/>
          <w:szCs w:val="32"/>
          <w:u w:val="single"/>
          <w:lang w:val="en-US" w:eastAsia="zh-CN"/>
        </w:rPr>
        <w:t xml:space="preserve">    天</w:t>
      </w:r>
      <w:r>
        <w:rPr>
          <w:rFonts w:hint="eastAsia" w:ascii="仿宋" w:hAnsi="仿宋" w:eastAsia="仿宋" w:cs="仿宋"/>
          <w:color w:val="000000"/>
          <w:sz w:val="32"/>
          <w:szCs w:val="32"/>
          <w:lang w:val="zh-CN"/>
        </w:rPr>
        <w:t>。所有货物安装调试完毕、验收合格并交付给需方的时间为交货时间。   。</w:t>
      </w:r>
    </w:p>
    <w:p w14:paraId="7441CC96">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3.2交货地点：</w:t>
      </w:r>
    </w:p>
    <w:p w14:paraId="61BD49BA">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3.3交货方式：供方负责将货物安全完好运抵交货地点、安装调试并保证验收合格。</w:t>
      </w:r>
    </w:p>
    <w:p w14:paraId="3A72B629">
      <w:pPr>
        <w:ind w:firstLine="482"/>
        <w:outlineLvl w:val="1"/>
        <w:rPr>
          <w:rFonts w:hint="eastAsia" w:ascii="仿宋" w:hAnsi="仿宋" w:eastAsia="仿宋" w:cs="仿宋"/>
          <w:b/>
          <w:bCs/>
          <w:color w:val="auto"/>
          <w:sz w:val="32"/>
          <w:szCs w:val="32"/>
          <w:lang w:val="zh-CN"/>
        </w:rPr>
      </w:pPr>
      <w:bookmarkStart w:id="145" w:name="_Toc18250"/>
      <w:bookmarkStart w:id="146" w:name="_Toc13033"/>
      <w:bookmarkStart w:id="147" w:name="_Toc12368"/>
      <w:bookmarkStart w:id="148" w:name="_Toc18201"/>
      <w:r>
        <w:rPr>
          <w:rFonts w:hint="eastAsia" w:ascii="仿宋" w:hAnsi="仿宋" w:eastAsia="仿宋" w:cs="仿宋"/>
          <w:b/>
          <w:bCs/>
          <w:color w:val="auto"/>
          <w:sz w:val="32"/>
          <w:szCs w:val="32"/>
          <w:lang w:val="zh-CN"/>
        </w:rPr>
        <w:t>4.付款条件和方式以及次数:</w:t>
      </w:r>
      <w:bookmarkEnd w:id="145"/>
      <w:bookmarkEnd w:id="146"/>
      <w:bookmarkEnd w:id="147"/>
      <w:bookmarkEnd w:id="148"/>
      <w:r>
        <w:rPr>
          <w:rFonts w:hint="eastAsia" w:ascii="仿宋" w:hAnsi="仿宋" w:eastAsia="仿宋" w:cs="仿宋"/>
          <w:b/>
          <w:bCs/>
          <w:color w:val="auto"/>
          <w:sz w:val="32"/>
          <w:szCs w:val="32"/>
          <w:lang w:val="zh-CN"/>
        </w:rPr>
        <w:t xml:space="preserve"> </w:t>
      </w:r>
    </w:p>
    <w:p w14:paraId="1D4E21F1">
      <w:pPr>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4.1供方交货时应提交下列文件：销售发票[发票抬头格式：需方单位名称]，包括但不限于：国家有关机构出具的检验报告或证书等。</w:t>
      </w:r>
    </w:p>
    <w:p w14:paraId="4B622747">
      <w:pPr>
        <w:ind w:firstLine="482"/>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w:t>
      </w:r>
      <w:r>
        <w:rPr>
          <w:rFonts w:hint="eastAsia" w:ascii="仿宋" w:hAnsi="仿宋" w:eastAsia="仿宋" w:cs="仿宋"/>
          <w:color w:val="auto"/>
          <w:sz w:val="32"/>
          <w:szCs w:val="32"/>
          <w:highlight w:val="none"/>
          <w:lang w:val="en-US" w:eastAsia="zh-CN"/>
        </w:rPr>
        <w:t>2</w:t>
      </w:r>
      <w:r>
        <w:rPr>
          <w:rFonts w:hint="eastAsia" w:ascii="仿宋" w:hAnsi="仿宋" w:eastAsia="仿宋" w:cs="仿宋"/>
          <w:b/>
          <w:bCs/>
          <w:color w:val="auto"/>
          <w:sz w:val="32"/>
          <w:szCs w:val="32"/>
          <w:highlight w:val="none"/>
          <w:lang w:val="zh-CN"/>
        </w:rPr>
        <w:t>需方自行付款：所有设备安装调试，验收合格后</w:t>
      </w:r>
      <w:r>
        <w:rPr>
          <w:rFonts w:hint="eastAsia" w:ascii="仿宋" w:hAnsi="仿宋" w:eastAsia="仿宋" w:cs="仿宋"/>
          <w:b/>
          <w:bCs/>
          <w:color w:val="auto"/>
          <w:sz w:val="32"/>
          <w:szCs w:val="32"/>
          <w:highlight w:val="none"/>
          <w:lang w:val="en-US" w:eastAsia="zh-CN"/>
        </w:rPr>
        <w:t>30日内支付全部合同金额</w:t>
      </w:r>
      <w:r>
        <w:rPr>
          <w:rFonts w:hint="eastAsia" w:ascii="仿宋" w:hAnsi="仿宋" w:eastAsia="仿宋" w:cs="仿宋"/>
          <w:color w:val="auto"/>
          <w:sz w:val="32"/>
          <w:szCs w:val="32"/>
          <w:highlight w:val="none"/>
          <w:lang w:val="zh-CN"/>
        </w:rPr>
        <w:t>。如果需方届时不能支付或者不能全额支付，由需方承担违约责任。供方承担全部收款责任，与采购中心无关。</w:t>
      </w:r>
    </w:p>
    <w:p w14:paraId="0499ED8E">
      <w:pPr>
        <w:ind w:firstLine="482"/>
        <w:outlineLvl w:val="1"/>
        <w:rPr>
          <w:rFonts w:hint="eastAsia" w:ascii="仿宋" w:hAnsi="仿宋" w:eastAsia="仿宋" w:cs="仿宋"/>
          <w:b/>
          <w:bCs/>
          <w:color w:val="auto"/>
          <w:sz w:val="32"/>
          <w:szCs w:val="32"/>
          <w:lang w:val="zh-CN"/>
        </w:rPr>
      </w:pPr>
      <w:bookmarkStart w:id="149" w:name="_Toc7317"/>
      <w:bookmarkStart w:id="150" w:name="_Toc19313"/>
      <w:bookmarkStart w:id="151" w:name="_Toc3570"/>
      <w:bookmarkStart w:id="152" w:name="_Toc21471"/>
      <w:r>
        <w:rPr>
          <w:rFonts w:hint="eastAsia" w:ascii="仿宋" w:hAnsi="仿宋" w:eastAsia="仿宋" w:cs="仿宋"/>
          <w:b/>
          <w:bCs/>
          <w:color w:val="auto"/>
          <w:sz w:val="32"/>
          <w:szCs w:val="32"/>
          <w:lang w:val="zh-CN"/>
        </w:rPr>
        <w:t>5．履约保证金</w:t>
      </w:r>
      <w:bookmarkEnd w:id="149"/>
      <w:bookmarkEnd w:id="150"/>
      <w:bookmarkEnd w:id="151"/>
      <w:bookmarkEnd w:id="152"/>
    </w:p>
    <w:p w14:paraId="7184614B">
      <w:pPr>
        <w:ind w:firstLine="482"/>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本项目无履约保证金</w:t>
      </w:r>
    </w:p>
    <w:p w14:paraId="20E7B35C">
      <w:pPr>
        <w:spacing w:line="360" w:lineRule="exact"/>
        <w:ind w:firstLine="482"/>
        <w:outlineLvl w:val="1"/>
        <w:rPr>
          <w:rFonts w:hint="eastAsia" w:ascii="仿宋" w:hAnsi="仿宋" w:eastAsia="仿宋" w:cs="仿宋"/>
          <w:b/>
          <w:bCs/>
          <w:color w:val="000000"/>
          <w:sz w:val="32"/>
          <w:szCs w:val="32"/>
          <w:lang w:val="zh-CN"/>
        </w:rPr>
      </w:pPr>
      <w:bookmarkStart w:id="153" w:name="_Toc22479"/>
      <w:bookmarkStart w:id="154" w:name="_Toc23452"/>
      <w:bookmarkStart w:id="155" w:name="_Toc2760"/>
      <w:bookmarkStart w:id="156" w:name="_Toc5021"/>
      <w:r>
        <w:rPr>
          <w:rFonts w:hint="eastAsia" w:ascii="仿宋" w:hAnsi="仿宋" w:eastAsia="仿宋" w:cs="仿宋"/>
          <w:b/>
          <w:bCs/>
          <w:color w:val="000000"/>
          <w:sz w:val="32"/>
          <w:szCs w:val="32"/>
          <w:lang w:val="zh-CN"/>
        </w:rPr>
        <w:t>6.合同补充条款：</w:t>
      </w:r>
      <w:bookmarkEnd w:id="153"/>
      <w:bookmarkEnd w:id="154"/>
      <w:bookmarkEnd w:id="155"/>
      <w:bookmarkEnd w:id="156"/>
    </w:p>
    <w:p w14:paraId="3920C58A">
      <w:pPr>
        <w:ind w:firstLine="482"/>
        <w:rPr>
          <w:rFonts w:hint="eastAsia" w:ascii="仿宋" w:hAnsi="仿宋" w:eastAsia="仿宋" w:cs="仿宋"/>
          <w:b/>
          <w:bCs/>
          <w:color w:val="000000"/>
          <w:sz w:val="32"/>
          <w:szCs w:val="32"/>
          <w:lang w:val="zh-CN"/>
        </w:rPr>
      </w:pPr>
    </w:p>
    <w:p w14:paraId="277C796E">
      <w:pPr>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7．合同构成：</w:t>
      </w:r>
      <w:r>
        <w:rPr>
          <w:rFonts w:hint="eastAsia" w:ascii="仿宋" w:hAnsi="仿宋" w:eastAsia="仿宋" w:cs="仿宋"/>
          <w:color w:val="000000"/>
          <w:sz w:val="32"/>
          <w:szCs w:val="32"/>
          <w:lang w:val="zh-CN"/>
        </w:rPr>
        <w:t>下列文件构成本合同不可分割的组成部分，与本合同具有同等法律效力：</w:t>
      </w:r>
    </w:p>
    <w:p w14:paraId="0F6D90AE">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7.1本合同书；</w:t>
      </w:r>
    </w:p>
    <w:p w14:paraId="7C14CA87">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7.2成交通知书；</w:t>
      </w:r>
    </w:p>
    <w:p w14:paraId="18E74F1A">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7.3谈判文件及澄清、修改、补遗文件；</w:t>
      </w:r>
    </w:p>
    <w:p w14:paraId="61A203B4">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7.4供方的响应文件及书面澄清、说明、补正文件；</w:t>
      </w:r>
    </w:p>
    <w:p w14:paraId="12F6AFC8">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7.5政府采购验收报告单；</w:t>
      </w:r>
    </w:p>
    <w:p w14:paraId="7A58FA20">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7.6合同的其它附件。</w:t>
      </w:r>
    </w:p>
    <w:p w14:paraId="505B3A26">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上述组成合同的文件如有不一致之处，以日期在后的为准。</w:t>
      </w:r>
    </w:p>
    <w:p w14:paraId="67267A12">
      <w:pPr>
        <w:ind w:firstLine="0" w:firstLineChars="0"/>
        <w:outlineLvl w:val="1"/>
        <w:rPr>
          <w:rFonts w:hint="eastAsia" w:ascii="仿宋" w:hAnsi="仿宋" w:eastAsia="仿宋" w:cs="仿宋"/>
          <w:b w:val="0"/>
          <w:bCs w:val="0"/>
          <w:color w:val="000000"/>
          <w:sz w:val="32"/>
          <w:szCs w:val="32"/>
          <w:lang w:val="zh-CN"/>
        </w:rPr>
      </w:pP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color w:val="000000"/>
          <w:sz w:val="32"/>
          <w:szCs w:val="32"/>
          <w:lang w:val="zh-CN"/>
        </w:rPr>
        <w:t xml:space="preserve"> </w:t>
      </w:r>
      <w:bookmarkStart w:id="157" w:name="_Toc4780"/>
      <w:bookmarkStart w:id="158" w:name="_Toc489"/>
      <w:bookmarkStart w:id="159" w:name="_Toc24676"/>
      <w:bookmarkStart w:id="160" w:name="_Toc32439"/>
      <w:r>
        <w:rPr>
          <w:rFonts w:hint="eastAsia" w:ascii="仿宋" w:hAnsi="仿宋" w:eastAsia="仿宋" w:cs="仿宋"/>
          <w:b w:val="0"/>
          <w:bCs w:val="0"/>
          <w:color w:val="000000"/>
          <w:sz w:val="32"/>
          <w:szCs w:val="32"/>
          <w:lang w:val="zh-CN"/>
        </w:rPr>
        <w:t>8.合同份数：本合同一式叁份，供需双方和采购中心各执一份。</w:t>
      </w:r>
      <w:bookmarkEnd w:id="157"/>
      <w:bookmarkEnd w:id="158"/>
      <w:bookmarkEnd w:id="159"/>
      <w:bookmarkEnd w:id="160"/>
      <w:r>
        <w:rPr>
          <w:rFonts w:hint="eastAsia" w:ascii="仿宋" w:hAnsi="仿宋" w:eastAsia="仿宋" w:cs="仿宋"/>
          <w:b w:val="0"/>
          <w:bCs w:val="0"/>
          <w:color w:val="000000"/>
          <w:sz w:val="32"/>
          <w:szCs w:val="32"/>
          <w:lang w:val="zh-CN"/>
        </w:rPr>
        <w:t xml:space="preserve"> </w:t>
      </w:r>
    </w:p>
    <w:p w14:paraId="3391740D">
      <w:pPr>
        <w:ind w:firstLine="482"/>
        <w:rPr>
          <w:rFonts w:hint="eastAsia" w:ascii="仿宋" w:hAnsi="仿宋" w:eastAsia="仿宋" w:cs="仿宋"/>
          <w:b w:val="0"/>
          <w:bCs w:val="0"/>
          <w:color w:val="000000"/>
          <w:sz w:val="32"/>
          <w:szCs w:val="32"/>
          <w:u w:val="none"/>
          <w:lang w:val="zh-CN"/>
        </w:rPr>
      </w:pPr>
      <w:r>
        <w:rPr>
          <w:rFonts w:hint="eastAsia" w:ascii="仿宋" w:hAnsi="仿宋" w:eastAsia="仿宋" w:cs="仿宋"/>
          <w:b w:val="0"/>
          <w:bCs w:val="0"/>
          <w:color w:val="000000"/>
          <w:sz w:val="32"/>
          <w:szCs w:val="32"/>
          <w:lang w:val="zh-CN"/>
        </w:rPr>
        <w:t>9.合同生效：本合同在供需双方法定代表人或其授权代理人签字、加盖双方公章或者合同专用章</w:t>
      </w:r>
      <w:r>
        <w:rPr>
          <w:rFonts w:hint="eastAsia" w:ascii="仿宋" w:hAnsi="仿宋" w:eastAsia="仿宋" w:cs="仿宋"/>
          <w:b w:val="0"/>
          <w:bCs w:val="0"/>
          <w:color w:val="000000"/>
          <w:sz w:val="32"/>
          <w:szCs w:val="32"/>
          <w:u w:val="none"/>
          <w:lang w:val="zh-CN"/>
        </w:rPr>
        <w:t>后生效。</w:t>
      </w:r>
    </w:p>
    <w:p w14:paraId="74E64446">
      <w:pPr>
        <w:ind w:firstLine="482"/>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10.合同修改：</w:t>
      </w:r>
      <w:r>
        <w:rPr>
          <w:rFonts w:hint="eastAsia" w:ascii="仿宋" w:hAnsi="仿宋" w:eastAsia="仿宋" w:cs="仿宋"/>
          <w:color w:val="000000"/>
          <w:sz w:val="32"/>
          <w:szCs w:val="32"/>
          <w:lang w:val="zh-CN"/>
        </w:rPr>
        <w:t>除供需双方和采购中心签署书面修改、补充协议外，本合同条件不得有任何变化或修改。</w:t>
      </w:r>
    </w:p>
    <w:p w14:paraId="2F97B2C5">
      <w:pPr>
        <w:ind w:firstLine="482"/>
        <w:rPr>
          <w:rFonts w:hint="eastAsia" w:ascii="仿宋" w:hAnsi="仿宋" w:eastAsia="仿宋" w:cs="仿宋"/>
          <w:color w:val="000000"/>
          <w:sz w:val="32"/>
          <w:szCs w:val="32"/>
          <w:lang w:val="zh-CN"/>
        </w:rPr>
      </w:pPr>
    </w:p>
    <w:p w14:paraId="46627243">
      <w:pPr>
        <w:spacing w:line="380" w:lineRule="exact"/>
        <w:ind w:firstLine="482"/>
        <w:rPr>
          <w:rFonts w:hint="eastAsia" w:ascii="仿宋" w:hAnsi="仿宋" w:eastAsia="仿宋" w:cs="仿宋"/>
          <w:color w:val="000000"/>
          <w:sz w:val="32"/>
          <w:szCs w:val="32"/>
          <w:lang w:val="zh-CN"/>
        </w:rPr>
      </w:pPr>
    </w:p>
    <w:p w14:paraId="249EB033">
      <w:pPr>
        <w:spacing w:line="380" w:lineRule="exact"/>
        <w:ind w:firstLine="0" w:firstLineChars="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需方：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供方：</w:t>
      </w:r>
    </w:p>
    <w:p w14:paraId="0EEA41B4">
      <w:pPr>
        <w:spacing w:line="380" w:lineRule="exact"/>
        <w:ind w:firstLine="0" w:firstLineChars="0"/>
        <w:rPr>
          <w:rFonts w:hint="eastAsia" w:ascii="仿宋" w:hAnsi="仿宋" w:eastAsia="仿宋" w:cs="仿宋"/>
          <w:color w:val="000000"/>
          <w:spacing w:val="-6"/>
          <w:sz w:val="28"/>
          <w:szCs w:val="28"/>
          <w:lang w:val="zh-CN"/>
        </w:rPr>
      </w:pPr>
      <w:r>
        <w:rPr>
          <w:rFonts w:hint="eastAsia" w:ascii="仿宋" w:hAnsi="仿宋" w:eastAsia="仿宋" w:cs="仿宋"/>
          <w:color w:val="000000"/>
          <w:sz w:val="28"/>
          <w:szCs w:val="28"/>
          <w:lang w:val="zh-CN"/>
        </w:rPr>
        <w:t xml:space="preserve"> </w:t>
      </w:r>
      <w:r>
        <w:rPr>
          <w:rFonts w:hint="eastAsia" w:ascii="仿宋" w:hAnsi="仿宋" w:eastAsia="仿宋" w:cs="仿宋"/>
          <w:color w:val="000000"/>
          <w:spacing w:val="-6"/>
          <w:sz w:val="28"/>
          <w:szCs w:val="28"/>
          <w:lang w:val="zh-CN"/>
        </w:rPr>
        <w:t xml:space="preserve">加盖公章或合同专用章） </w:t>
      </w:r>
      <w:r>
        <w:rPr>
          <w:rFonts w:hint="eastAsia" w:ascii="仿宋" w:hAnsi="仿宋" w:eastAsia="仿宋" w:cs="仿宋"/>
          <w:color w:val="000000"/>
          <w:spacing w:val="-6"/>
          <w:sz w:val="28"/>
          <w:szCs w:val="28"/>
          <w:lang w:val="en-US" w:eastAsia="zh-CN"/>
        </w:rPr>
        <w:t xml:space="preserve">      </w:t>
      </w:r>
      <w:r>
        <w:rPr>
          <w:rFonts w:hint="eastAsia" w:ascii="仿宋" w:hAnsi="仿宋" w:eastAsia="仿宋" w:cs="仿宋"/>
          <w:color w:val="000000"/>
          <w:spacing w:val="-6"/>
          <w:sz w:val="28"/>
          <w:szCs w:val="28"/>
          <w:lang w:val="zh-CN"/>
        </w:rPr>
        <w:t>（加盖公章或合同专用章）</w:t>
      </w:r>
    </w:p>
    <w:p w14:paraId="0C3AFD74">
      <w:pPr>
        <w:spacing w:line="380" w:lineRule="exact"/>
        <w:ind w:firstLine="0" w:firstLineChars="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地址：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 xml:space="preserve">  地址：</w:t>
      </w:r>
    </w:p>
    <w:p w14:paraId="5246C46B">
      <w:pPr>
        <w:spacing w:line="38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法定代表人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 xml:space="preserve">   法定代表人               </w:t>
      </w:r>
    </w:p>
    <w:p w14:paraId="623F1605">
      <w:pPr>
        <w:spacing w:line="38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或授权代理人签字：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 xml:space="preserve">  或授权代理人签字：</w:t>
      </w:r>
    </w:p>
    <w:p w14:paraId="1BF7C714">
      <w:pPr>
        <w:spacing w:line="38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签字日期：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 xml:space="preserve">    签字日期：</w:t>
      </w:r>
    </w:p>
    <w:p w14:paraId="78CEE7C9">
      <w:pPr>
        <w:spacing w:line="380" w:lineRule="exact"/>
        <w:ind w:firstLine="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邮政编码：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邮政编码：</w:t>
      </w:r>
    </w:p>
    <w:p w14:paraId="0FEFE4EC">
      <w:pPr>
        <w:spacing w:line="380" w:lineRule="exact"/>
        <w:ind w:firstLine="0" w:firstLineChars="0"/>
        <w:jc w:val="both"/>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 电话：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电话：</w:t>
      </w:r>
    </w:p>
    <w:p w14:paraId="29DC224D">
      <w:pPr>
        <w:spacing w:line="3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zh-CN"/>
        </w:rPr>
        <w:t xml:space="preserve"> </w:t>
      </w:r>
    </w:p>
    <w:p w14:paraId="17B33F1A">
      <w:pPr>
        <w:spacing w:line="440" w:lineRule="exact"/>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 xml:space="preserve">             </w:t>
      </w:r>
    </w:p>
    <w:p w14:paraId="0DB0AE53">
      <w:pPr>
        <w:spacing w:line="240" w:lineRule="auto"/>
        <w:jc w:val="left"/>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14:paraId="4A7E5EF7">
      <w:pPr>
        <w:ind w:firstLine="0" w:firstLineChars="0"/>
        <w:jc w:val="center"/>
        <w:rPr>
          <w:rFonts w:hint="eastAsia" w:ascii="宋体" w:hAnsi="宋体"/>
          <w:b/>
          <w:bCs/>
          <w:sz w:val="44"/>
          <w:lang w:val="en-US" w:eastAsia="zh-CN"/>
        </w:rPr>
      </w:pPr>
      <w:bookmarkStart w:id="161" w:name="_Toc25703"/>
      <w:bookmarkStart w:id="162" w:name="_Toc742"/>
      <w:bookmarkStart w:id="163" w:name="_Toc28236"/>
      <w:bookmarkStart w:id="164" w:name="_Toc18398"/>
      <w:bookmarkStart w:id="165" w:name="_Toc13092"/>
      <w:r>
        <w:rPr>
          <w:rFonts w:hint="eastAsia" w:ascii="宋体" w:hAnsi="宋体"/>
          <w:b/>
          <w:bCs/>
          <w:sz w:val="44"/>
          <w:lang w:val="en-US" w:eastAsia="zh-CN"/>
        </w:rPr>
        <w:t>和龙市职业中等专业学校设备</w:t>
      </w:r>
    </w:p>
    <w:p w14:paraId="355DC681">
      <w:pPr>
        <w:ind w:firstLine="0" w:firstLineChars="0"/>
        <w:jc w:val="center"/>
        <w:rPr>
          <w:rFonts w:hint="eastAsia" w:ascii="宋体" w:hAnsi="宋体"/>
          <w:b/>
          <w:bCs/>
          <w:sz w:val="44"/>
        </w:rPr>
      </w:pPr>
      <w:r>
        <w:rPr>
          <w:rFonts w:hint="eastAsia" w:ascii="宋体" w:hAnsi="宋体"/>
          <w:b/>
          <w:bCs/>
          <w:sz w:val="44"/>
          <w:lang w:val="en-US" w:eastAsia="zh-CN"/>
        </w:rPr>
        <w:t>采购项目竞争性谈判文件</w:t>
      </w:r>
    </w:p>
    <w:p w14:paraId="1E617328">
      <w:pPr>
        <w:spacing w:line="240" w:lineRule="auto"/>
        <w:jc w:val="center"/>
        <w:outlineLvl w:val="0"/>
        <w:rPr>
          <w:rFonts w:hint="default" w:ascii="华文楷体" w:hAnsi="华文楷体" w:eastAsia="华文楷体" w:cs="华文楷体"/>
          <w:b/>
          <w:bCs/>
          <w:color w:val="000000"/>
          <w:sz w:val="30"/>
          <w:szCs w:val="30"/>
          <w:lang w:val="en-US" w:eastAsia="zh-CN"/>
        </w:rPr>
      </w:pPr>
      <w:r>
        <w:rPr>
          <w:rFonts w:hint="eastAsia" w:ascii="华文楷体" w:hAnsi="华文楷体" w:eastAsia="华文楷体" w:cs="华文楷体"/>
          <w:b/>
          <w:bCs/>
          <w:color w:val="000000"/>
          <w:sz w:val="30"/>
          <w:szCs w:val="30"/>
          <w:lang w:val="zh-CN"/>
        </w:rPr>
        <w:t>采购文件编号：</w:t>
      </w:r>
      <w:r>
        <w:rPr>
          <w:rFonts w:hint="eastAsia" w:ascii="仿宋" w:hAnsi="仿宋" w:eastAsia="仿宋" w:cs="仿宋"/>
          <w:color w:val="auto"/>
          <w:kern w:val="0"/>
          <w:sz w:val="32"/>
          <w:szCs w:val="32"/>
          <w:lang w:val="en-US" w:eastAsia="zh-CN" w:bidi="ar"/>
        </w:rPr>
        <w:t>HLZC-[2024]-00</w:t>
      </w:r>
      <w:bookmarkEnd w:id="161"/>
      <w:bookmarkEnd w:id="162"/>
      <w:bookmarkEnd w:id="163"/>
      <w:bookmarkEnd w:id="164"/>
      <w:bookmarkEnd w:id="165"/>
      <w:r>
        <w:rPr>
          <w:rFonts w:hint="eastAsia" w:ascii="仿宋" w:hAnsi="仿宋" w:eastAsia="仿宋" w:cs="仿宋"/>
          <w:color w:val="auto"/>
          <w:kern w:val="0"/>
          <w:sz w:val="32"/>
          <w:szCs w:val="32"/>
          <w:lang w:val="en-US" w:eastAsia="zh-CN" w:bidi="ar"/>
        </w:rPr>
        <w:t>166</w:t>
      </w:r>
    </w:p>
    <w:p w14:paraId="7096066A">
      <w:pPr>
        <w:jc w:val="center"/>
        <w:rPr>
          <w:rFonts w:hint="eastAsia" w:ascii="华文楷体" w:hAnsi="华文楷体" w:eastAsia="华文楷体" w:cs="华文楷体"/>
          <w:b/>
          <w:sz w:val="30"/>
          <w:szCs w:val="30"/>
        </w:rPr>
      </w:pPr>
      <w:r>
        <w:rPr>
          <w:rFonts w:hint="eastAsia" w:ascii="华文楷体" w:hAnsi="华文楷体" w:eastAsia="华文楷体" w:cs="华文楷体"/>
          <w:b/>
          <w:sz w:val="30"/>
          <w:szCs w:val="30"/>
        </w:rPr>
        <w:t>（需求部分）</w:t>
      </w:r>
    </w:p>
    <w:p w14:paraId="0605C327">
      <w:pPr>
        <w:pStyle w:val="50"/>
        <w:rPr>
          <w:rFonts w:hint="default" w:ascii="Calibri" w:hAnsi="Calibri" w:eastAsia="宋体" w:cs="Times New Roman"/>
          <w:b w:val="0"/>
          <w:sz w:val="21"/>
          <w:szCs w:val="22"/>
        </w:rPr>
      </w:pPr>
    </w:p>
    <w:p w14:paraId="5531DB45">
      <w:pPr>
        <w:jc w:val="center"/>
        <w:outlineLvl w:val="0"/>
        <w:rPr>
          <w:rFonts w:hint="eastAsia" w:ascii="黑体" w:hAnsi="黑体" w:eastAsia="黑体" w:cs="黑体"/>
          <w:b/>
          <w:bCs/>
          <w:sz w:val="32"/>
          <w:szCs w:val="32"/>
          <w:lang w:val="zh-CN"/>
        </w:rPr>
      </w:pPr>
      <w:bookmarkStart w:id="166" w:name="_Toc20789"/>
      <w:bookmarkStart w:id="167" w:name="_Toc12036"/>
      <w:bookmarkStart w:id="168" w:name="_Toc25427"/>
      <w:bookmarkStart w:id="169" w:name="_Toc28856"/>
      <w:bookmarkStart w:id="170" w:name="_Toc19132"/>
      <w:r>
        <w:rPr>
          <w:rFonts w:hint="eastAsia" w:ascii="黑体" w:hAnsi="黑体" w:eastAsia="黑体" w:cs="黑体"/>
          <w:b/>
          <w:bCs/>
          <w:sz w:val="32"/>
          <w:szCs w:val="32"/>
          <w:lang w:val="zh-CN"/>
        </w:rPr>
        <w:t>第一章 竞争性谈判</w:t>
      </w:r>
      <w:r>
        <w:rPr>
          <w:rFonts w:hint="eastAsia" w:ascii="黑体" w:hAnsi="黑体" w:eastAsia="黑体" w:cs="黑体"/>
          <w:b/>
          <w:bCs/>
          <w:color w:val="000000"/>
          <w:sz w:val="32"/>
          <w:szCs w:val="32"/>
          <w:lang w:val="zh-CN"/>
        </w:rPr>
        <w:t>邀请书</w:t>
      </w:r>
      <w:bookmarkEnd w:id="166"/>
      <w:bookmarkEnd w:id="167"/>
      <w:bookmarkEnd w:id="168"/>
      <w:bookmarkEnd w:id="169"/>
      <w:bookmarkEnd w:id="170"/>
    </w:p>
    <w:p w14:paraId="0E79D6E5">
      <w:pPr>
        <w:keepNext w:val="0"/>
        <w:keepLines w:val="0"/>
        <w:widowControl/>
        <w:suppressLineNumbers w:val="0"/>
        <w:pBdr>
          <w:top w:val="single" w:color="000000" w:sz="4" w:space="0"/>
          <w:left w:val="single" w:color="000000" w:sz="4" w:space="0"/>
          <w:bottom w:val="single" w:color="000000" w:sz="4" w:space="0"/>
          <w:right w:val="single" w:color="000000" w:sz="4" w:space="0"/>
        </w:pBdr>
        <w:spacing w:before="240" w:beforeAutospacing="0" w:after="0" w:afterAutospacing="0" w:line="15" w:lineRule="atLeast"/>
        <w:ind w:right="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项目概况</w:t>
      </w:r>
    </w:p>
    <w:p w14:paraId="71339968">
      <w:pPr>
        <w:keepNext w:val="0"/>
        <w:keepLines w:val="0"/>
        <w:widowControl/>
        <w:suppressLineNumbers w:val="0"/>
        <w:pBdr>
          <w:top w:val="single" w:color="000000" w:sz="4" w:space="0"/>
          <w:left w:val="single" w:color="000000" w:sz="4" w:space="0"/>
          <w:bottom w:val="single" w:color="000000" w:sz="4" w:space="0"/>
          <w:right w:val="single" w:color="000000" w:sz="4" w:space="0"/>
        </w:pBdr>
        <w:spacing w:before="240" w:beforeAutospacing="0" w:after="0" w:afterAutospacing="0" w:line="15" w:lineRule="atLeast"/>
        <w:ind w:right="0"/>
        <w:jc w:val="left"/>
        <w:rPr>
          <w:rFonts w:hint="eastAsia" w:ascii="仿宋" w:hAnsi="仿宋" w:eastAsia="仿宋" w:cs="仿宋"/>
          <w:color w:val="333333"/>
          <w:sz w:val="32"/>
          <w:szCs w:val="32"/>
        </w:rPr>
      </w:pPr>
      <w:r>
        <w:rPr>
          <w:rFonts w:hint="eastAsia" w:ascii="宋体" w:hAnsi="宋体" w:eastAsia="宋体" w:cs="宋体"/>
          <w:color w:val="333333"/>
          <w:kern w:val="0"/>
          <w:sz w:val="28"/>
          <w:szCs w:val="28"/>
          <w:lang w:val="en-US" w:eastAsia="zh-CN" w:bidi="ar"/>
        </w:rPr>
        <w:t>和龙市职业中等专业学校设备采购项目的</w:t>
      </w:r>
      <w:r>
        <w:rPr>
          <w:rFonts w:hint="eastAsia" w:ascii="宋体" w:hAnsi="宋体" w:eastAsia="宋体" w:cs="宋体"/>
          <w:color w:val="333333"/>
          <w:kern w:val="0"/>
          <w:sz w:val="28"/>
          <w:szCs w:val="28"/>
          <w:lang w:bidi="ar"/>
        </w:rPr>
        <w:t>潜在投标人应在</w:t>
      </w:r>
      <w:r>
        <w:rPr>
          <w:rFonts w:hint="eastAsia" w:ascii="宋体" w:hAnsi="宋体" w:eastAsia="宋体" w:cs="宋体"/>
          <w:color w:val="333333"/>
          <w:kern w:val="0"/>
          <w:sz w:val="28"/>
          <w:szCs w:val="28"/>
          <w:lang w:eastAsia="zh-CN" w:bidi="ar"/>
        </w:rPr>
        <w:t>吉林省政府采购云平台</w:t>
      </w:r>
      <w:r>
        <w:rPr>
          <w:rFonts w:hint="eastAsia" w:ascii="宋体" w:hAnsi="宋体" w:eastAsia="宋体" w:cs="宋体"/>
          <w:color w:val="333333"/>
          <w:kern w:val="0"/>
          <w:sz w:val="28"/>
          <w:szCs w:val="28"/>
          <w:lang w:bidi="ar"/>
        </w:rPr>
        <w:t>（https://www.zcygov.cn/）获取招标文件</w:t>
      </w:r>
      <w:r>
        <w:rPr>
          <w:rFonts w:hint="eastAsia" w:ascii="宋体" w:hAnsi="宋体" w:eastAsia="宋体" w:cs="宋体"/>
          <w:color w:val="333333"/>
          <w:kern w:val="0"/>
          <w:sz w:val="28"/>
          <w:szCs w:val="28"/>
          <w:lang w:val="en-US" w:eastAsia="zh-CN" w:bidi="ar"/>
        </w:rPr>
        <w:t>，并于2024年12月30日09:00（北京时</w:t>
      </w:r>
      <w:r>
        <w:rPr>
          <w:rFonts w:hint="eastAsia" w:ascii="仿宋" w:hAnsi="仿宋" w:eastAsia="仿宋" w:cs="仿宋"/>
          <w:color w:val="333333"/>
          <w:kern w:val="0"/>
          <w:sz w:val="32"/>
          <w:szCs w:val="32"/>
          <w:highlight w:val="none"/>
          <w:lang w:val="en-US" w:eastAsia="zh-CN" w:bidi="ar"/>
        </w:rPr>
        <w:t>间）</w:t>
      </w:r>
      <w:r>
        <w:rPr>
          <w:rFonts w:hint="eastAsia" w:ascii="仿宋" w:hAnsi="仿宋" w:eastAsia="仿宋" w:cs="仿宋"/>
          <w:color w:val="333333"/>
          <w:kern w:val="0"/>
          <w:sz w:val="32"/>
          <w:szCs w:val="32"/>
          <w:lang w:val="en-US" w:eastAsia="zh-CN" w:bidi="ar"/>
        </w:rPr>
        <w:t xml:space="preserve">前提交响应文件。 </w:t>
      </w:r>
    </w:p>
    <w:p w14:paraId="634100A3">
      <w:pPr>
        <w:pStyle w:val="32"/>
        <w:keepNext w:val="0"/>
        <w:keepLines w:val="0"/>
        <w:widowControl/>
        <w:suppressLineNumbers w:val="0"/>
        <w:spacing w:before="362" w:beforeAutospacing="0" w:after="0" w:afterAutospacing="0" w:line="15" w:lineRule="atLeast"/>
        <w:ind w:left="0" w:right="0"/>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rPr>
        <w:t>一、项目基本情况</w:t>
      </w:r>
    </w:p>
    <w:p w14:paraId="36FB2B84">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rPr>
        <w:t>项目编号：</w:t>
      </w:r>
      <w:r>
        <w:rPr>
          <w:rFonts w:hint="eastAsia" w:ascii="仿宋" w:hAnsi="仿宋" w:eastAsia="仿宋" w:cs="仿宋"/>
          <w:color w:val="333333"/>
          <w:sz w:val="32"/>
          <w:szCs w:val="32"/>
          <w:lang w:val="en-US" w:eastAsia="zh-CN"/>
        </w:rPr>
        <w:t>HLZC-</w:t>
      </w: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4</w:t>
      </w:r>
      <w:r>
        <w:rPr>
          <w:rFonts w:hint="eastAsia" w:ascii="仿宋" w:hAnsi="仿宋" w:eastAsia="仿宋" w:cs="仿宋"/>
          <w:color w:val="333333"/>
          <w:sz w:val="32"/>
          <w:szCs w:val="32"/>
        </w:rPr>
        <w:t>]-00</w:t>
      </w:r>
      <w:r>
        <w:rPr>
          <w:rFonts w:hint="eastAsia" w:ascii="仿宋" w:hAnsi="仿宋" w:eastAsia="仿宋" w:cs="仿宋"/>
          <w:color w:val="333333"/>
          <w:sz w:val="32"/>
          <w:szCs w:val="32"/>
          <w:lang w:val="en-US" w:eastAsia="zh-CN"/>
        </w:rPr>
        <w:t>166</w:t>
      </w:r>
    </w:p>
    <w:p w14:paraId="22E7FB5F">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rPr>
        <w:t>项目名称：</w:t>
      </w:r>
      <w:r>
        <w:rPr>
          <w:rFonts w:hint="eastAsia" w:ascii="仿宋" w:hAnsi="仿宋" w:eastAsia="仿宋" w:cs="仿宋"/>
          <w:color w:val="auto"/>
          <w:sz w:val="32"/>
          <w:szCs w:val="32"/>
          <w:lang w:val="en-US" w:eastAsia="zh-CN"/>
        </w:rPr>
        <w:t>和龙市职业中等专业学校设备采购项目</w:t>
      </w:r>
    </w:p>
    <w:p w14:paraId="023D237D">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采购方式：竞争性</w:t>
      </w:r>
      <w:r>
        <w:rPr>
          <w:rFonts w:hint="eastAsia" w:ascii="仿宋" w:hAnsi="仿宋" w:eastAsia="仿宋" w:cs="仿宋"/>
          <w:color w:val="auto"/>
          <w:sz w:val="32"/>
          <w:szCs w:val="32"/>
          <w:lang w:eastAsia="zh-CN"/>
        </w:rPr>
        <w:t>谈判</w:t>
      </w:r>
    </w:p>
    <w:p w14:paraId="0D9F7948">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预算金额：¥</w:t>
      </w:r>
      <w:r>
        <w:rPr>
          <w:rFonts w:hint="eastAsia" w:ascii="仿宋" w:hAnsi="仿宋" w:eastAsia="仿宋" w:cs="仿宋"/>
          <w:color w:val="auto"/>
          <w:sz w:val="32"/>
          <w:szCs w:val="32"/>
          <w:lang w:val="en-US" w:eastAsia="zh-CN"/>
        </w:rPr>
        <w:t>850</w:t>
      </w:r>
      <w:r>
        <w:rPr>
          <w:rFonts w:hint="eastAsia" w:ascii="仿宋" w:hAnsi="仿宋" w:eastAsia="仿宋" w:cs="仿宋"/>
          <w:color w:val="auto"/>
          <w:sz w:val="32"/>
          <w:szCs w:val="32"/>
        </w:rPr>
        <w:t>,000.00</w:t>
      </w:r>
      <w:r>
        <w:rPr>
          <w:rFonts w:hint="eastAsia" w:ascii="仿宋" w:hAnsi="仿宋" w:eastAsia="仿宋" w:cs="仿宋"/>
          <w:color w:val="auto"/>
          <w:sz w:val="32"/>
          <w:szCs w:val="32"/>
          <w:lang w:eastAsia="zh-CN"/>
        </w:rPr>
        <w:t>元整</w:t>
      </w:r>
    </w:p>
    <w:p w14:paraId="29C885DB">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采购需求：</w:t>
      </w:r>
      <w:r>
        <w:rPr>
          <w:rFonts w:hint="eastAsia" w:ascii="仿宋" w:hAnsi="仿宋" w:eastAsia="仿宋" w:cs="仿宋"/>
          <w:color w:val="auto"/>
          <w:sz w:val="32"/>
          <w:szCs w:val="32"/>
          <w:highlight w:val="none"/>
          <w:lang w:val="en-US" w:eastAsia="zh-CN"/>
        </w:rPr>
        <w:t>和龙市职业中等专业学校设备采购项目</w:t>
      </w:r>
      <w:r>
        <w:rPr>
          <w:rFonts w:hint="eastAsia" w:ascii="仿宋" w:hAnsi="仿宋" w:eastAsia="仿宋" w:cs="仿宋"/>
          <w:b w:val="0"/>
          <w:bCs w:val="0"/>
          <w:color w:val="auto"/>
          <w:sz w:val="32"/>
          <w:szCs w:val="32"/>
          <w:lang w:eastAsia="zh-CN"/>
        </w:rPr>
        <w:t>（</w:t>
      </w:r>
      <w:r>
        <w:rPr>
          <w:rFonts w:hint="eastAsia" w:ascii="仿宋" w:hAnsi="仿宋" w:eastAsia="仿宋" w:cs="仿宋"/>
          <w:color w:val="auto"/>
          <w:sz w:val="32"/>
          <w:szCs w:val="32"/>
        </w:rPr>
        <w:t>详见采购文件需求部分)</w:t>
      </w:r>
    </w:p>
    <w:p w14:paraId="39E4F4DD">
      <w:pPr>
        <w:spacing w:line="240" w:lineRule="auto"/>
        <w:ind w:firstLine="640" w:firstLineChars="200"/>
        <w:rPr>
          <w:rFonts w:hint="default" w:ascii="仿宋" w:hAnsi="仿宋" w:eastAsia="仿宋" w:cs="仿宋"/>
          <w:color w:val="333333"/>
          <w:sz w:val="32"/>
          <w:szCs w:val="32"/>
          <w:highlight w:val="none"/>
          <w:lang w:val="en-US" w:eastAsia="zh-CN"/>
        </w:rPr>
      </w:pPr>
      <w:r>
        <w:rPr>
          <w:rFonts w:hint="eastAsia" w:ascii="仿宋" w:hAnsi="仿宋" w:eastAsia="仿宋" w:cs="仿宋"/>
          <w:color w:val="333333"/>
          <w:sz w:val="32"/>
          <w:szCs w:val="32"/>
          <w:highlight w:val="none"/>
        </w:rPr>
        <w:t>合同履约期限：</w:t>
      </w:r>
      <w:r>
        <w:rPr>
          <w:rFonts w:hint="eastAsia" w:ascii="仿宋" w:hAnsi="仿宋" w:eastAsia="仿宋" w:cs="仿宋"/>
          <w:color w:val="333333"/>
          <w:sz w:val="32"/>
          <w:szCs w:val="32"/>
          <w:highlight w:val="none"/>
          <w:lang w:eastAsia="zh-CN"/>
        </w:rPr>
        <w:t>合同签订后</w:t>
      </w:r>
      <w:r>
        <w:rPr>
          <w:rFonts w:hint="eastAsia" w:ascii="仿宋" w:hAnsi="仿宋" w:eastAsia="仿宋" w:cs="仿宋"/>
          <w:color w:val="333333"/>
          <w:sz w:val="32"/>
          <w:szCs w:val="32"/>
          <w:highlight w:val="none"/>
          <w:lang w:val="en-US" w:eastAsia="zh-CN"/>
        </w:rPr>
        <w:t>20日</w:t>
      </w:r>
    </w:p>
    <w:p w14:paraId="5E8AD515">
      <w:pPr>
        <w:spacing w:line="24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质保期：</w:t>
      </w:r>
      <w:r>
        <w:rPr>
          <w:rFonts w:hint="eastAsia" w:ascii="仿宋" w:hAnsi="仿宋" w:eastAsia="仿宋" w:cs="仿宋"/>
          <w:color w:val="auto"/>
          <w:sz w:val="32"/>
          <w:szCs w:val="32"/>
          <w:highlight w:val="none"/>
          <w:lang w:val="en-US" w:eastAsia="zh-CN"/>
        </w:rPr>
        <w:t>3年</w:t>
      </w:r>
    </w:p>
    <w:p w14:paraId="05064E70">
      <w:pPr>
        <w:spacing w:line="24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本项目不接受联合体</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73032919">
      <w:pPr>
        <w:spacing w:line="240" w:lineRule="auto"/>
        <w:ind w:firstLine="643" w:firstLineChars="200"/>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rPr>
        <w:t>二、申请人的资格要求：</w:t>
      </w:r>
    </w:p>
    <w:p w14:paraId="7A476DAF">
      <w:pPr>
        <w:spacing w:line="240" w:lineRule="auto"/>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1.满足《中华人民共和国政府采购法》第二十二条规定；</w:t>
      </w:r>
    </w:p>
    <w:p w14:paraId="0DA85041">
      <w:pPr>
        <w:spacing w:line="240" w:lineRule="auto"/>
        <w:ind w:firstLine="640" w:firstLineChars="200"/>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rPr>
        <w:t>2.落实政府采购政策需满足的资格要求：</w:t>
      </w:r>
      <w:r>
        <w:rPr>
          <w:rFonts w:hint="eastAsia" w:ascii="仿宋" w:hAnsi="仿宋" w:eastAsia="仿宋" w:cs="仿宋"/>
          <w:color w:val="333333"/>
          <w:sz w:val="32"/>
          <w:szCs w:val="32"/>
          <w:highlight w:val="none"/>
        </w:rPr>
        <w:t>本项目专门面向中小企业采购。</w:t>
      </w:r>
    </w:p>
    <w:p w14:paraId="1F2230E8">
      <w:pPr>
        <w:spacing w:line="600" w:lineRule="exact"/>
        <w:ind w:firstLine="640" w:firstLineChars="200"/>
        <w:rPr>
          <w:rFonts w:hint="eastAsia" w:ascii="仿宋_GB2312" w:eastAsia="仿宋"/>
          <w:sz w:val="32"/>
          <w:szCs w:val="32"/>
          <w:highlight w:val="none"/>
          <w:lang w:eastAsia="zh-CN"/>
        </w:rPr>
      </w:pPr>
      <w:r>
        <w:rPr>
          <w:rFonts w:hint="eastAsia" w:ascii="仿宋" w:hAnsi="仿宋" w:eastAsia="仿宋" w:cs="仿宋"/>
          <w:color w:val="333333"/>
          <w:sz w:val="32"/>
          <w:szCs w:val="32"/>
          <w:highlight w:val="none"/>
        </w:rPr>
        <w:t>3.本项目的特定资格要求：</w:t>
      </w:r>
      <w:r>
        <w:rPr>
          <w:rFonts w:hint="eastAsia" w:ascii="仿宋" w:hAnsi="仿宋" w:eastAsia="仿宋" w:cs="仿宋"/>
          <w:color w:val="333333"/>
          <w:sz w:val="32"/>
          <w:szCs w:val="32"/>
          <w:highlight w:val="none"/>
          <w:lang w:eastAsia="zh-CN"/>
        </w:rPr>
        <w:t>无</w:t>
      </w:r>
    </w:p>
    <w:p w14:paraId="1496C440">
      <w:pPr>
        <w:spacing w:line="240" w:lineRule="auto"/>
        <w:ind w:firstLine="643" w:firstLineChars="200"/>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rPr>
        <w:t>三、获取采购文件</w:t>
      </w:r>
    </w:p>
    <w:p w14:paraId="15E61916">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rPr>
        <w:t>时间：自采购公告发出之日起至202</w:t>
      </w:r>
      <w:r>
        <w:rPr>
          <w:rFonts w:hint="eastAsia" w:ascii="仿宋" w:hAnsi="仿宋" w:eastAsia="仿宋" w:cs="仿宋"/>
          <w:color w:val="333333"/>
          <w:sz w:val="32"/>
          <w:szCs w:val="32"/>
          <w:highlight w:val="none"/>
          <w:lang w:val="en-US" w:eastAsia="zh-CN"/>
        </w:rPr>
        <w:t>4</w:t>
      </w:r>
      <w:r>
        <w:rPr>
          <w:rFonts w:hint="eastAsia" w:ascii="仿宋" w:hAnsi="仿宋" w:eastAsia="仿宋" w:cs="仿宋"/>
          <w:color w:val="333333"/>
          <w:sz w:val="32"/>
          <w:szCs w:val="32"/>
          <w:highlight w:val="none"/>
        </w:rPr>
        <w:t>年</w:t>
      </w:r>
      <w:r>
        <w:rPr>
          <w:rFonts w:hint="eastAsia" w:ascii="仿宋" w:hAnsi="仿宋" w:eastAsia="仿宋" w:cs="仿宋"/>
          <w:color w:val="333333"/>
          <w:sz w:val="32"/>
          <w:szCs w:val="32"/>
          <w:highlight w:val="none"/>
          <w:lang w:val="en-US" w:eastAsia="zh-CN"/>
        </w:rPr>
        <w:t>12</w:t>
      </w:r>
      <w:r>
        <w:rPr>
          <w:rFonts w:hint="eastAsia" w:ascii="仿宋" w:hAnsi="仿宋" w:eastAsia="仿宋" w:cs="仿宋"/>
          <w:color w:val="333333"/>
          <w:sz w:val="32"/>
          <w:szCs w:val="32"/>
          <w:highlight w:val="none"/>
        </w:rPr>
        <w:t>月</w:t>
      </w:r>
      <w:r>
        <w:rPr>
          <w:rFonts w:hint="eastAsia" w:ascii="仿宋" w:hAnsi="仿宋" w:eastAsia="仿宋" w:cs="仿宋"/>
          <w:color w:val="333333"/>
          <w:sz w:val="32"/>
          <w:szCs w:val="32"/>
          <w:highlight w:val="none"/>
          <w:lang w:val="en-US" w:eastAsia="zh-CN"/>
        </w:rPr>
        <w:t>26日</w:t>
      </w:r>
      <w:r>
        <w:rPr>
          <w:rFonts w:hint="eastAsia" w:ascii="仿宋" w:hAnsi="仿宋" w:eastAsia="仿宋" w:cs="仿宋"/>
          <w:color w:val="333333"/>
          <w:sz w:val="32"/>
          <w:szCs w:val="32"/>
          <w:highlight w:val="none"/>
        </w:rPr>
        <w:t>17:00(北京时间，法定节假日除外)</w:t>
      </w:r>
    </w:p>
    <w:p w14:paraId="1DCB6211">
      <w:pPr>
        <w:spacing w:line="240" w:lineRule="auto"/>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地点：</w:t>
      </w:r>
      <w:r>
        <w:rPr>
          <w:rFonts w:hint="eastAsia" w:ascii="仿宋" w:hAnsi="仿宋" w:eastAsia="仿宋" w:cs="仿宋"/>
          <w:color w:val="333333"/>
          <w:sz w:val="32"/>
          <w:szCs w:val="32"/>
          <w:lang w:eastAsia="zh-CN"/>
        </w:rPr>
        <w:t>吉林省政府采购云平台</w:t>
      </w:r>
      <w:r>
        <w:rPr>
          <w:rFonts w:hint="eastAsia" w:ascii="仿宋" w:hAnsi="仿宋" w:eastAsia="仿宋" w:cs="仿宋"/>
          <w:color w:val="333333"/>
          <w:sz w:val="32"/>
          <w:szCs w:val="32"/>
        </w:rPr>
        <w:t>（https://www.zcygov.cn/）</w:t>
      </w:r>
    </w:p>
    <w:p w14:paraId="381B0F7B">
      <w:pPr>
        <w:spacing w:line="240" w:lineRule="auto"/>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方式：注册登陆</w:t>
      </w:r>
      <w:r>
        <w:rPr>
          <w:rFonts w:hint="eastAsia" w:ascii="仿宋" w:hAnsi="仿宋" w:eastAsia="仿宋" w:cs="仿宋"/>
          <w:color w:val="333333"/>
          <w:sz w:val="32"/>
          <w:szCs w:val="32"/>
          <w:lang w:eastAsia="zh-CN"/>
        </w:rPr>
        <w:t>政采云平台后</w:t>
      </w: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在项目采购中，申请获取采购文件。</w:t>
      </w:r>
    </w:p>
    <w:p w14:paraId="0F0B501D">
      <w:pPr>
        <w:spacing w:line="240" w:lineRule="auto"/>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售价：免费</w:t>
      </w:r>
    </w:p>
    <w:p w14:paraId="57E54035">
      <w:pPr>
        <w:spacing w:line="240" w:lineRule="auto"/>
        <w:ind w:firstLine="643" w:firstLineChars="200"/>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rPr>
        <w:t>四、提交响应文件</w:t>
      </w:r>
      <w:r>
        <w:rPr>
          <w:rFonts w:hint="eastAsia" w:ascii="仿宋" w:hAnsi="仿宋" w:eastAsia="仿宋" w:cs="仿宋"/>
          <w:b/>
          <w:bCs/>
          <w:color w:val="333333"/>
          <w:sz w:val="32"/>
          <w:szCs w:val="32"/>
          <w:lang w:eastAsia="zh-CN"/>
        </w:rPr>
        <w:t>截止时间、</w:t>
      </w:r>
      <w:r>
        <w:rPr>
          <w:rFonts w:hint="eastAsia" w:ascii="仿宋" w:hAnsi="仿宋" w:eastAsia="仿宋" w:cs="仿宋"/>
          <w:b/>
          <w:bCs/>
          <w:color w:val="333333"/>
          <w:sz w:val="32"/>
          <w:szCs w:val="32"/>
        </w:rPr>
        <w:t>开标时间和地点</w:t>
      </w:r>
    </w:p>
    <w:p w14:paraId="504CBA03">
      <w:pPr>
        <w:spacing w:line="240" w:lineRule="auto"/>
        <w:ind w:firstLine="640" w:firstLineChars="200"/>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rPr>
        <w:t>截止时间：202</w:t>
      </w:r>
      <w:r>
        <w:rPr>
          <w:rFonts w:hint="eastAsia" w:ascii="仿宋" w:hAnsi="仿宋" w:eastAsia="仿宋" w:cs="仿宋"/>
          <w:color w:val="333333"/>
          <w:sz w:val="32"/>
          <w:szCs w:val="32"/>
          <w:highlight w:val="none"/>
          <w:lang w:val="en-US" w:eastAsia="zh-CN"/>
        </w:rPr>
        <w:t>4</w:t>
      </w:r>
      <w:r>
        <w:rPr>
          <w:rFonts w:hint="eastAsia" w:ascii="仿宋" w:hAnsi="仿宋" w:eastAsia="仿宋" w:cs="仿宋"/>
          <w:color w:val="333333"/>
          <w:sz w:val="32"/>
          <w:szCs w:val="32"/>
          <w:highlight w:val="none"/>
        </w:rPr>
        <w:t>年</w:t>
      </w:r>
      <w:r>
        <w:rPr>
          <w:rFonts w:hint="eastAsia" w:ascii="仿宋" w:hAnsi="仿宋" w:eastAsia="仿宋" w:cs="仿宋"/>
          <w:color w:val="333333"/>
          <w:sz w:val="32"/>
          <w:szCs w:val="32"/>
          <w:highlight w:val="none"/>
          <w:lang w:val="en-US" w:eastAsia="zh-CN"/>
        </w:rPr>
        <w:t>12</w:t>
      </w:r>
      <w:r>
        <w:rPr>
          <w:rFonts w:hint="eastAsia" w:ascii="仿宋" w:hAnsi="仿宋" w:eastAsia="仿宋" w:cs="仿宋"/>
          <w:color w:val="333333"/>
          <w:sz w:val="32"/>
          <w:szCs w:val="32"/>
          <w:highlight w:val="none"/>
        </w:rPr>
        <w:t>月</w:t>
      </w:r>
      <w:r>
        <w:rPr>
          <w:rFonts w:hint="eastAsia" w:ascii="仿宋" w:hAnsi="仿宋" w:eastAsia="仿宋" w:cs="仿宋"/>
          <w:color w:val="333333"/>
          <w:sz w:val="32"/>
          <w:szCs w:val="32"/>
          <w:highlight w:val="none"/>
          <w:lang w:val="en-US" w:eastAsia="zh-CN"/>
        </w:rPr>
        <w:t>30</w:t>
      </w:r>
      <w:r>
        <w:rPr>
          <w:rFonts w:hint="eastAsia" w:ascii="仿宋" w:hAnsi="仿宋" w:eastAsia="仿宋" w:cs="仿宋"/>
          <w:color w:val="333333"/>
          <w:sz w:val="32"/>
          <w:szCs w:val="32"/>
          <w:highlight w:val="none"/>
        </w:rPr>
        <w:t>日09:</w:t>
      </w:r>
      <w:r>
        <w:rPr>
          <w:rFonts w:hint="eastAsia" w:ascii="仿宋" w:hAnsi="仿宋" w:eastAsia="仿宋" w:cs="仿宋"/>
          <w:color w:val="333333"/>
          <w:sz w:val="32"/>
          <w:szCs w:val="32"/>
          <w:highlight w:val="none"/>
          <w:lang w:val="en-US" w:eastAsia="zh-CN"/>
        </w:rPr>
        <w:t>0</w:t>
      </w:r>
      <w:r>
        <w:rPr>
          <w:rFonts w:hint="eastAsia" w:ascii="仿宋" w:hAnsi="仿宋" w:eastAsia="仿宋" w:cs="仿宋"/>
          <w:color w:val="333333"/>
          <w:sz w:val="32"/>
          <w:szCs w:val="32"/>
          <w:highlight w:val="none"/>
        </w:rPr>
        <w:t>0(北京时间)</w:t>
      </w:r>
    </w:p>
    <w:p w14:paraId="2F49B321">
      <w:pPr>
        <w:widowControl/>
        <w:spacing w:line="360" w:lineRule="auto"/>
        <w:ind w:firstLine="640" w:firstLineChars="200"/>
        <w:jc w:val="left"/>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地点：</w:t>
      </w:r>
      <w:r>
        <w:rPr>
          <w:rFonts w:hint="eastAsia" w:ascii="仿宋" w:hAnsi="仿宋" w:eastAsia="仿宋" w:cs="仿宋"/>
          <w:color w:val="333333"/>
          <w:sz w:val="32"/>
          <w:szCs w:val="32"/>
          <w:lang w:eastAsia="zh-CN"/>
        </w:rPr>
        <w:t>政采云平台（线上开标）</w:t>
      </w:r>
    </w:p>
    <w:p w14:paraId="6F346205">
      <w:pPr>
        <w:spacing w:line="240" w:lineRule="auto"/>
        <w:ind w:firstLine="643" w:firstLineChars="200"/>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lang w:eastAsia="zh-CN"/>
        </w:rPr>
        <w:t>五</w:t>
      </w:r>
      <w:r>
        <w:rPr>
          <w:rFonts w:hint="eastAsia" w:ascii="仿宋" w:hAnsi="仿宋" w:eastAsia="仿宋" w:cs="仿宋"/>
          <w:b/>
          <w:bCs/>
          <w:color w:val="333333"/>
          <w:sz w:val="32"/>
          <w:szCs w:val="32"/>
        </w:rPr>
        <w:t>、公告期限</w:t>
      </w:r>
    </w:p>
    <w:p w14:paraId="6E6240DB">
      <w:pPr>
        <w:spacing w:line="240" w:lineRule="auto"/>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自本公告发布之日起</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个工作日。</w:t>
      </w:r>
    </w:p>
    <w:p w14:paraId="532AC68C">
      <w:pPr>
        <w:spacing w:line="240" w:lineRule="auto"/>
        <w:ind w:firstLine="643" w:firstLineChars="200"/>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lang w:eastAsia="zh-CN"/>
        </w:rPr>
        <w:t>六</w:t>
      </w:r>
      <w:r>
        <w:rPr>
          <w:rFonts w:hint="eastAsia" w:ascii="仿宋" w:hAnsi="仿宋" w:eastAsia="仿宋" w:cs="仿宋"/>
          <w:b/>
          <w:bCs/>
          <w:color w:val="333333"/>
          <w:sz w:val="32"/>
          <w:szCs w:val="32"/>
        </w:rPr>
        <w:t>、其他补充事宜</w:t>
      </w:r>
    </w:p>
    <w:p w14:paraId="4BAF3966">
      <w:pPr>
        <w:spacing w:line="240" w:lineRule="auto"/>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 xml:space="preserve">无 </w:t>
      </w:r>
    </w:p>
    <w:p w14:paraId="237AF371">
      <w:pPr>
        <w:spacing w:line="240" w:lineRule="auto"/>
        <w:ind w:firstLine="643" w:firstLineChars="200"/>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lang w:eastAsia="zh-CN"/>
        </w:rPr>
        <w:t>七</w:t>
      </w:r>
      <w:r>
        <w:rPr>
          <w:rFonts w:hint="eastAsia" w:ascii="仿宋" w:hAnsi="仿宋" w:eastAsia="仿宋" w:cs="仿宋"/>
          <w:b/>
          <w:bCs/>
          <w:color w:val="333333"/>
          <w:sz w:val="32"/>
          <w:szCs w:val="32"/>
        </w:rPr>
        <w:t>、对本次采购提出询问，请按以下方式联系。</w:t>
      </w:r>
    </w:p>
    <w:p w14:paraId="34018A48">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color w:val="333333"/>
          <w:kern w:val="0"/>
          <w:sz w:val="28"/>
          <w:szCs w:val="28"/>
          <w:highlight w:val="none"/>
          <w:lang w:bidi="ar"/>
        </w:rPr>
        <w:t>1.采购人信息</w:t>
      </w:r>
    </w:p>
    <w:p w14:paraId="03D21263">
      <w:pPr>
        <w:widowControl/>
        <w:spacing w:line="360" w:lineRule="auto"/>
        <w:ind w:firstLine="560" w:firstLineChars="200"/>
        <w:jc w:val="left"/>
        <w:rPr>
          <w:rFonts w:hint="eastAsia" w:ascii="仿宋" w:hAnsi="仿宋" w:eastAsia="仿宋" w:cs="仿宋"/>
          <w:color w:val="333333"/>
          <w:sz w:val="32"/>
          <w:szCs w:val="32"/>
          <w:lang w:eastAsia="zh-CN"/>
        </w:rPr>
      </w:pPr>
      <w:r>
        <w:rPr>
          <w:rFonts w:hint="eastAsia" w:ascii="宋体" w:hAnsi="宋体" w:eastAsia="宋体" w:cs="宋体"/>
          <w:color w:val="333333"/>
          <w:kern w:val="0"/>
          <w:sz w:val="28"/>
          <w:szCs w:val="28"/>
          <w:highlight w:val="none"/>
          <w:lang w:bidi="ar"/>
        </w:rPr>
        <w:t xml:space="preserve">名  </w:t>
      </w:r>
      <w:r>
        <w:rPr>
          <w:rFonts w:hint="eastAsia" w:ascii="宋体" w:hAnsi="宋体" w:eastAsia="宋体" w:cs="宋体"/>
          <w:color w:val="333333"/>
          <w:kern w:val="0"/>
          <w:sz w:val="28"/>
          <w:szCs w:val="28"/>
          <w:highlight w:val="none"/>
          <w:lang w:val="en-US" w:eastAsia="zh-CN" w:bidi="ar"/>
        </w:rPr>
        <w:t xml:space="preserve">  </w:t>
      </w:r>
      <w:r>
        <w:rPr>
          <w:rFonts w:hint="eastAsia" w:ascii="宋体" w:hAnsi="宋体" w:eastAsia="宋体" w:cs="宋体"/>
          <w:color w:val="333333"/>
          <w:kern w:val="0"/>
          <w:sz w:val="28"/>
          <w:szCs w:val="28"/>
          <w:highlight w:val="none"/>
          <w:lang w:bidi="ar"/>
        </w:rPr>
        <w:t>称：</w:t>
      </w:r>
      <w:r>
        <w:rPr>
          <w:rFonts w:hint="eastAsia" w:ascii="仿宋" w:hAnsi="仿宋" w:eastAsia="仿宋" w:cs="仿宋"/>
          <w:color w:val="333333"/>
          <w:sz w:val="32"/>
          <w:szCs w:val="32"/>
          <w:lang w:eastAsia="zh-CN"/>
        </w:rPr>
        <w:t>和龙市职业中等专业学校</w:t>
      </w:r>
    </w:p>
    <w:p w14:paraId="390B8BF3">
      <w:pPr>
        <w:widowControl/>
        <w:spacing w:line="360" w:lineRule="auto"/>
        <w:ind w:firstLine="560" w:firstLineChars="200"/>
        <w:jc w:val="left"/>
        <w:rPr>
          <w:rFonts w:hint="default" w:ascii="仿宋" w:hAnsi="仿宋" w:eastAsia="仿宋" w:cs="仿宋"/>
          <w:color w:val="333333"/>
          <w:sz w:val="32"/>
          <w:szCs w:val="32"/>
          <w:lang w:val="en-US" w:eastAsia="zh-CN"/>
        </w:rPr>
      </w:pPr>
      <w:r>
        <w:rPr>
          <w:rFonts w:hint="eastAsia" w:ascii="宋体" w:hAnsi="宋体" w:eastAsia="宋体" w:cs="宋体"/>
          <w:color w:val="333333"/>
          <w:kern w:val="0"/>
          <w:sz w:val="28"/>
          <w:szCs w:val="28"/>
          <w:highlight w:val="none"/>
          <w:lang w:bidi="ar"/>
        </w:rPr>
        <w:t>地    址：</w:t>
      </w:r>
      <w:r>
        <w:rPr>
          <w:rFonts w:hint="eastAsia" w:ascii="仿宋" w:hAnsi="仿宋" w:eastAsia="仿宋" w:cs="仿宋"/>
          <w:color w:val="333333"/>
          <w:sz w:val="32"/>
          <w:szCs w:val="32"/>
          <w:lang w:eastAsia="zh-CN"/>
        </w:rPr>
        <w:t>和龙市文化街职业中学胡同</w:t>
      </w:r>
      <w:r>
        <w:rPr>
          <w:rFonts w:hint="eastAsia" w:ascii="仿宋" w:hAnsi="仿宋" w:eastAsia="仿宋" w:cs="仿宋"/>
          <w:color w:val="333333"/>
          <w:sz w:val="32"/>
          <w:szCs w:val="32"/>
          <w:lang w:val="en-US" w:eastAsia="zh-CN"/>
        </w:rPr>
        <w:t>5号</w:t>
      </w:r>
    </w:p>
    <w:p w14:paraId="0C312EE3">
      <w:pPr>
        <w:widowControl/>
        <w:spacing w:line="360" w:lineRule="auto"/>
        <w:ind w:firstLine="560" w:firstLineChars="200"/>
        <w:jc w:val="left"/>
        <w:rPr>
          <w:rFonts w:hint="default" w:ascii="仿宋" w:hAnsi="仿宋" w:eastAsia="仿宋" w:cs="仿宋"/>
          <w:color w:val="333333"/>
          <w:sz w:val="32"/>
          <w:szCs w:val="32"/>
          <w:lang w:val="en-US" w:eastAsia="zh-CN"/>
        </w:rPr>
      </w:pPr>
      <w:r>
        <w:rPr>
          <w:rFonts w:hint="eastAsia" w:ascii="宋体" w:hAnsi="宋体" w:eastAsia="宋体" w:cs="宋体"/>
          <w:color w:val="333333"/>
          <w:kern w:val="0"/>
          <w:sz w:val="28"/>
          <w:szCs w:val="28"/>
          <w:highlight w:val="none"/>
          <w:lang w:bidi="ar"/>
        </w:rPr>
        <w:t>联系方式：</w:t>
      </w:r>
      <w:r>
        <w:rPr>
          <w:rFonts w:hint="eastAsia" w:ascii="仿宋" w:hAnsi="仿宋" w:eastAsia="仿宋" w:cs="仿宋"/>
          <w:color w:val="333333"/>
          <w:sz w:val="32"/>
          <w:szCs w:val="32"/>
          <w:lang w:val="en-US" w:eastAsia="zh-CN"/>
        </w:rPr>
        <w:t>13196208987</w:t>
      </w:r>
    </w:p>
    <w:p w14:paraId="0A579A81">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bidi="ar"/>
        </w:rPr>
        <w:t>2.采购代理机构信息</w:t>
      </w:r>
    </w:p>
    <w:p w14:paraId="581DAA84">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bidi="ar"/>
        </w:rPr>
        <w:t>名</w:t>
      </w:r>
      <w:r>
        <w:rPr>
          <w:rFonts w:hint="eastAsia" w:ascii="宋体" w:hAnsi="宋体" w:eastAsia="宋体" w:cs="宋体"/>
          <w:color w:val="333333"/>
          <w:kern w:val="0"/>
          <w:sz w:val="28"/>
          <w:szCs w:val="28"/>
          <w:lang w:val="en-US" w:eastAsia="zh-CN" w:bidi="ar"/>
        </w:rPr>
        <w:t xml:space="preserve">  </w:t>
      </w:r>
      <w:r>
        <w:rPr>
          <w:rFonts w:hint="eastAsia" w:ascii="宋体" w:hAnsi="宋体" w:eastAsia="宋体" w:cs="宋体"/>
          <w:color w:val="333333"/>
          <w:kern w:val="0"/>
          <w:sz w:val="28"/>
          <w:szCs w:val="28"/>
          <w:lang w:bidi="ar"/>
        </w:rPr>
        <w:t>称：和龙市政府采购中心</w:t>
      </w:r>
    </w:p>
    <w:p w14:paraId="52410792">
      <w:pPr>
        <w:widowControl/>
        <w:spacing w:line="360" w:lineRule="auto"/>
        <w:ind w:firstLine="560" w:firstLineChars="200"/>
        <w:jc w:val="left"/>
        <w:rPr>
          <w:rFonts w:hint="eastAsia"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地</w:t>
      </w:r>
      <w:r>
        <w:rPr>
          <w:rFonts w:hint="eastAsia" w:ascii="宋体" w:hAnsi="宋体" w:eastAsia="宋体" w:cs="宋体"/>
          <w:color w:val="333333"/>
          <w:kern w:val="0"/>
          <w:sz w:val="28"/>
          <w:szCs w:val="28"/>
          <w:lang w:val="en-US" w:eastAsia="zh-CN" w:bidi="ar"/>
        </w:rPr>
        <w:t xml:space="preserve">  </w:t>
      </w:r>
      <w:r>
        <w:rPr>
          <w:rFonts w:hint="eastAsia" w:ascii="宋体" w:hAnsi="宋体" w:eastAsia="宋体" w:cs="宋体"/>
          <w:color w:val="333333"/>
          <w:kern w:val="0"/>
          <w:sz w:val="28"/>
          <w:szCs w:val="28"/>
          <w:lang w:bidi="ar"/>
        </w:rPr>
        <w:t>址：</w:t>
      </w:r>
      <w:r>
        <w:rPr>
          <w:rFonts w:hint="eastAsia" w:ascii="宋体" w:hAnsi="宋体" w:eastAsia="宋体" w:cs="宋体"/>
          <w:color w:val="333333"/>
          <w:kern w:val="0"/>
          <w:sz w:val="28"/>
          <w:szCs w:val="28"/>
          <w:lang w:val="en-US" w:eastAsia="zh-CN" w:bidi="ar"/>
        </w:rPr>
        <w:t>吉林省和龙市海兰路690号和龙市政务服务中心5楼</w:t>
      </w:r>
    </w:p>
    <w:p w14:paraId="2BD2D990">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bidi="ar"/>
        </w:rPr>
        <w:t>联系方式：0433-4247831</w:t>
      </w:r>
    </w:p>
    <w:p w14:paraId="25ABB9EB">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bidi="ar"/>
        </w:rPr>
        <w:t>3.项目联系方式</w:t>
      </w:r>
    </w:p>
    <w:p w14:paraId="5DB42038">
      <w:pPr>
        <w:widowControl/>
        <w:spacing w:line="360" w:lineRule="auto"/>
        <w:ind w:firstLine="560" w:firstLineChars="200"/>
        <w:jc w:val="left"/>
        <w:rPr>
          <w:rFonts w:hint="eastAsia" w:ascii="宋体" w:hAnsi="宋体" w:eastAsia="宋体" w:cs="宋体"/>
          <w:color w:val="333333"/>
          <w:kern w:val="0"/>
          <w:sz w:val="28"/>
          <w:szCs w:val="28"/>
          <w:lang w:eastAsia="zh-CN" w:bidi="ar"/>
        </w:rPr>
      </w:pPr>
      <w:r>
        <w:rPr>
          <w:rFonts w:hint="eastAsia" w:ascii="宋体" w:hAnsi="宋体" w:eastAsia="宋体" w:cs="宋体"/>
          <w:color w:val="333333"/>
          <w:kern w:val="0"/>
          <w:sz w:val="28"/>
          <w:szCs w:val="28"/>
          <w:lang w:bidi="ar"/>
        </w:rPr>
        <w:t>项目联系人：</w:t>
      </w:r>
      <w:r>
        <w:rPr>
          <w:rFonts w:hint="eastAsia" w:ascii="宋体" w:hAnsi="宋体" w:eastAsia="宋体" w:cs="宋体"/>
          <w:color w:val="333333"/>
          <w:kern w:val="0"/>
          <w:sz w:val="28"/>
          <w:szCs w:val="28"/>
          <w:lang w:eastAsia="zh-CN" w:bidi="ar"/>
        </w:rPr>
        <w:t>李聪</w:t>
      </w:r>
    </w:p>
    <w:p w14:paraId="425E34F9">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333333"/>
          <w:kern w:val="0"/>
          <w:sz w:val="28"/>
          <w:szCs w:val="28"/>
          <w:lang w:bidi="ar"/>
        </w:rPr>
        <w:t>电</w:t>
      </w:r>
      <w:r>
        <w:rPr>
          <w:rFonts w:hint="eastAsia" w:ascii="宋体" w:hAnsi="宋体" w:eastAsia="宋体" w:cs="宋体"/>
          <w:color w:val="333333"/>
          <w:kern w:val="0"/>
          <w:sz w:val="28"/>
          <w:szCs w:val="28"/>
          <w:lang w:val="en-US" w:eastAsia="zh-CN" w:bidi="ar"/>
        </w:rPr>
        <w:t xml:space="preserve">  </w:t>
      </w:r>
      <w:r>
        <w:rPr>
          <w:rFonts w:hint="eastAsia" w:ascii="宋体" w:hAnsi="宋体" w:eastAsia="宋体" w:cs="宋体"/>
          <w:color w:val="333333"/>
          <w:kern w:val="0"/>
          <w:sz w:val="28"/>
          <w:szCs w:val="28"/>
          <w:lang w:bidi="ar"/>
        </w:rPr>
        <w:t>话：0433-4247831</w:t>
      </w:r>
    </w:p>
    <w:p w14:paraId="0608DE76">
      <w:pPr>
        <w:ind w:firstLine="480"/>
        <w:rPr>
          <w:rFonts w:hint="eastAsia" w:ascii="仿宋" w:hAnsi="仿宋" w:eastAsia="仿宋" w:cs="仿宋"/>
          <w:sz w:val="32"/>
          <w:szCs w:val="32"/>
          <w:lang w:val="zh-CN"/>
        </w:rPr>
      </w:pPr>
    </w:p>
    <w:p w14:paraId="1A768BB6">
      <w:pPr>
        <w:ind w:firstLine="720"/>
        <w:rPr>
          <w:rFonts w:hint="eastAsia" w:ascii="仿宋" w:hAnsi="仿宋" w:eastAsia="仿宋" w:cs="仿宋"/>
          <w:color w:val="000000"/>
          <w:sz w:val="32"/>
          <w:szCs w:val="32"/>
          <w:lang w:val="zh-CN"/>
        </w:rPr>
      </w:pPr>
    </w:p>
    <w:p w14:paraId="6BE26D84">
      <w:pPr>
        <w:pStyle w:val="28"/>
        <w:rPr>
          <w:rFonts w:hint="eastAsia" w:ascii="仿宋" w:hAnsi="仿宋" w:eastAsia="仿宋" w:cs="仿宋"/>
          <w:color w:val="000000"/>
          <w:sz w:val="32"/>
          <w:szCs w:val="32"/>
          <w:lang w:val="zh-CN"/>
        </w:rPr>
      </w:pPr>
    </w:p>
    <w:p w14:paraId="5233BC79">
      <w:pPr>
        <w:pStyle w:val="28"/>
        <w:rPr>
          <w:rFonts w:hint="eastAsia" w:ascii="仿宋" w:hAnsi="仿宋" w:eastAsia="仿宋" w:cs="仿宋"/>
          <w:color w:val="000000"/>
          <w:sz w:val="32"/>
          <w:szCs w:val="32"/>
          <w:lang w:val="zh-CN"/>
        </w:rPr>
      </w:pPr>
    </w:p>
    <w:p w14:paraId="523F1809">
      <w:pPr>
        <w:pStyle w:val="28"/>
        <w:rPr>
          <w:rFonts w:hint="eastAsia" w:ascii="仿宋" w:hAnsi="仿宋" w:eastAsia="仿宋" w:cs="仿宋"/>
          <w:color w:val="000000"/>
          <w:sz w:val="32"/>
          <w:szCs w:val="32"/>
          <w:lang w:val="zh-CN"/>
        </w:rPr>
      </w:pPr>
    </w:p>
    <w:p w14:paraId="3164C1EF">
      <w:pPr>
        <w:pStyle w:val="28"/>
        <w:rPr>
          <w:rFonts w:hint="eastAsia" w:ascii="仿宋" w:hAnsi="仿宋" w:eastAsia="仿宋" w:cs="仿宋"/>
          <w:color w:val="000000"/>
          <w:sz w:val="32"/>
          <w:szCs w:val="32"/>
          <w:lang w:val="zh-CN"/>
        </w:rPr>
      </w:pPr>
    </w:p>
    <w:p w14:paraId="319C6FF7">
      <w:pPr>
        <w:pStyle w:val="28"/>
        <w:rPr>
          <w:rFonts w:hint="eastAsia" w:ascii="仿宋" w:hAnsi="仿宋" w:eastAsia="仿宋" w:cs="仿宋"/>
          <w:color w:val="000000"/>
          <w:sz w:val="32"/>
          <w:szCs w:val="32"/>
          <w:lang w:val="zh-CN"/>
        </w:rPr>
      </w:pPr>
    </w:p>
    <w:p w14:paraId="442B4E36">
      <w:pPr>
        <w:pStyle w:val="28"/>
        <w:rPr>
          <w:rFonts w:hint="eastAsia" w:ascii="仿宋" w:hAnsi="仿宋" w:eastAsia="仿宋" w:cs="仿宋"/>
          <w:color w:val="000000"/>
          <w:sz w:val="32"/>
          <w:szCs w:val="32"/>
          <w:lang w:val="zh-CN"/>
        </w:rPr>
      </w:pPr>
    </w:p>
    <w:p w14:paraId="4DD6271B">
      <w:pPr>
        <w:pStyle w:val="28"/>
        <w:rPr>
          <w:rFonts w:hint="eastAsia" w:ascii="仿宋" w:hAnsi="仿宋" w:eastAsia="仿宋" w:cs="仿宋"/>
          <w:color w:val="000000"/>
          <w:sz w:val="32"/>
          <w:szCs w:val="32"/>
          <w:lang w:val="zh-CN"/>
        </w:rPr>
      </w:pPr>
    </w:p>
    <w:p w14:paraId="3ADF9CB0">
      <w:pPr>
        <w:pStyle w:val="28"/>
        <w:rPr>
          <w:rFonts w:hint="eastAsia" w:ascii="仿宋" w:hAnsi="仿宋" w:eastAsia="仿宋" w:cs="仿宋"/>
          <w:color w:val="000000"/>
          <w:sz w:val="32"/>
          <w:szCs w:val="32"/>
          <w:lang w:val="zh-CN"/>
        </w:rPr>
      </w:pPr>
    </w:p>
    <w:p w14:paraId="7009B6DA">
      <w:pPr>
        <w:pStyle w:val="28"/>
        <w:rPr>
          <w:rFonts w:hint="eastAsia" w:ascii="仿宋" w:hAnsi="仿宋" w:eastAsia="仿宋" w:cs="仿宋"/>
          <w:color w:val="000000"/>
          <w:sz w:val="32"/>
          <w:szCs w:val="32"/>
          <w:lang w:val="zh-CN"/>
        </w:rPr>
      </w:pPr>
    </w:p>
    <w:p w14:paraId="21AE0A50">
      <w:pPr>
        <w:pStyle w:val="28"/>
        <w:rPr>
          <w:rFonts w:hint="eastAsia" w:ascii="仿宋" w:hAnsi="仿宋" w:eastAsia="仿宋" w:cs="仿宋"/>
          <w:color w:val="000000"/>
          <w:sz w:val="32"/>
          <w:szCs w:val="32"/>
          <w:lang w:val="zh-CN"/>
        </w:rPr>
      </w:pPr>
    </w:p>
    <w:p w14:paraId="0430FC36">
      <w:pPr>
        <w:pStyle w:val="28"/>
        <w:rPr>
          <w:rFonts w:hint="eastAsia" w:ascii="仿宋" w:hAnsi="仿宋" w:eastAsia="仿宋" w:cs="仿宋"/>
          <w:color w:val="000000"/>
          <w:sz w:val="32"/>
          <w:szCs w:val="32"/>
          <w:lang w:val="zh-CN"/>
        </w:rPr>
      </w:pPr>
    </w:p>
    <w:p w14:paraId="34A2BF3E">
      <w:pPr>
        <w:pStyle w:val="28"/>
        <w:rPr>
          <w:rFonts w:hint="eastAsia" w:ascii="仿宋" w:hAnsi="仿宋" w:eastAsia="仿宋" w:cs="仿宋"/>
          <w:color w:val="000000"/>
          <w:sz w:val="32"/>
          <w:szCs w:val="32"/>
          <w:lang w:val="zh-CN"/>
        </w:rPr>
      </w:pPr>
    </w:p>
    <w:p w14:paraId="6227B472">
      <w:pPr>
        <w:ind w:firstLine="720"/>
        <w:jc w:val="center"/>
        <w:outlineLvl w:val="0"/>
        <w:rPr>
          <w:rFonts w:hint="eastAsia" w:ascii="仿宋" w:hAnsi="仿宋" w:eastAsia="仿宋" w:cs="仿宋"/>
          <w:b/>
          <w:bCs/>
          <w:color w:val="000000"/>
          <w:sz w:val="32"/>
          <w:szCs w:val="32"/>
          <w:lang w:val="zh-CN"/>
        </w:rPr>
      </w:pPr>
      <w:bookmarkStart w:id="171" w:name="_Toc21664"/>
      <w:bookmarkStart w:id="172" w:name="_Toc13329"/>
      <w:bookmarkStart w:id="173" w:name="_Toc21342"/>
      <w:bookmarkStart w:id="174" w:name="_Toc32055"/>
      <w:bookmarkStart w:id="175" w:name="_Toc24979"/>
      <w:r>
        <w:rPr>
          <w:rFonts w:hint="eastAsia" w:ascii="黑体" w:hAnsi="黑体" w:eastAsia="黑体" w:cs="黑体"/>
          <w:b/>
          <w:bCs/>
          <w:color w:val="000000"/>
          <w:sz w:val="32"/>
          <w:szCs w:val="32"/>
          <w:lang w:val="zh-CN"/>
        </w:rPr>
        <w:t>第二章 货物需求和评审方法</w:t>
      </w:r>
      <w:bookmarkEnd w:id="171"/>
      <w:bookmarkEnd w:id="172"/>
      <w:bookmarkEnd w:id="173"/>
      <w:bookmarkEnd w:id="174"/>
      <w:bookmarkEnd w:id="175"/>
    </w:p>
    <w:p w14:paraId="1B75B802">
      <w:pPr>
        <w:pStyle w:val="88"/>
        <w:numPr>
          <w:ilvl w:val="0"/>
          <w:numId w:val="0"/>
        </w:numPr>
        <w:outlineLvl w:val="1"/>
        <w:rPr>
          <w:rFonts w:hint="eastAsia" w:ascii="仿宋" w:hAnsi="仿宋" w:eastAsia="仿宋" w:cs="仿宋"/>
          <w:b/>
          <w:bCs/>
          <w:sz w:val="32"/>
          <w:szCs w:val="32"/>
          <w:lang w:val="en-US" w:eastAsia="zh-CN"/>
        </w:rPr>
      </w:pPr>
      <w:bookmarkStart w:id="176" w:name="_Toc27372"/>
      <w:bookmarkStart w:id="177" w:name="_Toc3723"/>
      <w:bookmarkStart w:id="178" w:name="_Toc25800"/>
      <w:bookmarkStart w:id="179" w:name="_Toc19179"/>
      <w:r>
        <w:rPr>
          <w:rFonts w:hint="eastAsia" w:ascii="仿宋" w:hAnsi="仿宋" w:eastAsia="仿宋" w:cs="仿宋"/>
          <w:b/>
          <w:bCs/>
          <w:sz w:val="32"/>
          <w:szCs w:val="32"/>
          <w:lang w:val="en-US" w:eastAsia="zh-CN"/>
        </w:rPr>
        <w:t xml:space="preserve">一 </w:t>
      </w:r>
      <w:r>
        <w:rPr>
          <w:rFonts w:hint="eastAsia" w:ascii="仿宋_GB2312" w:eastAsia="仿宋_GB2312"/>
          <w:b/>
          <w:sz w:val="32"/>
          <w:szCs w:val="32"/>
        </w:rPr>
        <w:t>、</w:t>
      </w:r>
      <w:bookmarkEnd w:id="176"/>
      <w:bookmarkEnd w:id="177"/>
      <w:bookmarkEnd w:id="178"/>
      <w:bookmarkEnd w:id="179"/>
      <w:r>
        <w:rPr>
          <w:rFonts w:hint="eastAsia" w:ascii="仿宋" w:hAnsi="仿宋" w:eastAsia="仿宋" w:cs="仿宋"/>
          <w:b/>
          <w:bCs/>
          <w:sz w:val="32"/>
          <w:szCs w:val="32"/>
          <w:lang w:val="en-US" w:eastAsia="zh-CN"/>
        </w:rPr>
        <w:t>货物需求</w:t>
      </w:r>
    </w:p>
    <w:tbl>
      <w:tblPr>
        <w:tblStyle w:val="36"/>
        <w:tblW w:w="555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905"/>
        <w:gridCol w:w="5370"/>
        <w:gridCol w:w="720"/>
        <w:gridCol w:w="713"/>
      </w:tblGrid>
      <w:tr w14:paraId="31CA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right"/>
        </w:trPr>
        <w:tc>
          <w:tcPr>
            <w:tcW w:w="402" w:type="pct"/>
            <w:shd w:val="clear" w:color="auto" w:fill="auto"/>
            <w:noWrap/>
          </w:tcPr>
          <w:p w14:paraId="75C2D1E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005" w:type="pct"/>
            <w:shd w:val="clear" w:color="auto" w:fill="auto"/>
            <w:noWrap/>
          </w:tcPr>
          <w:p w14:paraId="37EA0C0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2835" w:type="pct"/>
            <w:shd w:val="clear" w:color="auto" w:fill="auto"/>
            <w:noWrap/>
          </w:tcPr>
          <w:p w14:paraId="50A6750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产品规格参数</w:t>
            </w:r>
          </w:p>
        </w:tc>
        <w:tc>
          <w:tcPr>
            <w:tcW w:w="380" w:type="pct"/>
            <w:shd w:val="clear" w:color="auto" w:fill="auto"/>
            <w:noWrap/>
          </w:tcPr>
          <w:p w14:paraId="3F95E78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376" w:type="pct"/>
            <w:shd w:val="clear" w:color="auto" w:fill="auto"/>
            <w:noWrap/>
          </w:tcPr>
          <w:p w14:paraId="2EFFAB9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14:paraId="11EE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right"/>
        </w:trPr>
        <w:tc>
          <w:tcPr>
            <w:tcW w:w="402" w:type="pct"/>
            <w:shd w:val="clear" w:color="auto" w:fill="auto"/>
            <w:noWrap/>
          </w:tcPr>
          <w:p w14:paraId="0EAF18C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05" w:type="pct"/>
            <w:shd w:val="clear" w:color="auto" w:fill="auto"/>
            <w:noWrap/>
          </w:tcPr>
          <w:p w14:paraId="4B0FD05E">
            <w:pPr>
              <w:widowControl/>
              <w:jc w:val="center"/>
              <w:rPr>
                <w:rFonts w:ascii="宋体" w:hAnsi="宋体" w:eastAsia="宋体" w:cs="宋体"/>
                <w:kern w:val="0"/>
                <w:sz w:val="24"/>
                <w:szCs w:val="24"/>
              </w:rPr>
            </w:pPr>
            <w:r>
              <w:rPr>
                <w:rFonts w:hint="eastAsia" w:ascii="宋体" w:hAnsi="宋体" w:eastAsia="宋体" w:cs="宋体"/>
                <w:kern w:val="0"/>
                <w:sz w:val="24"/>
                <w:szCs w:val="24"/>
              </w:rPr>
              <w:t>排球架</w:t>
            </w:r>
          </w:p>
        </w:tc>
        <w:tc>
          <w:tcPr>
            <w:tcW w:w="2835" w:type="pct"/>
            <w:shd w:val="clear" w:color="auto" w:fill="auto"/>
          </w:tcPr>
          <w:p w14:paraId="4F63F2ED">
            <w:pPr>
              <w:widowControl/>
              <w:spacing w:after="240"/>
              <w:rPr>
                <w:rFonts w:ascii="宋体" w:hAnsi="宋体" w:eastAsia="宋体" w:cs="宋体"/>
                <w:kern w:val="0"/>
                <w:sz w:val="24"/>
                <w:szCs w:val="24"/>
              </w:rPr>
            </w:pPr>
            <w:r>
              <w:rPr>
                <w:rFonts w:hint="eastAsia" w:ascii="宋体" w:hAnsi="宋体" w:eastAsia="宋体" w:cs="宋体"/>
                <w:kern w:val="0"/>
                <w:sz w:val="24"/>
                <w:szCs w:val="24"/>
              </w:rPr>
              <w:t>产品结构：由底座、立柱、球网和裁判椅组成，调节高度：网高调节范围：1800-2430mm，适用场地：适合两片场地之间尺寸≥4100mm，底座外壳：高密度聚乙烯材料（HDPE），底座底板≥10mm钢板，材质：Q235B，激光切割一次成型，底座圆管≥140×140×3焊管，立柱：外立柱：≥φ76×5精拔管，内立柱：≥φ65×5精拔管，外立柱内置一对互成90度的斜齿轮，配合螺杆升降机构，通过升降手柄，使内立柱上下移动，排球网≥长9500mm,高≥1000mm，网眼为正方形≥100×100mm（±5），网片：黑色涤纶长丝，白色包边。</w:t>
            </w:r>
          </w:p>
        </w:tc>
        <w:tc>
          <w:tcPr>
            <w:tcW w:w="380" w:type="pct"/>
            <w:shd w:val="clear" w:color="auto" w:fill="auto"/>
            <w:noWrap/>
          </w:tcPr>
          <w:p w14:paraId="3EAF0978">
            <w:pPr>
              <w:widowControl/>
              <w:jc w:val="center"/>
              <w:rPr>
                <w:rFonts w:ascii="宋体" w:hAnsi="宋体" w:eastAsia="宋体" w:cs="宋体"/>
                <w:kern w:val="0"/>
                <w:sz w:val="24"/>
                <w:szCs w:val="24"/>
              </w:rPr>
            </w:pPr>
            <w:r>
              <w:rPr>
                <w:rFonts w:hint="eastAsia" w:ascii="宋体" w:hAnsi="宋体" w:eastAsia="宋体" w:cs="宋体"/>
                <w:kern w:val="0"/>
                <w:sz w:val="24"/>
                <w:szCs w:val="24"/>
              </w:rPr>
              <w:t>副</w:t>
            </w:r>
          </w:p>
        </w:tc>
        <w:tc>
          <w:tcPr>
            <w:tcW w:w="376" w:type="pct"/>
            <w:shd w:val="clear" w:color="auto" w:fill="auto"/>
            <w:noWrap/>
          </w:tcPr>
          <w:p w14:paraId="6CF662E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6177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4FA039A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05" w:type="pct"/>
            <w:shd w:val="clear" w:color="auto" w:fill="auto"/>
            <w:noWrap/>
          </w:tcPr>
          <w:p w14:paraId="11027879">
            <w:pPr>
              <w:widowControl/>
              <w:jc w:val="center"/>
              <w:rPr>
                <w:rFonts w:ascii="宋体" w:hAnsi="宋体" w:eastAsia="宋体" w:cs="宋体"/>
                <w:kern w:val="0"/>
                <w:sz w:val="24"/>
                <w:szCs w:val="24"/>
              </w:rPr>
            </w:pPr>
            <w:r>
              <w:rPr>
                <w:rFonts w:hint="eastAsia" w:ascii="宋体" w:hAnsi="宋体" w:eastAsia="宋体" w:cs="宋体"/>
                <w:kern w:val="0"/>
                <w:sz w:val="24"/>
                <w:szCs w:val="24"/>
              </w:rPr>
              <w:t>标志杆+标志带</w:t>
            </w:r>
          </w:p>
        </w:tc>
        <w:tc>
          <w:tcPr>
            <w:tcW w:w="2835" w:type="pct"/>
            <w:shd w:val="clear" w:color="auto" w:fill="auto"/>
          </w:tcPr>
          <w:p w14:paraId="0E174203">
            <w:pPr>
              <w:widowControl/>
              <w:rPr>
                <w:rFonts w:ascii="宋体" w:hAnsi="宋体" w:eastAsia="宋体" w:cs="宋体"/>
                <w:kern w:val="0"/>
                <w:sz w:val="24"/>
                <w:szCs w:val="24"/>
              </w:rPr>
            </w:pPr>
            <w:r>
              <w:rPr>
                <w:rFonts w:hint="eastAsia" w:ascii="宋体" w:hAnsi="宋体" w:eastAsia="宋体" w:cs="宋体"/>
                <w:kern w:val="0"/>
                <w:sz w:val="24"/>
                <w:szCs w:val="24"/>
              </w:rPr>
              <w:t>标志杆：玻璃钢材质；标志带：白色，长≥1m，宽≥0.05m。</w:t>
            </w:r>
          </w:p>
        </w:tc>
        <w:tc>
          <w:tcPr>
            <w:tcW w:w="380" w:type="pct"/>
            <w:shd w:val="clear" w:color="auto" w:fill="auto"/>
            <w:noWrap/>
          </w:tcPr>
          <w:p w14:paraId="1279C221">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376" w:type="pct"/>
            <w:shd w:val="clear" w:color="auto" w:fill="auto"/>
            <w:noWrap/>
          </w:tcPr>
          <w:p w14:paraId="6C60DA3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5A5B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08642CA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05" w:type="pct"/>
            <w:shd w:val="clear" w:color="auto" w:fill="auto"/>
            <w:noWrap/>
          </w:tcPr>
          <w:p w14:paraId="02A4E920">
            <w:pPr>
              <w:widowControl/>
              <w:jc w:val="center"/>
              <w:rPr>
                <w:rFonts w:ascii="宋体" w:hAnsi="宋体" w:eastAsia="宋体" w:cs="宋体"/>
                <w:kern w:val="0"/>
                <w:sz w:val="24"/>
                <w:szCs w:val="24"/>
              </w:rPr>
            </w:pPr>
            <w:r>
              <w:rPr>
                <w:rFonts w:hint="eastAsia" w:ascii="宋体" w:hAnsi="宋体" w:eastAsia="宋体" w:cs="宋体"/>
                <w:kern w:val="0"/>
                <w:sz w:val="24"/>
                <w:szCs w:val="24"/>
              </w:rPr>
              <w:t>落地式记分牌</w:t>
            </w:r>
          </w:p>
        </w:tc>
        <w:tc>
          <w:tcPr>
            <w:tcW w:w="2835" w:type="pct"/>
            <w:shd w:val="clear" w:color="auto" w:fill="auto"/>
          </w:tcPr>
          <w:p w14:paraId="5E40E085">
            <w:pPr>
              <w:widowControl/>
              <w:rPr>
                <w:rFonts w:ascii="宋体" w:hAnsi="宋体" w:eastAsia="宋体" w:cs="宋体"/>
                <w:kern w:val="0"/>
                <w:sz w:val="24"/>
                <w:szCs w:val="24"/>
              </w:rPr>
            </w:pPr>
            <w:r>
              <w:rPr>
                <w:rFonts w:hint="eastAsia" w:ascii="宋体" w:hAnsi="宋体" w:eastAsia="宋体" w:cs="宋体"/>
                <w:kern w:val="0"/>
                <w:sz w:val="24"/>
                <w:szCs w:val="24"/>
              </w:rPr>
              <w:t>尺寸≥长450×宽120×高270㎜</w:t>
            </w:r>
          </w:p>
        </w:tc>
        <w:tc>
          <w:tcPr>
            <w:tcW w:w="380" w:type="pct"/>
            <w:shd w:val="clear" w:color="auto" w:fill="auto"/>
            <w:noWrap/>
          </w:tcPr>
          <w:p w14:paraId="367B55C8">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376" w:type="pct"/>
            <w:shd w:val="clear" w:color="auto" w:fill="auto"/>
            <w:noWrap/>
          </w:tcPr>
          <w:p w14:paraId="1A0B85B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618C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025AE91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05" w:type="pct"/>
            <w:shd w:val="clear" w:color="auto" w:fill="auto"/>
            <w:noWrap/>
          </w:tcPr>
          <w:p w14:paraId="27DA945B">
            <w:pPr>
              <w:widowControl/>
              <w:jc w:val="center"/>
              <w:rPr>
                <w:rFonts w:ascii="宋体" w:hAnsi="宋体" w:eastAsia="宋体" w:cs="宋体"/>
                <w:kern w:val="0"/>
                <w:sz w:val="24"/>
                <w:szCs w:val="24"/>
              </w:rPr>
            </w:pPr>
            <w:r>
              <w:rPr>
                <w:rFonts w:hint="eastAsia" w:ascii="宋体" w:hAnsi="宋体" w:eastAsia="宋体" w:cs="宋体"/>
                <w:kern w:val="0"/>
                <w:sz w:val="24"/>
                <w:szCs w:val="24"/>
              </w:rPr>
              <w:t>收放式球类推车</w:t>
            </w:r>
          </w:p>
        </w:tc>
        <w:tc>
          <w:tcPr>
            <w:tcW w:w="2835" w:type="pct"/>
            <w:shd w:val="clear" w:color="auto" w:fill="auto"/>
          </w:tcPr>
          <w:p w14:paraId="000545B7">
            <w:pPr>
              <w:widowControl/>
              <w:rPr>
                <w:rFonts w:ascii="宋体" w:hAnsi="宋体" w:eastAsia="宋体" w:cs="宋体"/>
                <w:kern w:val="0"/>
                <w:sz w:val="24"/>
                <w:szCs w:val="24"/>
              </w:rPr>
            </w:pPr>
            <w:r>
              <w:rPr>
                <w:rFonts w:hint="eastAsia" w:ascii="宋体" w:hAnsi="宋体" w:eastAsia="宋体" w:cs="宋体"/>
                <w:kern w:val="0"/>
                <w:sz w:val="24"/>
                <w:szCs w:val="24"/>
              </w:rPr>
              <w:t>长*宽*高≥680*680*1010（mm），布袋深≥550mm，25*25mm铝管、尼龙接头、涤纶布组成。</w:t>
            </w:r>
          </w:p>
        </w:tc>
        <w:tc>
          <w:tcPr>
            <w:tcW w:w="380" w:type="pct"/>
            <w:shd w:val="clear" w:color="auto" w:fill="auto"/>
            <w:noWrap/>
          </w:tcPr>
          <w:p w14:paraId="3FA7A26A">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376" w:type="pct"/>
            <w:shd w:val="clear" w:color="auto" w:fill="auto"/>
            <w:noWrap/>
          </w:tcPr>
          <w:p w14:paraId="2DCC88D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3B1C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50BF393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05" w:type="pct"/>
            <w:shd w:val="clear" w:color="auto" w:fill="auto"/>
            <w:noWrap/>
          </w:tcPr>
          <w:p w14:paraId="6F13586D">
            <w:pPr>
              <w:widowControl/>
              <w:jc w:val="center"/>
              <w:rPr>
                <w:rFonts w:ascii="宋体" w:hAnsi="宋体" w:eastAsia="宋体" w:cs="宋体"/>
                <w:kern w:val="0"/>
                <w:sz w:val="24"/>
                <w:szCs w:val="24"/>
              </w:rPr>
            </w:pPr>
            <w:r>
              <w:rPr>
                <w:rFonts w:hint="eastAsia" w:ascii="宋体" w:hAnsi="宋体" w:eastAsia="宋体" w:cs="宋体"/>
                <w:kern w:val="0"/>
                <w:sz w:val="24"/>
                <w:szCs w:val="24"/>
              </w:rPr>
              <w:t>排球</w:t>
            </w:r>
          </w:p>
        </w:tc>
        <w:tc>
          <w:tcPr>
            <w:tcW w:w="2835" w:type="pct"/>
            <w:shd w:val="clear" w:color="auto" w:fill="auto"/>
          </w:tcPr>
          <w:p w14:paraId="324699C2">
            <w:pPr>
              <w:widowControl/>
              <w:rPr>
                <w:rFonts w:ascii="宋体" w:hAnsi="宋体" w:eastAsia="宋体" w:cs="宋体"/>
                <w:kern w:val="0"/>
                <w:sz w:val="24"/>
                <w:szCs w:val="24"/>
              </w:rPr>
            </w:pPr>
            <w:r>
              <w:rPr>
                <w:rFonts w:hint="eastAsia" w:ascii="宋体" w:hAnsi="宋体" w:eastAsia="宋体" w:cs="宋体"/>
                <w:kern w:val="0"/>
                <w:sz w:val="24"/>
                <w:szCs w:val="24"/>
              </w:rPr>
              <w:t>材质：超细纤维合成革，类型：贴皮，规格：5号，类别：室内比赛球。</w:t>
            </w:r>
          </w:p>
        </w:tc>
        <w:tc>
          <w:tcPr>
            <w:tcW w:w="380" w:type="pct"/>
            <w:shd w:val="clear" w:color="auto" w:fill="auto"/>
            <w:noWrap/>
          </w:tcPr>
          <w:p w14:paraId="2F63FF7E">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376" w:type="pct"/>
            <w:shd w:val="clear" w:color="auto" w:fill="auto"/>
            <w:noWrap/>
          </w:tcPr>
          <w:p w14:paraId="0D3877F2">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r>
      <w:tr w14:paraId="4A9A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A8E3E5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005" w:type="pct"/>
            <w:shd w:val="clear" w:color="auto" w:fill="auto"/>
            <w:noWrap/>
          </w:tcPr>
          <w:p w14:paraId="71B3D51F">
            <w:pPr>
              <w:widowControl/>
              <w:jc w:val="center"/>
              <w:rPr>
                <w:rFonts w:ascii="宋体" w:hAnsi="宋体" w:eastAsia="宋体" w:cs="宋体"/>
                <w:kern w:val="0"/>
                <w:sz w:val="24"/>
                <w:szCs w:val="24"/>
              </w:rPr>
            </w:pPr>
            <w:r>
              <w:rPr>
                <w:rFonts w:hint="eastAsia" w:ascii="宋体" w:hAnsi="宋体" w:eastAsia="宋体" w:cs="宋体"/>
                <w:kern w:val="0"/>
                <w:sz w:val="24"/>
                <w:szCs w:val="24"/>
              </w:rPr>
              <w:t>排球</w:t>
            </w:r>
          </w:p>
        </w:tc>
        <w:tc>
          <w:tcPr>
            <w:tcW w:w="2835" w:type="pct"/>
            <w:shd w:val="clear" w:color="auto" w:fill="auto"/>
          </w:tcPr>
          <w:p w14:paraId="69F060BF">
            <w:pPr>
              <w:widowControl/>
              <w:rPr>
                <w:rFonts w:ascii="宋体" w:hAnsi="宋体" w:eastAsia="宋体" w:cs="宋体"/>
                <w:kern w:val="0"/>
                <w:sz w:val="24"/>
                <w:szCs w:val="24"/>
              </w:rPr>
            </w:pPr>
            <w:r>
              <w:rPr>
                <w:rFonts w:hint="eastAsia" w:ascii="宋体" w:hAnsi="宋体" w:eastAsia="宋体" w:cs="宋体"/>
                <w:kern w:val="0"/>
                <w:sz w:val="24"/>
                <w:szCs w:val="24"/>
              </w:rPr>
              <w:t>5号标准，直径约21cm，机器贴皮，PU材质，比赛专用</w:t>
            </w:r>
          </w:p>
        </w:tc>
        <w:tc>
          <w:tcPr>
            <w:tcW w:w="380" w:type="pct"/>
            <w:shd w:val="clear" w:color="auto" w:fill="auto"/>
            <w:noWrap/>
          </w:tcPr>
          <w:p w14:paraId="1692B635">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376" w:type="pct"/>
            <w:shd w:val="clear" w:color="auto" w:fill="auto"/>
            <w:noWrap/>
          </w:tcPr>
          <w:p w14:paraId="47F5540B">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5</w:t>
            </w:r>
          </w:p>
        </w:tc>
      </w:tr>
      <w:tr w14:paraId="5B1B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576046E8">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005" w:type="pct"/>
            <w:shd w:val="clear" w:color="auto" w:fill="auto"/>
            <w:noWrap/>
          </w:tcPr>
          <w:p w14:paraId="294D3503">
            <w:pPr>
              <w:widowControl/>
              <w:jc w:val="center"/>
              <w:rPr>
                <w:rFonts w:ascii="宋体" w:hAnsi="宋体" w:eastAsia="宋体" w:cs="宋体"/>
                <w:kern w:val="0"/>
                <w:sz w:val="24"/>
                <w:szCs w:val="24"/>
              </w:rPr>
            </w:pPr>
            <w:r>
              <w:rPr>
                <w:rFonts w:hint="eastAsia" w:ascii="宋体" w:hAnsi="宋体" w:eastAsia="宋体" w:cs="宋体"/>
                <w:kern w:val="0"/>
                <w:sz w:val="24"/>
                <w:szCs w:val="24"/>
              </w:rPr>
              <w:t>电子哨</w:t>
            </w:r>
          </w:p>
        </w:tc>
        <w:tc>
          <w:tcPr>
            <w:tcW w:w="2835" w:type="pct"/>
            <w:shd w:val="clear" w:color="auto" w:fill="auto"/>
          </w:tcPr>
          <w:p w14:paraId="71B33538">
            <w:pPr>
              <w:widowControl/>
              <w:rPr>
                <w:rFonts w:ascii="宋体" w:hAnsi="宋体" w:eastAsia="宋体" w:cs="宋体"/>
                <w:kern w:val="0"/>
                <w:sz w:val="24"/>
                <w:szCs w:val="24"/>
              </w:rPr>
            </w:pPr>
            <w:r>
              <w:rPr>
                <w:rFonts w:hint="eastAsia" w:ascii="宋体" w:hAnsi="宋体" w:eastAsia="宋体" w:cs="宋体"/>
                <w:kern w:val="0"/>
                <w:sz w:val="24"/>
                <w:szCs w:val="24"/>
              </w:rPr>
              <w:t>高分贝裁判哨子</w:t>
            </w:r>
          </w:p>
        </w:tc>
        <w:tc>
          <w:tcPr>
            <w:tcW w:w="380" w:type="pct"/>
            <w:shd w:val="clear" w:color="auto" w:fill="auto"/>
            <w:noWrap/>
          </w:tcPr>
          <w:p w14:paraId="794C73D5">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376" w:type="pct"/>
            <w:shd w:val="clear" w:color="auto" w:fill="auto"/>
            <w:noWrap/>
          </w:tcPr>
          <w:p w14:paraId="6D2ECD0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67DF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2E9D2839">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05" w:type="pct"/>
            <w:shd w:val="clear" w:color="auto" w:fill="auto"/>
            <w:noWrap/>
          </w:tcPr>
          <w:p w14:paraId="4223B34D">
            <w:pPr>
              <w:widowControl/>
              <w:jc w:val="center"/>
              <w:rPr>
                <w:rFonts w:ascii="宋体" w:hAnsi="宋体" w:eastAsia="宋体" w:cs="宋体"/>
                <w:kern w:val="0"/>
                <w:sz w:val="24"/>
                <w:szCs w:val="24"/>
              </w:rPr>
            </w:pPr>
            <w:r>
              <w:rPr>
                <w:rFonts w:hint="eastAsia" w:ascii="宋体" w:hAnsi="宋体" w:eastAsia="宋体" w:cs="宋体"/>
                <w:kern w:val="0"/>
                <w:sz w:val="24"/>
                <w:szCs w:val="24"/>
              </w:rPr>
              <w:t>橡胶减震地垫</w:t>
            </w:r>
          </w:p>
        </w:tc>
        <w:tc>
          <w:tcPr>
            <w:tcW w:w="2835" w:type="pct"/>
            <w:shd w:val="clear" w:color="auto" w:fill="auto"/>
          </w:tcPr>
          <w:p w14:paraId="4B86714E">
            <w:pPr>
              <w:widowControl/>
              <w:rPr>
                <w:rFonts w:ascii="宋体" w:hAnsi="宋体" w:eastAsia="宋体" w:cs="宋体"/>
                <w:kern w:val="0"/>
                <w:sz w:val="24"/>
                <w:szCs w:val="24"/>
              </w:rPr>
            </w:pPr>
            <w:r>
              <w:rPr>
                <w:rFonts w:hint="eastAsia" w:ascii="宋体" w:hAnsi="宋体" w:eastAsia="宋体" w:cs="宋体"/>
                <w:kern w:val="0"/>
                <w:sz w:val="24"/>
                <w:szCs w:val="24"/>
              </w:rPr>
              <w:t>总挥发性有机化合物（Tvoc）/(mg/（㎡·h）)≤5.0 ，甲醛/（mg/(㎡·h)）≤0.4；地垫面层主材料EPDM橡胶颗粒垂直变形1.2，拉伸强度Mpa≥0.5，拉断伸长率%≥ 40,阻燃性能为I级；气味等级测试为&lt;=3,含量均为合格不超标，甲、乙苯检出限为0.002mg/(m㎡·h);二甲苯检出限为0.004mg/(㎡·h);二化碳检出限为0.07mg/(m·h)；符合SGS EN71：EN71-1:-2。</w:t>
            </w:r>
          </w:p>
        </w:tc>
        <w:tc>
          <w:tcPr>
            <w:tcW w:w="380" w:type="pct"/>
            <w:shd w:val="clear" w:color="auto" w:fill="auto"/>
            <w:noWrap/>
          </w:tcPr>
          <w:p w14:paraId="3917EDC6">
            <w:pPr>
              <w:widowControl/>
              <w:jc w:val="center"/>
              <w:rPr>
                <w:rFonts w:ascii="宋体" w:hAnsi="宋体" w:eastAsia="宋体" w:cs="宋体"/>
                <w:kern w:val="0"/>
                <w:sz w:val="24"/>
                <w:szCs w:val="24"/>
              </w:rPr>
            </w:pPr>
            <w:r>
              <w:rPr>
                <w:rFonts w:hint="eastAsia" w:ascii="宋体" w:hAnsi="宋体" w:eastAsia="宋体" w:cs="宋体"/>
                <w:kern w:val="0"/>
                <w:sz w:val="24"/>
                <w:szCs w:val="24"/>
              </w:rPr>
              <w:t>平方米</w:t>
            </w:r>
          </w:p>
        </w:tc>
        <w:tc>
          <w:tcPr>
            <w:tcW w:w="376" w:type="pct"/>
            <w:shd w:val="clear" w:color="auto" w:fill="auto"/>
            <w:noWrap/>
          </w:tcPr>
          <w:p w14:paraId="55B495D6">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r>
      <w:tr w14:paraId="59B0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5F84BB3">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005" w:type="pct"/>
            <w:shd w:val="clear" w:color="auto" w:fill="auto"/>
            <w:noWrap/>
          </w:tcPr>
          <w:p w14:paraId="4577BD33">
            <w:pPr>
              <w:widowControl/>
              <w:jc w:val="center"/>
              <w:rPr>
                <w:rFonts w:ascii="宋体" w:hAnsi="宋体" w:eastAsia="宋体" w:cs="宋体"/>
                <w:kern w:val="0"/>
                <w:sz w:val="24"/>
                <w:szCs w:val="24"/>
              </w:rPr>
            </w:pPr>
            <w:r>
              <w:rPr>
                <w:rFonts w:hint="eastAsia" w:ascii="宋体" w:hAnsi="宋体" w:eastAsia="宋体" w:cs="宋体"/>
                <w:kern w:val="0"/>
                <w:sz w:val="24"/>
                <w:szCs w:val="24"/>
              </w:rPr>
              <w:t>羽毛球地胶</w:t>
            </w:r>
          </w:p>
        </w:tc>
        <w:tc>
          <w:tcPr>
            <w:tcW w:w="2835" w:type="pct"/>
            <w:shd w:val="clear" w:color="auto" w:fill="auto"/>
          </w:tcPr>
          <w:p w14:paraId="6D0997A2">
            <w:pPr>
              <w:widowControl/>
              <w:rPr>
                <w:rFonts w:hint="eastAsia" w:ascii="宋体" w:hAnsi="宋体" w:eastAsia="宋体" w:cs="宋体"/>
                <w:kern w:val="0"/>
                <w:sz w:val="24"/>
                <w:szCs w:val="24"/>
              </w:rPr>
            </w:pPr>
            <w:r>
              <w:rPr>
                <w:rFonts w:hint="eastAsia" w:ascii="宋体" w:hAnsi="宋体" w:eastAsia="宋体" w:cs="宋体"/>
                <w:kern w:val="0"/>
                <w:sz w:val="24"/>
                <w:szCs w:val="24"/>
              </w:rPr>
              <w:t>★1、依据GB/T24128-2018标准，抗霉菌性能试验方法，对黑曲霉、球毛壳霉、宛氏拟青霉、绳状青霉、长枝木霉在试验条件为21天时间，湿度90%RH，温度24℃下，检测结果为0级；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2、依据GB/T19889.3-2005标准，PVC地板隔声性能≥24dB。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★3、依据GB/T6739-2022标准，PVC地板铅笔硬度≥3B；</w:t>
            </w:r>
          </w:p>
          <w:p w14:paraId="2EF5F6D7">
            <w:pPr>
              <w:widowControl/>
              <w:rPr>
                <w:rFonts w:hint="eastAsia" w:ascii="宋体" w:hAnsi="宋体" w:eastAsia="宋体" w:cs="宋体"/>
                <w:kern w:val="0"/>
                <w:sz w:val="24"/>
                <w:szCs w:val="24"/>
              </w:rPr>
            </w:pPr>
            <w:r>
              <w:rPr>
                <w:rFonts w:hint="eastAsia" w:ascii="宋体" w:hAnsi="宋体" w:eastAsia="宋体" w:cs="宋体"/>
                <w:kern w:val="0"/>
                <w:sz w:val="24"/>
                <w:szCs w:val="24"/>
              </w:rPr>
              <w:t>★4、依据GB/T21605-2008标准化学品急性吸入毒性试验，试验结果对ICR小鼠的急性吸入LC50＞2000mg/ m³。依据毒性分级，产品属于低毒级；</w:t>
            </w:r>
          </w:p>
          <w:p w14:paraId="7D30B259">
            <w:pPr>
              <w:widowControl/>
              <w:rPr>
                <w:rFonts w:hint="eastAsia" w:ascii="宋体" w:hAnsi="宋体" w:eastAsia="宋体" w:cs="宋体"/>
                <w:kern w:val="0"/>
                <w:sz w:val="24"/>
                <w:szCs w:val="24"/>
              </w:rPr>
            </w:pPr>
            <w:r>
              <w:rPr>
                <w:rFonts w:hint="eastAsia" w:ascii="宋体" w:hAnsi="宋体" w:eastAsia="宋体" w:cs="宋体"/>
                <w:kern w:val="0"/>
                <w:sz w:val="24"/>
                <w:szCs w:val="24"/>
              </w:rPr>
              <w:t>5、依据GB/T11982.1-2015标准，PVC地板焊接强度≥240。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6、依据 GB/T11547-2008标准，PVC地板耐化学腐蚀性能达到标准要求，40%浓度硫酸、40%浓度硝酸、37%浓度盐酸在浸渍温度（23±2）℃条件下，浸渍24小时，样品无变化。</w:t>
            </w:r>
          </w:p>
          <w:p w14:paraId="3C2F6BCA">
            <w:pPr>
              <w:widowControl/>
              <w:rPr>
                <w:rFonts w:hint="eastAsia" w:ascii="宋体" w:hAnsi="宋体" w:eastAsia="宋体" w:cs="宋体"/>
                <w:kern w:val="0"/>
                <w:sz w:val="24"/>
                <w:szCs w:val="24"/>
              </w:rPr>
            </w:pPr>
            <w:r>
              <w:rPr>
                <w:rFonts w:hint="eastAsia" w:ascii="宋体" w:hAnsi="宋体" w:eastAsia="宋体" w:cs="宋体"/>
                <w:b w:val="0"/>
                <w:bCs w:val="0"/>
                <w:kern w:val="0"/>
                <w:sz w:val="24"/>
                <w:szCs w:val="24"/>
                <w:lang w:val="en-US" w:eastAsia="zh-CN"/>
              </w:rPr>
              <w:t>带</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项</w:t>
            </w:r>
            <w:r>
              <w:rPr>
                <w:rFonts w:hint="eastAsia" w:ascii="宋体" w:hAnsi="宋体" w:eastAsia="宋体" w:cs="宋体"/>
                <w:b w:val="0"/>
                <w:bCs w:val="0"/>
                <w:kern w:val="0"/>
                <w:sz w:val="24"/>
                <w:szCs w:val="24"/>
              </w:rPr>
              <w:t>提供具有检测资质的第三方检测机构出具的CMA标识检测报告及国家认证认可监督管理委员会官网（http://cx.cnca.cn/CertECloud/qts/qts/qtsPage）报告查询截图，并加盖供应商公章）。</w:t>
            </w:r>
          </w:p>
        </w:tc>
        <w:tc>
          <w:tcPr>
            <w:tcW w:w="380" w:type="pct"/>
            <w:shd w:val="clear" w:color="auto" w:fill="auto"/>
            <w:noWrap/>
          </w:tcPr>
          <w:p w14:paraId="50CDE443">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376" w:type="pct"/>
            <w:shd w:val="clear" w:color="auto" w:fill="auto"/>
            <w:noWrap/>
          </w:tcPr>
          <w:p w14:paraId="19E345F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3DCE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450BBB51">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005" w:type="pct"/>
            <w:shd w:val="clear" w:color="auto" w:fill="auto"/>
            <w:noWrap/>
          </w:tcPr>
          <w:p w14:paraId="39013D8B">
            <w:pPr>
              <w:widowControl/>
              <w:jc w:val="center"/>
              <w:rPr>
                <w:rFonts w:ascii="宋体" w:hAnsi="宋体" w:eastAsia="宋体" w:cs="宋体"/>
                <w:kern w:val="0"/>
                <w:sz w:val="24"/>
                <w:szCs w:val="24"/>
              </w:rPr>
            </w:pPr>
            <w:r>
              <w:rPr>
                <w:rFonts w:hint="eastAsia" w:ascii="宋体" w:hAnsi="宋体" w:eastAsia="宋体" w:cs="宋体"/>
                <w:kern w:val="0"/>
                <w:sz w:val="24"/>
                <w:szCs w:val="24"/>
              </w:rPr>
              <w:t>收卷器</w:t>
            </w:r>
          </w:p>
        </w:tc>
        <w:tc>
          <w:tcPr>
            <w:tcW w:w="2835" w:type="pct"/>
            <w:shd w:val="clear" w:color="auto" w:fill="auto"/>
          </w:tcPr>
          <w:p w14:paraId="67ABF0BD">
            <w:pPr>
              <w:widowControl/>
              <w:rPr>
                <w:rFonts w:ascii="宋体" w:hAnsi="宋体" w:eastAsia="宋体" w:cs="宋体"/>
                <w:kern w:val="0"/>
                <w:sz w:val="24"/>
                <w:szCs w:val="24"/>
              </w:rPr>
            </w:pPr>
            <w:r>
              <w:rPr>
                <w:rFonts w:hint="eastAsia" w:ascii="宋体" w:hAnsi="宋体" w:eastAsia="宋体" w:cs="宋体"/>
                <w:kern w:val="0"/>
                <w:sz w:val="24"/>
                <w:szCs w:val="24"/>
              </w:rPr>
              <w:t>规格长≥7.2m，直径≥15cm，材料：pvc（聚氯乙烯）</w:t>
            </w:r>
          </w:p>
        </w:tc>
        <w:tc>
          <w:tcPr>
            <w:tcW w:w="380" w:type="pct"/>
            <w:shd w:val="clear" w:color="auto" w:fill="auto"/>
            <w:noWrap/>
          </w:tcPr>
          <w:p w14:paraId="10F1E137">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376" w:type="pct"/>
            <w:shd w:val="clear" w:color="auto" w:fill="auto"/>
            <w:noWrap/>
          </w:tcPr>
          <w:p w14:paraId="5038C13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15AE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right"/>
        </w:trPr>
        <w:tc>
          <w:tcPr>
            <w:tcW w:w="402" w:type="pct"/>
            <w:shd w:val="clear" w:color="auto" w:fill="auto"/>
            <w:noWrap/>
          </w:tcPr>
          <w:p w14:paraId="3B4EBF2A">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005" w:type="pct"/>
            <w:shd w:val="clear" w:color="auto" w:fill="auto"/>
            <w:noWrap/>
          </w:tcPr>
          <w:p w14:paraId="00CAC18E">
            <w:pPr>
              <w:widowControl/>
              <w:jc w:val="center"/>
              <w:rPr>
                <w:rFonts w:ascii="宋体" w:hAnsi="宋体" w:eastAsia="宋体" w:cs="宋体"/>
                <w:kern w:val="0"/>
                <w:sz w:val="24"/>
                <w:szCs w:val="24"/>
              </w:rPr>
            </w:pPr>
            <w:r>
              <w:rPr>
                <w:rFonts w:hint="eastAsia" w:ascii="宋体" w:hAnsi="宋体" w:eastAsia="宋体" w:cs="宋体"/>
                <w:kern w:val="0"/>
                <w:sz w:val="24"/>
                <w:szCs w:val="24"/>
              </w:rPr>
              <w:t>羽毛球架</w:t>
            </w:r>
          </w:p>
        </w:tc>
        <w:tc>
          <w:tcPr>
            <w:tcW w:w="2835" w:type="pct"/>
            <w:shd w:val="clear" w:color="auto" w:fill="auto"/>
          </w:tcPr>
          <w:p w14:paraId="0AFCD409">
            <w:pPr>
              <w:widowControl/>
              <w:spacing w:after="240"/>
              <w:rPr>
                <w:rFonts w:ascii="宋体" w:hAnsi="宋体" w:eastAsia="宋体" w:cs="宋体"/>
                <w:kern w:val="0"/>
                <w:sz w:val="24"/>
                <w:szCs w:val="24"/>
              </w:rPr>
            </w:pPr>
            <w:r>
              <w:rPr>
                <w:rFonts w:hint="eastAsia" w:ascii="宋体" w:hAnsi="宋体" w:eastAsia="宋体" w:cs="宋体"/>
                <w:kern w:val="0"/>
                <w:sz w:val="24"/>
                <w:szCs w:val="24"/>
              </w:rPr>
              <w:t>由底座、立柱、锁绳装置、高度微调装置和羽毛球网组成，适合两片场地之间尺寸≥1200mm，底座：高密度聚乙烯材料（HDPE），底座铁板：10mm钢板，材质：Q235B，激光切割一次成型，立柱：1550mm，规格：φ40*4圆管，材质：Q345，网柱能承受≥200N的外力，球柱不产生永久变形，无倾倒现象，球网：咖啡色，长≥6100mm，宽≥760mm，网眼为正方形，边长15～20mm，白色包边</w:t>
            </w:r>
          </w:p>
        </w:tc>
        <w:tc>
          <w:tcPr>
            <w:tcW w:w="380" w:type="pct"/>
            <w:shd w:val="clear" w:color="auto" w:fill="auto"/>
            <w:noWrap/>
          </w:tcPr>
          <w:p w14:paraId="28772D63">
            <w:pPr>
              <w:widowControl/>
              <w:jc w:val="center"/>
              <w:rPr>
                <w:rFonts w:ascii="宋体" w:hAnsi="宋体" w:eastAsia="宋体" w:cs="宋体"/>
                <w:kern w:val="0"/>
                <w:sz w:val="24"/>
                <w:szCs w:val="24"/>
              </w:rPr>
            </w:pPr>
            <w:r>
              <w:rPr>
                <w:rFonts w:hint="eastAsia" w:ascii="宋体" w:hAnsi="宋体" w:eastAsia="宋体" w:cs="宋体"/>
                <w:kern w:val="0"/>
                <w:sz w:val="24"/>
                <w:szCs w:val="24"/>
              </w:rPr>
              <w:t>副</w:t>
            </w:r>
          </w:p>
        </w:tc>
        <w:tc>
          <w:tcPr>
            <w:tcW w:w="376" w:type="pct"/>
            <w:shd w:val="clear" w:color="auto" w:fill="auto"/>
            <w:noWrap/>
          </w:tcPr>
          <w:p w14:paraId="5904042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7307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285D799">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005" w:type="pct"/>
            <w:shd w:val="clear" w:color="auto" w:fill="auto"/>
            <w:noWrap/>
          </w:tcPr>
          <w:p w14:paraId="58153E7C">
            <w:pPr>
              <w:widowControl/>
              <w:jc w:val="center"/>
              <w:rPr>
                <w:rFonts w:ascii="宋体" w:hAnsi="宋体" w:eastAsia="宋体" w:cs="宋体"/>
                <w:kern w:val="0"/>
                <w:sz w:val="24"/>
                <w:szCs w:val="24"/>
              </w:rPr>
            </w:pPr>
            <w:r>
              <w:rPr>
                <w:rFonts w:hint="eastAsia" w:ascii="宋体" w:hAnsi="宋体" w:eastAsia="宋体" w:cs="宋体"/>
                <w:kern w:val="0"/>
                <w:sz w:val="24"/>
                <w:szCs w:val="24"/>
              </w:rPr>
              <w:t>羽毛球发球机</w:t>
            </w:r>
          </w:p>
        </w:tc>
        <w:tc>
          <w:tcPr>
            <w:tcW w:w="2835" w:type="pct"/>
            <w:shd w:val="clear" w:color="auto" w:fill="auto"/>
          </w:tcPr>
          <w:p w14:paraId="1F8BD9E9">
            <w:pPr>
              <w:widowControl/>
              <w:rPr>
                <w:rFonts w:ascii="宋体" w:hAnsi="宋体" w:eastAsia="宋体" w:cs="宋体"/>
                <w:kern w:val="0"/>
                <w:sz w:val="24"/>
                <w:szCs w:val="24"/>
              </w:rPr>
            </w:pPr>
            <w:r>
              <w:rPr>
                <w:rFonts w:hint="eastAsia" w:ascii="宋体" w:hAnsi="宋体" w:eastAsia="宋体" w:cs="宋体"/>
                <w:kern w:val="0"/>
                <w:sz w:val="24"/>
                <w:szCs w:val="24"/>
              </w:rPr>
              <w:t>电源类型：AC100-240V DC12V50/60HZ，功率≥360W，产品规格≥105*105*305cm，净重≥31KG，装球容量≥180个，出球频率1.2~5.5秒/球，水平角度- 15°~33°(自动调节)，仰角角度30度(遥控控制)。手机APP控制,智能遥控器控制,编程发球≥21个点位,≥6种交叉球,两线球、三线球,四方球,网前球、平抽球,高远球、扣杀球等。</w:t>
            </w:r>
          </w:p>
        </w:tc>
        <w:tc>
          <w:tcPr>
            <w:tcW w:w="380" w:type="pct"/>
            <w:shd w:val="clear" w:color="auto" w:fill="auto"/>
            <w:noWrap/>
          </w:tcPr>
          <w:p w14:paraId="01BC6CA3">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5BEB49A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5899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366F5FC0">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005" w:type="pct"/>
            <w:shd w:val="clear" w:color="auto" w:fill="auto"/>
            <w:noWrap/>
          </w:tcPr>
          <w:p w14:paraId="40FD3D1E">
            <w:pPr>
              <w:widowControl/>
              <w:jc w:val="center"/>
              <w:rPr>
                <w:rFonts w:ascii="宋体" w:hAnsi="宋体" w:eastAsia="宋体" w:cs="宋体"/>
                <w:kern w:val="0"/>
                <w:sz w:val="24"/>
                <w:szCs w:val="24"/>
              </w:rPr>
            </w:pPr>
            <w:r>
              <w:rPr>
                <w:rFonts w:hint="eastAsia" w:ascii="宋体" w:hAnsi="宋体" w:eastAsia="宋体" w:cs="宋体"/>
                <w:kern w:val="0"/>
                <w:sz w:val="24"/>
                <w:szCs w:val="24"/>
              </w:rPr>
              <w:t>羽毛球</w:t>
            </w:r>
          </w:p>
        </w:tc>
        <w:tc>
          <w:tcPr>
            <w:tcW w:w="2835" w:type="pct"/>
            <w:shd w:val="clear" w:color="auto" w:fill="auto"/>
          </w:tcPr>
          <w:p w14:paraId="26F929F6">
            <w:pPr>
              <w:widowControl/>
              <w:rPr>
                <w:rFonts w:ascii="宋体" w:hAnsi="宋体" w:eastAsia="宋体" w:cs="宋体"/>
                <w:kern w:val="0"/>
                <w:sz w:val="24"/>
                <w:szCs w:val="24"/>
              </w:rPr>
            </w:pPr>
            <w:r>
              <w:rPr>
                <w:rFonts w:hint="eastAsia" w:ascii="宋体" w:hAnsi="宋体" w:eastAsia="宋体" w:cs="宋体"/>
                <w:kern w:val="0"/>
                <w:sz w:val="24"/>
                <w:szCs w:val="24"/>
              </w:rPr>
              <w:t>金黄1号</w:t>
            </w:r>
          </w:p>
        </w:tc>
        <w:tc>
          <w:tcPr>
            <w:tcW w:w="380" w:type="pct"/>
            <w:shd w:val="clear" w:color="auto" w:fill="auto"/>
            <w:noWrap/>
          </w:tcPr>
          <w:p w14:paraId="5192731D">
            <w:pPr>
              <w:widowControl/>
              <w:jc w:val="center"/>
              <w:rPr>
                <w:rFonts w:ascii="宋体" w:hAnsi="宋体" w:eastAsia="宋体" w:cs="宋体"/>
                <w:kern w:val="0"/>
                <w:sz w:val="24"/>
                <w:szCs w:val="24"/>
              </w:rPr>
            </w:pPr>
            <w:r>
              <w:rPr>
                <w:rFonts w:hint="eastAsia" w:ascii="宋体" w:hAnsi="宋体" w:eastAsia="宋体" w:cs="宋体"/>
                <w:kern w:val="0"/>
                <w:sz w:val="24"/>
                <w:szCs w:val="24"/>
              </w:rPr>
              <w:t>箱</w:t>
            </w:r>
          </w:p>
        </w:tc>
        <w:tc>
          <w:tcPr>
            <w:tcW w:w="376" w:type="pct"/>
            <w:shd w:val="clear" w:color="auto" w:fill="auto"/>
            <w:noWrap/>
          </w:tcPr>
          <w:p w14:paraId="2853931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582F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3644A295">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005" w:type="pct"/>
            <w:shd w:val="clear" w:color="auto" w:fill="auto"/>
            <w:noWrap/>
          </w:tcPr>
          <w:p w14:paraId="13F75C43">
            <w:pPr>
              <w:widowControl/>
              <w:jc w:val="center"/>
              <w:rPr>
                <w:rFonts w:ascii="宋体" w:hAnsi="宋体" w:eastAsia="宋体" w:cs="宋体"/>
                <w:kern w:val="0"/>
                <w:sz w:val="24"/>
                <w:szCs w:val="24"/>
              </w:rPr>
            </w:pPr>
            <w:r>
              <w:rPr>
                <w:rFonts w:hint="eastAsia" w:ascii="宋体" w:hAnsi="宋体" w:eastAsia="宋体" w:cs="宋体"/>
                <w:kern w:val="0"/>
                <w:sz w:val="24"/>
                <w:szCs w:val="24"/>
              </w:rPr>
              <w:t>足球</w:t>
            </w:r>
          </w:p>
        </w:tc>
        <w:tc>
          <w:tcPr>
            <w:tcW w:w="2835" w:type="pct"/>
            <w:shd w:val="clear" w:color="auto" w:fill="auto"/>
          </w:tcPr>
          <w:p w14:paraId="3F03DF6D">
            <w:pPr>
              <w:widowControl/>
              <w:rPr>
                <w:rFonts w:ascii="宋体" w:hAnsi="宋体" w:eastAsia="宋体" w:cs="宋体"/>
                <w:kern w:val="0"/>
                <w:sz w:val="24"/>
                <w:szCs w:val="24"/>
              </w:rPr>
            </w:pPr>
            <w:r>
              <w:rPr>
                <w:rFonts w:hint="eastAsia" w:ascii="宋体" w:hAnsi="宋体" w:eastAsia="宋体" w:cs="宋体"/>
                <w:kern w:val="0"/>
                <w:sz w:val="24"/>
                <w:szCs w:val="24"/>
              </w:rPr>
              <w:t>5号标准，足球缝线手缝足球，材质PU(聚氨酯)</w:t>
            </w:r>
          </w:p>
        </w:tc>
        <w:tc>
          <w:tcPr>
            <w:tcW w:w="380" w:type="pct"/>
            <w:shd w:val="clear" w:color="auto" w:fill="auto"/>
            <w:noWrap/>
          </w:tcPr>
          <w:p w14:paraId="4FB0E4DA">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376" w:type="pct"/>
            <w:shd w:val="clear" w:color="auto" w:fill="auto"/>
            <w:noWrap/>
          </w:tcPr>
          <w:p w14:paraId="676CCE22">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14:paraId="58B3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13C223C">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005" w:type="pct"/>
            <w:shd w:val="clear" w:color="auto" w:fill="auto"/>
            <w:noWrap/>
          </w:tcPr>
          <w:p w14:paraId="349E9164">
            <w:pPr>
              <w:widowControl/>
              <w:jc w:val="center"/>
              <w:rPr>
                <w:rFonts w:ascii="宋体" w:hAnsi="宋体" w:eastAsia="宋体" w:cs="宋体"/>
                <w:kern w:val="0"/>
                <w:sz w:val="24"/>
                <w:szCs w:val="24"/>
              </w:rPr>
            </w:pPr>
            <w:r>
              <w:rPr>
                <w:rFonts w:hint="eastAsia" w:ascii="宋体" w:hAnsi="宋体" w:eastAsia="宋体" w:cs="宋体"/>
                <w:kern w:val="0"/>
                <w:sz w:val="24"/>
                <w:szCs w:val="24"/>
              </w:rPr>
              <w:t>拉杆式运动保温箱</w:t>
            </w:r>
          </w:p>
        </w:tc>
        <w:tc>
          <w:tcPr>
            <w:tcW w:w="2835" w:type="pct"/>
            <w:shd w:val="clear" w:color="auto" w:fill="auto"/>
          </w:tcPr>
          <w:p w14:paraId="129DA711">
            <w:pPr>
              <w:widowControl/>
              <w:rPr>
                <w:rFonts w:ascii="宋体" w:hAnsi="宋体" w:eastAsia="宋体" w:cs="宋体"/>
                <w:kern w:val="0"/>
                <w:sz w:val="24"/>
                <w:szCs w:val="24"/>
              </w:rPr>
            </w:pPr>
            <w:r>
              <w:rPr>
                <w:rFonts w:hint="eastAsia" w:ascii="宋体" w:hAnsi="宋体" w:eastAsia="宋体" w:cs="宋体"/>
                <w:kern w:val="0"/>
                <w:sz w:val="24"/>
                <w:szCs w:val="24"/>
              </w:rPr>
              <w:t>≥70L，拉杆保温箱，隔热材料：PU(聚氨酯)，耐冲耐撞安全无异味</w:t>
            </w:r>
          </w:p>
        </w:tc>
        <w:tc>
          <w:tcPr>
            <w:tcW w:w="380" w:type="pct"/>
            <w:shd w:val="clear" w:color="auto" w:fill="auto"/>
            <w:noWrap/>
          </w:tcPr>
          <w:p w14:paraId="754EB53D">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376" w:type="pct"/>
            <w:shd w:val="clear" w:color="auto" w:fill="auto"/>
            <w:noWrap/>
          </w:tcPr>
          <w:p w14:paraId="0E25A74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14:paraId="7EB8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AF0CE8B">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005" w:type="pct"/>
            <w:shd w:val="clear" w:color="auto" w:fill="auto"/>
            <w:noWrap/>
          </w:tcPr>
          <w:p w14:paraId="54768283">
            <w:pPr>
              <w:widowControl/>
              <w:jc w:val="center"/>
              <w:rPr>
                <w:rFonts w:ascii="宋体" w:hAnsi="宋体" w:eastAsia="宋体" w:cs="宋体"/>
                <w:kern w:val="0"/>
                <w:sz w:val="24"/>
                <w:szCs w:val="24"/>
              </w:rPr>
            </w:pPr>
            <w:r>
              <w:rPr>
                <w:rFonts w:hint="eastAsia" w:ascii="宋体" w:hAnsi="宋体" w:eastAsia="宋体" w:cs="宋体"/>
                <w:kern w:val="0"/>
                <w:sz w:val="24"/>
                <w:szCs w:val="24"/>
              </w:rPr>
              <w:t>电动单功能跑步机</w:t>
            </w:r>
          </w:p>
        </w:tc>
        <w:tc>
          <w:tcPr>
            <w:tcW w:w="2835" w:type="pct"/>
            <w:shd w:val="clear" w:color="auto" w:fill="auto"/>
          </w:tcPr>
          <w:p w14:paraId="001437BC">
            <w:pPr>
              <w:widowControl/>
              <w:rPr>
                <w:rFonts w:ascii="宋体" w:hAnsi="宋体" w:eastAsia="宋体" w:cs="宋体"/>
                <w:kern w:val="0"/>
                <w:sz w:val="24"/>
                <w:szCs w:val="24"/>
              </w:rPr>
            </w:pPr>
            <w:r>
              <w:rPr>
                <w:rFonts w:hint="eastAsia" w:ascii="宋体" w:hAnsi="宋体" w:eastAsia="宋体" w:cs="宋体"/>
                <w:kern w:val="0"/>
                <w:sz w:val="24"/>
                <w:szCs w:val="24"/>
              </w:rPr>
              <w:t xml:space="preserve">显示（双层跑步机+ LED数字显示），时间：00：00-99：59分钟，程式模式：P1-P12，距离：0.00-99.99km，心律：40-199次/分钟，速度：1.0-20KM / H，卡路里：0-100％，电机马力:4.5HP，AC交流马达，电机功率：≥3.5HP，行驶面积≥1425*520mm，跑带厚度≥1.8mm，跑板厚度≥20mm，最大用户重量：180kg，升降功能：电动升降1-15段，外接MP3，USB，SD接口，内置高保真音频，气瓶补贴折叠，双层跑步台。                </w:t>
            </w:r>
            <w:r>
              <w:rPr>
                <w:rFonts w:hint="eastAsia" w:ascii="宋体" w:hAnsi="宋体" w:eastAsia="宋体" w:cs="宋体"/>
                <w:kern w:val="0"/>
                <w:sz w:val="24"/>
                <w:szCs w:val="24"/>
              </w:rPr>
              <w:br w:type="textWrapping"/>
            </w:r>
            <w:r>
              <w:rPr>
                <w:rFonts w:hint="eastAsia" w:ascii="宋体" w:hAnsi="宋体" w:eastAsia="宋体" w:cs="宋体"/>
                <w:b w:val="0"/>
                <w:bCs w:val="0"/>
                <w:kern w:val="0"/>
                <w:sz w:val="24"/>
                <w:szCs w:val="24"/>
              </w:rPr>
              <w:t>★</w:t>
            </w:r>
            <w:r>
              <w:rPr>
                <w:rFonts w:hint="eastAsia" w:ascii="宋体" w:hAnsi="宋体" w:eastAsia="宋体" w:cs="宋体"/>
                <w:b/>
                <w:bCs/>
                <w:kern w:val="0"/>
                <w:sz w:val="24"/>
                <w:szCs w:val="24"/>
              </w:rPr>
              <w:t>采用跑步机塑料扶手含铅量≤2mg/kg,提供具有CNAS或CMA标识的权威机构出具的第三方检测报告复印件加盖公章</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rPr>
              <w:br w:type="textWrapping"/>
            </w:r>
            <w:r>
              <w:rPr>
                <w:rFonts w:hint="eastAsia" w:ascii="宋体" w:hAnsi="宋体" w:eastAsia="宋体" w:cs="宋体"/>
                <w:b w:val="0"/>
                <w:bCs w:val="0"/>
                <w:kern w:val="0"/>
                <w:sz w:val="24"/>
                <w:szCs w:val="24"/>
              </w:rPr>
              <w:t>请提供执行标准 GB17498.6</w:t>
            </w:r>
            <w:bookmarkStart w:id="215" w:name="_GoBack"/>
            <w:bookmarkEnd w:id="215"/>
            <w:r>
              <w:rPr>
                <w:rFonts w:hint="eastAsia" w:ascii="宋体" w:hAnsi="宋体" w:eastAsia="宋体" w:cs="宋体"/>
                <w:b w:val="0"/>
                <w:bCs w:val="0"/>
                <w:kern w:val="0"/>
                <w:sz w:val="24"/>
                <w:szCs w:val="24"/>
              </w:rPr>
              <w:t>-2008国家检测报告复印件加盖公章。</w:t>
            </w:r>
          </w:p>
        </w:tc>
        <w:tc>
          <w:tcPr>
            <w:tcW w:w="380" w:type="pct"/>
            <w:shd w:val="clear" w:color="auto" w:fill="auto"/>
            <w:noWrap/>
          </w:tcPr>
          <w:p w14:paraId="22DBE98B">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65457C5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781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61562EF6">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005" w:type="pct"/>
            <w:shd w:val="clear" w:color="auto" w:fill="auto"/>
            <w:noWrap/>
          </w:tcPr>
          <w:p w14:paraId="1E6A7DC4">
            <w:pPr>
              <w:widowControl/>
              <w:jc w:val="center"/>
              <w:rPr>
                <w:rFonts w:ascii="宋体" w:hAnsi="宋体" w:eastAsia="宋体" w:cs="宋体"/>
                <w:kern w:val="0"/>
                <w:sz w:val="24"/>
                <w:szCs w:val="24"/>
              </w:rPr>
            </w:pPr>
            <w:r>
              <w:rPr>
                <w:rFonts w:hint="eastAsia" w:ascii="宋体" w:hAnsi="宋体" w:eastAsia="宋体" w:cs="宋体"/>
                <w:kern w:val="0"/>
                <w:sz w:val="24"/>
                <w:szCs w:val="24"/>
              </w:rPr>
              <w:t>无阻力跑步机</w:t>
            </w:r>
          </w:p>
        </w:tc>
        <w:tc>
          <w:tcPr>
            <w:tcW w:w="2835" w:type="pct"/>
            <w:shd w:val="clear" w:color="auto" w:fill="auto"/>
          </w:tcPr>
          <w:p w14:paraId="19F54719">
            <w:pPr>
              <w:widowControl/>
              <w:rPr>
                <w:rFonts w:ascii="宋体" w:hAnsi="宋体" w:eastAsia="宋体" w:cs="宋体"/>
                <w:kern w:val="0"/>
                <w:sz w:val="24"/>
                <w:szCs w:val="24"/>
              </w:rPr>
            </w:pPr>
            <w:r>
              <w:rPr>
                <w:rFonts w:hint="eastAsia" w:ascii="宋体" w:hAnsi="宋体" w:eastAsia="宋体" w:cs="宋体"/>
                <w:kern w:val="0"/>
                <w:sz w:val="24"/>
                <w:szCs w:val="24"/>
              </w:rPr>
              <w:t>1.外观：跑带形状弧面化，全脚掌着地，冲击力首先作用于肌肉，后传导至膝盖，这样把膝盖的损伤降到了最低；2.跑带：高强度塑胶跑带，弹性更好，降低关节冲击，更加安全可靠；3.立柱采用170*66*3mm的D型优质管材，美观牢固；4.显示面板：5寸按键控制面板，可显示时间，速度，距离，卡路里；5.跑步面积≥1500mm*440mm，6.安全限速：0-20km/h；7.产品尺寸≥1780*845*1520mm；9.极限承重≥200KG</w:t>
            </w:r>
          </w:p>
        </w:tc>
        <w:tc>
          <w:tcPr>
            <w:tcW w:w="380" w:type="pct"/>
            <w:shd w:val="clear" w:color="auto" w:fill="auto"/>
            <w:noWrap/>
          </w:tcPr>
          <w:p w14:paraId="7B9E782B">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49DF347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7025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2969F6C1">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005" w:type="pct"/>
            <w:shd w:val="clear" w:color="auto" w:fill="auto"/>
            <w:noWrap/>
          </w:tcPr>
          <w:p w14:paraId="3CC79A70">
            <w:pPr>
              <w:widowControl/>
              <w:jc w:val="center"/>
              <w:rPr>
                <w:rFonts w:ascii="宋体" w:hAnsi="宋体" w:eastAsia="宋体" w:cs="宋体"/>
                <w:kern w:val="0"/>
                <w:sz w:val="24"/>
                <w:szCs w:val="24"/>
              </w:rPr>
            </w:pPr>
            <w:r>
              <w:rPr>
                <w:rFonts w:hint="eastAsia" w:ascii="宋体" w:hAnsi="宋体" w:eastAsia="宋体" w:cs="宋体"/>
                <w:kern w:val="0"/>
                <w:sz w:val="24"/>
                <w:szCs w:val="24"/>
              </w:rPr>
              <w:t>小飞鸟训练器</w:t>
            </w:r>
          </w:p>
        </w:tc>
        <w:tc>
          <w:tcPr>
            <w:tcW w:w="2835" w:type="pct"/>
            <w:shd w:val="clear" w:color="auto" w:fill="auto"/>
          </w:tcPr>
          <w:p w14:paraId="6B500CB3">
            <w:pPr>
              <w:widowControl/>
              <w:rPr>
                <w:rFonts w:ascii="宋体" w:hAnsi="宋体" w:eastAsia="宋体" w:cs="宋体"/>
                <w:kern w:val="0"/>
                <w:sz w:val="24"/>
                <w:szCs w:val="24"/>
              </w:rPr>
            </w:pPr>
            <w:r>
              <w:rPr>
                <w:rFonts w:hint="eastAsia" w:ascii="宋体" w:hAnsi="宋体" w:eastAsia="宋体" w:cs="宋体"/>
                <w:kern w:val="0"/>
                <w:sz w:val="24"/>
                <w:szCs w:val="24"/>
              </w:rPr>
              <w:t>规格≥2000*880*2300mm ，1.主管材：采用≥100*50*2.5mm矩形管，完全满足器材的使用安全强度；2.实心铝合金轴承：旋转部分均采用高精度铝合金轴承，使用寿命长达10年，3.管材烤漆：采用表面的喷涂材料为环保粉末，对人体无害，持久常新不脱落；4.滑轮与钢索：采用优质ABS滑轮，永不变形，8股合成强力钢索，通过10000次拉力试验；5.可锻炼肌肉部位：全功能性训练机可以满足任何部位肌肉锻炼。</w:t>
            </w:r>
          </w:p>
        </w:tc>
        <w:tc>
          <w:tcPr>
            <w:tcW w:w="380" w:type="pct"/>
            <w:shd w:val="clear" w:color="auto" w:fill="auto"/>
            <w:noWrap/>
          </w:tcPr>
          <w:p w14:paraId="27354595">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79390EF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744E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61F2DCA">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005" w:type="pct"/>
            <w:shd w:val="clear" w:color="auto" w:fill="auto"/>
            <w:noWrap/>
          </w:tcPr>
          <w:p w14:paraId="153FED0C">
            <w:pPr>
              <w:widowControl/>
              <w:jc w:val="center"/>
              <w:rPr>
                <w:rFonts w:ascii="宋体" w:hAnsi="宋体" w:eastAsia="宋体" w:cs="宋体"/>
                <w:kern w:val="0"/>
                <w:sz w:val="24"/>
                <w:szCs w:val="24"/>
              </w:rPr>
            </w:pPr>
            <w:r>
              <w:rPr>
                <w:rFonts w:hint="eastAsia" w:ascii="宋体" w:hAnsi="宋体" w:eastAsia="宋体" w:cs="宋体"/>
                <w:kern w:val="0"/>
                <w:sz w:val="24"/>
                <w:szCs w:val="24"/>
              </w:rPr>
              <w:t>多功能史密斯机</w:t>
            </w:r>
          </w:p>
        </w:tc>
        <w:tc>
          <w:tcPr>
            <w:tcW w:w="2835" w:type="pct"/>
            <w:shd w:val="clear" w:color="auto" w:fill="auto"/>
          </w:tcPr>
          <w:p w14:paraId="01218703">
            <w:pPr>
              <w:widowControl/>
              <w:rPr>
                <w:rFonts w:ascii="宋体" w:hAnsi="宋体" w:eastAsia="宋体" w:cs="宋体"/>
                <w:kern w:val="0"/>
                <w:sz w:val="24"/>
                <w:szCs w:val="24"/>
              </w:rPr>
            </w:pPr>
            <w:r>
              <w:rPr>
                <w:rFonts w:hint="eastAsia" w:ascii="宋体" w:hAnsi="宋体" w:eastAsia="宋体" w:cs="宋体"/>
                <w:kern w:val="0"/>
                <w:sz w:val="24"/>
                <w:szCs w:val="24"/>
              </w:rPr>
              <w:t xml:space="preserve">规格≥2300*1400*2500mm，1.主管材：采用≥100*50*2.5mm矩形管，完全满足器材的使用安全强度；2.铁件表面处理：采用抛丸技术去油、除锈及表面修整；3.漆面：采用表面的喷涂材料为环保粉末，对人体无害，持久常新不脱落；4.滑轮与钢索：采用优质ABS滑轮，永不变形，8股合成强力钢索，通过10000次拉力试验；5.整机设计符合人体工程学。              </w:t>
            </w:r>
          </w:p>
        </w:tc>
        <w:tc>
          <w:tcPr>
            <w:tcW w:w="380" w:type="pct"/>
            <w:shd w:val="clear" w:color="auto" w:fill="auto"/>
            <w:noWrap/>
          </w:tcPr>
          <w:p w14:paraId="0380FC09">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59D95AD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3E20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FED3CDE">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005" w:type="pct"/>
            <w:shd w:val="clear" w:color="auto" w:fill="auto"/>
            <w:noWrap/>
          </w:tcPr>
          <w:p w14:paraId="3B50503E">
            <w:pPr>
              <w:widowControl/>
              <w:jc w:val="center"/>
              <w:rPr>
                <w:rFonts w:ascii="宋体" w:hAnsi="宋体" w:eastAsia="宋体" w:cs="宋体"/>
                <w:kern w:val="0"/>
                <w:sz w:val="24"/>
                <w:szCs w:val="24"/>
              </w:rPr>
            </w:pPr>
            <w:r>
              <w:rPr>
                <w:rFonts w:hint="eastAsia" w:ascii="宋体" w:hAnsi="宋体" w:eastAsia="宋体" w:cs="宋体"/>
                <w:kern w:val="0"/>
                <w:sz w:val="24"/>
                <w:szCs w:val="24"/>
              </w:rPr>
              <w:t>45度倒蹬训练器</w:t>
            </w:r>
          </w:p>
        </w:tc>
        <w:tc>
          <w:tcPr>
            <w:tcW w:w="2835" w:type="pct"/>
            <w:shd w:val="clear" w:color="auto" w:fill="auto"/>
          </w:tcPr>
          <w:p w14:paraId="681F817E">
            <w:pPr>
              <w:widowControl/>
              <w:rPr>
                <w:rFonts w:ascii="宋体" w:hAnsi="宋体" w:eastAsia="宋体" w:cs="宋体"/>
                <w:kern w:val="0"/>
                <w:sz w:val="24"/>
                <w:szCs w:val="24"/>
              </w:rPr>
            </w:pPr>
            <w:r>
              <w:rPr>
                <w:rFonts w:hint="eastAsia" w:ascii="宋体" w:hAnsi="宋体" w:eastAsia="宋体" w:cs="宋体"/>
                <w:kern w:val="0"/>
                <w:sz w:val="24"/>
                <w:szCs w:val="24"/>
              </w:rPr>
              <w:t>规格≥2400*1600*1520mm，1.管材烤漆：采用表面的喷涂材料为环保粉末，对人体无害，持久常新不脱落；2.坐垫、靠垫使用太空记忆棉为材料具有自动塑形、可吸收冲击力，透气，吸湿防潮、防霉保护身体健康；3.可锻炼肌肉部位：腿部肌肉</w:t>
            </w:r>
          </w:p>
        </w:tc>
        <w:tc>
          <w:tcPr>
            <w:tcW w:w="380" w:type="pct"/>
            <w:shd w:val="clear" w:color="auto" w:fill="auto"/>
            <w:noWrap/>
          </w:tcPr>
          <w:p w14:paraId="3412FD16">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5A67478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42E3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3AF6559B">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005" w:type="pct"/>
            <w:shd w:val="clear" w:color="auto" w:fill="auto"/>
            <w:noWrap/>
          </w:tcPr>
          <w:p w14:paraId="7155CE7E">
            <w:pPr>
              <w:widowControl/>
              <w:jc w:val="center"/>
              <w:rPr>
                <w:rFonts w:ascii="宋体" w:hAnsi="宋体" w:eastAsia="宋体" w:cs="宋体"/>
                <w:kern w:val="0"/>
                <w:sz w:val="24"/>
                <w:szCs w:val="24"/>
              </w:rPr>
            </w:pPr>
            <w:r>
              <w:rPr>
                <w:rFonts w:hint="eastAsia" w:ascii="宋体" w:hAnsi="宋体" w:eastAsia="宋体" w:cs="宋体"/>
                <w:kern w:val="0"/>
                <w:sz w:val="24"/>
                <w:szCs w:val="24"/>
              </w:rPr>
              <w:t>哈克深蹲</w:t>
            </w:r>
          </w:p>
        </w:tc>
        <w:tc>
          <w:tcPr>
            <w:tcW w:w="2835" w:type="pct"/>
            <w:shd w:val="clear" w:color="auto" w:fill="auto"/>
          </w:tcPr>
          <w:p w14:paraId="4DB5F7FB">
            <w:pPr>
              <w:widowControl/>
              <w:rPr>
                <w:rFonts w:ascii="宋体" w:hAnsi="宋体" w:eastAsia="宋体" w:cs="宋体"/>
                <w:kern w:val="0"/>
                <w:sz w:val="24"/>
                <w:szCs w:val="24"/>
              </w:rPr>
            </w:pPr>
            <w:r>
              <w:rPr>
                <w:rFonts w:hint="eastAsia" w:ascii="宋体" w:hAnsi="宋体" w:eastAsia="宋体" w:cs="宋体"/>
                <w:kern w:val="0"/>
                <w:sz w:val="24"/>
                <w:szCs w:val="24"/>
              </w:rPr>
              <w:t xml:space="preserve">规格≥2310×1070×2040mm，1.管材烤漆：采用表面的喷涂材料为环保粉末，对人体无害，持久常新不脱落；2.坐垫、靠垫使用太空记忆棉为材料具有自动塑形、可吸收冲击力，透气，吸湿防潮、防霉保护身体健康；3.可锻炼肌肉部位：股四头肌；4.主管材：采用100*50*2.5mm矩形管，完全满足器材的使用安全强度；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w:t>
            </w:r>
            <w:r>
              <w:rPr>
                <w:rFonts w:hint="eastAsia" w:ascii="宋体" w:hAnsi="宋体" w:eastAsia="宋体" w:cs="宋体"/>
                <w:b/>
                <w:bCs/>
                <w:kern w:val="0"/>
                <w:sz w:val="24"/>
                <w:szCs w:val="24"/>
                <w:highlight w:val="none"/>
              </w:rPr>
              <w:t>采用钢材</w:t>
            </w:r>
            <w:r>
              <w:rPr>
                <w:rFonts w:hint="eastAsia" w:ascii="宋体" w:hAnsi="宋体" w:eastAsia="宋体" w:cs="宋体"/>
                <w:b/>
                <w:bCs/>
                <w:kern w:val="0"/>
                <w:sz w:val="24"/>
                <w:szCs w:val="24"/>
              </w:rPr>
              <w:t>硬度平均值达125，提供具有CNAS或CMA标识的权威机构出具的第三方检测报告复印件加盖公章。</w:t>
            </w:r>
          </w:p>
        </w:tc>
        <w:tc>
          <w:tcPr>
            <w:tcW w:w="380" w:type="pct"/>
            <w:shd w:val="clear" w:color="auto" w:fill="auto"/>
            <w:noWrap/>
          </w:tcPr>
          <w:p w14:paraId="2A5619CF">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5BADBF37">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665D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6854454">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005" w:type="pct"/>
            <w:shd w:val="clear" w:color="auto" w:fill="auto"/>
            <w:noWrap/>
          </w:tcPr>
          <w:p w14:paraId="15D2E562">
            <w:pPr>
              <w:widowControl/>
              <w:jc w:val="center"/>
              <w:rPr>
                <w:rFonts w:ascii="宋体" w:hAnsi="宋体" w:eastAsia="宋体" w:cs="宋体"/>
                <w:kern w:val="0"/>
                <w:sz w:val="24"/>
                <w:szCs w:val="24"/>
              </w:rPr>
            </w:pPr>
            <w:r>
              <w:rPr>
                <w:rFonts w:hint="eastAsia" w:ascii="宋体" w:hAnsi="宋体" w:eastAsia="宋体" w:cs="宋体"/>
                <w:kern w:val="0"/>
                <w:sz w:val="24"/>
                <w:szCs w:val="24"/>
              </w:rPr>
              <w:t>伸腿曲腿二合一训练器</w:t>
            </w:r>
          </w:p>
        </w:tc>
        <w:tc>
          <w:tcPr>
            <w:tcW w:w="2835" w:type="pct"/>
            <w:shd w:val="clear" w:color="auto" w:fill="auto"/>
          </w:tcPr>
          <w:p w14:paraId="24CE5DFA">
            <w:pPr>
              <w:widowControl/>
              <w:rPr>
                <w:rFonts w:ascii="宋体" w:hAnsi="宋体" w:eastAsia="宋体" w:cs="宋体"/>
                <w:kern w:val="0"/>
                <w:sz w:val="24"/>
                <w:szCs w:val="24"/>
              </w:rPr>
            </w:pPr>
            <w:r>
              <w:rPr>
                <w:rFonts w:hint="eastAsia" w:ascii="宋体" w:hAnsi="宋体" w:eastAsia="宋体" w:cs="宋体"/>
                <w:kern w:val="0"/>
                <w:sz w:val="24"/>
                <w:szCs w:val="24"/>
              </w:rPr>
              <w:t>规格≥1520*990*1350mm，1.主管材：采用100*50*2.5mm矩形管，完全满足器材的使用安全强度；2.实心铝合金轴承：旋转部分均采用高精度铝合金轴承，使用寿命长达10年；3.管材烤漆：采用表面的喷涂材料为环保粉末，对人体无害，持久常新不脱落；4.坐垫、靠垫使用太空记忆棉为材料具有自动塑形、可吸收冲击力，透气，吸湿防潮、防霉保护身体健康；5.滑轮与钢索：采用优质ABS滑轮，永不变形，8股合成强力钢索，通过10000次拉力试验；6.可锻炼肌肉部位：大腿股四头肌、腿部肌肉。</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请提供执行标准执行</w:t>
            </w:r>
            <w:r>
              <w:rPr>
                <w:rFonts w:hint="eastAsia" w:ascii="宋体" w:hAnsi="宋体" w:eastAsia="宋体" w:cs="宋体"/>
                <w:b/>
                <w:bCs/>
                <w:kern w:val="0"/>
                <w:sz w:val="24"/>
                <w:szCs w:val="24"/>
                <w:highlight w:val="none"/>
              </w:rPr>
              <w:t>标准GB17498.1-2008国家</w:t>
            </w:r>
            <w:r>
              <w:rPr>
                <w:rFonts w:hint="eastAsia" w:ascii="宋体" w:hAnsi="宋体" w:eastAsia="宋体" w:cs="宋体"/>
                <w:b/>
                <w:bCs/>
                <w:kern w:val="0"/>
                <w:sz w:val="24"/>
                <w:szCs w:val="24"/>
              </w:rPr>
              <w:t>检测报告复印件加盖公章。</w:t>
            </w:r>
          </w:p>
        </w:tc>
        <w:tc>
          <w:tcPr>
            <w:tcW w:w="380" w:type="pct"/>
            <w:shd w:val="clear" w:color="auto" w:fill="auto"/>
            <w:noWrap/>
          </w:tcPr>
          <w:p w14:paraId="5ED93A49">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0D29DD1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313E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6C95B3E4">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005" w:type="pct"/>
            <w:shd w:val="clear" w:color="auto" w:fill="auto"/>
            <w:noWrap/>
          </w:tcPr>
          <w:p w14:paraId="192219C5">
            <w:pPr>
              <w:widowControl/>
              <w:jc w:val="center"/>
              <w:rPr>
                <w:rFonts w:ascii="宋体" w:hAnsi="宋体" w:eastAsia="宋体" w:cs="宋体"/>
                <w:kern w:val="0"/>
                <w:sz w:val="24"/>
                <w:szCs w:val="24"/>
              </w:rPr>
            </w:pPr>
            <w:r>
              <w:rPr>
                <w:rFonts w:hint="eastAsia" w:ascii="宋体" w:hAnsi="宋体" w:eastAsia="宋体" w:cs="宋体"/>
                <w:kern w:val="0"/>
                <w:sz w:val="24"/>
                <w:szCs w:val="24"/>
              </w:rPr>
              <w:t>坐式高拉训练器</w:t>
            </w:r>
          </w:p>
        </w:tc>
        <w:tc>
          <w:tcPr>
            <w:tcW w:w="2835" w:type="pct"/>
            <w:shd w:val="clear" w:color="auto" w:fill="auto"/>
          </w:tcPr>
          <w:p w14:paraId="02B80E2A">
            <w:pPr>
              <w:widowControl/>
              <w:rPr>
                <w:rFonts w:ascii="宋体" w:hAnsi="宋体" w:eastAsia="宋体" w:cs="宋体"/>
                <w:kern w:val="0"/>
                <w:sz w:val="24"/>
                <w:szCs w:val="24"/>
              </w:rPr>
            </w:pPr>
            <w:r>
              <w:rPr>
                <w:rFonts w:hint="eastAsia" w:ascii="宋体" w:hAnsi="宋体" w:eastAsia="宋体" w:cs="宋体"/>
                <w:kern w:val="0"/>
                <w:sz w:val="24"/>
                <w:szCs w:val="24"/>
              </w:rPr>
              <w:t>规格≥1850×1090×2340mm，1.主管材：采用≥100*50*2.5mm矩形管，完全满足器材的使用安全强度；2.实心铝合金轴承：旋转部分均采用高精度铝合金轴承，使用寿命长达10年，3.管材烤漆：采用表面的喷涂材料为环保粉末，对人体无害，持久常新不脱落；4.坐垫、靠垫使用太空记忆棉为材料具有自动塑形、可吸收冲击力，透气，吸湿防潮、防霉保护身体健康；5.滑轮与钢索：采用优质ABS滑轮，永不变形，8股合成强力钢索，通过10000次拉力试验；6.可锻炼肌肉部位：背阔肌</w:t>
            </w:r>
          </w:p>
        </w:tc>
        <w:tc>
          <w:tcPr>
            <w:tcW w:w="380" w:type="pct"/>
            <w:shd w:val="clear" w:color="auto" w:fill="auto"/>
            <w:noWrap/>
          </w:tcPr>
          <w:p w14:paraId="7931C5B9">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483FF17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0D15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0B62694D">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005" w:type="pct"/>
            <w:shd w:val="clear" w:color="auto" w:fill="auto"/>
            <w:noWrap/>
          </w:tcPr>
          <w:p w14:paraId="161386E6">
            <w:pPr>
              <w:widowControl/>
              <w:jc w:val="center"/>
              <w:rPr>
                <w:rFonts w:ascii="宋体" w:hAnsi="宋体" w:eastAsia="宋体" w:cs="宋体"/>
                <w:kern w:val="0"/>
                <w:sz w:val="24"/>
                <w:szCs w:val="24"/>
              </w:rPr>
            </w:pPr>
            <w:r>
              <w:rPr>
                <w:rFonts w:hint="eastAsia" w:ascii="宋体" w:hAnsi="宋体" w:eastAsia="宋体" w:cs="宋体"/>
                <w:kern w:val="0"/>
                <w:sz w:val="24"/>
                <w:szCs w:val="24"/>
              </w:rPr>
              <w:t>坐式划船拉力训练器</w:t>
            </w:r>
          </w:p>
        </w:tc>
        <w:tc>
          <w:tcPr>
            <w:tcW w:w="2835" w:type="pct"/>
            <w:shd w:val="clear" w:color="auto" w:fill="auto"/>
          </w:tcPr>
          <w:p w14:paraId="28120371">
            <w:pPr>
              <w:widowControl/>
              <w:rPr>
                <w:rFonts w:ascii="宋体" w:hAnsi="宋体" w:eastAsia="宋体" w:cs="宋体"/>
                <w:kern w:val="0"/>
                <w:sz w:val="24"/>
                <w:szCs w:val="24"/>
              </w:rPr>
            </w:pPr>
            <w:r>
              <w:rPr>
                <w:rFonts w:hint="eastAsia" w:ascii="宋体" w:hAnsi="宋体" w:eastAsia="宋体" w:cs="宋体"/>
                <w:kern w:val="0"/>
                <w:sz w:val="24"/>
                <w:szCs w:val="24"/>
              </w:rPr>
              <w:t>规格≥1550*1320*1660mm，1.主管材：采用≥100*50*2.5mm矩形管，完全满足器材的使用安全强度；2.实心铝合金轴承：旋转部分均采用高精度铝合金轴承，使用寿命长达10年，3.管材烤漆：采用表面的喷涂材料为环保粉末，对人体无害，持久常新不脱落；4.坐垫、靠垫使用太空记忆棉为材料具有自动塑形、可吸收冲击力，透气，吸湿防潮、防霉保护身体健康；5.滑轮与钢索：采用优质ABS滑轮，永不变形，8股合成强力钢索，通过10000次拉力试验；6.可锻炼肌肉部位：背部和上臂肌肉</w:t>
            </w:r>
          </w:p>
        </w:tc>
        <w:tc>
          <w:tcPr>
            <w:tcW w:w="380" w:type="pct"/>
            <w:shd w:val="clear" w:color="auto" w:fill="auto"/>
            <w:noWrap/>
          </w:tcPr>
          <w:p w14:paraId="322902D8">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2FA5EC3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0D30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6299D07C">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005" w:type="pct"/>
            <w:shd w:val="clear" w:color="auto" w:fill="auto"/>
            <w:noWrap/>
          </w:tcPr>
          <w:p w14:paraId="12098B2A">
            <w:pPr>
              <w:widowControl/>
              <w:jc w:val="center"/>
              <w:rPr>
                <w:rFonts w:ascii="宋体" w:hAnsi="宋体" w:eastAsia="宋体" w:cs="宋体"/>
                <w:kern w:val="0"/>
                <w:sz w:val="24"/>
                <w:szCs w:val="24"/>
              </w:rPr>
            </w:pPr>
            <w:r>
              <w:rPr>
                <w:rFonts w:hint="eastAsia" w:ascii="宋体" w:hAnsi="宋体" w:eastAsia="宋体" w:cs="宋体"/>
                <w:kern w:val="0"/>
                <w:sz w:val="24"/>
                <w:szCs w:val="24"/>
              </w:rPr>
              <w:t>坐姿推胸训练器</w:t>
            </w:r>
          </w:p>
        </w:tc>
        <w:tc>
          <w:tcPr>
            <w:tcW w:w="2835" w:type="pct"/>
            <w:shd w:val="clear" w:color="auto" w:fill="auto"/>
          </w:tcPr>
          <w:p w14:paraId="4BCF78AA">
            <w:pPr>
              <w:widowControl/>
              <w:rPr>
                <w:rFonts w:ascii="宋体" w:hAnsi="宋体" w:eastAsia="宋体" w:cs="宋体"/>
                <w:kern w:val="0"/>
                <w:sz w:val="24"/>
                <w:szCs w:val="24"/>
              </w:rPr>
            </w:pPr>
            <w:r>
              <w:rPr>
                <w:rFonts w:hint="eastAsia" w:ascii="宋体" w:hAnsi="宋体" w:eastAsia="宋体" w:cs="宋体"/>
                <w:kern w:val="0"/>
                <w:sz w:val="24"/>
                <w:szCs w:val="24"/>
              </w:rPr>
              <w:t>规格≥1320*1300*1660mm，1.主管材：采用≥100*50*2.5mm矩形管，完全满足器材的使用安全强度；2.实心铝合金轴承：旋转部分均采用高精度铝合金轴承，使用寿命长达10年，3.管材烤漆：采用表面的喷涂材料为环保粉末，对人体无害，持久常新不脱落；4.坐垫、靠垫使用太空记忆棉为材料具有自动塑形、可吸收冲击力，透气，吸湿防潮、防霉保护身体健康；5.滑轮与钢索：采用优质ABS滑轮，永不变形，8股合成强力钢索，通过10000次拉力试验；6.可锻炼肌肉部位：胸大肌。</w:t>
            </w:r>
          </w:p>
        </w:tc>
        <w:tc>
          <w:tcPr>
            <w:tcW w:w="380" w:type="pct"/>
            <w:shd w:val="clear" w:color="auto" w:fill="auto"/>
            <w:noWrap/>
          </w:tcPr>
          <w:p w14:paraId="0E12F461">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309CE74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2A75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DBB7C82">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005" w:type="pct"/>
            <w:shd w:val="clear" w:color="auto" w:fill="auto"/>
            <w:noWrap/>
          </w:tcPr>
          <w:p w14:paraId="701B2D0D">
            <w:pPr>
              <w:widowControl/>
              <w:jc w:val="center"/>
              <w:rPr>
                <w:rFonts w:ascii="宋体" w:hAnsi="宋体" w:eastAsia="宋体" w:cs="宋体"/>
                <w:kern w:val="0"/>
                <w:sz w:val="24"/>
                <w:szCs w:val="24"/>
              </w:rPr>
            </w:pPr>
            <w:r>
              <w:rPr>
                <w:rFonts w:hint="eastAsia" w:ascii="宋体" w:hAnsi="宋体" w:eastAsia="宋体" w:cs="宋体"/>
                <w:kern w:val="0"/>
                <w:sz w:val="24"/>
                <w:szCs w:val="24"/>
              </w:rPr>
              <w:t>反飞鸟训练器</w:t>
            </w:r>
          </w:p>
        </w:tc>
        <w:tc>
          <w:tcPr>
            <w:tcW w:w="2835" w:type="pct"/>
            <w:shd w:val="clear" w:color="auto" w:fill="auto"/>
          </w:tcPr>
          <w:p w14:paraId="53F3EC7B">
            <w:pPr>
              <w:widowControl/>
              <w:rPr>
                <w:rFonts w:ascii="宋体" w:hAnsi="宋体" w:eastAsia="宋体" w:cs="宋体"/>
                <w:kern w:val="0"/>
                <w:sz w:val="24"/>
                <w:szCs w:val="24"/>
              </w:rPr>
            </w:pPr>
            <w:r>
              <w:rPr>
                <w:rFonts w:hint="eastAsia" w:ascii="宋体" w:hAnsi="宋体" w:eastAsia="宋体" w:cs="宋体"/>
                <w:kern w:val="0"/>
                <w:sz w:val="24"/>
                <w:szCs w:val="24"/>
              </w:rPr>
              <w:t>规格≥1240*940*2110mm，1.主管材：采用采用≥100*50*2.5mmm矩形管，完全满足器材的使用安全强度；2.实心铝合金轴承：旋转部分均采用高精度铝合金轴承，使用寿命长达10年，3.管材烤漆：采用表面的喷涂材料为环保粉末，对人体无害，持久常新不脱落；4.坐垫、靠垫使用太空记忆棉为材料具有自动塑形、可吸收冲击力，透气，吸湿防潮、防霉保护身体健康；5.滑轮与钢索：采用优质ABS滑轮，永不变形，8股合成强力钢索，通过10000次拉力试验；6.可锻炼肌肉部位：胸大肌、三角肌。</w:t>
            </w:r>
            <w:r>
              <w:rPr>
                <w:rFonts w:hint="eastAsia" w:ascii="宋体" w:hAnsi="宋体" w:eastAsia="宋体" w:cs="宋体"/>
                <w:kern w:val="0"/>
                <w:sz w:val="24"/>
                <w:szCs w:val="24"/>
              </w:rPr>
              <w:br w:type="textWrapping"/>
            </w:r>
            <w:r>
              <w:rPr>
                <w:rFonts w:hint="eastAsia" w:ascii="宋体" w:hAnsi="宋体" w:eastAsia="宋体" w:cs="宋体"/>
                <w:kern w:val="0"/>
                <w:sz w:val="24"/>
                <w:szCs w:val="24"/>
                <w:highlight w:val="none"/>
              </w:rPr>
              <w:t>拉伸试验检测结果≧ 405.7MPa，</w:t>
            </w:r>
            <w:r>
              <w:rPr>
                <w:rFonts w:hint="eastAsia" w:ascii="宋体" w:hAnsi="宋体" w:eastAsia="宋体" w:cs="宋体"/>
                <w:b/>
                <w:bCs/>
                <w:kern w:val="0"/>
                <w:sz w:val="24"/>
                <w:szCs w:val="24"/>
              </w:rPr>
              <w:t>提供第三方检测报告复印件加盖公章。</w:t>
            </w:r>
          </w:p>
        </w:tc>
        <w:tc>
          <w:tcPr>
            <w:tcW w:w="380" w:type="pct"/>
            <w:shd w:val="clear" w:color="auto" w:fill="auto"/>
            <w:noWrap/>
          </w:tcPr>
          <w:p w14:paraId="184A9585">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5A246CB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61BB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03F46217">
            <w:pPr>
              <w:widowControl/>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1005" w:type="pct"/>
            <w:shd w:val="clear" w:color="auto" w:fill="auto"/>
            <w:noWrap/>
          </w:tcPr>
          <w:p w14:paraId="0EFFB8F0">
            <w:pPr>
              <w:widowControl/>
              <w:jc w:val="center"/>
              <w:rPr>
                <w:rFonts w:ascii="宋体" w:hAnsi="宋体" w:eastAsia="宋体" w:cs="宋体"/>
                <w:kern w:val="0"/>
                <w:sz w:val="24"/>
                <w:szCs w:val="24"/>
              </w:rPr>
            </w:pPr>
            <w:r>
              <w:rPr>
                <w:rFonts w:hint="eastAsia" w:ascii="宋体" w:hAnsi="宋体" w:eastAsia="宋体" w:cs="宋体"/>
                <w:kern w:val="0"/>
                <w:sz w:val="24"/>
                <w:szCs w:val="24"/>
              </w:rPr>
              <w:t>肩部推举训练器</w:t>
            </w:r>
          </w:p>
        </w:tc>
        <w:tc>
          <w:tcPr>
            <w:tcW w:w="2835" w:type="pct"/>
            <w:shd w:val="clear" w:color="auto" w:fill="auto"/>
          </w:tcPr>
          <w:p w14:paraId="0C83D2D4">
            <w:pPr>
              <w:widowControl/>
              <w:rPr>
                <w:rFonts w:ascii="宋体" w:hAnsi="宋体" w:eastAsia="宋体" w:cs="宋体"/>
                <w:kern w:val="0"/>
                <w:sz w:val="24"/>
                <w:szCs w:val="24"/>
              </w:rPr>
            </w:pPr>
            <w:r>
              <w:rPr>
                <w:rFonts w:hint="eastAsia" w:ascii="宋体" w:hAnsi="宋体" w:eastAsia="宋体" w:cs="宋体"/>
                <w:kern w:val="0"/>
                <w:sz w:val="24"/>
                <w:szCs w:val="24"/>
              </w:rPr>
              <w:t>规格≥1850*1220*1660mm，1.主管材：采用≥100*50*2.5mm矩形管，完全满足器材的使用安全强度；2.实心铝合金轴承：旋转部分均采用高精度铝合金轴承，使用寿命长达10年，3.管材烤漆：采用表面的喷涂材料为环保粉末，对人体无害，持久常新不脱落；4.坐垫、靠垫使用太空记忆棉为材料具有自动塑形、可吸收冲击力，透气，吸湿防潮、防霉保护身体健康；5.滑轮与钢索：采用优质ABS滑轮，永不变形，8股合成强力钢索，通过10000次拉力试验；6.可锻炼肌肉部位：胸大肌、三角肌、肱三头肌。</w:t>
            </w:r>
          </w:p>
        </w:tc>
        <w:tc>
          <w:tcPr>
            <w:tcW w:w="380" w:type="pct"/>
            <w:shd w:val="clear" w:color="auto" w:fill="auto"/>
            <w:noWrap/>
          </w:tcPr>
          <w:p w14:paraId="338F29E1">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16063FE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7C6E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60988C0B">
            <w:pPr>
              <w:widowControl/>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005" w:type="pct"/>
            <w:shd w:val="clear" w:color="auto" w:fill="auto"/>
            <w:noWrap/>
          </w:tcPr>
          <w:p w14:paraId="29C4AC4B">
            <w:pPr>
              <w:widowControl/>
              <w:jc w:val="center"/>
              <w:rPr>
                <w:rFonts w:ascii="宋体" w:hAnsi="宋体" w:eastAsia="宋体" w:cs="宋体"/>
                <w:kern w:val="0"/>
                <w:sz w:val="24"/>
                <w:szCs w:val="24"/>
              </w:rPr>
            </w:pPr>
            <w:r>
              <w:rPr>
                <w:rFonts w:hint="eastAsia" w:ascii="宋体" w:hAnsi="宋体" w:eastAsia="宋体" w:cs="宋体"/>
                <w:kern w:val="0"/>
                <w:sz w:val="24"/>
                <w:szCs w:val="24"/>
              </w:rPr>
              <w:t>二头三头二合一训练器</w:t>
            </w:r>
          </w:p>
        </w:tc>
        <w:tc>
          <w:tcPr>
            <w:tcW w:w="2835" w:type="pct"/>
            <w:shd w:val="clear" w:color="auto" w:fill="auto"/>
          </w:tcPr>
          <w:p w14:paraId="39797991">
            <w:pPr>
              <w:widowControl/>
              <w:rPr>
                <w:rFonts w:ascii="宋体" w:hAnsi="宋体" w:eastAsia="宋体" w:cs="宋体"/>
                <w:kern w:val="0"/>
                <w:sz w:val="24"/>
                <w:szCs w:val="24"/>
              </w:rPr>
            </w:pPr>
            <w:r>
              <w:rPr>
                <w:rFonts w:hint="eastAsia" w:ascii="宋体" w:hAnsi="宋体" w:eastAsia="宋体" w:cs="宋体"/>
                <w:kern w:val="0"/>
                <w:sz w:val="24"/>
                <w:szCs w:val="24"/>
              </w:rPr>
              <w:t>规格≥1190*890*1350，1.主管材：采用≥100*50*2.5mm矩形管，完全满足器材的使用安全强度；2.实心铝合金轴承：旋转部分均采用高精度铝合金轴承，使用寿命长达10年3.管材烤漆：采用表面的喷涂材料为环保粉末，对人体无害，持久常新不脱落；4.坐垫、靠垫使用太空记忆棉为材料具有自动塑形、可吸收冲击力，透气，吸湿防潮、防霉保护身体健康；5.滑轮与钢索：采用优质ABS滑轮，永不变形，8股合成强力钢索，通过10000次拉力试验；6.可锻炼肌肉部位：二头肌、三头肌。</w:t>
            </w:r>
          </w:p>
        </w:tc>
        <w:tc>
          <w:tcPr>
            <w:tcW w:w="380" w:type="pct"/>
            <w:shd w:val="clear" w:color="auto" w:fill="auto"/>
            <w:noWrap/>
          </w:tcPr>
          <w:p w14:paraId="3CFB2C06">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43C2D26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25ED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38F6CD59">
            <w:pPr>
              <w:widowControl/>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005" w:type="pct"/>
            <w:shd w:val="clear" w:color="auto" w:fill="auto"/>
            <w:noWrap/>
          </w:tcPr>
          <w:p w14:paraId="0E895F59">
            <w:pPr>
              <w:widowControl/>
              <w:jc w:val="center"/>
              <w:rPr>
                <w:rFonts w:ascii="宋体" w:hAnsi="宋体" w:eastAsia="宋体" w:cs="宋体"/>
                <w:kern w:val="0"/>
                <w:sz w:val="24"/>
                <w:szCs w:val="24"/>
              </w:rPr>
            </w:pPr>
            <w:r>
              <w:rPr>
                <w:rFonts w:hint="eastAsia" w:ascii="宋体" w:hAnsi="宋体" w:eastAsia="宋体" w:cs="宋体"/>
                <w:kern w:val="0"/>
                <w:sz w:val="24"/>
                <w:szCs w:val="24"/>
              </w:rPr>
              <w:t>罗马椅</w:t>
            </w:r>
          </w:p>
        </w:tc>
        <w:tc>
          <w:tcPr>
            <w:tcW w:w="2835" w:type="pct"/>
            <w:shd w:val="clear" w:color="auto" w:fill="auto"/>
          </w:tcPr>
          <w:p w14:paraId="7A6747B1">
            <w:pPr>
              <w:widowControl/>
              <w:rPr>
                <w:rFonts w:hint="eastAsia" w:ascii="宋体" w:hAnsi="宋体" w:eastAsia="宋体" w:cs="宋体"/>
                <w:kern w:val="0"/>
                <w:sz w:val="24"/>
                <w:szCs w:val="24"/>
                <w:highlight w:val="none"/>
              </w:rPr>
            </w:pPr>
            <w:r>
              <w:rPr>
                <w:rFonts w:hint="eastAsia" w:ascii="宋体" w:hAnsi="宋体" w:eastAsia="宋体" w:cs="宋体"/>
                <w:kern w:val="0"/>
                <w:sz w:val="24"/>
                <w:szCs w:val="24"/>
              </w:rPr>
              <w:t>规格≥970×760×1450mm，1.管材烤漆：采用表面的喷涂材料为环保粉末，对人体无害，持久常新不脱落；2.坐垫、靠垫使用太空记忆棉为材料具有自动塑形、可吸收冲击力，透气，吸湿防潮、防霉保护身体健康；3.可锻炼肌肉部位：臀部，4.主管材：采用100*50*2.5mm矩形管，完全满足器材的使用安全强</w:t>
            </w:r>
            <w:r>
              <w:rPr>
                <w:rFonts w:hint="eastAsia" w:ascii="宋体" w:hAnsi="宋体" w:eastAsia="宋体" w:cs="宋体"/>
                <w:kern w:val="0"/>
                <w:sz w:val="24"/>
                <w:szCs w:val="24"/>
                <w:highlight w:val="none"/>
              </w:rPr>
              <w:t>度。</w:t>
            </w:r>
          </w:p>
          <w:p w14:paraId="30943FDF">
            <w:pPr>
              <w:widowControl/>
              <w:rPr>
                <w:rFonts w:ascii="宋体" w:hAnsi="宋体" w:eastAsia="宋体" w:cs="宋体"/>
                <w:kern w:val="0"/>
                <w:sz w:val="24"/>
                <w:szCs w:val="24"/>
              </w:rPr>
            </w:pPr>
            <w:r>
              <w:rPr>
                <w:rFonts w:hint="eastAsia" w:ascii="宋体" w:hAnsi="宋体" w:eastAsia="宋体" w:cs="宋体"/>
                <w:kern w:val="0"/>
                <w:sz w:val="24"/>
                <w:szCs w:val="24"/>
                <w:highlight w:val="none"/>
              </w:rPr>
              <w:t>采用坐垫压缩永久变形达到22.76%,</w:t>
            </w:r>
            <w:r>
              <w:rPr>
                <w:rFonts w:hint="eastAsia" w:ascii="宋体" w:hAnsi="宋体" w:eastAsia="宋体" w:cs="宋体"/>
                <w:b/>
                <w:bCs/>
                <w:kern w:val="0"/>
                <w:sz w:val="24"/>
                <w:szCs w:val="24"/>
              </w:rPr>
              <w:t>提供第三方检测报告复印件加盖公章。</w:t>
            </w:r>
          </w:p>
        </w:tc>
        <w:tc>
          <w:tcPr>
            <w:tcW w:w="380" w:type="pct"/>
            <w:shd w:val="clear" w:color="auto" w:fill="auto"/>
            <w:noWrap/>
          </w:tcPr>
          <w:p w14:paraId="107BE200">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5B91874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0424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277AF11">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005" w:type="pct"/>
            <w:shd w:val="clear" w:color="auto" w:fill="auto"/>
            <w:noWrap/>
          </w:tcPr>
          <w:p w14:paraId="2B1C6C12">
            <w:pPr>
              <w:widowControl/>
              <w:jc w:val="center"/>
              <w:rPr>
                <w:rFonts w:ascii="宋体" w:hAnsi="宋体" w:eastAsia="宋体" w:cs="宋体"/>
                <w:kern w:val="0"/>
                <w:sz w:val="24"/>
                <w:szCs w:val="24"/>
              </w:rPr>
            </w:pPr>
            <w:r>
              <w:rPr>
                <w:rFonts w:hint="eastAsia" w:ascii="宋体" w:hAnsi="宋体" w:eastAsia="宋体" w:cs="宋体"/>
                <w:kern w:val="0"/>
                <w:sz w:val="24"/>
                <w:szCs w:val="24"/>
              </w:rPr>
              <w:t>10对哑铃架</w:t>
            </w:r>
          </w:p>
        </w:tc>
        <w:tc>
          <w:tcPr>
            <w:tcW w:w="2835" w:type="pct"/>
            <w:shd w:val="clear" w:color="auto" w:fill="auto"/>
          </w:tcPr>
          <w:p w14:paraId="7B2AC349">
            <w:pPr>
              <w:widowControl/>
              <w:rPr>
                <w:rFonts w:ascii="宋体" w:hAnsi="宋体" w:eastAsia="宋体" w:cs="宋体"/>
                <w:kern w:val="0"/>
                <w:sz w:val="24"/>
                <w:szCs w:val="24"/>
              </w:rPr>
            </w:pPr>
            <w:r>
              <w:rPr>
                <w:rFonts w:hint="eastAsia" w:ascii="宋体" w:hAnsi="宋体" w:eastAsia="宋体" w:cs="宋体"/>
                <w:kern w:val="0"/>
                <w:sz w:val="24"/>
                <w:szCs w:val="24"/>
              </w:rPr>
              <w:t>规格≥2460×740×810mm，1.管材烤漆：三层静电吸附粉末两次高温烘烤，对人体无害，持久常新不脱落；2.主管材：采用100x50x2.0mm矩形管，完全满足器材的使用安全强度；</w:t>
            </w:r>
          </w:p>
        </w:tc>
        <w:tc>
          <w:tcPr>
            <w:tcW w:w="380" w:type="pct"/>
            <w:shd w:val="clear" w:color="auto" w:fill="auto"/>
            <w:noWrap/>
          </w:tcPr>
          <w:p w14:paraId="5D02F4F5">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1919CB2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37E5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518605D">
            <w:pPr>
              <w:widowControl/>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005" w:type="pct"/>
            <w:shd w:val="clear" w:color="auto" w:fill="auto"/>
            <w:noWrap/>
          </w:tcPr>
          <w:p w14:paraId="102933DA">
            <w:pPr>
              <w:widowControl/>
              <w:jc w:val="center"/>
              <w:rPr>
                <w:rFonts w:ascii="宋体" w:hAnsi="宋体" w:eastAsia="宋体" w:cs="宋体"/>
                <w:kern w:val="0"/>
                <w:sz w:val="24"/>
                <w:szCs w:val="24"/>
              </w:rPr>
            </w:pPr>
            <w:r>
              <w:rPr>
                <w:rFonts w:hint="eastAsia" w:ascii="宋体" w:hAnsi="宋体" w:eastAsia="宋体" w:cs="宋体"/>
                <w:kern w:val="0"/>
                <w:sz w:val="24"/>
                <w:szCs w:val="24"/>
              </w:rPr>
              <w:t>杠铃片架</w:t>
            </w:r>
          </w:p>
        </w:tc>
        <w:tc>
          <w:tcPr>
            <w:tcW w:w="2835" w:type="pct"/>
            <w:shd w:val="clear" w:color="auto" w:fill="auto"/>
          </w:tcPr>
          <w:p w14:paraId="1261A0D6">
            <w:pPr>
              <w:widowControl/>
              <w:rPr>
                <w:rFonts w:ascii="宋体" w:hAnsi="宋体" w:eastAsia="宋体" w:cs="宋体"/>
                <w:kern w:val="0"/>
                <w:sz w:val="24"/>
                <w:szCs w:val="24"/>
              </w:rPr>
            </w:pPr>
            <w:r>
              <w:rPr>
                <w:rFonts w:hint="eastAsia" w:ascii="宋体" w:hAnsi="宋体" w:eastAsia="宋体" w:cs="宋体"/>
                <w:kern w:val="0"/>
                <w:sz w:val="24"/>
                <w:szCs w:val="24"/>
              </w:rPr>
              <w:t>规格≥750*750*1000mm，1.管材烤漆：三层静电吸附粉末两次高温烘烤，对人体无害，持久常新不脱落；2.主管材：采用100*50*2.5mm矩形管，完全满足器材的使用安全强度；</w:t>
            </w:r>
          </w:p>
        </w:tc>
        <w:tc>
          <w:tcPr>
            <w:tcW w:w="380" w:type="pct"/>
            <w:shd w:val="clear" w:color="auto" w:fill="auto"/>
            <w:noWrap/>
          </w:tcPr>
          <w:p w14:paraId="46A417A0">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7FEADAD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331B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5492A9AA">
            <w:pPr>
              <w:widowControl/>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005" w:type="pct"/>
            <w:shd w:val="clear" w:color="auto" w:fill="auto"/>
            <w:noWrap/>
          </w:tcPr>
          <w:p w14:paraId="13DC63A5">
            <w:pPr>
              <w:widowControl/>
              <w:jc w:val="center"/>
              <w:rPr>
                <w:rFonts w:ascii="宋体" w:hAnsi="宋体" w:eastAsia="宋体" w:cs="宋体"/>
                <w:kern w:val="0"/>
                <w:sz w:val="24"/>
                <w:szCs w:val="24"/>
              </w:rPr>
            </w:pPr>
            <w:r>
              <w:rPr>
                <w:rFonts w:hint="eastAsia" w:ascii="宋体" w:hAnsi="宋体" w:eastAsia="宋体" w:cs="宋体"/>
                <w:kern w:val="0"/>
                <w:sz w:val="24"/>
                <w:szCs w:val="24"/>
              </w:rPr>
              <w:t>杠铃架</w:t>
            </w:r>
          </w:p>
        </w:tc>
        <w:tc>
          <w:tcPr>
            <w:tcW w:w="2835" w:type="pct"/>
            <w:shd w:val="clear" w:color="auto" w:fill="auto"/>
          </w:tcPr>
          <w:p w14:paraId="62130F60">
            <w:pPr>
              <w:widowControl/>
              <w:rPr>
                <w:rFonts w:ascii="宋体" w:hAnsi="宋体" w:eastAsia="宋体" w:cs="宋体"/>
                <w:kern w:val="0"/>
                <w:sz w:val="24"/>
                <w:szCs w:val="24"/>
              </w:rPr>
            </w:pPr>
            <w:r>
              <w:rPr>
                <w:rFonts w:hint="eastAsia" w:ascii="宋体" w:hAnsi="宋体" w:eastAsia="宋体" w:cs="宋体"/>
                <w:kern w:val="0"/>
                <w:sz w:val="24"/>
                <w:szCs w:val="24"/>
              </w:rPr>
              <w:t>规格≥940×760×1040mm，1.管材烤漆：三层静电吸附粉末两次高温烘烤，对人体无害，持久常新不脱落；2.主管材：采用100*50*2.5mm矩形管，完全满足器材的使用安全强度；</w:t>
            </w:r>
          </w:p>
        </w:tc>
        <w:tc>
          <w:tcPr>
            <w:tcW w:w="380" w:type="pct"/>
            <w:shd w:val="clear" w:color="auto" w:fill="auto"/>
            <w:noWrap/>
          </w:tcPr>
          <w:p w14:paraId="390165DC">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465DBF8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6FD3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5803C49">
            <w:pPr>
              <w:widowControl/>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005" w:type="pct"/>
            <w:shd w:val="clear" w:color="auto" w:fill="auto"/>
            <w:noWrap/>
          </w:tcPr>
          <w:p w14:paraId="45B6E6BF">
            <w:pPr>
              <w:widowControl/>
              <w:jc w:val="center"/>
              <w:rPr>
                <w:rFonts w:ascii="宋体" w:hAnsi="宋体" w:eastAsia="宋体" w:cs="宋体"/>
                <w:kern w:val="0"/>
                <w:sz w:val="24"/>
                <w:szCs w:val="24"/>
              </w:rPr>
            </w:pPr>
            <w:r>
              <w:rPr>
                <w:rFonts w:hint="eastAsia" w:ascii="宋体" w:hAnsi="宋体" w:eastAsia="宋体" w:cs="宋体"/>
                <w:kern w:val="0"/>
                <w:sz w:val="24"/>
                <w:szCs w:val="24"/>
              </w:rPr>
              <w:t>包胶铸铁六角哑铃</w:t>
            </w:r>
          </w:p>
        </w:tc>
        <w:tc>
          <w:tcPr>
            <w:tcW w:w="2835" w:type="pct"/>
            <w:shd w:val="clear" w:color="auto" w:fill="auto"/>
          </w:tcPr>
          <w:p w14:paraId="7A228DCF">
            <w:pPr>
              <w:widowControl/>
              <w:rPr>
                <w:rFonts w:ascii="宋体" w:hAnsi="宋体" w:eastAsia="宋体" w:cs="宋体"/>
                <w:kern w:val="0"/>
                <w:sz w:val="24"/>
                <w:szCs w:val="24"/>
              </w:rPr>
            </w:pPr>
            <w:r>
              <w:rPr>
                <w:rFonts w:hint="eastAsia" w:ascii="宋体" w:hAnsi="宋体" w:eastAsia="宋体" w:cs="宋体"/>
                <w:kern w:val="0"/>
                <w:sz w:val="24"/>
                <w:szCs w:val="24"/>
              </w:rPr>
              <w:t xml:space="preserve">规格：2.5kg, 5kg, 7.5kg, 10kg, 12.5kg,15kg, 17.5kg, 20kg, 22.5kg, 25kg各2个=275kg </w:t>
            </w:r>
          </w:p>
        </w:tc>
        <w:tc>
          <w:tcPr>
            <w:tcW w:w="380" w:type="pct"/>
            <w:shd w:val="clear" w:color="auto" w:fill="auto"/>
            <w:noWrap/>
          </w:tcPr>
          <w:p w14:paraId="29B16B01">
            <w:pPr>
              <w:widowControl/>
              <w:jc w:val="center"/>
              <w:rPr>
                <w:rFonts w:ascii="宋体" w:hAnsi="宋体" w:eastAsia="宋体" w:cs="宋体"/>
                <w:kern w:val="0"/>
                <w:sz w:val="24"/>
                <w:szCs w:val="24"/>
              </w:rPr>
            </w:pPr>
            <w:r>
              <w:rPr>
                <w:rFonts w:hint="eastAsia" w:ascii="宋体" w:hAnsi="宋体" w:eastAsia="宋体" w:cs="宋体"/>
                <w:kern w:val="0"/>
                <w:sz w:val="24"/>
                <w:szCs w:val="24"/>
              </w:rPr>
              <w:t>公斤</w:t>
            </w:r>
          </w:p>
        </w:tc>
        <w:tc>
          <w:tcPr>
            <w:tcW w:w="376" w:type="pct"/>
            <w:shd w:val="clear" w:color="auto" w:fill="auto"/>
            <w:noWrap/>
          </w:tcPr>
          <w:p w14:paraId="43A8C932">
            <w:pPr>
              <w:widowControl/>
              <w:jc w:val="center"/>
              <w:rPr>
                <w:rFonts w:ascii="宋体" w:hAnsi="宋体" w:eastAsia="宋体" w:cs="宋体"/>
                <w:kern w:val="0"/>
                <w:sz w:val="24"/>
                <w:szCs w:val="24"/>
              </w:rPr>
            </w:pPr>
            <w:r>
              <w:rPr>
                <w:rFonts w:hint="eastAsia" w:ascii="宋体" w:hAnsi="宋体" w:eastAsia="宋体" w:cs="宋体"/>
                <w:kern w:val="0"/>
                <w:sz w:val="24"/>
                <w:szCs w:val="24"/>
              </w:rPr>
              <w:t>275</w:t>
            </w:r>
          </w:p>
        </w:tc>
      </w:tr>
      <w:tr w14:paraId="09DB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48ADF9D2">
            <w:pPr>
              <w:widowControl/>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1005" w:type="pct"/>
            <w:shd w:val="clear" w:color="auto" w:fill="auto"/>
            <w:noWrap/>
          </w:tcPr>
          <w:p w14:paraId="5D0C64E4">
            <w:pPr>
              <w:widowControl/>
              <w:jc w:val="center"/>
              <w:rPr>
                <w:rFonts w:ascii="宋体" w:hAnsi="宋体" w:eastAsia="宋体" w:cs="宋体"/>
                <w:kern w:val="0"/>
                <w:sz w:val="24"/>
                <w:szCs w:val="24"/>
              </w:rPr>
            </w:pPr>
            <w:r>
              <w:rPr>
                <w:rFonts w:hint="eastAsia" w:ascii="宋体" w:hAnsi="宋体" w:eastAsia="宋体" w:cs="宋体"/>
                <w:kern w:val="0"/>
                <w:sz w:val="24"/>
                <w:szCs w:val="24"/>
              </w:rPr>
              <w:t>包胶铸铁固定杠铃杆(直杆）</w:t>
            </w:r>
          </w:p>
        </w:tc>
        <w:tc>
          <w:tcPr>
            <w:tcW w:w="2835" w:type="pct"/>
            <w:shd w:val="clear" w:color="auto" w:fill="auto"/>
          </w:tcPr>
          <w:p w14:paraId="42BC48C6">
            <w:pPr>
              <w:widowControl/>
              <w:rPr>
                <w:rFonts w:ascii="宋体" w:hAnsi="宋体" w:eastAsia="宋体" w:cs="宋体"/>
                <w:kern w:val="0"/>
                <w:sz w:val="24"/>
                <w:szCs w:val="24"/>
              </w:rPr>
            </w:pPr>
            <w:r>
              <w:rPr>
                <w:rFonts w:hint="eastAsia" w:ascii="宋体" w:hAnsi="宋体" w:eastAsia="宋体" w:cs="宋体"/>
                <w:kern w:val="0"/>
                <w:sz w:val="24"/>
                <w:szCs w:val="24"/>
              </w:rPr>
              <w:t>规格：10kg,15kg,20kg,25kg,30kg各1根，间隔是5kg，整杆长度是850mm，手握的距离是140mm.</w:t>
            </w:r>
          </w:p>
        </w:tc>
        <w:tc>
          <w:tcPr>
            <w:tcW w:w="380" w:type="pct"/>
            <w:shd w:val="clear" w:color="auto" w:fill="auto"/>
            <w:noWrap/>
          </w:tcPr>
          <w:p w14:paraId="520A0F49">
            <w:pPr>
              <w:widowControl/>
              <w:jc w:val="center"/>
              <w:rPr>
                <w:rFonts w:ascii="宋体" w:hAnsi="宋体" w:eastAsia="宋体" w:cs="宋体"/>
                <w:kern w:val="0"/>
                <w:sz w:val="24"/>
                <w:szCs w:val="24"/>
              </w:rPr>
            </w:pPr>
            <w:r>
              <w:rPr>
                <w:rFonts w:hint="eastAsia" w:ascii="宋体" w:hAnsi="宋体" w:eastAsia="宋体" w:cs="宋体"/>
                <w:kern w:val="0"/>
                <w:sz w:val="24"/>
                <w:szCs w:val="24"/>
              </w:rPr>
              <w:t>公斤</w:t>
            </w:r>
          </w:p>
        </w:tc>
        <w:tc>
          <w:tcPr>
            <w:tcW w:w="376" w:type="pct"/>
            <w:shd w:val="clear" w:color="auto" w:fill="auto"/>
            <w:noWrap/>
          </w:tcPr>
          <w:p w14:paraId="4D495E83">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r>
      <w:tr w14:paraId="5A6B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630B81A3">
            <w:pPr>
              <w:widowControl/>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005" w:type="pct"/>
            <w:shd w:val="clear" w:color="auto" w:fill="auto"/>
            <w:noWrap/>
          </w:tcPr>
          <w:p w14:paraId="2A41F83C">
            <w:pPr>
              <w:widowControl/>
              <w:jc w:val="center"/>
              <w:rPr>
                <w:rFonts w:ascii="宋体" w:hAnsi="宋体" w:eastAsia="宋体" w:cs="宋体"/>
                <w:kern w:val="0"/>
                <w:sz w:val="24"/>
                <w:szCs w:val="24"/>
              </w:rPr>
            </w:pPr>
            <w:r>
              <w:rPr>
                <w:rFonts w:hint="eastAsia" w:ascii="宋体" w:hAnsi="宋体" w:eastAsia="宋体" w:cs="宋体"/>
                <w:kern w:val="0"/>
                <w:sz w:val="24"/>
                <w:szCs w:val="24"/>
              </w:rPr>
              <w:t>包胶铸铁固定杠铃杆(曲杆）</w:t>
            </w:r>
          </w:p>
        </w:tc>
        <w:tc>
          <w:tcPr>
            <w:tcW w:w="2835" w:type="pct"/>
            <w:shd w:val="clear" w:color="auto" w:fill="auto"/>
          </w:tcPr>
          <w:p w14:paraId="03D23B1B">
            <w:pPr>
              <w:widowControl/>
              <w:rPr>
                <w:rFonts w:ascii="宋体" w:hAnsi="宋体" w:eastAsia="宋体" w:cs="宋体"/>
                <w:kern w:val="0"/>
                <w:sz w:val="24"/>
                <w:szCs w:val="24"/>
              </w:rPr>
            </w:pPr>
            <w:r>
              <w:rPr>
                <w:rFonts w:hint="eastAsia" w:ascii="宋体" w:hAnsi="宋体" w:eastAsia="宋体" w:cs="宋体"/>
                <w:kern w:val="0"/>
                <w:sz w:val="24"/>
                <w:szCs w:val="24"/>
              </w:rPr>
              <w:t>规格：10kg,15kg,20kg,25kg,30kg各1根，间隔是5kg，整杆长度是850mm，手握的距离是140mm.</w:t>
            </w:r>
          </w:p>
        </w:tc>
        <w:tc>
          <w:tcPr>
            <w:tcW w:w="380" w:type="pct"/>
            <w:shd w:val="clear" w:color="auto" w:fill="auto"/>
            <w:noWrap/>
          </w:tcPr>
          <w:p w14:paraId="221FB5D1">
            <w:pPr>
              <w:widowControl/>
              <w:jc w:val="center"/>
              <w:rPr>
                <w:rFonts w:ascii="宋体" w:hAnsi="宋体" w:eastAsia="宋体" w:cs="宋体"/>
                <w:kern w:val="0"/>
                <w:sz w:val="24"/>
                <w:szCs w:val="24"/>
              </w:rPr>
            </w:pPr>
            <w:r>
              <w:rPr>
                <w:rFonts w:hint="eastAsia" w:ascii="宋体" w:hAnsi="宋体" w:eastAsia="宋体" w:cs="宋体"/>
                <w:kern w:val="0"/>
                <w:sz w:val="24"/>
                <w:szCs w:val="24"/>
              </w:rPr>
              <w:t>公斤</w:t>
            </w:r>
          </w:p>
        </w:tc>
        <w:tc>
          <w:tcPr>
            <w:tcW w:w="376" w:type="pct"/>
            <w:shd w:val="clear" w:color="auto" w:fill="auto"/>
            <w:noWrap/>
          </w:tcPr>
          <w:p w14:paraId="47F96991">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r>
      <w:tr w14:paraId="32E8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38EC9601">
            <w:pPr>
              <w:widowControl/>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005" w:type="pct"/>
            <w:shd w:val="clear" w:color="auto" w:fill="auto"/>
            <w:noWrap/>
          </w:tcPr>
          <w:p w14:paraId="0BDCA47A">
            <w:pPr>
              <w:widowControl/>
              <w:jc w:val="center"/>
              <w:rPr>
                <w:rFonts w:ascii="宋体" w:hAnsi="宋体" w:eastAsia="宋体" w:cs="宋体"/>
                <w:kern w:val="0"/>
                <w:sz w:val="24"/>
                <w:szCs w:val="24"/>
              </w:rPr>
            </w:pPr>
            <w:r>
              <w:rPr>
                <w:rFonts w:hint="eastAsia" w:ascii="宋体" w:hAnsi="宋体" w:eastAsia="宋体" w:cs="宋体"/>
                <w:kern w:val="0"/>
                <w:sz w:val="24"/>
                <w:szCs w:val="24"/>
              </w:rPr>
              <w:t>包胶铸铁三孔杠铃片</w:t>
            </w:r>
          </w:p>
        </w:tc>
        <w:tc>
          <w:tcPr>
            <w:tcW w:w="2835" w:type="pct"/>
            <w:shd w:val="clear" w:color="auto" w:fill="auto"/>
          </w:tcPr>
          <w:p w14:paraId="2605C06F">
            <w:pPr>
              <w:widowControl/>
              <w:rPr>
                <w:rFonts w:ascii="宋体" w:hAnsi="宋体" w:eastAsia="宋体" w:cs="宋体"/>
                <w:kern w:val="0"/>
                <w:sz w:val="24"/>
                <w:szCs w:val="24"/>
              </w:rPr>
            </w:pPr>
            <w:r>
              <w:rPr>
                <w:rFonts w:hint="eastAsia" w:ascii="宋体" w:hAnsi="宋体" w:eastAsia="宋体" w:cs="宋体"/>
                <w:kern w:val="0"/>
                <w:sz w:val="24"/>
                <w:szCs w:val="24"/>
              </w:rPr>
              <w:t xml:space="preserve">规格：2.5kg, 5kg, 10kg,15kg, 20kg,25kg各2个=155kg *3套=465kg </w:t>
            </w:r>
          </w:p>
        </w:tc>
        <w:tc>
          <w:tcPr>
            <w:tcW w:w="380" w:type="pct"/>
            <w:shd w:val="clear" w:color="auto" w:fill="auto"/>
            <w:noWrap/>
          </w:tcPr>
          <w:p w14:paraId="2C4C51A3">
            <w:pPr>
              <w:widowControl/>
              <w:jc w:val="center"/>
              <w:rPr>
                <w:rFonts w:ascii="宋体" w:hAnsi="宋体" w:eastAsia="宋体" w:cs="宋体"/>
                <w:kern w:val="0"/>
                <w:sz w:val="24"/>
                <w:szCs w:val="24"/>
              </w:rPr>
            </w:pPr>
            <w:r>
              <w:rPr>
                <w:rFonts w:hint="eastAsia" w:ascii="宋体" w:hAnsi="宋体" w:eastAsia="宋体" w:cs="宋体"/>
                <w:kern w:val="0"/>
                <w:sz w:val="24"/>
                <w:szCs w:val="24"/>
              </w:rPr>
              <w:t>公斤</w:t>
            </w:r>
          </w:p>
        </w:tc>
        <w:tc>
          <w:tcPr>
            <w:tcW w:w="376" w:type="pct"/>
            <w:shd w:val="clear" w:color="auto" w:fill="auto"/>
            <w:noWrap/>
          </w:tcPr>
          <w:p w14:paraId="50444009">
            <w:pPr>
              <w:widowControl/>
              <w:jc w:val="center"/>
              <w:rPr>
                <w:rFonts w:ascii="宋体" w:hAnsi="宋体" w:eastAsia="宋体" w:cs="宋体"/>
                <w:kern w:val="0"/>
                <w:sz w:val="24"/>
                <w:szCs w:val="24"/>
              </w:rPr>
            </w:pPr>
            <w:r>
              <w:rPr>
                <w:rFonts w:hint="eastAsia" w:ascii="宋体" w:hAnsi="宋体" w:eastAsia="宋体" w:cs="宋体"/>
                <w:kern w:val="0"/>
                <w:sz w:val="24"/>
                <w:szCs w:val="24"/>
              </w:rPr>
              <w:t>465</w:t>
            </w:r>
          </w:p>
        </w:tc>
      </w:tr>
      <w:tr w14:paraId="097C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374C360C">
            <w:pPr>
              <w:widowControl/>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005" w:type="pct"/>
            <w:shd w:val="clear" w:color="auto" w:fill="auto"/>
            <w:noWrap/>
          </w:tcPr>
          <w:p w14:paraId="6E5119AE">
            <w:pPr>
              <w:widowControl/>
              <w:jc w:val="center"/>
              <w:rPr>
                <w:rFonts w:ascii="宋体" w:hAnsi="宋体" w:eastAsia="宋体" w:cs="宋体"/>
                <w:kern w:val="0"/>
                <w:sz w:val="24"/>
                <w:szCs w:val="24"/>
              </w:rPr>
            </w:pPr>
            <w:r>
              <w:rPr>
                <w:rFonts w:hint="eastAsia" w:ascii="宋体" w:hAnsi="宋体" w:eastAsia="宋体" w:cs="宋体"/>
                <w:kern w:val="0"/>
                <w:sz w:val="24"/>
                <w:szCs w:val="24"/>
              </w:rPr>
              <w:t>奥杆</w:t>
            </w:r>
          </w:p>
        </w:tc>
        <w:tc>
          <w:tcPr>
            <w:tcW w:w="2835" w:type="pct"/>
            <w:shd w:val="clear" w:color="auto" w:fill="auto"/>
          </w:tcPr>
          <w:p w14:paraId="345C45AA">
            <w:pPr>
              <w:widowControl/>
              <w:rPr>
                <w:rFonts w:ascii="宋体" w:hAnsi="宋体" w:eastAsia="宋体" w:cs="宋体"/>
                <w:kern w:val="0"/>
                <w:sz w:val="24"/>
                <w:szCs w:val="24"/>
              </w:rPr>
            </w:pPr>
            <w:r>
              <w:rPr>
                <w:rFonts w:hint="eastAsia" w:ascii="宋体" w:hAnsi="宋体" w:eastAsia="宋体" w:cs="宋体"/>
                <w:kern w:val="0"/>
                <w:sz w:val="24"/>
                <w:szCs w:val="24"/>
              </w:rPr>
              <w:t>2.2米配卡簧奥林匹克大杆,配2个卡环</w:t>
            </w:r>
          </w:p>
        </w:tc>
        <w:tc>
          <w:tcPr>
            <w:tcW w:w="380" w:type="pct"/>
            <w:shd w:val="clear" w:color="auto" w:fill="auto"/>
            <w:noWrap/>
          </w:tcPr>
          <w:p w14:paraId="03C44892">
            <w:pPr>
              <w:widowControl/>
              <w:jc w:val="center"/>
              <w:rPr>
                <w:rFonts w:ascii="宋体" w:hAnsi="宋体" w:eastAsia="宋体" w:cs="宋体"/>
                <w:kern w:val="0"/>
                <w:sz w:val="24"/>
                <w:szCs w:val="24"/>
              </w:rPr>
            </w:pPr>
            <w:r>
              <w:rPr>
                <w:rFonts w:hint="eastAsia" w:ascii="宋体" w:hAnsi="宋体" w:eastAsia="宋体" w:cs="宋体"/>
                <w:kern w:val="0"/>
                <w:sz w:val="24"/>
                <w:szCs w:val="24"/>
              </w:rPr>
              <w:t>根</w:t>
            </w:r>
          </w:p>
        </w:tc>
        <w:tc>
          <w:tcPr>
            <w:tcW w:w="376" w:type="pct"/>
            <w:shd w:val="clear" w:color="auto" w:fill="auto"/>
            <w:noWrap/>
          </w:tcPr>
          <w:p w14:paraId="77399F5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14:paraId="30B1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A24C92B">
            <w:pPr>
              <w:widowControl/>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1005" w:type="pct"/>
            <w:shd w:val="clear" w:color="auto" w:fill="auto"/>
            <w:noWrap/>
          </w:tcPr>
          <w:p w14:paraId="0CA569BD">
            <w:pPr>
              <w:widowControl/>
              <w:jc w:val="center"/>
              <w:rPr>
                <w:rFonts w:ascii="宋体" w:hAnsi="宋体" w:eastAsia="宋体" w:cs="宋体"/>
                <w:kern w:val="0"/>
                <w:sz w:val="24"/>
                <w:szCs w:val="24"/>
              </w:rPr>
            </w:pPr>
            <w:r>
              <w:rPr>
                <w:rFonts w:hint="eastAsia" w:ascii="宋体" w:hAnsi="宋体" w:eastAsia="宋体" w:cs="宋体"/>
                <w:kern w:val="0"/>
                <w:sz w:val="24"/>
                <w:szCs w:val="24"/>
              </w:rPr>
              <w:t>平卧推架</w:t>
            </w:r>
          </w:p>
        </w:tc>
        <w:tc>
          <w:tcPr>
            <w:tcW w:w="2835" w:type="pct"/>
            <w:shd w:val="clear" w:color="auto" w:fill="auto"/>
          </w:tcPr>
          <w:p w14:paraId="5B90561E">
            <w:pPr>
              <w:widowControl/>
              <w:rPr>
                <w:rFonts w:ascii="宋体" w:hAnsi="宋体" w:eastAsia="宋体" w:cs="宋体"/>
                <w:kern w:val="0"/>
                <w:sz w:val="24"/>
                <w:szCs w:val="24"/>
              </w:rPr>
            </w:pPr>
            <w:r>
              <w:rPr>
                <w:rFonts w:hint="eastAsia" w:ascii="宋体" w:hAnsi="宋体" w:eastAsia="宋体" w:cs="宋体"/>
                <w:kern w:val="0"/>
                <w:sz w:val="24"/>
                <w:szCs w:val="24"/>
              </w:rPr>
              <w:t>规格≥1730×1780×1400mm,1.管材烤漆：采用表面的喷涂材料为环保粉末，对人体无害，持久常新不脱落；2.坐垫、靠垫使用太空记忆棉为材料具有自动塑形、可吸收冲击力，透气，吸湿防潮、防霉保护身体健康；3.可锻炼肌肉部位：胸大肌，杠铃训练；4.主管材：采用100*50*2.5mm矩形管，完全满足器材的使用安全强度；</w:t>
            </w:r>
          </w:p>
        </w:tc>
        <w:tc>
          <w:tcPr>
            <w:tcW w:w="380" w:type="pct"/>
            <w:shd w:val="clear" w:color="auto" w:fill="auto"/>
            <w:noWrap/>
          </w:tcPr>
          <w:p w14:paraId="1DCB9E38">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51A19DB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3D43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C339FB3">
            <w:pPr>
              <w:widowControl/>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1005" w:type="pct"/>
            <w:shd w:val="clear" w:color="auto" w:fill="auto"/>
            <w:noWrap/>
          </w:tcPr>
          <w:p w14:paraId="4C66CDC4">
            <w:pPr>
              <w:widowControl/>
              <w:jc w:val="center"/>
              <w:rPr>
                <w:rFonts w:ascii="宋体" w:hAnsi="宋体" w:eastAsia="宋体" w:cs="宋体"/>
                <w:kern w:val="0"/>
                <w:sz w:val="24"/>
                <w:szCs w:val="24"/>
              </w:rPr>
            </w:pPr>
            <w:r>
              <w:rPr>
                <w:rFonts w:hint="eastAsia" w:ascii="宋体" w:hAnsi="宋体" w:eastAsia="宋体" w:cs="宋体"/>
                <w:kern w:val="0"/>
                <w:sz w:val="24"/>
                <w:szCs w:val="24"/>
              </w:rPr>
              <w:t>上斜卧推架</w:t>
            </w:r>
          </w:p>
        </w:tc>
        <w:tc>
          <w:tcPr>
            <w:tcW w:w="2835" w:type="pct"/>
            <w:shd w:val="clear" w:color="auto" w:fill="auto"/>
          </w:tcPr>
          <w:p w14:paraId="0C72A74A">
            <w:pPr>
              <w:widowControl/>
              <w:rPr>
                <w:rFonts w:ascii="宋体" w:hAnsi="宋体" w:eastAsia="宋体" w:cs="宋体"/>
                <w:kern w:val="0"/>
                <w:sz w:val="24"/>
                <w:szCs w:val="24"/>
              </w:rPr>
            </w:pPr>
            <w:r>
              <w:rPr>
                <w:rFonts w:hint="eastAsia" w:ascii="宋体" w:hAnsi="宋体" w:eastAsia="宋体" w:cs="宋体"/>
                <w:kern w:val="0"/>
                <w:sz w:val="24"/>
                <w:szCs w:val="24"/>
              </w:rPr>
              <w:t>规格≥2010×1780×1400mm,1.管材烤漆：采用表面的喷涂材料为环保粉末，对人体无害，持久常新不脱落；2.坐垫、靠垫使用太空记忆棉为材料具有自动塑形、可吸收冲击力，透气，吸湿防潮、防霉保护身体健康；3.可锻炼肌肉部位：胸大肌，杠铃训练；4.主管材：采用100*50*2.5mm矩形管，完全满足器材的使用安全强度；</w:t>
            </w:r>
          </w:p>
        </w:tc>
        <w:tc>
          <w:tcPr>
            <w:tcW w:w="380" w:type="pct"/>
            <w:shd w:val="clear" w:color="auto" w:fill="auto"/>
            <w:noWrap/>
          </w:tcPr>
          <w:p w14:paraId="75F504C4">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114D421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3CE7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50762B55">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005" w:type="pct"/>
            <w:shd w:val="clear" w:color="auto" w:fill="auto"/>
            <w:noWrap/>
          </w:tcPr>
          <w:p w14:paraId="4820EF92">
            <w:pPr>
              <w:widowControl/>
              <w:jc w:val="center"/>
              <w:rPr>
                <w:rFonts w:ascii="宋体" w:hAnsi="宋体" w:eastAsia="宋体" w:cs="宋体"/>
                <w:kern w:val="0"/>
                <w:sz w:val="24"/>
                <w:szCs w:val="24"/>
              </w:rPr>
            </w:pPr>
            <w:r>
              <w:rPr>
                <w:rFonts w:hint="eastAsia" w:ascii="宋体" w:hAnsi="宋体" w:eastAsia="宋体" w:cs="宋体"/>
                <w:kern w:val="0"/>
                <w:sz w:val="24"/>
                <w:szCs w:val="24"/>
              </w:rPr>
              <w:t>推肩椅</w:t>
            </w:r>
          </w:p>
        </w:tc>
        <w:tc>
          <w:tcPr>
            <w:tcW w:w="2835" w:type="pct"/>
            <w:shd w:val="clear" w:color="auto" w:fill="auto"/>
          </w:tcPr>
          <w:p w14:paraId="0A8F3964">
            <w:pPr>
              <w:widowControl/>
              <w:rPr>
                <w:rFonts w:ascii="宋体" w:hAnsi="宋体" w:eastAsia="宋体" w:cs="宋体"/>
                <w:kern w:val="0"/>
                <w:sz w:val="24"/>
                <w:szCs w:val="24"/>
              </w:rPr>
            </w:pPr>
            <w:r>
              <w:rPr>
                <w:rFonts w:hint="eastAsia" w:ascii="宋体" w:hAnsi="宋体" w:eastAsia="宋体" w:cs="宋体"/>
                <w:kern w:val="0"/>
                <w:sz w:val="24"/>
                <w:szCs w:val="24"/>
              </w:rPr>
              <w:t>规格≥1170×760×820mm,1.管材烤漆：采用表面的喷涂材料为环保粉末，对人体无害，持久常新不脱落；2.坐垫、靠垫使用太空记忆棉为材料具有自动塑形、可吸收冲击力，透气，吸湿防潮、防霉保护身体健康；3.主管材：采用100*50*2.5mm矩形管，完全满足器材的使用安全强度；</w:t>
            </w:r>
          </w:p>
        </w:tc>
        <w:tc>
          <w:tcPr>
            <w:tcW w:w="380" w:type="pct"/>
            <w:shd w:val="clear" w:color="auto" w:fill="auto"/>
            <w:noWrap/>
          </w:tcPr>
          <w:p w14:paraId="5D1A8111">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22DB3B8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54CD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11538231">
            <w:pPr>
              <w:widowControl/>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1005" w:type="pct"/>
            <w:shd w:val="clear" w:color="auto" w:fill="auto"/>
            <w:noWrap/>
          </w:tcPr>
          <w:p w14:paraId="10406D2E">
            <w:pPr>
              <w:widowControl/>
              <w:jc w:val="center"/>
              <w:rPr>
                <w:rFonts w:ascii="宋体" w:hAnsi="宋体" w:eastAsia="宋体" w:cs="宋体"/>
                <w:kern w:val="0"/>
                <w:sz w:val="24"/>
                <w:szCs w:val="24"/>
              </w:rPr>
            </w:pPr>
            <w:r>
              <w:rPr>
                <w:rFonts w:hint="eastAsia" w:ascii="宋体" w:hAnsi="宋体" w:eastAsia="宋体" w:cs="宋体"/>
                <w:kern w:val="0"/>
                <w:sz w:val="24"/>
                <w:szCs w:val="24"/>
              </w:rPr>
              <w:t>可调式哑铃训练椅</w:t>
            </w:r>
          </w:p>
        </w:tc>
        <w:tc>
          <w:tcPr>
            <w:tcW w:w="2835" w:type="pct"/>
            <w:shd w:val="clear" w:color="auto" w:fill="auto"/>
          </w:tcPr>
          <w:p w14:paraId="2495071C">
            <w:pPr>
              <w:widowControl/>
              <w:rPr>
                <w:rFonts w:ascii="宋体" w:hAnsi="宋体" w:eastAsia="宋体" w:cs="宋体"/>
                <w:kern w:val="0"/>
                <w:sz w:val="24"/>
                <w:szCs w:val="24"/>
              </w:rPr>
            </w:pPr>
            <w:r>
              <w:rPr>
                <w:rFonts w:hint="eastAsia" w:ascii="宋体" w:hAnsi="宋体" w:eastAsia="宋体" w:cs="宋体"/>
                <w:kern w:val="0"/>
                <w:sz w:val="24"/>
                <w:szCs w:val="24"/>
              </w:rPr>
              <w:t>规格≥1360×760×810mm,1.管材烤漆：采用表面的喷涂材料为环保粉末，对人体无害，持久常新不脱落；2.坐垫、靠垫使用太空记忆棉为材料具有自动塑形、可吸收冲击力，透气，吸湿防潮、防霉保护身体健康；3.可锻炼：哑铃训练； 4.主管材：采用120x60x3.0mm矩形管，完全满足器材的使用安全强度；</w:t>
            </w:r>
          </w:p>
        </w:tc>
        <w:tc>
          <w:tcPr>
            <w:tcW w:w="380" w:type="pct"/>
            <w:shd w:val="clear" w:color="auto" w:fill="auto"/>
            <w:noWrap/>
          </w:tcPr>
          <w:p w14:paraId="2DBBE9F5">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5C9FCB4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21F5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2B60200E">
            <w:pPr>
              <w:widowControl/>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1005" w:type="pct"/>
            <w:shd w:val="clear" w:color="auto" w:fill="auto"/>
            <w:noWrap/>
          </w:tcPr>
          <w:p w14:paraId="0A23858F">
            <w:pPr>
              <w:widowControl/>
              <w:jc w:val="center"/>
              <w:rPr>
                <w:rFonts w:ascii="宋体" w:hAnsi="宋体" w:eastAsia="宋体" w:cs="宋体"/>
                <w:kern w:val="0"/>
                <w:sz w:val="24"/>
                <w:szCs w:val="24"/>
              </w:rPr>
            </w:pPr>
            <w:r>
              <w:rPr>
                <w:rFonts w:hint="eastAsia" w:ascii="宋体" w:hAnsi="宋体" w:eastAsia="宋体" w:cs="宋体"/>
                <w:kern w:val="0"/>
                <w:sz w:val="24"/>
                <w:szCs w:val="24"/>
              </w:rPr>
              <w:t>升降机</w:t>
            </w:r>
          </w:p>
        </w:tc>
        <w:tc>
          <w:tcPr>
            <w:tcW w:w="2835" w:type="pct"/>
            <w:shd w:val="clear" w:color="auto" w:fill="auto"/>
          </w:tcPr>
          <w:p w14:paraId="70A8A449">
            <w:pPr>
              <w:widowControl/>
              <w:rPr>
                <w:rFonts w:ascii="宋体" w:hAnsi="宋体" w:eastAsia="宋体" w:cs="宋体"/>
                <w:kern w:val="0"/>
                <w:sz w:val="24"/>
                <w:szCs w:val="24"/>
              </w:rPr>
            </w:pPr>
            <w:r>
              <w:rPr>
                <w:rFonts w:hint="eastAsia" w:ascii="宋体" w:hAnsi="宋体" w:eastAsia="宋体" w:cs="宋体"/>
                <w:kern w:val="0"/>
                <w:sz w:val="24"/>
                <w:szCs w:val="24"/>
              </w:rPr>
              <w:t>1、台面材料：台面板采用≥ 3mm 花纹钢板（有防滑功能） 3、底座采用≥50*100*3.75mm 矩形方管，底板为≥10mm 平板 4、电器箱：电子集成线路板一体箱 5、上升下降按钮：外置 6、上升行程开关：外置 7、油泵电动机：功率≥ 0.75kw，置设备内 8、油缸：外径≥ 50mm，内径 ≥40mm，通过电动液压泵驱动调节升降机上升 9、金属高压软管：双层高压钢网橡胶管10、液压单元：采用液压动力单元 11、液压油：冬季采用 32 号抗磨液压油，夏季采用 46 号抗磨液压油  12、轮胎：抗磨聚安酯胶轮 13、链条：板式链条 P0844 14、额定荷载≥125KG 15、基本尺寸：最大平台作业高度9.7m，最大平台高度8m，台面长度：0.6m，台面宽度0.6m，外型尺寸≥1.28*0.8*1.98m。16、电机功率≥0.75KW 17、电压：220V 18、液压系统：内置 19、下降速度：可调m/min</w:t>
            </w:r>
          </w:p>
        </w:tc>
        <w:tc>
          <w:tcPr>
            <w:tcW w:w="380" w:type="pct"/>
            <w:shd w:val="clear" w:color="auto" w:fill="auto"/>
            <w:noWrap/>
          </w:tcPr>
          <w:p w14:paraId="3981E3A7">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15BD342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32D7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88CCDA8">
            <w:pPr>
              <w:widowControl/>
              <w:jc w:val="center"/>
              <w:rPr>
                <w:rFonts w:ascii="宋体" w:hAnsi="宋体" w:eastAsia="宋体" w:cs="宋体"/>
                <w:kern w:val="0"/>
                <w:sz w:val="24"/>
                <w:szCs w:val="24"/>
              </w:rPr>
            </w:pPr>
            <w:r>
              <w:rPr>
                <w:rFonts w:hint="eastAsia" w:ascii="宋体" w:hAnsi="宋体" w:eastAsia="宋体" w:cs="宋体"/>
                <w:kern w:val="0"/>
                <w:sz w:val="24"/>
                <w:szCs w:val="24"/>
              </w:rPr>
              <w:t>43</w:t>
            </w:r>
          </w:p>
        </w:tc>
        <w:tc>
          <w:tcPr>
            <w:tcW w:w="1005" w:type="pct"/>
            <w:shd w:val="clear" w:color="auto" w:fill="auto"/>
            <w:noWrap/>
          </w:tcPr>
          <w:p w14:paraId="2B6AE308">
            <w:pPr>
              <w:widowControl/>
              <w:jc w:val="center"/>
              <w:rPr>
                <w:rFonts w:ascii="宋体" w:hAnsi="宋体" w:eastAsia="宋体" w:cs="宋体"/>
                <w:kern w:val="0"/>
                <w:sz w:val="24"/>
                <w:szCs w:val="24"/>
              </w:rPr>
            </w:pPr>
            <w:r>
              <w:rPr>
                <w:rFonts w:hint="eastAsia" w:ascii="宋体" w:hAnsi="宋体" w:eastAsia="宋体" w:cs="宋体"/>
                <w:kern w:val="0"/>
                <w:sz w:val="24"/>
                <w:szCs w:val="24"/>
              </w:rPr>
              <w:t>钢琴</w:t>
            </w:r>
          </w:p>
        </w:tc>
        <w:tc>
          <w:tcPr>
            <w:tcW w:w="2835" w:type="pct"/>
            <w:shd w:val="clear" w:color="auto" w:fill="auto"/>
          </w:tcPr>
          <w:p w14:paraId="43BE325E">
            <w:pPr>
              <w:widowControl/>
              <w:rPr>
                <w:rFonts w:ascii="宋体" w:hAnsi="宋体" w:eastAsia="宋体" w:cs="宋体"/>
                <w:kern w:val="0"/>
                <w:sz w:val="24"/>
                <w:szCs w:val="24"/>
              </w:rPr>
            </w:pPr>
            <w:r>
              <w:rPr>
                <w:rFonts w:hint="eastAsia" w:ascii="宋体" w:hAnsi="宋体" w:eastAsia="宋体" w:cs="宋体"/>
                <w:kern w:val="0"/>
                <w:sz w:val="24"/>
                <w:szCs w:val="24"/>
              </w:rPr>
              <w:t>长宽高(cm)≥150×60×118，整琴实木，优质琴弦，专利击弦机，优质羊毛毡，实木弦锤，冷杉实木音板(无拼接单板)，铸造式钢板，纯实木88键，优质金属3踏板，附带琴凳与琴罩。</w:t>
            </w:r>
          </w:p>
        </w:tc>
        <w:tc>
          <w:tcPr>
            <w:tcW w:w="380" w:type="pct"/>
            <w:shd w:val="clear" w:color="auto" w:fill="auto"/>
            <w:noWrap/>
          </w:tcPr>
          <w:p w14:paraId="46A7FF80">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179CEC8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14:paraId="7734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3BE0D104">
            <w:pPr>
              <w:widowControl/>
              <w:jc w:val="center"/>
              <w:rPr>
                <w:rFonts w:ascii="宋体" w:hAnsi="宋体" w:eastAsia="宋体" w:cs="宋体"/>
                <w:kern w:val="0"/>
                <w:sz w:val="24"/>
                <w:szCs w:val="24"/>
              </w:rPr>
            </w:pPr>
            <w:r>
              <w:rPr>
                <w:rFonts w:hint="eastAsia" w:ascii="宋体" w:hAnsi="宋体" w:eastAsia="宋体" w:cs="宋体"/>
                <w:kern w:val="0"/>
                <w:sz w:val="24"/>
                <w:szCs w:val="24"/>
              </w:rPr>
              <w:t>44</w:t>
            </w:r>
          </w:p>
        </w:tc>
        <w:tc>
          <w:tcPr>
            <w:tcW w:w="1005" w:type="pct"/>
            <w:shd w:val="clear" w:color="auto" w:fill="auto"/>
            <w:noWrap/>
          </w:tcPr>
          <w:p w14:paraId="06C37969">
            <w:pPr>
              <w:widowControl/>
              <w:jc w:val="center"/>
              <w:rPr>
                <w:rFonts w:ascii="宋体" w:hAnsi="宋体" w:eastAsia="宋体" w:cs="宋体"/>
                <w:kern w:val="0"/>
                <w:sz w:val="24"/>
                <w:szCs w:val="24"/>
              </w:rPr>
            </w:pPr>
            <w:r>
              <w:rPr>
                <w:rFonts w:hint="eastAsia" w:ascii="宋体" w:hAnsi="宋体" w:eastAsia="宋体" w:cs="宋体"/>
                <w:kern w:val="0"/>
                <w:sz w:val="24"/>
                <w:szCs w:val="24"/>
              </w:rPr>
              <w:t>电钢琴</w:t>
            </w:r>
          </w:p>
        </w:tc>
        <w:tc>
          <w:tcPr>
            <w:tcW w:w="2835" w:type="pct"/>
            <w:shd w:val="clear" w:color="auto" w:fill="auto"/>
          </w:tcPr>
          <w:p w14:paraId="6BE9147E">
            <w:pPr>
              <w:widowControl/>
              <w:rPr>
                <w:rFonts w:ascii="宋体" w:hAnsi="宋体" w:eastAsia="宋体" w:cs="宋体"/>
                <w:kern w:val="0"/>
                <w:sz w:val="24"/>
                <w:szCs w:val="24"/>
              </w:rPr>
            </w:pPr>
            <w:r>
              <w:rPr>
                <w:rFonts w:hint="eastAsia" w:ascii="宋体" w:hAnsi="宋体" w:eastAsia="宋体" w:cs="宋体"/>
                <w:kern w:val="0"/>
                <w:sz w:val="24"/>
                <w:szCs w:val="24"/>
              </w:rPr>
              <w:t>键数:88键,力度感应:3级力度感应，可关闭,音源:多维图像渐变AiR音源,复音数:128,音色数:19种,内置乐曲:60 种,演示乐曲:乐曲扩展(用户乐曲):不超过10首，不超过90KB/首,课程功能:声部开启/关闭(声部选择:右手、左手),录音功能:MIDI录音:2轨x1首，最大5000个音符，实时录音/回放,踏板:三踏板(延音踏板、抽选延音踏板、柔音踏板)支持半踏板:是(连续识别),扬声器:12 cm x 2,4 cm x 2(2个扬声器), 电源:[交流适配器] AD-A12150LW (DC 12V),功率:18W,尺寸:1,391x299x 798 mm(不含谱架),重量:31.5kg,声学模拟器:琴槌响应、制音器共鸣、制音器噪音,音效:混响(4种类型)合唱(4种类型)亮度(-3~0~+3) DSP(为部分音色预设),叠加/分割:是,八度音升降:-2 八度音~0~+2八度音,移调-12 半音~0~+12半音,微调:A4=415.5 Hz~ 440.0 Hz~465.9 Hz,节拍器:0至9拍;速度范围:20至255,控制器:开始、停止,双钢琴模式:是。</w:t>
            </w:r>
          </w:p>
        </w:tc>
        <w:tc>
          <w:tcPr>
            <w:tcW w:w="380" w:type="pct"/>
            <w:shd w:val="clear" w:color="auto" w:fill="auto"/>
            <w:noWrap/>
          </w:tcPr>
          <w:p w14:paraId="03318C01">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1EED388E">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r>
      <w:tr w14:paraId="6F2F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D6B9523">
            <w:pPr>
              <w:widowControl/>
              <w:jc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1005" w:type="pct"/>
            <w:shd w:val="clear" w:color="auto" w:fill="auto"/>
            <w:noWrap/>
          </w:tcPr>
          <w:p w14:paraId="7BAB284B">
            <w:pPr>
              <w:widowControl/>
              <w:jc w:val="center"/>
              <w:rPr>
                <w:rFonts w:ascii="宋体" w:hAnsi="宋体" w:eastAsia="宋体" w:cs="宋体"/>
                <w:kern w:val="0"/>
                <w:sz w:val="24"/>
                <w:szCs w:val="24"/>
              </w:rPr>
            </w:pPr>
            <w:r>
              <w:rPr>
                <w:rFonts w:hint="eastAsia" w:ascii="宋体" w:hAnsi="宋体" w:eastAsia="宋体" w:cs="宋体"/>
                <w:kern w:val="0"/>
                <w:sz w:val="24"/>
                <w:szCs w:val="24"/>
              </w:rPr>
              <w:t>乒乓球台</w:t>
            </w:r>
          </w:p>
        </w:tc>
        <w:tc>
          <w:tcPr>
            <w:tcW w:w="2835" w:type="pct"/>
            <w:shd w:val="clear" w:color="auto" w:fill="auto"/>
          </w:tcPr>
          <w:p w14:paraId="3E8E5041">
            <w:pPr>
              <w:widowControl/>
              <w:rPr>
                <w:rFonts w:ascii="宋体" w:hAnsi="宋体" w:eastAsia="宋体" w:cs="宋体"/>
                <w:kern w:val="0"/>
                <w:sz w:val="24"/>
                <w:szCs w:val="24"/>
              </w:rPr>
            </w:pPr>
            <w:r>
              <w:rPr>
                <w:rFonts w:hint="eastAsia" w:ascii="宋体" w:hAnsi="宋体" w:eastAsia="宋体" w:cs="宋体"/>
                <w:kern w:val="0"/>
                <w:sz w:val="24"/>
                <w:szCs w:val="24"/>
              </w:rPr>
              <w:t>单折移动式，球台面尺寸≥2740*1525mm，球台高度≥760mm，边框高度40mm，台面厚度≥18mm。带网架和2支乒乓球拍。</w:t>
            </w:r>
          </w:p>
        </w:tc>
        <w:tc>
          <w:tcPr>
            <w:tcW w:w="380" w:type="pct"/>
            <w:shd w:val="clear" w:color="auto" w:fill="auto"/>
            <w:noWrap/>
          </w:tcPr>
          <w:p w14:paraId="02CDAB5D">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376" w:type="pct"/>
            <w:shd w:val="clear" w:color="auto" w:fill="auto"/>
            <w:noWrap/>
          </w:tcPr>
          <w:p w14:paraId="175AEC0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4408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59F54274">
            <w:pPr>
              <w:widowControl/>
              <w:jc w:val="center"/>
              <w:rPr>
                <w:rFonts w:ascii="宋体" w:hAnsi="宋体" w:eastAsia="宋体" w:cs="宋体"/>
                <w:kern w:val="0"/>
                <w:sz w:val="24"/>
                <w:szCs w:val="24"/>
              </w:rPr>
            </w:pPr>
            <w:r>
              <w:rPr>
                <w:rFonts w:hint="eastAsia" w:ascii="宋体" w:hAnsi="宋体" w:eastAsia="宋体" w:cs="宋体"/>
                <w:kern w:val="0"/>
                <w:sz w:val="24"/>
                <w:szCs w:val="24"/>
              </w:rPr>
              <w:t>46</w:t>
            </w:r>
          </w:p>
        </w:tc>
        <w:tc>
          <w:tcPr>
            <w:tcW w:w="1005" w:type="pct"/>
            <w:shd w:val="clear" w:color="auto" w:fill="auto"/>
            <w:noWrap/>
          </w:tcPr>
          <w:p w14:paraId="4327C876">
            <w:pPr>
              <w:widowControl/>
              <w:jc w:val="center"/>
              <w:rPr>
                <w:rFonts w:ascii="宋体" w:hAnsi="宋体" w:eastAsia="宋体" w:cs="宋体"/>
                <w:kern w:val="0"/>
                <w:sz w:val="24"/>
                <w:szCs w:val="24"/>
              </w:rPr>
            </w:pPr>
            <w:r>
              <w:rPr>
                <w:rFonts w:hint="eastAsia" w:ascii="宋体" w:hAnsi="宋体" w:eastAsia="宋体" w:cs="宋体"/>
                <w:kern w:val="0"/>
                <w:sz w:val="24"/>
                <w:szCs w:val="24"/>
              </w:rPr>
              <w:t>空调</w:t>
            </w:r>
          </w:p>
        </w:tc>
        <w:tc>
          <w:tcPr>
            <w:tcW w:w="2835" w:type="pct"/>
            <w:shd w:val="clear" w:color="auto" w:fill="auto"/>
          </w:tcPr>
          <w:p w14:paraId="0082AE25">
            <w:pPr>
              <w:widowControl/>
              <w:rPr>
                <w:rFonts w:ascii="宋体" w:hAnsi="宋体" w:eastAsia="宋体" w:cs="宋体"/>
                <w:kern w:val="0"/>
                <w:sz w:val="24"/>
                <w:szCs w:val="24"/>
              </w:rPr>
            </w:pPr>
            <w:r>
              <w:rPr>
                <w:rFonts w:hint="eastAsia" w:ascii="宋体" w:hAnsi="宋体" w:eastAsia="宋体" w:cs="宋体"/>
                <w:kern w:val="0"/>
                <w:sz w:val="24"/>
                <w:szCs w:val="24"/>
              </w:rPr>
              <w:t>尺寸≥1750*510*315mm,制冷量(W)7290(900-8600)，制热量(W)9210(900-11040)+2500，能效比APF3.51，能效等吸3级，室内机源音dB(A)35-44-47(低-高-较高)，循环风量(m'/h),1210，制冷功率2350，制热功率2800</w:t>
            </w:r>
          </w:p>
        </w:tc>
        <w:tc>
          <w:tcPr>
            <w:tcW w:w="380" w:type="pct"/>
            <w:shd w:val="clear" w:color="auto" w:fill="auto"/>
          </w:tcPr>
          <w:p w14:paraId="68C84D8C">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tcPr>
          <w:p w14:paraId="6721D02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EE6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1103A7C">
            <w:pPr>
              <w:widowControl/>
              <w:jc w:val="center"/>
              <w:rPr>
                <w:rFonts w:ascii="宋体" w:hAnsi="宋体" w:eastAsia="宋体" w:cs="宋体"/>
                <w:kern w:val="0"/>
                <w:sz w:val="24"/>
                <w:szCs w:val="24"/>
              </w:rPr>
            </w:pPr>
            <w:r>
              <w:rPr>
                <w:rFonts w:hint="eastAsia" w:ascii="宋体" w:hAnsi="宋体" w:eastAsia="宋体" w:cs="宋体"/>
                <w:kern w:val="0"/>
                <w:sz w:val="24"/>
                <w:szCs w:val="24"/>
              </w:rPr>
              <w:t>47</w:t>
            </w:r>
          </w:p>
        </w:tc>
        <w:tc>
          <w:tcPr>
            <w:tcW w:w="1005" w:type="pct"/>
            <w:shd w:val="clear" w:color="auto" w:fill="auto"/>
            <w:noWrap/>
          </w:tcPr>
          <w:p w14:paraId="4A930B33">
            <w:pPr>
              <w:widowControl/>
              <w:jc w:val="center"/>
              <w:rPr>
                <w:rFonts w:ascii="宋体" w:hAnsi="宋体" w:eastAsia="宋体" w:cs="宋体"/>
                <w:kern w:val="0"/>
                <w:sz w:val="24"/>
                <w:szCs w:val="24"/>
              </w:rPr>
            </w:pPr>
            <w:r>
              <w:rPr>
                <w:rFonts w:hint="eastAsia" w:ascii="宋体" w:hAnsi="宋体" w:eastAsia="宋体" w:cs="宋体"/>
                <w:kern w:val="0"/>
                <w:sz w:val="24"/>
                <w:szCs w:val="24"/>
              </w:rPr>
              <w:t>空调</w:t>
            </w:r>
          </w:p>
        </w:tc>
        <w:tc>
          <w:tcPr>
            <w:tcW w:w="2835" w:type="pct"/>
            <w:shd w:val="clear" w:color="auto" w:fill="auto"/>
          </w:tcPr>
          <w:p w14:paraId="475A89E6">
            <w:pPr>
              <w:widowControl/>
              <w:rPr>
                <w:rFonts w:ascii="宋体" w:hAnsi="宋体" w:eastAsia="宋体" w:cs="宋体"/>
                <w:kern w:val="0"/>
                <w:sz w:val="24"/>
                <w:szCs w:val="24"/>
              </w:rPr>
            </w:pPr>
            <w:r>
              <w:rPr>
                <w:rFonts w:hint="eastAsia" w:ascii="宋体" w:hAnsi="宋体" w:eastAsia="宋体" w:cs="宋体"/>
                <w:kern w:val="0"/>
                <w:sz w:val="24"/>
                <w:szCs w:val="24"/>
              </w:rPr>
              <w:t>类型：壁挂式，能效等级：一级能效，变频/定频：变频，操控方式：键控/遥控，APP操控，冷暖类型：冷暖匹数：1.5匹</w:t>
            </w:r>
          </w:p>
        </w:tc>
        <w:tc>
          <w:tcPr>
            <w:tcW w:w="380" w:type="pct"/>
            <w:shd w:val="clear" w:color="auto" w:fill="auto"/>
            <w:noWrap/>
          </w:tcPr>
          <w:p w14:paraId="51DC3405">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2F879C32">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r>
      <w:tr w14:paraId="7E96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66B9F7F8">
            <w:pPr>
              <w:widowControl/>
              <w:jc w:val="center"/>
              <w:rPr>
                <w:rFonts w:ascii="宋体" w:hAnsi="宋体" w:eastAsia="宋体" w:cs="宋体"/>
                <w:kern w:val="0"/>
                <w:sz w:val="24"/>
                <w:szCs w:val="24"/>
              </w:rPr>
            </w:pPr>
            <w:r>
              <w:rPr>
                <w:rFonts w:hint="eastAsia" w:ascii="宋体" w:hAnsi="宋体" w:eastAsia="宋体" w:cs="宋体"/>
                <w:kern w:val="0"/>
                <w:sz w:val="24"/>
                <w:szCs w:val="24"/>
              </w:rPr>
              <w:t>48</w:t>
            </w:r>
          </w:p>
        </w:tc>
        <w:tc>
          <w:tcPr>
            <w:tcW w:w="1005" w:type="pct"/>
            <w:shd w:val="clear" w:color="auto" w:fill="auto"/>
            <w:noWrap/>
          </w:tcPr>
          <w:p w14:paraId="0C7F72FE">
            <w:pPr>
              <w:widowControl/>
              <w:jc w:val="center"/>
              <w:rPr>
                <w:rFonts w:ascii="宋体" w:hAnsi="宋体" w:eastAsia="宋体" w:cs="宋体"/>
                <w:kern w:val="0"/>
                <w:sz w:val="24"/>
                <w:szCs w:val="24"/>
              </w:rPr>
            </w:pPr>
            <w:r>
              <w:rPr>
                <w:rFonts w:hint="eastAsia" w:ascii="宋体" w:hAnsi="宋体" w:eastAsia="宋体" w:cs="宋体"/>
                <w:kern w:val="0"/>
                <w:sz w:val="24"/>
                <w:szCs w:val="24"/>
              </w:rPr>
              <w:t>彩色打印机</w:t>
            </w:r>
          </w:p>
        </w:tc>
        <w:tc>
          <w:tcPr>
            <w:tcW w:w="2835" w:type="pct"/>
            <w:shd w:val="clear" w:color="auto" w:fill="auto"/>
          </w:tcPr>
          <w:p w14:paraId="72CA44FF">
            <w:pPr>
              <w:widowControl/>
              <w:rPr>
                <w:rFonts w:ascii="宋体" w:hAnsi="宋体" w:eastAsia="宋体" w:cs="宋体"/>
                <w:kern w:val="0"/>
                <w:sz w:val="24"/>
                <w:szCs w:val="24"/>
              </w:rPr>
            </w:pPr>
            <w:r>
              <w:rPr>
                <w:rFonts w:hint="eastAsia" w:ascii="宋体" w:hAnsi="宋体" w:eastAsia="宋体" w:cs="宋体"/>
                <w:kern w:val="0"/>
                <w:sz w:val="24"/>
                <w:szCs w:val="24"/>
              </w:rPr>
              <w:t>A4彩色单打印，16张/分钟,≥392*379*244mm。</w:t>
            </w:r>
          </w:p>
        </w:tc>
        <w:tc>
          <w:tcPr>
            <w:tcW w:w="380" w:type="pct"/>
            <w:shd w:val="clear" w:color="auto" w:fill="auto"/>
            <w:noWrap/>
          </w:tcPr>
          <w:p w14:paraId="30743B1B">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3621645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1356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504472C1">
            <w:pPr>
              <w:widowControl/>
              <w:jc w:val="center"/>
              <w:rPr>
                <w:rFonts w:ascii="宋体" w:hAnsi="宋体" w:eastAsia="宋体" w:cs="宋体"/>
                <w:kern w:val="0"/>
                <w:sz w:val="24"/>
                <w:szCs w:val="24"/>
              </w:rPr>
            </w:pPr>
            <w:r>
              <w:rPr>
                <w:rFonts w:hint="eastAsia" w:ascii="宋体" w:hAnsi="宋体" w:eastAsia="宋体" w:cs="宋体"/>
                <w:kern w:val="0"/>
                <w:sz w:val="24"/>
                <w:szCs w:val="24"/>
              </w:rPr>
              <w:t>49</w:t>
            </w:r>
          </w:p>
        </w:tc>
        <w:tc>
          <w:tcPr>
            <w:tcW w:w="1005" w:type="pct"/>
            <w:shd w:val="clear" w:color="auto" w:fill="auto"/>
            <w:noWrap/>
          </w:tcPr>
          <w:p w14:paraId="0CE865D6">
            <w:pPr>
              <w:widowControl/>
              <w:jc w:val="center"/>
              <w:rPr>
                <w:rFonts w:ascii="宋体" w:hAnsi="宋体" w:eastAsia="宋体" w:cs="宋体"/>
                <w:kern w:val="0"/>
                <w:sz w:val="24"/>
                <w:szCs w:val="24"/>
              </w:rPr>
            </w:pPr>
            <w:r>
              <w:rPr>
                <w:rFonts w:hint="eastAsia" w:ascii="宋体" w:hAnsi="宋体" w:eastAsia="宋体" w:cs="宋体"/>
                <w:kern w:val="0"/>
                <w:sz w:val="24"/>
                <w:szCs w:val="24"/>
              </w:rPr>
              <w:t>打印机</w:t>
            </w:r>
          </w:p>
        </w:tc>
        <w:tc>
          <w:tcPr>
            <w:tcW w:w="2835" w:type="pct"/>
            <w:shd w:val="clear" w:color="auto" w:fill="auto"/>
          </w:tcPr>
          <w:p w14:paraId="3928706B">
            <w:pPr>
              <w:widowControl/>
              <w:rPr>
                <w:rFonts w:ascii="宋体" w:hAnsi="宋体" w:eastAsia="宋体" w:cs="宋体"/>
                <w:kern w:val="0"/>
                <w:sz w:val="24"/>
                <w:szCs w:val="24"/>
              </w:rPr>
            </w:pPr>
            <w:r>
              <w:rPr>
                <w:rFonts w:hint="eastAsia" w:ascii="宋体" w:hAnsi="宋体" w:eastAsia="宋体" w:cs="宋体"/>
                <w:kern w:val="0"/>
                <w:sz w:val="24"/>
                <w:szCs w:val="24"/>
              </w:rPr>
              <w:t>类型：黑白，打印速度：0-24页/分，纸张输入容量：150-249页，基础功能：打印，连接方式：USB，最大支持幅面：A4。</w:t>
            </w:r>
          </w:p>
        </w:tc>
        <w:tc>
          <w:tcPr>
            <w:tcW w:w="380" w:type="pct"/>
            <w:shd w:val="clear" w:color="auto" w:fill="auto"/>
            <w:noWrap/>
          </w:tcPr>
          <w:p w14:paraId="701E1154">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6BCE992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6D43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4A66BEEB">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005" w:type="pct"/>
            <w:shd w:val="clear" w:color="auto" w:fill="auto"/>
            <w:noWrap/>
          </w:tcPr>
          <w:p w14:paraId="16137B43">
            <w:pPr>
              <w:widowControl/>
              <w:jc w:val="center"/>
              <w:rPr>
                <w:rFonts w:ascii="宋体" w:hAnsi="宋体" w:eastAsia="宋体" w:cs="宋体"/>
                <w:kern w:val="0"/>
                <w:sz w:val="24"/>
                <w:szCs w:val="24"/>
              </w:rPr>
            </w:pPr>
            <w:r>
              <w:rPr>
                <w:rFonts w:hint="eastAsia" w:ascii="宋体" w:hAnsi="宋体" w:eastAsia="宋体" w:cs="宋体"/>
                <w:kern w:val="0"/>
                <w:sz w:val="24"/>
                <w:szCs w:val="24"/>
              </w:rPr>
              <w:t>彩色数码复合机</w:t>
            </w:r>
          </w:p>
        </w:tc>
        <w:tc>
          <w:tcPr>
            <w:tcW w:w="2835" w:type="pct"/>
            <w:shd w:val="clear" w:color="auto" w:fill="auto"/>
          </w:tcPr>
          <w:p w14:paraId="1814A340">
            <w:pPr>
              <w:widowControl/>
              <w:rPr>
                <w:rFonts w:ascii="宋体" w:hAnsi="宋体" w:eastAsia="宋体" w:cs="宋体"/>
                <w:kern w:val="0"/>
                <w:sz w:val="24"/>
                <w:szCs w:val="24"/>
              </w:rPr>
            </w:pPr>
            <w:r>
              <w:rPr>
                <w:rFonts w:hint="eastAsia" w:ascii="宋体" w:hAnsi="宋体" w:eastAsia="宋体" w:cs="宋体"/>
                <w:kern w:val="0"/>
                <w:sz w:val="24"/>
                <w:szCs w:val="24"/>
              </w:rPr>
              <w:t>打印速度达到每分钟25页（黑白彩色同速）,涵盖功能复印/打印/扫描，处理器1.31GHz ，打印分辨率为最大4800dpix1,200dpi，预热时间与首页输出时间较短21秒，标配2GB内存+2GB SOP系统内存，320GB硬盘，预热时间主机电源打开时：21秒以内，睡眠模式恢复时：6.6秒以内，首页复印时间黑白5.1秒，彩色7.4秒，打印其它性能支持打印300gsm厚纸与1260mm长纸，材描述4色碳粉盒黑色 mc2001型打印18000印，彩色MC2001，供纸容量标配纸盒：1200页，最大容量：2300页，双面器标配，自动输稿器，双面自动输稿器，网络功能支持无线/有线网络打印，支持300gsm的厚纸与1260mm的长纸打印，内置红外人体检测传感器，3步内自动从睡眠模式启动，10.1寸智能触摸屏相比平板电脑更而更清晰，内置V6.0安卓系统,内置中央处理器采用与电脑相同的英特尔处理器，处理大数据时速度提高，新增人体检测传感器，方便用户走近时可直接开始操作的同时又能有效降低能耗。支持最大4800dpix1200dpi打印分辨率，带给用户高品质的彩色打印效果，接口类型标配：USB2.0 10Base-T/100Base-TX/1000Base-T（RJ-45网络接口），SD卡插槽，连续复印页数1-999页，缩放范围25-400%（以1%为单位），复印倍率25%，50%，65%，71%，75%，82%，93%，115%，122%，141%，200%，400%，打印控制器标准配置 ，打印速度25ppm，打印分辨率1200×1200dpi，最大：2400×1200dpi，打印语言标准：PCL5c，PCL6，XPS；选购：Adobe PostScript3，扫描控制器标准配置，扫描速度80ppm(A4，200×200dpi，300×300dpi)，扫描分辨率100×100dpi，200×200dpi，300×300dpi，400×400dpi，600×600dpi，1200×1200dpi，默认为200×200dpi，输出格式PDF，TIFF，IPEG，PDF-A，高压缩PDF，扫描其它性能扫描方法：扫描到USB/SD卡、扫描到电子邮件、扫描到文件服务器、扫描到文件夹（SMB、FTP）、扫描到URL、扫描到PDF/A、扫描到可检索PDF，需要选购OCR单元.附带软件功能超级屏保：身份证信息智能捕获打印：图文水印加注： 对复印件快速添加logo, 水印, 电子印章或其他业务图片 直接对U盘/SD卡中的电子文件添加图片快速输出，复印页码智能生成：为复印文档批量添加页码 可自定义不同页码位置、样式和对齐方式，座席牌一键制作： 快速批量制作座席牌 用户信息灵活增减。</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提供厂家授权加盖厂家公章，提供厂家售后服务承诺书加盖公章，厂家3c证明加盖厂家公章，环保证书加盖厂家公章，节能证书加盖厂家公章。</w:t>
            </w:r>
          </w:p>
        </w:tc>
        <w:tc>
          <w:tcPr>
            <w:tcW w:w="380" w:type="pct"/>
            <w:shd w:val="clear" w:color="auto" w:fill="auto"/>
            <w:noWrap/>
          </w:tcPr>
          <w:p w14:paraId="620ACAEF">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0299229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4E69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0FE88E31">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1005" w:type="pct"/>
            <w:shd w:val="clear" w:color="auto" w:fill="auto"/>
            <w:noWrap/>
          </w:tcPr>
          <w:p w14:paraId="0A99E75D">
            <w:pPr>
              <w:widowControl/>
              <w:jc w:val="center"/>
              <w:rPr>
                <w:rFonts w:ascii="宋体" w:hAnsi="宋体" w:eastAsia="宋体" w:cs="宋体"/>
                <w:kern w:val="0"/>
                <w:sz w:val="24"/>
                <w:szCs w:val="24"/>
              </w:rPr>
            </w:pPr>
            <w:r>
              <w:rPr>
                <w:rFonts w:hint="eastAsia" w:ascii="宋体" w:hAnsi="宋体" w:eastAsia="宋体" w:cs="宋体"/>
                <w:kern w:val="0"/>
                <w:sz w:val="24"/>
                <w:szCs w:val="24"/>
              </w:rPr>
              <w:t>黑白数码复合机</w:t>
            </w:r>
          </w:p>
        </w:tc>
        <w:tc>
          <w:tcPr>
            <w:tcW w:w="2835" w:type="pct"/>
            <w:shd w:val="clear" w:color="auto" w:fill="auto"/>
          </w:tcPr>
          <w:p w14:paraId="735B88AF">
            <w:pPr>
              <w:widowControl/>
              <w:rPr>
                <w:rFonts w:ascii="宋体" w:hAnsi="宋体" w:eastAsia="宋体" w:cs="宋体"/>
                <w:kern w:val="0"/>
                <w:sz w:val="24"/>
                <w:szCs w:val="24"/>
              </w:rPr>
            </w:pPr>
            <w:r>
              <w:rPr>
                <w:rFonts w:hint="eastAsia" w:ascii="宋体" w:hAnsi="宋体" w:eastAsia="宋体" w:cs="宋体"/>
                <w:kern w:val="0"/>
                <w:sz w:val="24"/>
                <w:szCs w:val="24"/>
              </w:rPr>
              <w:t>打印速度达到每分钟25页,涵盖功能复印/打印/扫描，处理器1.33GHz，打印分辨率为最大 1200pix1,200dpi预热时间18秒、首页输出时间4.5秒，内置标配2GB+2GBSOP内存（可扩展到4GB+2GBSOP内存）和 320GB硬盘，预热时间主机电源打开时：18秒以内，睡眠模式恢复时：18秒以内，首页复印时间黑白 4.5秒，打印其它性能支持打印300gsm 厚纸与1260mm长纸，耗材描述  MP3554C型碳粉（24000张印量），供纸容量标配纸盒：1200页，最大容量：4700页，双面器标配，自动输稿器，双面自动输稿器，网络功能支持无线/有线网络打印，支持300gsm的厚纸与 1260mm的长纸打印，10.1寸智能触摸屏相比平板电脑更而更清晰，内置V4.2安卓系统,内置中央处理器采用与电脑相同的英特尔处理器，处理大数据时速度提高，新增人体检测传感器，方便用户走近时可直接开始操作的同时又能有效降低能耗。接口类型标配：USB2.0 10Base-T/100Base-TX/1000Base-T（RJ-45网络接口），SD卡插槽，连续复印页数1-999页，缩放范围25-400%（以1%为单位），复印倍率25%，50%，65%，71%，75%，82%，93%，115%，122%，141%，200%，400%，打印控制器标准配置 ，打印速度 25ppm，打印分辨率1200×1200dpi，最大：4800×1200dpi，打印语言标准：PCL5c，PCL6，XPS；选购：Adobe PostScript3，扫描控制器标准配置，扫描速度120ppm(A4，200×200dpi，300×300dpi)，扫描分辨率 100×100dpi，200×200dpi，300×300dpi，400×400dpi，600×600dpi，1200×1200dpi，默认为200×200dpi，输出格式 PDF，TIFF，IPEG，PDF-A高压缩 PDF，扫描其它性能扫描方法：扫描到 USB/SD卡、扫描到电子邮件、扫描到文件服务器、扫描到文件夹（SMB、FTP）、扫描到 URL、扫描到 PDF/A、扫描到可检索 PDF，需要选购 OCR 单元.附带软件功能 超级屏保：身份证信息智能捕获打印：图文水印加注： 对复印件快速添加 logo, 水印, 电子印章或其他业务图片 直接对 U 盘/SD 卡中的电子文件添加图片快速输出，复印页码智能生成：为复印文档批量添加页码 可自定义不同页码位置、样式和对齐方式，座席牌一键制作：快速批量制作座席牌 用户信息灵活增减。</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提供厂家授权加盖厂家公章，提供厂家售后服务承诺书加盖公章，厂家3c证明加盖厂家公章，环保证书加盖厂家公章，节能证书加盖厂家公章。</w:t>
            </w:r>
          </w:p>
        </w:tc>
        <w:tc>
          <w:tcPr>
            <w:tcW w:w="380" w:type="pct"/>
            <w:shd w:val="clear" w:color="auto" w:fill="auto"/>
            <w:noWrap/>
          </w:tcPr>
          <w:p w14:paraId="4C6D5ADE">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376" w:type="pct"/>
            <w:shd w:val="clear" w:color="auto" w:fill="auto"/>
            <w:noWrap/>
          </w:tcPr>
          <w:p w14:paraId="2A6242C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r>
      <w:tr w14:paraId="4D8D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379EF9D5">
            <w:pPr>
              <w:widowControl/>
              <w:jc w:val="center"/>
              <w:rPr>
                <w:rFonts w:ascii="宋体" w:hAnsi="宋体" w:eastAsia="宋体" w:cs="宋体"/>
                <w:kern w:val="0"/>
                <w:sz w:val="24"/>
                <w:szCs w:val="24"/>
              </w:rPr>
            </w:pPr>
            <w:r>
              <w:rPr>
                <w:rFonts w:hint="eastAsia" w:ascii="宋体" w:hAnsi="宋体" w:eastAsia="宋体" w:cs="宋体"/>
                <w:kern w:val="0"/>
                <w:sz w:val="24"/>
                <w:szCs w:val="24"/>
              </w:rPr>
              <w:t>52</w:t>
            </w:r>
          </w:p>
        </w:tc>
        <w:tc>
          <w:tcPr>
            <w:tcW w:w="1005" w:type="pct"/>
            <w:shd w:val="clear" w:color="auto" w:fill="auto"/>
            <w:noWrap/>
          </w:tcPr>
          <w:p w14:paraId="77469346">
            <w:pPr>
              <w:widowControl/>
              <w:jc w:val="center"/>
              <w:rPr>
                <w:rFonts w:ascii="宋体" w:hAnsi="宋体" w:eastAsia="宋体" w:cs="宋体"/>
                <w:kern w:val="0"/>
                <w:sz w:val="24"/>
                <w:szCs w:val="24"/>
              </w:rPr>
            </w:pPr>
            <w:r>
              <w:rPr>
                <w:rFonts w:hint="eastAsia" w:ascii="宋体" w:hAnsi="宋体" w:eastAsia="宋体" w:cs="宋体"/>
                <w:kern w:val="0"/>
                <w:sz w:val="24"/>
                <w:szCs w:val="24"/>
              </w:rPr>
              <w:t>学生公寓床</w:t>
            </w:r>
          </w:p>
        </w:tc>
        <w:tc>
          <w:tcPr>
            <w:tcW w:w="2835" w:type="pct"/>
            <w:shd w:val="clear" w:color="auto" w:fill="auto"/>
          </w:tcPr>
          <w:p w14:paraId="769420BC">
            <w:pPr>
              <w:widowControl/>
              <w:rPr>
                <w:rFonts w:ascii="宋体" w:hAnsi="宋体" w:eastAsia="宋体" w:cs="宋体"/>
                <w:kern w:val="0"/>
                <w:sz w:val="24"/>
                <w:szCs w:val="24"/>
              </w:rPr>
            </w:pPr>
            <w:r>
              <w:rPr>
                <w:rFonts w:hint="eastAsia" w:ascii="宋体" w:hAnsi="宋体" w:eastAsia="宋体" w:cs="宋体"/>
                <w:kern w:val="0"/>
                <w:sz w:val="24"/>
                <w:szCs w:val="24"/>
              </w:rPr>
              <w:t>外径总尺寸≥长4500mm*宽900mm*高2000mm±5（mm），每组床2个人位，包含床架2套，床铺板2张，椰棕床垫2张，学习椅子2把，衣柜2个，自习桌面2张，吊书架2个，机箱柜2个，楼梯踏步一套，以及床体连接件、柱脚外套等装配套件。1 床体焊接工艺采用二氧化碳保护焊接技术，喷涂前需进行喷砂除锈、打磨、除不规则焊点，柜体采用数控激光切割，进行无痕点焊、打磨、校政完成，涂面采用热固性喷塑粉末，经侵泡式酸洗除锈—预脱脂—脱脂—清水洗—磷化—烘干预热后，进行环氧树脂静电喷涂，经过高温、流平、固化等工序，使喷塑涂层耐腐蚀、耐冲击、涂层厚≥70um、涂层附着力≥2级。2. 床体颜色乳白色，表面喷塑处理，喷塑前必须对钢件清洗、除油污、除锈斑、对金属表面进行处理。3、坚固螺丝：钢制电镀，经过均经打磨、除锈、镀层处理。</w:t>
            </w:r>
          </w:p>
        </w:tc>
        <w:tc>
          <w:tcPr>
            <w:tcW w:w="380" w:type="pct"/>
            <w:shd w:val="clear" w:color="auto" w:fill="auto"/>
            <w:noWrap/>
          </w:tcPr>
          <w:p w14:paraId="289A4259">
            <w:pPr>
              <w:widowControl/>
              <w:jc w:val="center"/>
              <w:rPr>
                <w:rFonts w:ascii="宋体" w:hAnsi="宋体" w:eastAsia="宋体" w:cs="宋体"/>
                <w:kern w:val="0"/>
                <w:sz w:val="24"/>
                <w:szCs w:val="24"/>
              </w:rPr>
            </w:pPr>
            <w:r>
              <w:rPr>
                <w:rFonts w:hint="eastAsia" w:ascii="宋体" w:hAnsi="宋体" w:eastAsia="宋体" w:cs="宋体"/>
                <w:kern w:val="0"/>
                <w:sz w:val="24"/>
                <w:szCs w:val="24"/>
              </w:rPr>
              <w:t>人位</w:t>
            </w:r>
          </w:p>
        </w:tc>
        <w:tc>
          <w:tcPr>
            <w:tcW w:w="376" w:type="pct"/>
            <w:shd w:val="clear" w:color="auto" w:fill="auto"/>
            <w:noWrap/>
          </w:tcPr>
          <w:p w14:paraId="4C0FBE28">
            <w:pPr>
              <w:widowControl/>
              <w:jc w:val="center"/>
              <w:rPr>
                <w:rFonts w:ascii="宋体" w:hAnsi="宋体" w:eastAsia="宋体" w:cs="宋体"/>
                <w:kern w:val="0"/>
                <w:sz w:val="24"/>
                <w:szCs w:val="24"/>
              </w:rPr>
            </w:pPr>
            <w:r>
              <w:rPr>
                <w:rFonts w:hint="eastAsia" w:ascii="宋体" w:hAnsi="宋体" w:eastAsia="宋体" w:cs="宋体"/>
                <w:kern w:val="0"/>
                <w:sz w:val="24"/>
                <w:szCs w:val="24"/>
              </w:rPr>
              <w:t>40</w:t>
            </w:r>
          </w:p>
        </w:tc>
      </w:tr>
      <w:tr w14:paraId="0B15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02" w:type="pct"/>
            <w:shd w:val="clear" w:color="auto" w:fill="auto"/>
            <w:noWrap/>
          </w:tcPr>
          <w:p w14:paraId="748CE47E">
            <w:pPr>
              <w:widowControl/>
              <w:jc w:val="center"/>
              <w:rPr>
                <w:rFonts w:ascii="宋体" w:hAnsi="宋体" w:eastAsia="宋体" w:cs="宋体"/>
                <w:kern w:val="0"/>
                <w:sz w:val="24"/>
                <w:szCs w:val="24"/>
              </w:rPr>
            </w:pPr>
            <w:r>
              <w:rPr>
                <w:rFonts w:hint="eastAsia" w:ascii="宋体" w:hAnsi="宋体" w:eastAsia="宋体" w:cs="宋体"/>
                <w:kern w:val="0"/>
                <w:sz w:val="24"/>
                <w:szCs w:val="24"/>
              </w:rPr>
              <w:t>53</w:t>
            </w:r>
          </w:p>
        </w:tc>
        <w:tc>
          <w:tcPr>
            <w:tcW w:w="1005" w:type="pct"/>
            <w:shd w:val="clear" w:color="auto" w:fill="auto"/>
            <w:noWrap/>
          </w:tcPr>
          <w:p w14:paraId="70E907A5">
            <w:pPr>
              <w:widowControl/>
              <w:jc w:val="center"/>
              <w:rPr>
                <w:rFonts w:ascii="宋体" w:hAnsi="宋体" w:eastAsia="宋体" w:cs="宋体"/>
                <w:kern w:val="0"/>
                <w:sz w:val="24"/>
                <w:szCs w:val="24"/>
              </w:rPr>
            </w:pPr>
            <w:r>
              <w:rPr>
                <w:rFonts w:hint="eastAsia" w:ascii="宋体" w:hAnsi="宋体" w:eastAsia="宋体" w:cs="宋体"/>
                <w:kern w:val="0"/>
                <w:sz w:val="24"/>
                <w:szCs w:val="24"/>
              </w:rPr>
              <w:t>LED屏</w:t>
            </w:r>
          </w:p>
        </w:tc>
        <w:tc>
          <w:tcPr>
            <w:tcW w:w="2835" w:type="pct"/>
            <w:shd w:val="clear" w:color="auto" w:fill="auto"/>
          </w:tcPr>
          <w:p w14:paraId="15A14D0B">
            <w:pPr>
              <w:widowControl/>
              <w:rPr>
                <w:rFonts w:ascii="宋体" w:hAnsi="宋体" w:eastAsia="宋体" w:cs="宋体"/>
                <w:kern w:val="0"/>
                <w:sz w:val="24"/>
                <w:szCs w:val="24"/>
              </w:rPr>
            </w:pPr>
            <w:r>
              <w:rPr>
                <w:rFonts w:hint="eastAsia" w:ascii="宋体" w:hAnsi="宋体" w:eastAsia="宋体" w:cs="宋体"/>
                <w:kern w:val="0"/>
                <w:sz w:val="24"/>
                <w:szCs w:val="24"/>
              </w:rPr>
              <w:t>像数点间距2.5mm,像素密度:160000Dots/㎡</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像素构成:1R1G1B,灯管封装:SMD2020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尺寸(长*宽*厚)320*160*15mm重量0.37kg±0.01kg</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结构特点:灯驱合一,单元板分辨率:128*64=8192Dots</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输入电压(直流)4.5±0.1V,最大电流≤5.2A</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单元板功率≤23W,驱动方式:1/64恒流驱动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40A电源带单元板数:5-6张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50A电源带单元板数:6-7张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40A PFC电源带单元板数:6-7张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80A电源带单元板数:10-12张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亮度≥400cd/㎡,亮度均匀性＞0.95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屏幕水平视角:140±10度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屏幕垂直视角:130±10度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最佳视距≥2.5m,使用环境:室内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每平方单元板最大功率≤457W/㎡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配电功率（每平方最大功率÷78%÷85%）≤689W/m2</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灰度等级:红、绿、蓝各12-14bits</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显示颜色:43980亿种,换帧频率≥60帧/秒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刷新频率:3840Hz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控制方式:计算机控制，逐点一一对应，视频同步，实时显示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亮度调节256级手动/自动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输入信号DVI/VGA/HDMI/DP、复合视频信号、S-VIDEO、YpbPr(HDTV)</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使用寿命≥10万小时,平均无故障时间≥1万小时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衰减率(工作3年)≤15％连续失控点0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离散失控点＜0.0001，出厂时为0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盲点率＜0.0003，出厂时为0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工作温度范围:-20-40℃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工作湿度范围:10％-65％RH(无结露)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防护性能:超温/过载/掉电/图像补偿/各种校正技术/过流/过压/防雷(可选项)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屏幕水平平整度＜1mm/㎡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屏幕垂直平整度＜1mm/㎡</w:t>
            </w:r>
          </w:p>
        </w:tc>
        <w:tc>
          <w:tcPr>
            <w:tcW w:w="380" w:type="pct"/>
            <w:shd w:val="clear" w:color="auto" w:fill="auto"/>
            <w:noWrap/>
          </w:tcPr>
          <w:p w14:paraId="0D8171C3">
            <w:pPr>
              <w:widowControl/>
              <w:jc w:val="center"/>
              <w:rPr>
                <w:rFonts w:ascii="宋体" w:hAnsi="宋体" w:eastAsia="宋体" w:cs="宋体"/>
                <w:kern w:val="0"/>
                <w:sz w:val="24"/>
                <w:szCs w:val="24"/>
              </w:rPr>
            </w:pPr>
            <w:r>
              <w:rPr>
                <w:rFonts w:hint="eastAsia" w:ascii="宋体" w:hAnsi="宋体" w:eastAsia="宋体" w:cs="宋体"/>
                <w:kern w:val="0"/>
                <w:sz w:val="24"/>
                <w:szCs w:val="24"/>
              </w:rPr>
              <w:t>平方米</w:t>
            </w:r>
          </w:p>
        </w:tc>
        <w:tc>
          <w:tcPr>
            <w:tcW w:w="376" w:type="pct"/>
            <w:shd w:val="clear" w:color="auto" w:fill="auto"/>
            <w:noWrap/>
          </w:tcPr>
          <w:p w14:paraId="43B15B4C">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bl>
    <w:p w14:paraId="5117FE32">
      <w:pPr>
        <w:pStyle w:val="88"/>
        <w:numPr>
          <w:ilvl w:val="0"/>
          <w:numId w:val="0"/>
        </w:numPr>
        <w:outlineLvl w:val="1"/>
        <w:rPr>
          <w:rFonts w:hint="eastAsia" w:ascii="仿宋" w:hAnsi="仿宋" w:eastAsia="仿宋" w:cs="仿宋"/>
          <w:b/>
          <w:bCs/>
          <w:sz w:val="32"/>
          <w:szCs w:val="32"/>
          <w:lang w:val="en-US" w:eastAsia="zh-CN"/>
        </w:rPr>
      </w:pPr>
    </w:p>
    <w:p w14:paraId="0BEC2A56">
      <w:pPr>
        <w:keepNext w:val="0"/>
        <w:keepLines w:val="0"/>
        <w:widowControl/>
        <w:numPr>
          <w:ilvl w:val="0"/>
          <w:numId w:val="0"/>
        </w:numPr>
        <w:suppressLineNumbers w:val="0"/>
        <w:ind w:left="0" w:leftChars="0"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bidi="ar"/>
        </w:rPr>
        <w:t>采购项目预算：85万元（采购人不接受超过采购项目预算的投标）</w:t>
      </w:r>
    </w:p>
    <w:p w14:paraId="2D173A55">
      <w:pPr>
        <w:spacing w:line="240" w:lineRule="auto"/>
        <w:ind w:firstLine="482"/>
        <w:outlineLvl w:val="9"/>
        <w:rPr>
          <w:rFonts w:hint="eastAsia" w:ascii="仿宋" w:hAnsi="仿宋" w:eastAsia="仿宋" w:cs="仿宋"/>
          <w:color w:val="000000"/>
          <w:sz w:val="32"/>
          <w:szCs w:val="32"/>
          <w:lang w:val="en"/>
        </w:rPr>
      </w:pPr>
      <w:bookmarkStart w:id="180" w:name="_Toc18185"/>
      <w:bookmarkStart w:id="181" w:name="_Toc20108"/>
      <w:bookmarkStart w:id="182" w:name="_Toc22750"/>
      <w:bookmarkStart w:id="183" w:name="_Toc8661"/>
      <w:r>
        <w:rPr>
          <w:rFonts w:hint="eastAsia" w:ascii="华文楷体" w:hAnsi="华文楷体" w:eastAsia="华文楷体" w:cs="华文楷体"/>
          <w:b/>
          <w:bCs/>
          <w:color w:val="000000"/>
          <w:sz w:val="32"/>
          <w:szCs w:val="32"/>
          <w:lang w:val="zh-CN"/>
        </w:rPr>
        <w:t>二、评审方法及标准</w:t>
      </w:r>
      <w:bookmarkEnd w:id="180"/>
      <w:bookmarkEnd w:id="181"/>
      <w:bookmarkEnd w:id="182"/>
      <w:bookmarkEnd w:id="183"/>
    </w:p>
    <w:p w14:paraId="17E05724">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
        </w:rPr>
        <w:t>谈判小组</w:t>
      </w:r>
      <w:r>
        <w:rPr>
          <w:rFonts w:hint="eastAsia" w:ascii="仿宋" w:hAnsi="仿宋" w:eastAsia="仿宋" w:cs="仿宋"/>
          <w:color w:val="000000"/>
          <w:sz w:val="32"/>
          <w:szCs w:val="32"/>
          <w:lang w:val="zh-CN"/>
        </w:rPr>
        <w:t>将只对商务（</w:t>
      </w:r>
      <w:r>
        <w:rPr>
          <w:rFonts w:hint="eastAsia" w:ascii="仿宋" w:hAnsi="仿宋" w:eastAsia="仿宋" w:cs="仿宋"/>
          <w:color w:val="000000"/>
          <w:sz w:val="32"/>
          <w:szCs w:val="32"/>
          <w:lang w:val="en"/>
        </w:rPr>
        <w:t>供应商</w:t>
      </w:r>
      <w:r>
        <w:rPr>
          <w:rFonts w:hint="eastAsia" w:ascii="仿宋" w:hAnsi="仿宋" w:eastAsia="仿宋" w:cs="仿宋"/>
          <w:color w:val="000000"/>
          <w:sz w:val="32"/>
          <w:szCs w:val="32"/>
          <w:lang w:val="zh-CN"/>
        </w:rPr>
        <w:t>资格）审查和技术（符合性）审查均符合竞争性谈判文件要求的</w:t>
      </w:r>
      <w:r>
        <w:rPr>
          <w:rFonts w:hint="eastAsia" w:ascii="仿宋" w:hAnsi="仿宋" w:eastAsia="仿宋" w:cs="仿宋"/>
          <w:color w:val="000000"/>
          <w:sz w:val="32"/>
          <w:szCs w:val="32"/>
          <w:lang w:val="en"/>
        </w:rPr>
        <w:t>响应文件</w:t>
      </w:r>
      <w:r>
        <w:rPr>
          <w:rFonts w:hint="eastAsia" w:ascii="仿宋" w:hAnsi="仿宋" w:eastAsia="仿宋" w:cs="仿宋"/>
          <w:color w:val="000000"/>
          <w:sz w:val="32"/>
          <w:szCs w:val="32"/>
          <w:lang w:val="zh-CN"/>
        </w:rPr>
        <w:t>进行详细评审。</w:t>
      </w:r>
    </w:p>
    <w:p w14:paraId="65E6C57A">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lang w:val="zh-CN"/>
        </w:rPr>
        <w:t>.1 本项目采用最低评标价法评审</w:t>
      </w:r>
      <w:r>
        <w:rPr>
          <w:rFonts w:hint="eastAsia" w:ascii="仿宋" w:hAnsi="仿宋" w:eastAsia="仿宋" w:cs="仿宋"/>
          <w:b/>
          <w:bCs/>
          <w:color w:val="000000"/>
          <w:sz w:val="32"/>
          <w:szCs w:val="32"/>
          <w:lang w:val="en"/>
        </w:rPr>
        <w:t>。</w:t>
      </w:r>
      <w:r>
        <w:rPr>
          <w:rFonts w:hint="eastAsia" w:ascii="仿宋" w:hAnsi="仿宋" w:eastAsia="仿宋" w:cs="仿宋"/>
          <w:color w:val="000000"/>
          <w:sz w:val="32"/>
          <w:szCs w:val="32"/>
          <w:lang w:val="zh-CN"/>
        </w:rPr>
        <w:t>谈判小组将按下述标准</w:t>
      </w:r>
      <w:r>
        <w:rPr>
          <w:rFonts w:hint="eastAsia" w:ascii="仿宋" w:hAnsi="仿宋" w:eastAsia="仿宋" w:cs="仿宋"/>
          <w:bCs/>
          <w:color w:val="000000"/>
          <w:sz w:val="32"/>
          <w:szCs w:val="32"/>
        </w:rPr>
        <w:t>评定成交供应商并对成交候选供应商进行排序。</w:t>
      </w:r>
      <w:r>
        <w:rPr>
          <w:rFonts w:hint="eastAsia" w:ascii="仿宋" w:hAnsi="仿宋" w:eastAsia="仿宋" w:cs="仿宋"/>
          <w:color w:val="000000"/>
          <w:sz w:val="32"/>
          <w:szCs w:val="32"/>
          <w:lang w:val="zh-CN"/>
        </w:rPr>
        <w:t>按评标价由低到高顺序排列，评标价相同的按技术指标优劣顺序排列。</w:t>
      </w:r>
      <w:r>
        <w:rPr>
          <w:rFonts w:hint="eastAsia" w:ascii="仿宋" w:hAnsi="仿宋" w:eastAsia="仿宋" w:cs="仿宋"/>
          <w:b w:val="0"/>
          <w:bCs w:val="0"/>
          <w:color w:val="000000"/>
          <w:sz w:val="32"/>
          <w:szCs w:val="32"/>
          <w:lang w:val="zh-CN"/>
        </w:rPr>
        <w:t>本项目不接受任何额外捐赠。</w:t>
      </w:r>
      <w:r>
        <w:rPr>
          <w:rFonts w:hint="eastAsia" w:ascii="仿宋" w:hAnsi="仿宋" w:eastAsia="仿宋" w:cs="仿宋"/>
          <w:b w:val="0"/>
          <w:bCs w:val="0"/>
          <w:color w:val="000000"/>
          <w:sz w:val="32"/>
          <w:szCs w:val="32"/>
          <w:lang w:val="en"/>
        </w:rPr>
        <w:t>谈判小组</w:t>
      </w:r>
      <w:r>
        <w:rPr>
          <w:rFonts w:hint="eastAsia" w:ascii="仿宋" w:hAnsi="仿宋" w:eastAsia="仿宋" w:cs="仿宋"/>
          <w:b w:val="0"/>
          <w:bCs w:val="0"/>
          <w:color w:val="000000"/>
          <w:sz w:val="32"/>
          <w:szCs w:val="32"/>
          <w:lang w:val="zh-CN"/>
        </w:rPr>
        <w:t xml:space="preserve">在评审时，将按下列规定计算价格扣除： </w:t>
      </w:r>
    </w:p>
    <w:p w14:paraId="1E5ADFE0">
      <w:pPr>
        <w:spacing w:line="240" w:lineRule="auto"/>
        <w:rPr>
          <w:rFonts w:hint="eastAsia" w:ascii="仿宋" w:hAnsi="仿宋" w:eastAsia="仿宋" w:cs="仿宋"/>
          <w:b w:val="0"/>
          <w:bCs w:val="0"/>
          <w:color w:val="000000"/>
          <w:sz w:val="32"/>
          <w:szCs w:val="32"/>
          <w:lang w:val="zh-CN"/>
        </w:rPr>
      </w:pPr>
      <w:r>
        <w:rPr>
          <w:rFonts w:hint="eastAsia" w:ascii="仿宋" w:hAnsi="仿宋" w:eastAsia="仿宋" w:cs="仿宋"/>
          <w:b/>
          <w:bCs/>
          <w:color w:val="000000"/>
          <w:sz w:val="32"/>
          <w:szCs w:val="32"/>
          <w:lang w:val="zh-CN"/>
        </w:rPr>
        <w:t xml:space="preserve">    </w:t>
      </w:r>
      <w:r>
        <w:rPr>
          <w:rFonts w:hint="eastAsia" w:ascii="仿宋" w:hAnsi="仿宋" w:eastAsia="仿宋" w:cs="仿宋"/>
          <w:b/>
          <w:bCs/>
          <w:color w:val="000000"/>
          <w:sz w:val="32"/>
          <w:szCs w:val="32"/>
          <w:lang w:val="en-US" w:eastAsia="zh-CN"/>
        </w:rPr>
        <w:t>2</w:t>
      </w:r>
      <w:r>
        <w:rPr>
          <w:rFonts w:hint="eastAsia" w:ascii="仿宋" w:hAnsi="仿宋" w:eastAsia="仿宋" w:cs="仿宋"/>
          <w:b w:val="0"/>
          <w:bCs w:val="0"/>
          <w:color w:val="000000"/>
          <w:sz w:val="32"/>
          <w:szCs w:val="32"/>
          <w:lang w:val="en"/>
        </w:rPr>
        <w:t xml:space="preserve">.1.1 </w:t>
      </w:r>
      <w:r>
        <w:rPr>
          <w:rFonts w:hint="eastAsia" w:ascii="仿宋" w:hAnsi="仿宋" w:eastAsia="仿宋" w:cs="仿宋"/>
          <w:b w:val="0"/>
          <w:bCs w:val="0"/>
          <w:color w:val="000000"/>
          <w:sz w:val="32"/>
          <w:szCs w:val="32"/>
        </w:rPr>
        <w:t>对于列入财政部、发展改革委、生态环境部、市场监管总局发布的《节能产品、环境认证产品政府采购品目清单》但不属于国家强制采购的产品，对其投标价格给予3%的价格扣除，并按照扣除后的价格参加排序。</w:t>
      </w:r>
    </w:p>
    <w:p w14:paraId="2DCEC8AC">
      <w:pPr>
        <w:spacing w:line="240" w:lineRule="auto"/>
        <w:ind w:firstLine="627" w:firstLineChars="196"/>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lang w:val="en"/>
        </w:rPr>
        <w:t xml:space="preserve">.1.2 </w:t>
      </w:r>
      <w:r>
        <w:rPr>
          <w:rFonts w:hint="eastAsia" w:ascii="仿宋" w:hAnsi="仿宋" w:eastAsia="仿宋" w:cs="仿宋"/>
          <w:b w:val="0"/>
          <w:bCs w:val="0"/>
          <w:color w:val="000000"/>
          <w:sz w:val="32"/>
          <w:szCs w:val="32"/>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39FC7D8">
      <w:pPr>
        <w:spacing w:line="240" w:lineRule="auto"/>
        <w:ind w:firstLine="627" w:firstLineChars="196"/>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lang w:val="en"/>
        </w:rPr>
        <w:t xml:space="preserve">.1.3 </w:t>
      </w:r>
      <w:r>
        <w:rPr>
          <w:rFonts w:hint="eastAsia" w:ascii="仿宋" w:hAnsi="仿宋" w:eastAsia="仿宋" w:cs="仿宋"/>
          <w:b w:val="0"/>
          <w:bCs w:val="0"/>
          <w:color w:val="000000"/>
          <w:sz w:val="32"/>
          <w:szCs w:val="32"/>
        </w:rPr>
        <w:t>投标产品同时列入上述多个清单的，将上述规定的价格扣除比例叠加后计算价格扣除。</w:t>
      </w:r>
    </w:p>
    <w:p w14:paraId="0FCB0DA4">
      <w:pPr>
        <w:spacing w:line="240" w:lineRule="auto"/>
        <w:ind w:firstLine="627" w:firstLineChars="196"/>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lang w:val="en"/>
        </w:rPr>
        <w:t xml:space="preserve">.1.4 </w:t>
      </w:r>
      <w:r>
        <w:rPr>
          <w:rFonts w:hint="eastAsia" w:ascii="仿宋" w:hAnsi="仿宋" w:eastAsia="仿宋" w:cs="仿宋"/>
          <w:b w:val="0"/>
          <w:bCs w:val="0"/>
          <w:color w:val="000000"/>
          <w:sz w:val="32"/>
          <w:szCs w:val="32"/>
        </w:rPr>
        <w:t>根据财库【2020】46号文件规定，对中小型企业的产品给予</w:t>
      </w:r>
      <w:r>
        <w:rPr>
          <w:rFonts w:hint="eastAsia" w:ascii="仿宋" w:hAnsi="仿宋" w:eastAsia="仿宋" w:cs="仿宋"/>
          <w:b w:val="0"/>
          <w:bCs w:val="0"/>
          <w:color w:val="000000"/>
          <w:sz w:val="32"/>
          <w:szCs w:val="32"/>
          <w:lang w:val="en-US" w:eastAsia="zh-CN"/>
        </w:rPr>
        <w:t>10</w:t>
      </w:r>
      <w:r>
        <w:rPr>
          <w:rFonts w:hint="eastAsia" w:ascii="仿宋" w:hAnsi="仿宋" w:eastAsia="仿宋" w:cs="仿宋"/>
          <w:b w:val="0"/>
          <w:bCs w:val="0"/>
          <w:color w:val="000000"/>
          <w:sz w:val="32"/>
          <w:szCs w:val="32"/>
        </w:rPr>
        <w:t>%的价格扣除，</w:t>
      </w:r>
      <w:r>
        <w:rPr>
          <w:rFonts w:hint="eastAsia" w:ascii="仿宋" w:hAnsi="仿宋" w:eastAsia="仿宋" w:cs="仿宋"/>
          <w:b w:val="0"/>
          <w:bCs w:val="0"/>
          <w:color w:val="000000"/>
          <w:sz w:val="32"/>
          <w:szCs w:val="32"/>
          <w:lang w:val="zh-CN"/>
        </w:rPr>
        <w:t>并按照扣除后的价格参加排序。</w:t>
      </w:r>
    </w:p>
    <w:p w14:paraId="7C805156">
      <w:pPr>
        <w:spacing w:line="240" w:lineRule="auto"/>
        <w:ind w:firstLine="640" w:firstLineChars="200"/>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lang w:val="en"/>
        </w:rPr>
        <w:t>.1.5 价</w:t>
      </w:r>
      <w:r>
        <w:rPr>
          <w:rFonts w:hint="eastAsia" w:ascii="仿宋" w:hAnsi="仿宋" w:eastAsia="仿宋" w:cs="仿宋"/>
          <w:b w:val="0"/>
          <w:bCs w:val="0"/>
          <w:color w:val="000000"/>
          <w:sz w:val="32"/>
          <w:szCs w:val="32"/>
        </w:rPr>
        <w:t>格扣除的依据：</w:t>
      </w:r>
      <w:r>
        <w:rPr>
          <w:rFonts w:hint="eastAsia" w:ascii="仿宋" w:hAnsi="仿宋" w:eastAsia="仿宋" w:cs="仿宋"/>
          <w:b w:val="0"/>
          <w:bCs w:val="0"/>
          <w:color w:val="000000"/>
          <w:sz w:val="32"/>
          <w:szCs w:val="32"/>
          <w:lang w:val="en"/>
        </w:rPr>
        <w:t>上述</w:t>
      </w:r>
      <w:r>
        <w:rPr>
          <w:rFonts w:hint="eastAsia" w:ascii="仿宋" w:hAnsi="仿宋" w:eastAsia="仿宋" w:cs="仿宋"/>
          <w:b w:val="0"/>
          <w:bCs w:val="0"/>
          <w:color w:val="000000"/>
          <w:sz w:val="32"/>
          <w:szCs w:val="32"/>
        </w:rPr>
        <w:t>第1至3条提供投标</w:t>
      </w:r>
      <w:r>
        <w:rPr>
          <w:rFonts w:hint="eastAsia" w:ascii="仿宋" w:hAnsi="仿宋" w:eastAsia="仿宋" w:cs="仿宋"/>
          <w:b w:val="0"/>
          <w:bCs w:val="0"/>
          <w:color w:val="000000"/>
          <w:sz w:val="32"/>
          <w:szCs w:val="32"/>
          <w:lang w:eastAsia="zh-CN"/>
        </w:rPr>
        <w:t>货物</w:t>
      </w:r>
      <w:r>
        <w:rPr>
          <w:rFonts w:hint="eastAsia" w:ascii="仿宋" w:hAnsi="仿宋" w:eastAsia="仿宋" w:cs="仿宋"/>
          <w:b w:val="0"/>
          <w:bCs w:val="0"/>
          <w:color w:val="000000"/>
          <w:sz w:val="32"/>
          <w:szCs w:val="32"/>
        </w:rPr>
        <w:t>相关认证证书复印件加盖</w:t>
      </w:r>
      <w:r>
        <w:rPr>
          <w:rFonts w:hint="eastAsia" w:ascii="仿宋" w:hAnsi="仿宋" w:eastAsia="仿宋" w:cs="仿宋"/>
          <w:b w:val="0"/>
          <w:bCs w:val="0"/>
          <w:color w:val="000000"/>
          <w:sz w:val="32"/>
          <w:szCs w:val="32"/>
          <w:lang w:val="en"/>
        </w:rPr>
        <w:t>供应商</w:t>
      </w:r>
      <w:r>
        <w:rPr>
          <w:rFonts w:hint="eastAsia" w:ascii="仿宋" w:hAnsi="仿宋" w:eastAsia="仿宋" w:cs="仿宋"/>
          <w:b w:val="0"/>
          <w:bCs w:val="0"/>
          <w:color w:val="000000"/>
          <w:sz w:val="32"/>
          <w:szCs w:val="32"/>
        </w:rPr>
        <w:t>公章。第4条提供中小企业声明函。投标货物</w:t>
      </w:r>
      <w:r>
        <w:rPr>
          <w:rFonts w:hint="eastAsia" w:ascii="仿宋" w:hAnsi="仿宋" w:eastAsia="仿宋" w:cs="仿宋"/>
          <w:b w:val="0"/>
          <w:bCs w:val="0"/>
          <w:color w:val="000000"/>
          <w:sz w:val="32"/>
          <w:szCs w:val="32"/>
          <w:lang w:eastAsia="zh-CN"/>
        </w:rPr>
        <w:t>为残疾人企业或监狱企业生产，视同小微企业。</w:t>
      </w:r>
    </w:p>
    <w:p w14:paraId="2D30EE7A">
      <w:pPr>
        <w:spacing w:line="240" w:lineRule="auto"/>
        <w:ind w:firstLine="482"/>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lang w:val="zh-CN"/>
        </w:rPr>
        <w:t>.2 在确定成交结果之前，谈判小组将当场向参加谈判的供应商宣布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14:paraId="649F169E">
      <w:pPr>
        <w:pStyle w:val="50"/>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auto"/>
          <w:sz w:val="32"/>
          <w:szCs w:val="32"/>
          <w:lang w:val="en-US" w:eastAsia="zh-CN"/>
        </w:rPr>
        <w:t>2.3 本项目采购人书面授权谈判小组直接确定成交供应商。</w:t>
      </w:r>
    </w:p>
    <w:p w14:paraId="4A0CE59F">
      <w:pPr>
        <w:spacing w:line="240" w:lineRule="auto"/>
        <w:ind w:firstLine="561" w:firstLineChars="175"/>
        <w:outlineLvl w:val="1"/>
        <w:rPr>
          <w:rFonts w:hint="eastAsia" w:ascii="华文楷体" w:hAnsi="华文楷体" w:eastAsia="华文楷体" w:cs="华文楷体"/>
          <w:b/>
          <w:bCs/>
          <w:color w:val="000000"/>
          <w:sz w:val="32"/>
          <w:szCs w:val="32"/>
          <w:highlight w:val="none"/>
          <w:lang w:val="zh-CN"/>
        </w:rPr>
      </w:pPr>
      <w:bookmarkStart w:id="184" w:name="_Toc1194"/>
      <w:bookmarkStart w:id="185" w:name="_Toc18957"/>
      <w:bookmarkStart w:id="186" w:name="_Toc3660"/>
      <w:bookmarkStart w:id="187" w:name="_Toc5529"/>
      <w:r>
        <w:rPr>
          <w:rFonts w:hint="eastAsia" w:ascii="华文楷体" w:hAnsi="华文楷体" w:eastAsia="华文楷体" w:cs="华文楷体"/>
          <w:b/>
          <w:bCs/>
          <w:color w:val="000000"/>
          <w:sz w:val="32"/>
          <w:szCs w:val="32"/>
          <w:highlight w:val="none"/>
          <w:lang w:val="zh-CN"/>
        </w:rPr>
        <w:t>三、售后服务要求</w:t>
      </w:r>
      <w:bookmarkEnd w:id="184"/>
      <w:bookmarkEnd w:id="185"/>
      <w:bookmarkEnd w:id="186"/>
      <w:bookmarkEnd w:id="187"/>
    </w:p>
    <w:p w14:paraId="15A92246">
      <w:pPr>
        <w:spacing w:line="240" w:lineRule="auto"/>
        <w:ind w:firstLine="482"/>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交货时间：合同签订后20天内</w:t>
      </w:r>
    </w:p>
    <w:p w14:paraId="1D02858E">
      <w:pPr>
        <w:spacing w:line="240" w:lineRule="auto"/>
        <w:ind w:firstLine="482"/>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交货地点：和龙市职业中等专业学校（和龙市文化街职业中学胡同5号）</w:t>
      </w:r>
    </w:p>
    <w:p w14:paraId="52F5DD02">
      <w:pPr>
        <w:spacing w:line="240" w:lineRule="auto"/>
        <w:ind w:firstLine="482"/>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售后服务：</w:t>
      </w:r>
    </w:p>
    <w:p w14:paraId="5C4B2FE2">
      <w:pPr>
        <w:spacing w:line="240" w:lineRule="auto"/>
        <w:ind w:firstLine="482"/>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1.具有完备的售后服务体系；售后服务承诺完善，充分满足用户要求且提供优质服务，可实现本地化上门服务，快速反应、及时服务。</w:t>
      </w:r>
    </w:p>
    <w:p w14:paraId="0A6CE347">
      <w:pPr>
        <w:spacing w:line="240" w:lineRule="auto"/>
        <w:ind w:firstLine="482"/>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2.设计、安装、调试、培训、充分满足业主要求，达到优质、高效服务。</w:t>
      </w:r>
    </w:p>
    <w:p w14:paraId="470A3917">
      <w:pPr>
        <w:spacing w:line="240" w:lineRule="auto"/>
        <w:ind w:firstLine="482"/>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3.所提供的货物均按国家“三包”规定提供质量保证和服务。</w:t>
      </w:r>
    </w:p>
    <w:p w14:paraId="51DF4102">
      <w:pPr>
        <w:spacing w:line="240" w:lineRule="auto"/>
        <w:ind w:firstLine="482"/>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4.提供的货物在质量保质期内因货物本身的质量问题发生故障时，供应商应该负责免费更换。对达不到技术要求时根据实际情况采取更换、退货处理。</w:t>
      </w:r>
    </w:p>
    <w:p w14:paraId="26206B9C">
      <w:pPr>
        <w:spacing w:line="240" w:lineRule="auto"/>
        <w:ind w:firstLine="482"/>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5.在保质期内，如在使用过程中发生质量问题，供应商应该对货物出现的质量及安全问题负责处理解决并承担一切费用。</w:t>
      </w:r>
    </w:p>
    <w:p w14:paraId="6AABC5C6">
      <w:pPr>
        <w:spacing w:line="240" w:lineRule="auto"/>
        <w:ind w:firstLine="482"/>
        <w:rPr>
          <w:rFonts w:hint="eastAsia" w:ascii="仿宋" w:hAnsi="仿宋" w:eastAsia="仿宋" w:cs="仿宋"/>
          <w:b w:val="0"/>
          <w:bCs w:val="0"/>
          <w:color w:val="000000"/>
          <w:sz w:val="32"/>
          <w:szCs w:val="32"/>
          <w:highlight w:val="none"/>
          <w:lang w:val="en" w:eastAsia="zh-CN"/>
        </w:rPr>
      </w:pPr>
      <w:r>
        <w:rPr>
          <w:rFonts w:hint="eastAsia" w:ascii="仿宋" w:hAnsi="仿宋" w:eastAsia="仿宋" w:cs="仿宋"/>
          <w:b w:val="0"/>
          <w:bCs w:val="0"/>
          <w:color w:val="000000"/>
          <w:sz w:val="32"/>
          <w:szCs w:val="32"/>
          <w:highlight w:val="none"/>
          <w:lang w:val="en-US" w:eastAsia="zh-CN"/>
        </w:rPr>
        <w:t>6.货物免费保修期为36个月。</w:t>
      </w:r>
    </w:p>
    <w:p w14:paraId="7DEBA4B9">
      <w:pPr>
        <w:spacing w:line="240" w:lineRule="auto"/>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zh-CN"/>
        </w:rPr>
        <w:t>四、履约保证金：</w:t>
      </w:r>
      <w:r>
        <w:rPr>
          <w:rFonts w:hint="eastAsia" w:ascii="仿宋" w:hAnsi="仿宋" w:eastAsia="仿宋" w:cs="仿宋"/>
          <w:b/>
          <w:bCs/>
          <w:color w:val="000000"/>
          <w:sz w:val="32"/>
          <w:szCs w:val="32"/>
          <w:lang w:val="en-US" w:eastAsia="zh-CN"/>
        </w:rPr>
        <w:t>无</w:t>
      </w:r>
    </w:p>
    <w:p w14:paraId="192D222F">
      <w:pPr>
        <w:spacing w:line="240" w:lineRule="auto"/>
        <w:ind w:firstLine="643" w:firstLineChars="200"/>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五、付款方式、条件、次数</w:t>
      </w:r>
    </w:p>
    <w:p w14:paraId="7B205312">
      <w:pPr>
        <w:spacing w:line="240" w:lineRule="auto"/>
        <w:rPr>
          <w:rFonts w:hint="eastAsia" w:ascii="仿宋" w:hAnsi="仿宋" w:eastAsia="仿宋" w:cs="仿宋"/>
          <w:b w:val="0"/>
          <w:bCs w:val="0"/>
          <w:color w:val="auto"/>
          <w:sz w:val="32"/>
          <w:szCs w:val="32"/>
          <w:highlight w:val="none"/>
          <w:lang w:val="zh-CN"/>
        </w:rPr>
      </w:pPr>
      <w:r>
        <w:rPr>
          <w:rFonts w:hint="eastAsia" w:ascii="仿宋" w:hAnsi="仿宋" w:eastAsia="仿宋" w:cs="仿宋"/>
          <w:b w:val="0"/>
          <w:bCs w:val="0"/>
          <w:color w:val="auto"/>
          <w:sz w:val="32"/>
          <w:szCs w:val="32"/>
          <w:lang w:val="zh-CN"/>
        </w:rPr>
        <w:t xml:space="preserve">   </w:t>
      </w:r>
      <w:r>
        <w:rPr>
          <w:rFonts w:hint="eastAsia" w:ascii="仿宋" w:hAnsi="仿宋" w:eastAsia="仿宋" w:cs="仿宋"/>
          <w:b w:val="0"/>
          <w:bCs w:val="0"/>
          <w:color w:val="auto"/>
          <w:sz w:val="32"/>
          <w:szCs w:val="32"/>
          <w:highlight w:val="none"/>
          <w:lang w:val="zh-CN"/>
        </w:rPr>
        <w:t xml:space="preserve"> </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lang w:val="zh-CN"/>
        </w:rPr>
        <w:t>.1 成交供应商提供货物时应提交下列文件：销售发票[发票抬头格式：需方单位名称]，包括但不限于：国家有关机构出具的检验报告或证书等。</w:t>
      </w:r>
    </w:p>
    <w:p w14:paraId="60F9610B">
      <w:pPr>
        <w:spacing w:line="240" w:lineRule="auto"/>
        <w:ind w:firstLine="480"/>
        <w:rPr>
          <w:rFonts w:hint="eastAsia" w:ascii="仿宋" w:hAnsi="仿宋" w:eastAsia="仿宋" w:cs="仿宋"/>
          <w:b w:val="0"/>
          <w:bCs w:val="0"/>
          <w:color w:val="auto"/>
          <w:sz w:val="32"/>
          <w:szCs w:val="32"/>
          <w:highlight w:val="none"/>
          <w:lang w:val="zh-CN"/>
        </w:rPr>
      </w:pP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lang w:val="zh-CN"/>
        </w:rPr>
        <w:t>.</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val="zh-CN"/>
        </w:rPr>
        <w:t xml:space="preserve"> 采购人自行付款：所有设备安装调试，验收合格后30日内支付全部合同金额。</w:t>
      </w:r>
    </w:p>
    <w:p w14:paraId="1842F7B2">
      <w:pPr>
        <w:spacing w:line="240" w:lineRule="auto"/>
        <w:ind w:firstLine="640" w:firstLineChars="200"/>
        <w:outlineLvl w:val="1"/>
        <w:rPr>
          <w:rFonts w:hint="eastAsia" w:ascii="仿宋" w:hAnsi="仿宋" w:eastAsia="仿宋" w:cs="仿宋"/>
          <w:b w:val="0"/>
          <w:bCs w:val="0"/>
          <w:color w:val="auto"/>
          <w:sz w:val="32"/>
          <w:szCs w:val="32"/>
          <w:lang w:val="zh-CN"/>
        </w:rPr>
      </w:pPr>
      <w:bookmarkStart w:id="188" w:name="_Toc5819"/>
      <w:bookmarkStart w:id="189" w:name="_Toc30993"/>
      <w:bookmarkStart w:id="190" w:name="_Toc15661"/>
      <w:bookmarkStart w:id="191" w:name="_Toc20593"/>
      <w:r>
        <w:rPr>
          <w:rFonts w:hint="eastAsia" w:ascii="仿宋" w:hAnsi="仿宋" w:eastAsia="仿宋" w:cs="仿宋"/>
          <w:b w:val="0"/>
          <w:bCs w:val="0"/>
          <w:color w:val="auto"/>
          <w:sz w:val="32"/>
          <w:szCs w:val="32"/>
          <w:lang w:val="zh-CN"/>
        </w:rPr>
        <w:t>六、响应文件</w:t>
      </w:r>
      <w:bookmarkEnd w:id="188"/>
      <w:bookmarkEnd w:id="189"/>
      <w:bookmarkEnd w:id="190"/>
      <w:bookmarkEnd w:id="191"/>
      <w:r>
        <w:rPr>
          <w:rFonts w:hint="eastAsia" w:ascii="仿宋" w:hAnsi="仿宋" w:eastAsia="仿宋" w:cs="仿宋"/>
          <w:b w:val="0"/>
          <w:bCs w:val="0"/>
          <w:color w:val="auto"/>
          <w:sz w:val="32"/>
          <w:szCs w:val="32"/>
          <w:lang w:val="zh-CN"/>
        </w:rPr>
        <w:t>要求</w:t>
      </w:r>
    </w:p>
    <w:p w14:paraId="40C710EF">
      <w:pPr>
        <w:spacing w:line="240" w:lineRule="auto"/>
        <w:ind w:left="0" w:leftChars="0" w:firstLine="560" w:firstLineChars="175"/>
        <w:rPr>
          <w:rFonts w:hint="eastAsia" w:ascii="仿宋" w:hAnsi="仿宋" w:eastAsia="仿宋" w:cs="仿宋"/>
          <w:b w:val="0"/>
          <w:bCs w:val="0"/>
          <w:color w:val="auto"/>
          <w:sz w:val="32"/>
          <w:szCs w:val="32"/>
          <w:lang w:val="zh-CN"/>
        </w:rPr>
      </w:pPr>
      <w:r>
        <w:rPr>
          <w:rFonts w:hint="eastAsia" w:ascii="仿宋" w:hAnsi="仿宋" w:eastAsia="仿宋" w:cs="仿宋"/>
          <w:b w:val="0"/>
          <w:bCs w:val="0"/>
          <w:color w:val="auto"/>
          <w:sz w:val="32"/>
          <w:szCs w:val="32"/>
          <w:lang w:val="zh-CN"/>
        </w:rPr>
        <w:t>供应商必须按照谈判文件的规定，提交商务文件和技术文件。报价文件若有缺失、无效或者不符合谈判文件要求，将导致其报价被拒绝。</w:t>
      </w:r>
    </w:p>
    <w:p w14:paraId="0F5A28ED">
      <w:pPr>
        <w:spacing w:line="240" w:lineRule="auto"/>
        <w:ind w:firstLine="482"/>
        <w:outlineLvl w:val="1"/>
        <w:rPr>
          <w:rFonts w:hint="eastAsia" w:ascii="仿宋" w:hAnsi="仿宋" w:eastAsia="仿宋" w:cs="仿宋"/>
          <w:b w:val="0"/>
          <w:bCs w:val="0"/>
          <w:color w:val="000000"/>
          <w:sz w:val="32"/>
          <w:szCs w:val="32"/>
          <w:lang w:val="zh-CN"/>
        </w:rPr>
      </w:pPr>
      <w:bookmarkStart w:id="192" w:name="_Toc18308"/>
      <w:bookmarkStart w:id="193" w:name="_Toc992"/>
      <w:bookmarkStart w:id="194" w:name="_Toc19473"/>
      <w:bookmarkStart w:id="195" w:name="_Toc10993"/>
      <w:r>
        <w:rPr>
          <w:rFonts w:hint="eastAsia" w:ascii="仿宋" w:hAnsi="仿宋" w:eastAsia="仿宋" w:cs="仿宋"/>
          <w:b w:val="0"/>
          <w:bCs w:val="0"/>
          <w:color w:val="000000"/>
          <w:sz w:val="32"/>
          <w:szCs w:val="32"/>
          <w:lang w:val="zh-CN"/>
        </w:rPr>
        <w:t>七、其他要求</w:t>
      </w:r>
      <w:bookmarkEnd w:id="192"/>
      <w:bookmarkEnd w:id="193"/>
      <w:bookmarkEnd w:id="194"/>
      <w:bookmarkEnd w:id="195"/>
    </w:p>
    <w:p w14:paraId="38E25A9F">
      <w:pPr>
        <w:spacing w:line="240" w:lineRule="auto"/>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7.1</w:t>
      </w:r>
      <w:r>
        <w:rPr>
          <w:rFonts w:hint="eastAsia" w:ascii="仿宋" w:hAnsi="仿宋" w:eastAsia="仿宋" w:cs="仿宋"/>
          <w:color w:val="000000"/>
          <w:sz w:val="32"/>
          <w:szCs w:val="32"/>
          <w:lang w:val="zh-CN"/>
        </w:rPr>
        <w:t>供应商应对货物需求的所有货物投标，只允许有一个报价。任何有选择的报价将不予接受。</w:t>
      </w:r>
    </w:p>
    <w:p w14:paraId="4227971F">
      <w:pPr>
        <w:pStyle w:val="28"/>
        <w:rPr>
          <w:rFonts w:hint="default" w:eastAsia="仿宋"/>
          <w:lang w:val="en-US" w:eastAsia="zh-CN"/>
        </w:rPr>
      </w:pPr>
      <w:r>
        <w:rPr>
          <w:rFonts w:hint="eastAsia" w:ascii="仿宋" w:hAnsi="仿宋" w:eastAsia="仿宋" w:cs="仿宋"/>
          <w:color w:val="000000"/>
          <w:sz w:val="32"/>
          <w:szCs w:val="32"/>
          <w:lang w:val="en-US" w:eastAsia="zh-CN"/>
        </w:rPr>
        <w:t>7.2如无特别说明，本次采购货物所要求的功能配置均为内置的标准（固定）配置，任何通过外接方式实现要求的功能配置，均视为非实质性响应。</w:t>
      </w:r>
    </w:p>
    <w:p w14:paraId="5B3305F4">
      <w:pPr>
        <w:jc w:val="both"/>
        <w:rPr>
          <w:rFonts w:hint="eastAsia" w:ascii="仿宋" w:hAnsi="仿宋" w:eastAsia="仿宋" w:cs="仿宋"/>
          <w:b/>
          <w:bCs/>
          <w:color w:val="000000"/>
          <w:sz w:val="32"/>
          <w:szCs w:val="32"/>
          <w:lang w:val="zh-CN"/>
        </w:rPr>
      </w:pPr>
    </w:p>
    <w:p w14:paraId="367EE7A9">
      <w:pPr>
        <w:jc w:val="center"/>
        <w:outlineLvl w:val="0"/>
        <w:rPr>
          <w:rFonts w:hint="eastAsia" w:ascii="黑体" w:hAnsi="黑体" w:eastAsia="黑体" w:cs="黑体"/>
          <w:b/>
          <w:bCs/>
          <w:color w:val="000000"/>
          <w:sz w:val="32"/>
          <w:szCs w:val="32"/>
          <w:lang w:val="zh-CN"/>
        </w:rPr>
      </w:pPr>
      <w:bookmarkStart w:id="196" w:name="_Toc28104"/>
      <w:bookmarkStart w:id="197" w:name="_Toc20928"/>
      <w:bookmarkStart w:id="198" w:name="_Toc20000"/>
      <w:bookmarkStart w:id="199" w:name="_Toc9398"/>
      <w:bookmarkStart w:id="200" w:name="_Toc11961"/>
      <w:r>
        <w:rPr>
          <w:rFonts w:hint="eastAsia" w:ascii="黑体" w:hAnsi="黑体" w:eastAsia="黑体" w:cs="黑体"/>
          <w:b/>
          <w:bCs/>
          <w:color w:val="000000"/>
          <w:sz w:val="32"/>
          <w:szCs w:val="32"/>
          <w:lang w:val="zh-CN"/>
        </w:rPr>
        <w:t>第三章  响应文件构成、要求及格式</w:t>
      </w:r>
      <w:bookmarkEnd w:id="196"/>
      <w:bookmarkEnd w:id="197"/>
      <w:bookmarkEnd w:id="198"/>
      <w:bookmarkEnd w:id="199"/>
      <w:bookmarkEnd w:id="200"/>
    </w:p>
    <w:p w14:paraId="19168D84">
      <w:pPr>
        <w:jc w:val="center"/>
        <w:rPr>
          <w:rFonts w:hint="eastAsia" w:ascii="仿宋" w:hAnsi="仿宋" w:eastAsia="仿宋" w:cs="仿宋"/>
          <w:color w:val="000000"/>
          <w:sz w:val="32"/>
          <w:szCs w:val="32"/>
          <w:lang w:val="zh-CN"/>
        </w:rPr>
      </w:pPr>
    </w:p>
    <w:p w14:paraId="35D13D65">
      <w:pPr>
        <w:ind w:firstLine="482"/>
        <w:rPr>
          <w:rFonts w:hint="eastAsia" w:ascii="仿宋" w:hAnsi="仿宋" w:eastAsia="仿宋" w:cs="仿宋"/>
          <w:color w:val="000000"/>
          <w:sz w:val="32"/>
          <w:szCs w:val="32"/>
          <w:lang w:val="zh-CN"/>
        </w:rPr>
      </w:pPr>
      <w:r>
        <w:rPr>
          <w:rFonts w:hint="eastAsia" w:ascii="仿宋" w:hAnsi="仿宋" w:eastAsia="仿宋" w:cs="仿宋"/>
          <w:b/>
          <w:color w:val="000000"/>
          <w:sz w:val="32"/>
          <w:szCs w:val="32"/>
        </w:rPr>
        <w:t>1、</w:t>
      </w:r>
      <w:r>
        <w:rPr>
          <w:rFonts w:hint="eastAsia" w:ascii="仿宋" w:hAnsi="仿宋" w:eastAsia="仿宋" w:cs="仿宋"/>
          <w:color w:val="000000"/>
          <w:sz w:val="32"/>
          <w:szCs w:val="32"/>
          <w:lang w:val="zh-CN"/>
        </w:rPr>
        <w:t>如果要求提交的资格证明文件需要进行年检或更换的，但在报价时因当地有关管理部门尚未开展年检或更换的工作，使供应商不能提交经年检或合格的资格文件，供应商应提交相关管理机关出具的有效证明文件。</w:t>
      </w:r>
    </w:p>
    <w:p w14:paraId="07FF6D26">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2、如果供应商受地域限制不能提供谈判文件要求的有关文件的原件，应提供当地公证机关出具的公证书。</w:t>
      </w:r>
    </w:p>
    <w:p w14:paraId="1F91F320">
      <w:pPr>
        <w:ind w:firstLine="480"/>
        <w:rPr>
          <w:rFonts w:hint="eastAsia" w:ascii="仿宋" w:hAnsi="仿宋" w:eastAsia="仿宋" w:cs="仿宋"/>
          <w:color w:val="000000"/>
          <w:sz w:val="32"/>
          <w:szCs w:val="32"/>
        </w:rPr>
      </w:pPr>
      <w:r>
        <w:rPr>
          <w:rFonts w:hint="eastAsia" w:ascii="仿宋" w:hAnsi="仿宋" w:eastAsia="仿宋" w:cs="仿宋"/>
          <w:color w:val="000000"/>
          <w:sz w:val="32"/>
          <w:szCs w:val="32"/>
          <w:lang w:val="zh-CN"/>
        </w:rPr>
        <w:t>3、谈判小组将根据供应商提交的文件资料和自己的判断，决定供应商履行合同的合格性及能力。</w:t>
      </w:r>
    </w:p>
    <w:p w14:paraId="716A7509">
      <w:pPr>
        <w:rPr>
          <w:rFonts w:hint="eastAsia" w:ascii="仿宋" w:hAnsi="仿宋" w:eastAsia="仿宋" w:cs="仿宋"/>
          <w:color w:val="000000"/>
          <w:sz w:val="32"/>
          <w:szCs w:val="32"/>
          <w:lang w:val="zh-CN"/>
        </w:rPr>
      </w:pPr>
    </w:p>
    <w:p w14:paraId="3C868F35">
      <w:pPr>
        <w:pStyle w:val="28"/>
        <w:rPr>
          <w:rFonts w:hint="eastAsia" w:ascii="仿宋" w:hAnsi="仿宋" w:eastAsia="仿宋" w:cs="仿宋"/>
          <w:color w:val="000000"/>
          <w:sz w:val="32"/>
          <w:szCs w:val="32"/>
          <w:lang w:val="zh-CN"/>
        </w:rPr>
      </w:pPr>
    </w:p>
    <w:p w14:paraId="25813C04">
      <w:pPr>
        <w:pStyle w:val="28"/>
        <w:rPr>
          <w:rFonts w:hint="eastAsia" w:ascii="仿宋" w:hAnsi="仿宋" w:eastAsia="仿宋" w:cs="仿宋"/>
          <w:color w:val="000000"/>
          <w:sz w:val="32"/>
          <w:szCs w:val="32"/>
          <w:lang w:val="zh-CN"/>
        </w:rPr>
      </w:pPr>
    </w:p>
    <w:p w14:paraId="46A1A790">
      <w:pPr>
        <w:pStyle w:val="28"/>
        <w:rPr>
          <w:rFonts w:hint="eastAsia" w:ascii="仿宋" w:hAnsi="仿宋" w:eastAsia="仿宋" w:cs="仿宋"/>
          <w:color w:val="000000"/>
          <w:sz w:val="32"/>
          <w:szCs w:val="32"/>
          <w:lang w:val="zh-CN"/>
        </w:rPr>
      </w:pPr>
    </w:p>
    <w:p w14:paraId="5C29801A">
      <w:pPr>
        <w:pStyle w:val="28"/>
        <w:rPr>
          <w:rFonts w:hint="eastAsia" w:ascii="仿宋" w:hAnsi="仿宋" w:eastAsia="仿宋" w:cs="仿宋"/>
          <w:color w:val="000000"/>
          <w:sz w:val="32"/>
          <w:szCs w:val="32"/>
          <w:lang w:val="zh-CN"/>
        </w:rPr>
      </w:pPr>
    </w:p>
    <w:p w14:paraId="09A29FB1">
      <w:pPr>
        <w:pStyle w:val="28"/>
        <w:rPr>
          <w:rFonts w:hint="eastAsia" w:ascii="仿宋" w:hAnsi="仿宋" w:eastAsia="仿宋" w:cs="仿宋"/>
          <w:color w:val="000000"/>
          <w:sz w:val="32"/>
          <w:szCs w:val="32"/>
          <w:lang w:val="zh-CN"/>
        </w:rPr>
      </w:pPr>
    </w:p>
    <w:p w14:paraId="0785EDF3">
      <w:pPr>
        <w:pStyle w:val="28"/>
        <w:rPr>
          <w:rFonts w:hint="eastAsia" w:ascii="仿宋" w:hAnsi="仿宋" w:eastAsia="仿宋" w:cs="仿宋"/>
          <w:color w:val="000000"/>
          <w:sz w:val="32"/>
          <w:szCs w:val="32"/>
          <w:lang w:val="zh-CN"/>
        </w:rPr>
      </w:pPr>
    </w:p>
    <w:p w14:paraId="774369BF">
      <w:pPr>
        <w:pStyle w:val="28"/>
        <w:rPr>
          <w:rFonts w:hint="eastAsia" w:ascii="仿宋" w:hAnsi="仿宋" w:eastAsia="仿宋" w:cs="仿宋"/>
          <w:color w:val="000000"/>
          <w:sz w:val="32"/>
          <w:szCs w:val="32"/>
          <w:lang w:val="zh-CN"/>
        </w:rPr>
      </w:pPr>
    </w:p>
    <w:p w14:paraId="276512B8">
      <w:pPr>
        <w:pStyle w:val="28"/>
        <w:rPr>
          <w:rFonts w:hint="eastAsia" w:ascii="仿宋" w:hAnsi="仿宋" w:eastAsia="仿宋" w:cs="仿宋"/>
          <w:color w:val="000000"/>
          <w:sz w:val="32"/>
          <w:szCs w:val="32"/>
          <w:lang w:val="zh-CN"/>
        </w:rPr>
      </w:pPr>
    </w:p>
    <w:p w14:paraId="5374FB3C">
      <w:pPr>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第一部分  商务文件</w:t>
      </w:r>
    </w:p>
    <w:p w14:paraId="2BBB6C8F">
      <w:pPr>
        <w:rPr>
          <w:rFonts w:hint="eastAsia" w:ascii="仿宋" w:hAnsi="仿宋" w:eastAsia="仿宋" w:cs="仿宋"/>
          <w:b/>
          <w:bCs/>
          <w:color w:val="000000"/>
          <w:sz w:val="32"/>
          <w:szCs w:val="32"/>
          <w:highlight w:val="yellow"/>
          <w:lang w:val="zh-CN"/>
        </w:rPr>
      </w:pPr>
      <w:r>
        <w:rPr>
          <w:rFonts w:hint="eastAsia" w:ascii="仿宋" w:hAnsi="仿宋" w:eastAsia="仿宋" w:cs="仿宋"/>
          <w:b/>
          <w:bCs/>
          <w:color w:val="000000"/>
          <w:sz w:val="32"/>
          <w:szCs w:val="32"/>
          <w:highlight w:val="none"/>
          <w:lang w:val="zh-CN"/>
        </w:rPr>
        <w:t>供应商应提交的商务文件清单：</w:t>
      </w:r>
    </w:p>
    <w:tbl>
      <w:tblPr>
        <w:tblStyle w:val="36"/>
        <w:tblW w:w="9602" w:type="dxa"/>
        <w:jc w:val="center"/>
        <w:tblLayout w:type="fixed"/>
        <w:tblCellMar>
          <w:top w:w="0" w:type="dxa"/>
          <w:left w:w="108" w:type="dxa"/>
          <w:bottom w:w="0" w:type="dxa"/>
          <w:right w:w="108" w:type="dxa"/>
        </w:tblCellMar>
      </w:tblPr>
      <w:tblGrid>
        <w:gridCol w:w="606"/>
        <w:gridCol w:w="7098"/>
        <w:gridCol w:w="1335"/>
        <w:gridCol w:w="563"/>
      </w:tblGrid>
      <w:tr w14:paraId="0E32790A">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75412B36">
            <w:pPr>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序号</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472A2FDF">
            <w:pPr>
              <w:ind w:firstLine="1928"/>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商务文件名称及要求</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1F9B8967">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是否已按要求提交</w:t>
            </w:r>
          </w:p>
        </w:tc>
        <w:tc>
          <w:tcPr>
            <w:tcW w:w="563" w:type="dxa"/>
            <w:tcBorders>
              <w:top w:val="single" w:color="auto" w:sz="6" w:space="0"/>
              <w:left w:val="single" w:color="auto" w:sz="6" w:space="0"/>
              <w:bottom w:val="single" w:color="auto" w:sz="6" w:space="0"/>
              <w:right w:val="single" w:color="auto" w:sz="6" w:space="0"/>
            </w:tcBorders>
            <w:noWrap w:val="0"/>
            <w:vAlign w:val="top"/>
          </w:tcPr>
          <w:p w14:paraId="5AAF8E21">
            <w:pPr>
              <w:spacing w:line="380" w:lineRule="exact"/>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文件页码</w:t>
            </w:r>
          </w:p>
        </w:tc>
      </w:tr>
      <w:tr w14:paraId="3641B107">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6121243D">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2B1B59F9">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报价函（按格式一提交）</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14F13E02">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50C18C75">
            <w:pPr>
              <w:rPr>
                <w:rFonts w:hint="eastAsia" w:ascii="仿宋" w:hAnsi="仿宋" w:eastAsia="仿宋" w:cs="仿宋"/>
                <w:b/>
                <w:bCs/>
                <w:color w:val="000000"/>
                <w:sz w:val="32"/>
                <w:szCs w:val="32"/>
                <w:lang w:val="zh-CN"/>
              </w:rPr>
            </w:pPr>
          </w:p>
        </w:tc>
      </w:tr>
      <w:tr w14:paraId="596B2553">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641E0AC1">
            <w:pPr>
              <w:jc w:val="center"/>
              <w:rPr>
                <w:rFonts w:hint="default"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5C45DFD4">
            <w:pPr>
              <w:rPr>
                <w:rFonts w:hint="eastAsia" w:ascii="仿宋" w:hAnsi="仿宋" w:eastAsia="仿宋" w:cs="仿宋"/>
                <w:b w:val="0"/>
                <w:bCs w:val="0"/>
                <w:color w:val="000000"/>
                <w:sz w:val="32"/>
                <w:szCs w:val="32"/>
                <w:highlight w:val="none"/>
                <w:lang w:val="zh-CN"/>
              </w:rPr>
            </w:pPr>
            <w:r>
              <w:rPr>
                <w:rFonts w:hint="eastAsia" w:ascii="仿宋" w:hAnsi="仿宋" w:eastAsia="仿宋" w:cs="仿宋"/>
                <w:b w:val="0"/>
                <w:bCs w:val="0"/>
                <w:color w:val="000000"/>
                <w:sz w:val="32"/>
                <w:szCs w:val="32"/>
                <w:highlight w:val="none"/>
                <w:lang w:val="zh-CN"/>
              </w:rPr>
              <w:t>供应商基本情况（按格式二提交）</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31132EA3">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1B6A161D">
            <w:pPr>
              <w:rPr>
                <w:rFonts w:hint="eastAsia" w:ascii="仿宋" w:hAnsi="仿宋" w:eastAsia="仿宋" w:cs="仿宋"/>
                <w:b/>
                <w:bCs/>
                <w:color w:val="000000"/>
                <w:sz w:val="32"/>
                <w:szCs w:val="32"/>
                <w:lang w:val="zh-CN"/>
              </w:rPr>
            </w:pPr>
          </w:p>
        </w:tc>
      </w:tr>
      <w:tr w14:paraId="2C621F01">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1AFA3330">
            <w:pPr>
              <w:jc w:val="center"/>
              <w:rPr>
                <w:rFonts w:hint="default"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3</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5944B2CE">
            <w:pPr>
              <w:rPr>
                <w:rFonts w:hint="eastAsia" w:ascii="仿宋" w:hAnsi="仿宋" w:eastAsia="仿宋" w:cs="仿宋"/>
                <w:b w:val="0"/>
                <w:bCs w:val="0"/>
                <w:color w:val="000000"/>
                <w:sz w:val="32"/>
                <w:szCs w:val="32"/>
                <w:highlight w:val="none"/>
                <w:lang w:val="zh-CN"/>
              </w:rPr>
            </w:pPr>
            <w:r>
              <w:rPr>
                <w:rFonts w:hint="eastAsia" w:ascii="仿宋" w:hAnsi="仿宋" w:eastAsia="仿宋" w:cs="仿宋"/>
                <w:b w:val="0"/>
                <w:bCs w:val="0"/>
                <w:color w:val="000000"/>
                <w:sz w:val="32"/>
                <w:szCs w:val="32"/>
                <w:highlight w:val="none"/>
                <w:lang w:val="zh-CN"/>
              </w:rPr>
              <w:t>供应商的资格声明（按格式三提交）</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52D70ACA">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624E339F">
            <w:pPr>
              <w:rPr>
                <w:rFonts w:hint="eastAsia" w:ascii="仿宋" w:hAnsi="仿宋" w:eastAsia="仿宋" w:cs="仿宋"/>
                <w:b/>
                <w:bCs/>
                <w:color w:val="000000"/>
                <w:sz w:val="32"/>
                <w:szCs w:val="32"/>
                <w:lang w:val="zh-CN"/>
              </w:rPr>
            </w:pPr>
          </w:p>
        </w:tc>
      </w:tr>
      <w:tr w14:paraId="13EECDDC">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47168A0D">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69A16273">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近三年(20</w:t>
            </w:r>
            <w:r>
              <w:rPr>
                <w:rFonts w:hint="eastAsia" w:ascii="仿宋" w:hAnsi="仿宋" w:eastAsia="仿宋" w:cs="仿宋"/>
                <w:b w:val="0"/>
                <w:bCs w:val="0"/>
                <w:color w:val="000000"/>
                <w:sz w:val="32"/>
                <w:szCs w:val="32"/>
                <w:lang w:val="en-US" w:eastAsia="zh-CN"/>
              </w:rPr>
              <w:t>21</w:t>
            </w:r>
            <w:r>
              <w:rPr>
                <w:rFonts w:hint="eastAsia" w:ascii="仿宋" w:hAnsi="仿宋" w:eastAsia="仿宋" w:cs="仿宋"/>
                <w:b w:val="0"/>
                <w:bCs w:val="0"/>
                <w:color w:val="000000"/>
                <w:sz w:val="32"/>
                <w:szCs w:val="32"/>
                <w:lang w:val="zh-CN"/>
              </w:rPr>
              <w:t>年、202</w:t>
            </w: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lang w:val="zh-CN"/>
              </w:rPr>
              <w:t>年、202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lang w:val="zh-CN"/>
              </w:rPr>
              <w:t>年)财务状况</w:t>
            </w:r>
            <w:r>
              <w:rPr>
                <w:rFonts w:hint="eastAsia" w:ascii="仿宋" w:hAnsi="仿宋" w:eastAsia="仿宋" w:cs="仿宋"/>
                <w:b w:val="0"/>
                <w:bCs w:val="0"/>
                <w:color w:val="000000"/>
                <w:sz w:val="32"/>
                <w:szCs w:val="32"/>
                <w:lang w:val="zh-CN" w:eastAsia="zh-CN"/>
              </w:rPr>
              <w:t>报告</w:t>
            </w:r>
            <w:r>
              <w:rPr>
                <w:rFonts w:hint="eastAsia" w:ascii="仿宋" w:hAnsi="仿宋" w:eastAsia="仿宋" w:cs="仿宋"/>
                <w:b w:val="0"/>
                <w:bCs w:val="0"/>
                <w:color w:val="000000"/>
                <w:sz w:val="32"/>
                <w:szCs w:val="32"/>
                <w:lang w:val="zh-CN"/>
              </w:rPr>
              <w:t>（新成立不足三年的企业需提供自成立之日起至 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lang w:val="zh-CN"/>
              </w:rPr>
              <w:t>年的财务审计报表，202</w:t>
            </w:r>
            <w:r>
              <w:rPr>
                <w:rFonts w:hint="eastAsia" w:ascii="仿宋" w:hAnsi="仿宋" w:eastAsia="仿宋" w:cs="仿宋"/>
                <w:b w:val="0"/>
                <w:bCs w:val="0"/>
                <w:color w:val="000000"/>
                <w:sz w:val="32"/>
                <w:szCs w:val="32"/>
                <w:lang w:val="en-US" w:eastAsia="zh-CN"/>
              </w:rPr>
              <w:t>4</w:t>
            </w:r>
            <w:r>
              <w:rPr>
                <w:rFonts w:hint="eastAsia" w:ascii="仿宋" w:hAnsi="仿宋" w:eastAsia="仿宋" w:cs="仿宋"/>
                <w:b w:val="0"/>
                <w:bCs w:val="0"/>
                <w:color w:val="000000"/>
                <w:sz w:val="32"/>
                <w:szCs w:val="32"/>
                <w:lang w:val="zh-CN"/>
              </w:rPr>
              <w:t>年成立的企业应提供资金证明）；</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1B516231">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0A033137">
            <w:pPr>
              <w:rPr>
                <w:rFonts w:hint="eastAsia" w:ascii="仿宋" w:hAnsi="仿宋" w:eastAsia="仿宋" w:cs="仿宋"/>
                <w:b/>
                <w:bCs/>
                <w:color w:val="000000"/>
                <w:sz w:val="32"/>
                <w:szCs w:val="32"/>
                <w:lang w:val="zh-CN"/>
              </w:rPr>
            </w:pPr>
          </w:p>
        </w:tc>
      </w:tr>
      <w:tr w14:paraId="36A475B0">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3DF201E0">
            <w:pPr>
              <w:jc w:val="center"/>
              <w:rPr>
                <w:rFonts w:hint="eastAsia" w:ascii="仿宋" w:hAnsi="仿宋" w:eastAsia="仿宋" w:cs="仿宋"/>
                <w:b w:val="0"/>
                <w:bCs w:val="0"/>
                <w:color w:val="000000"/>
                <w:sz w:val="32"/>
                <w:szCs w:val="32"/>
                <w:lang w:val="en-US" w:eastAsia="zh-CN"/>
              </w:rPr>
            </w:pPr>
          </w:p>
          <w:p w14:paraId="16B167A0">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5</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485435EF">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近一年（202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lang w:val="zh-CN"/>
              </w:rPr>
              <w:t>年</w:t>
            </w:r>
            <w:r>
              <w:rPr>
                <w:rFonts w:hint="eastAsia" w:ascii="仿宋" w:hAnsi="仿宋" w:eastAsia="仿宋" w:cs="仿宋"/>
                <w:b w:val="0"/>
                <w:bCs w:val="0"/>
                <w:color w:val="000000"/>
                <w:sz w:val="32"/>
                <w:szCs w:val="32"/>
                <w:lang w:val="en-US" w:eastAsia="zh-CN"/>
              </w:rPr>
              <w:t>11</w:t>
            </w:r>
            <w:r>
              <w:rPr>
                <w:rFonts w:hint="eastAsia" w:ascii="仿宋" w:hAnsi="仿宋" w:eastAsia="仿宋" w:cs="仿宋"/>
                <w:b w:val="0"/>
                <w:bCs w:val="0"/>
                <w:color w:val="000000"/>
                <w:sz w:val="32"/>
                <w:szCs w:val="32"/>
                <w:lang w:val="zh-CN"/>
              </w:rPr>
              <w:t>月至今）任意一个月依法纳税证明(依法免税的投标人可提供相应文件证明其依法免税)标书内提供复印件加盖单位公章；</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0B7B37BD">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1C348301">
            <w:pPr>
              <w:rPr>
                <w:rFonts w:hint="eastAsia" w:ascii="仿宋" w:hAnsi="仿宋" w:eastAsia="仿宋" w:cs="仿宋"/>
                <w:b/>
                <w:bCs/>
                <w:color w:val="000000"/>
                <w:sz w:val="32"/>
                <w:szCs w:val="32"/>
                <w:lang w:val="zh-CN"/>
              </w:rPr>
            </w:pPr>
          </w:p>
        </w:tc>
      </w:tr>
      <w:tr w14:paraId="5E7BE714">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5A3A8C76">
            <w:pPr>
              <w:jc w:val="center"/>
              <w:rPr>
                <w:rFonts w:hint="eastAsia" w:ascii="仿宋" w:hAnsi="仿宋" w:eastAsia="仿宋" w:cs="仿宋"/>
                <w:b w:val="0"/>
                <w:bCs w:val="0"/>
                <w:color w:val="000000"/>
                <w:sz w:val="32"/>
                <w:szCs w:val="32"/>
                <w:lang w:val="en-US" w:eastAsia="zh-CN"/>
              </w:rPr>
            </w:pPr>
          </w:p>
          <w:p w14:paraId="2BD30E87">
            <w:pPr>
              <w:jc w:val="center"/>
              <w:rPr>
                <w:rFonts w:hint="eastAsia" w:ascii="仿宋" w:hAnsi="仿宋" w:eastAsia="仿宋" w:cs="仿宋"/>
                <w:b w:val="0"/>
                <w:bCs w:val="0"/>
                <w:color w:val="000000"/>
                <w:sz w:val="32"/>
                <w:szCs w:val="32"/>
                <w:lang w:val="en-US" w:eastAsia="zh-CN"/>
              </w:rPr>
            </w:pPr>
          </w:p>
          <w:p w14:paraId="4B1B7DAA">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6</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16C3E34B">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近一年（202</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lang w:val="zh-CN"/>
              </w:rPr>
              <w:t>年</w:t>
            </w:r>
            <w:r>
              <w:rPr>
                <w:rFonts w:hint="eastAsia" w:ascii="仿宋" w:hAnsi="仿宋" w:eastAsia="仿宋" w:cs="仿宋"/>
                <w:b w:val="0"/>
                <w:bCs w:val="0"/>
                <w:color w:val="000000"/>
                <w:sz w:val="32"/>
                <w:szCs w:val="32"/>
                <w:lang w:val="en-US" w:eastAsia="zh-CN"/>
              </w:rPr>
              <w:t>11</w:t>
            </w:r>
            <w:r>
              <w:rPr>
                <w:rFonts w:hint="eastAsia" w:ascii="仿宋" w:hAnsi="仿宋" w:eastAsia="仿宋" w:cs="仿宋"/>
                <w:b w:val="0"/>
                <w:bCs w:val="0"/>
                <w:color w:val="000000"/>
                <w:sz w:val="32"/>
                <w:szCs w:val="32"/>
                <w:lang w:val="zh-CN"/>
              </w:rPr>
              <w:t>月至今）任意一个月依法缴纳社会保障资金的证明(依法不需要缴纳社会保障资金的投标人可提供相应文件证明其依法不需要缴纳社会保障资金)标书内提供复印件加盖单位公章</w:t>
            </w:r>
            <w:r>
              <w:rPr>
                <w:rFonts w:hint="eastAsia" w:ascii="仿宋" w:hAnsi="仿宋" w:eastAsia="仿宋" w:cs="仿宋"/>
                <w:b w:val="0"/>
                <w:bCs w:val="0"/>
                <w:color w:val="000000"/>
                <w:sz w:val="32"/>
                <w:szCs w:val="32"/>
                <w:lang w:val="zh-CN" w:eastAsia="zh-CN"/>
              </w:rPr>
              <w:t>；</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38705C95">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4A1C9B08">
            <w:pPr>
              <w:rPr>
                <w:rFonts w:hint="eastAsia" w:ascii="仿宋" w:hAnsi="仿宋" w:eastAsia="仿宋" w:cs="仿宋"/>
                <w:b/>
                <w:bCs/>
                <w:color w:val="000000"/>
                <w:sz w:val="32"/>
                <w:szCs w:val="32"/>
                <w:lang w:val="zh-CN"/>
              </w:rPr>
            </w:pPr>
          </w:p>
        </w:tc>
      </w:tr>
      <w:tr w14:paraId="0158AB03">
        <w:tblPrEx>
          <w:tblCellMar>
            <w:top w:w="0" w:type="dxa"/>
            <w:left w:w="108" w:type="dxa"/>
            <w:bottom w:w="0" w:type="dxa"/>
            <w:right w:w="108" w:type="dxa"/>
          </w:tblCellMar>
        </w:tblPrEx>
        <w:trPr>
          <w:trHeight w:val="1038" w:hRule="atLeast"/>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5BA58127">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507AFDC9">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参加政府采购活动前3年内在经营活动中没有重大违法记录的书面声明；</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7FAC1ABE">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1E85044F">
            <w:pPr>
              <w:rPr>
                <w:rFonts w:hint="eastAsia" w:ascii="仿宋" w:hAnsi="仿宋" w:eastAsia="仿宋" w:cs="仿宋"/>
                <w:b/>
                <w:bCs/>
                <w:color w:val="000000"/>
                <w:sz w:val="32"/>
                <w:szCs w:val="32"/>
                <w:lang w:val="zh-CN"/>
              </w:rPr>
            </w:pPr>
          </w:p>
        </w:tc>
      </w:tr>
      <w:tr w14:paraId="3ADEB44B">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0457C10B">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8</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428AECD4">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企业营业执照（加盖供应商公章）</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5AEEBE92">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65D34B48">
            <w:pPr>
              <w:rPr>
                <w:rFonts w:hint="eastAsia" w:ascii="仿宋" w:hAnsi="仿宋" w:eastAsia="仿宋" w:cs="仿宋"/>
                <w:b/>
                <w:bCs/>
                <w:color w:val="000000"/>
                <w:sz w:val="32"/>
                <w:szCs w:val="32"/>
                <w:lang w:val="zh-CN"/>
              </w:rPr>
            </w:pPr>
          </w:p>
        </w:tc>
      </w:tr>
      <w:tr w14:paraId="3A122F64">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6369DBCA">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9</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11EA09FB">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法定代表人身份证（加盖公章）</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19F5396A">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7C4C87BA">
            <w:pPr>
              <w:rPr>
                <w:rFonts w:hint="eastAsia" w:ascii="仿宋" w:hAnsi="仿宋" w:eastAsia="仿宋" w:cs="仿宋"/>
                <w:b/>
                <w:bCs/>
                <w:color w:val="000000"/>
                <w:sz w:val="32"/>
                <w:szCs w:val="32"/>
                <w:lang w:val="zh-CN"/>
              </w:rPr>
            </w:pPr>
          </w:p>
        </w:tc>
      </w:tr>
      <w:tr w14:paraId="5C28DF15">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2794A629">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10</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5CCE155D">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法定代表人授权书（按格式四提交，</w:t>
            </w:r>
            <w:r>
              <w:rPr>
                <w:rFonts w:hint="eastAsia" w:ascii="仿宋" w:hAnsi="仿宋" w:eastAsia="仿宋" w:cs="仿宋"/>
                <w:color w:val="000000"/>
                <w:sz w:val="32"/>
                <w:szCs w:val="32"/>
                <w:lang w:val="zh-CN"/>
              </w:rPr>
              <w:t>法定代表人投标的可不提供）</w:t>
            </w:r>
            <w:r>
              <w:rPr>
                <w:rFonts w:hint="eastAsia" w:ascii="仿宋" w:hAnsi="仿宋" w:eastAsia="仿宋" w:cs="仿宋"/>
                <w:b w:val="0"/>
                <w:bCs w:val="0"/>
                <w:color w:val="000000"/>
                <w:sz w:val="32"/>
                <w:szCs w:val="32"/>
                <w:lang w:val="zh-CN"/>
              </w:rPr>
              <w:t>加盖供应商公章和有效签署</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1F43AD80">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7320D967">
            <w:pPr>
              <w:rPr>
                <w:rFonts w:hint="eastAsia" w:ascii="仿宋" w:hAnsi="仿宋" w:eastAsia="仿宋" w:cs="仿宋"/>
                <w:b/>
                <w:bCs/>
                <w:color w:val="000000"/>
                <w:sz w:val="32"/>
                <w:szCs w:val="32"/>
                <w:lang w:val="zh-CN"/>
              </w:rPr>
            </w:pPr>
          </w:p>
        </w:tc>
      </w:tr>
      <w:tr w14:paraId="286CABC6">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05EFC7DC">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11</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02D596E2">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法定代表人的授权代理人身份证（加盖公章）</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2A405870">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71557FB7">
            <w:pPr>
              <w:rPr>
                <w:rFonts w:hint="eastAsia" w:ascii="仿宋" w:hAnsi="仿宋" w:eastAsia="仿宋" w:cs="仿宋"/>
                <w:b/>
                <w:bCs/>
                <w:color w:val="000000"/>
                <w:sz w:val="32"/>
                <w:szCs w:val="32"/>
                <w:lang w:val="zh-CN"/>
              </w:rPr>
            </w:pPr>
          </w:p>
        </w:tc>
      </w:tr>
      <w:tr w14:paraId="6571ED76">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1CFD8662">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12</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641156CE">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售后服务承诺书（按格式五提交）</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58074988">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78F3CB1C">
            <w:pPr>
              <w:rPr>
                <w:rFonts w:hint="eastAsia" w:ascii="仿宋" w:hAnsi="仿宋" w:eastAsia="仿宋" w:cs="仿宋"/>
                <w:b/>
                <w:bCs/>
                <w:color w:val="000000"/>
                <w:sz w:val="32"/>
                <w:szCs w:val="32"/>
                <w:lang w:val="zh-CN"/>
              </w:rPr>
            </w:pPr>
          </w:p>
        </w:tc>
      </w:tr>
      <w:tr w14:paraId="77B0AF56">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70E6346E">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13</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50430DB1">
            <w:pPr>
              <w:rPr>
                <w:rFonts w:hint="eastAsia" w:ascii="仿宋" w:hAnsi="仿宋" w:eastAsia="仿宋" w:cs="仿宋"/>
                <w:b w:val="0"/>
                <w:bCs w:val="0"/>
                <w:color w:val="000000"/>
                <w:sz w:val="32"/>
                <w:szCs w:val="32"/>
              </w:rPr>
            </w:pPr>
            <w:r>
              <w:rPr>
                <w:rFonts w:hint="eastAsia" w:ascii="仿宋" w:hAnsi="仿宋" w:eastAsia="仿宋" w:cs="仿宋"/>
                <w:b w:val="0"/>
                <w:bCs w:val="0"/>
                <w:sz w:val="32"/>
                <w:szCs w:val="32"/>
                <w:lang w:val="zh-CN"/>
              </w:rPr>
              <w:t>供应商在本项目谈判公告发布之日起到确认参加谈判截止时间期间</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zh-CN"/>
              </w:rPr>
              <w:t>通过</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zh-CN"/>
              </w:rPr>
              <w:t>信用中国</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zh-CN"/>
              </w:rPr>
              <w:t>网站</w:t>
            </w:r>
            <w:r>
              <w:rPr>
                <w:rFonts w:hint="eastAsia" w:ascii="仿宋" w:hAnsi="仿宋" w:eastAsia="仿宋" w:cs="仿宋"/>
                <w:b w:val="0"/>
                <w:bCs w:val="0"/>
                <w:sz w:val="32"/>
                <w:szCs w:val="32"/>
              </w:rPr>
              <w:t>（www.creditchina.gov.cn）</w:t>
            </w:r>
            <w:r>
              <w:rPr>
                <w:rFonts w:hint="eastAsia" w:ascii="仿宋" w:hAnsi="仿宋" w:eastAsia="仿宋" w:cs="仿宋"/>
                <w:b w:val="0"/>
                <w:bCs w:val="0"/>
                <w:sz w:val="32"/>
                <w:szCs w:val="32"/>
                <w:lang w:val="zh-CN"/>
              </w:rPr>
              <w:t>、中国政府采购网</w:t>
            </w:r>
            <w:r>
              <w:rPr>
                <w:rFonts w:hint="eastAsia" w:ascii="仿宋" w:hAnsi="仿宋" w:eastAsia="仿宋" w:cs="仿宋"/>
                <w:b w:val="0"/>
                <w:bCs w:val="0"/>
                <w:sz w:val="32"/>
                <w:szCs w:val="32"/>
              </w:rPr>
              <w:t>（www.ccgp.gov.cn）</w:t>
            </w:r>
            <w:r>
              <w:rPr>
                <w:rFonts w:hint="eastAsia" w:ascii="仿宋" w:hAnsi="仿宋" w:eastAsia="仿宋" w:cs="仿宋"/>
                <w:b w:val="0"/>
                <w:bCs w:val="0"/>
                <w:sz w:val="32"/>
                <w:szCs w:val="32"/>
                <w:lang w:val="zh-CN"/>
              </w:rPr>
              <w:t>等渠道查询自身信用记录。</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55623F5C">
            <w:pPr>
              <w:rPr>
                <w:rFonts w:hint="eastAsia" w:ascii="仿宋" w:hAnsi="仿宋" w:eastAsia="仿宋" w:cs="仿宋"/>
                <w:b/>
                <w:bCs/>
                <w:color w:val="000000"/>
                <w:sz w:val="32"/>
                <w:szCs w:val="32"/>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70AD12DF">
            <w:pPr>
              <w:rPr>
                <w:rFonts w:hint="eastAsia" w:ascii="仿宋" w:hAnsi="仿宋" w:eastAsia="仿宋" w:cs="仿宋"/>
                <w:b/>
                <w:bCs/>
                <w:color w:val="000000"/>
                <w:sz w:val="32"/>
                <w:szCs w:val="32"/>
              </w:rPr>
            </w:pPr>
          </w:p>
        </w:tc>
      </w:tr>
      <w:tr w14:paraId="57F0C707">
        <w:tblPrEx>
          <w:tblCellMar>
            <w:top w:w="0" w:type="dxa"/>
            <w:left w:w="108" w:type="dxa"/>
            <w:bottom w:w="0" w:type="dxa"/>
            <w:right w:w="108" w:type="dxa"/>
          </w:tblCellMar>
        </w:tblPrEx>
        <w:trPr>
          <w:jc w:val="center"/>
        </w:trPr>
        <w:tc>
          <w:tcPr>
            <w:tcW w:w="606" w:type="dxa"/>
            <w:tcBorders>
              <w:top w:val="single" w:color="auto" w:sz="6" w:space="0"/>
              <w:left w:val="single" w:color="auto" w:sz="6" w:space="0"/>
              <w:bottom w:val="single" w:color="auto" w:sz="6" w:space="0"/>
              <w:right w:val="single" w:color="auto" w:sz="6" w:space="0"/>
            </w:tcBorders>
            <w:noWrap w:val="0"/>
            <w:vAlign w:val="top"/>
          </w:tcPr>
          <w:p w14:paraId="694BE5C4">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14</w:t>
            </w:r>
          </w:p>
        </w:tc>
        <w:tc>
          <w:tcPr>
            <w:tcW w:w="7098" w:type="dxa"/>
            <w:tcBorders>
              <w:top w:val="single" w:color="auto" w:sz="6" w:space="0"/>
              <w:left w:val="single" w:color="auto" w:sz="6" w:space="0"/>
              <w:bottom w:val="single" w:color="auto" w:sz="6" w:space="0"/>
              <w:right w:val="single" w:color="auto" w:sz="6" w:space="0"/>
            </w:tcBorders>
            <w:noWrap w:val="0"/>
            <w:vAlign w:val="top"/>
          </w:tcPr>
          <w:p w14:paraId="40060A8C">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供应商认为需要提供的其他商务文件材料,但应注意不要提供与评标无直接关联的文件材料。</w:t>
            </w:r>
          </w:p>
        </w:tc>
        <w:tc>
          <w:tcPr>
            <w:tcW w:w="1335" w:type="dxa"/>
            <w:tcBorders>
              <w:top w:val="single" w:color="auto" w:sz="6" w:space="0"/>
              <w:left w:val="single" w:color="auto" w:sz="6" w:space="0"/>
              <w:bottom w:val="single" w:color="auto" w:sz="6" w:space="0"/>
              <w:right w:val="single" w:color="auto" w:sz="6" w:space="0"/>
            </w:tcBorders>
            <w:noWrap w:val="0"/>
            <w:vAlign w:val="top"/>
          </w:tcPr>
          <w:p w14:paraId="1B9C2281">
            <w:pPr>
              <w:rPr>
                <w:rFonts w:hint="eastAsia" w:ascii="仿宋" w:hAnsi="仿宋" w:eastAsia="仿宋" w:cs="仿宋"/>
                <w:b/>
                <w:bCs/>
                <w:color w:val="000000"/>
                <w:sz w:val="32"/>
                <w:szCs w:val="32"/>
                <w:lang w:val="zh-CN"/>
              </w:rPr>
            </w:pPr>
          </w:p>
        </w:tc>
        <w:tc>
          <w:tcPr>
            <w:tcW w:w="563" w:type="dxa"/>
            <w:tcBorders>
              <w:top w:val="single" w:color="auto" w:sz="6" w:space="0"/>
              <w:left w:val="single" w:color="auto" w:sz="6" w:space="0"/>
              <w:bottom w:val="single" w:color="auto" w:sz="6" w:space="0"/>
              <w:right w:val="single" w:color="auto" w:sz="6" w:space="0"/>
            </w:tcBorders>
            <w:noWrap w:val="0"/>
            <w:vAlign w:val="top"/>
          </w:tcPr>
          <w:p w14:paraId="2B5FB95F">
            <w:pPr>
              <w:rPr>
                <w:rFonts w:hint="eastAsia" w:ascii="仿宋" w:hAnsi="仿宋" w:eastAsia="仿宋" w:cs="仿宋"/>
                <w:b/>
                <w:bCs/>
                <w:color w:val="000000"/>
                <w:sz w:val="32"/>
                <w:szCs w:val="32"/>
                <w:lang w:val="zh-CN"/>
              </w:rPr>
            </w:pPr>
          </w:p>
        </w:tc>
      </w:tr>
    </w:tbl>
    <w:p w14:paraId="315A8957">
      <w:pPr>
        <w:rPr>
          <w:rFonts w:hint="eastAsia" w:ascii="仿宋" w:hAnsi="仿宋" w:eastAsia="仿宋" w:cs="仿宋"/>
          <w:b/>
          <w:bCs/>
          <w:color w:val="000000"/>
          <w:sz w:val="32"/>
          <w:szCs w:val="32"/>
          <w:lang w:val="zh-CN"/>
        </w:rPr>
      </w:pPr>
    </w:p>
    <w:p w14:paraId="4AF713AA">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要求：</w:t>
      </w:r>
    </w:p>
    <w:p w14:paraId="416F5A5B">
      <w:pPr>
        <w:ind w:firstLine="482"/>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zh-CN"/>
        </w:rPr>
        <w:t>1、供应商必须按照商务文件清单以及规定的格式和要求提交，清单中虽未列出但谈判文件要求提交的商务文件，供应商也应按谈判文件的要求提交。</w:t>
      </w:r>
    </w:p>
    <w:p w14:paraId="326FF6DF">
      <w:pPr>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2、供应商在投标前应自行检查要求提交的商务文件是否已完整提交并加盖公章，若有缺失、无效或者不符合谈判文件要求，将导致其投标被拒绝。</w:t>
      </w:r>
    </w:p>
    <w:p w14:paraId="2238DDAB">
      <w:pPr>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3、供应商应按本格式编制商务文件目录，并编排在商务文件部分首页。</w:t>
      </w:r>
    </w:p>
    <w:p w14:paraId="06611FA6">
      <w:pPr>
        <w:rPr>
          <w:rFonts w:hint="eastAsia" w:ascii="仿宋" w:hAnsi="仿宋" w:eastAsia="仿宋" w:cs="仿宋"/>
          <w:b/>
          <w:bCs/>
          <w:color w:val="000000"/>
          <w:sz w:val="32"/>
          <w:szCs w:val="32"/>
          <w:lang w:val="zh-CN"/>
        </w:rPr>
      </w:pPr>
    </w:p>
    <w:p w14:paraId="6590B866">
      <w:pPr>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 xml:space="preserve">格式一、报价函 </w:t>
      </w:r>
    </w:p>
    <w:p w14:paraId="297AF731">
      <w:pPr>
        <w:rPr>
          <w:rFonts w:hint="eastAsia" w:ascii="仿宋" w:hAnsi="仿宋" w:eastAsia="仿宋" w:cs="仿宋"/>
          <w:color w:val="000000"/>
          <w:sz w:val="32"/>
          <w:szCs w:val="32"/>
          <w:u w:val="single"/>
          <w:lang w:val="zh-CN"/>
        </w:rPr>
      </w:pPr>
      <w:r>
        <w:rPr>
          <w:rFonts w:hint="eastAsia" w:ascii="仿宋" w:hAnsi="仿宋" w:eastAsia="仿宋" w:cs="仿宋"/>
          <w:color w:val="000000"/>
          <w:sz w:val="32"/>
          <w:szCs w:val="32"/>
          <w:lang w:val="en-US" w:eastAsia="zh-CN"/>
        </w:rPr>
        <w:t>和龙市政府采购中心</w:t>
      </w:r>
      <w:r>
        <w:rPr>
          <w:rFonts w:hint="eastAsia" w:ascii="仿宋" w:hAnsi="仿宋" w:eastAsia="仿宋" w:cs="仿宋"/>
          <w:color w:val="000000"/>
          <w:sz w:val="32"/>
          <w:szCs w:val="32"/>
          <w:lang w:val="zh-CN"/>
        </w:rPr>
        <w:t>：</w:t>
      </w:r>
    </w:p>
    <w:p w14:paraId="4B215002">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根据你方政府采购</w:t>
      </w:r>
      <w:r>
        <w:rPr>
          <w:rFonts w:hint="eastAsia" w:ascii="仿宋" w:hAnsi="仿宋" w:eastAsia="仿宋" w:cs="仿宋"/>
          <w:color w:val="000000"/>
          <w:sz w:val="32"/>
          <w:szCs w:val="32"/>
          <w:u w:val="single"/>
          <w:lang w:val="en-US" w:eastAsia="zh-CN"/>
        </w:rPr>
        <w:t>和龙市职业中等专业学校设备采购项目</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szCs w:val="32"/>
          <w:lang w:val="zh-CN"/>
        </w:rPr>
        <w:t>编号为</w:t>
      </w:r>
      <w:r>
        <w:rPr>
          <w:rFonts w:hint="eastAsia" w:ascii="仿宋" w:hAnsi="仿宋" w:eastAsia="仿宋" w:cs="仿宋"/>
          <w:sz w:val="32"/>
          <w:szCs w:val="32"/>
        </w:rPr>
        <w:t>：</w:t>
      </w:r>
      <w:r>
        <w:rPr>
          <w:rFonts w:hint="eastAsia" w:ascii="仿宋" w:hAnsi="仿宋" w:eastAsia="仿宋" w:cs="仿宋"/>
          <w:color w:val="000000"/>
          <w:sz w:val="32"/>
          <w:szCs w:val="32"/>
          <w:u w:val="single"/>
          <w:lang w:val="en-US" w:eastAsia="zh-CN"/>
        </w:rPr>
        <w:t>HLZC-[2024]-00166</w:t>
      </w:r>
      <w:r>
        <w:rPr>
          <w:rFonts w:hint="eastAsia" w:ascii="仿宋" w:hAnsi="仿宋" w:eastAsia="仿宋" w:cs="仿宋"/>
          <w:color w:val="000000"/>
          <w:sz w:val="32"/>
          <w:szCs w:val="32"/>
          <w:u w:val="none"/>
          <w:lang w:val="en-US" w:eastAsia="zh-CN"/>
        </w:rPr>
        <w:t>）的</w:t>
      </w:r>
      <w:r>
        <w:rPr>
          <w:rFonts w:hint="eastAsia" w:ascii="仿宋" w:hAnsi="仿宋" w:eastAsia="仿宋" w:cs="仿宋"/>
          <w:color w:val="000000"/>
          <w:sz w:val="32"/>
          <w:szCs w:val="32"/>
          <w:lang w:val="zh-CN"/>
        </w:rPr>
        <w:t>竞争性谈判文件，本供应商正式授权</w:t>
      </w:r>
      <w:r>
        <w:rPr>
          <w:rFonts w:hint="eastAsia" w:ascii="仿宋" w:hAnsi="仿宋" w:eastAsia="仿宋" w:cs="仿宋"/>
          <w:color w:val="000000"/>
          <w:sz w:val="32"/>
          <w:szCs w:val="32"/>
          <w:u w:val="single"/>
          <w:lang w:val="zh-CN"/>
        </w:rPr>
        <w:t xml:space="preserve"> （姓名和职务） </w:t>
      </w:r>
      <w:r>
        <w:rPr>
          <w:rFonts w:hint="eastAsia" w:ascii="仿宋" w:hAnsi="仿宋" w:eastAsia="仿宋" w:cs="仿宋"/>
          <w:color w:val="000000"/>
          <w:sz w:val="32"/>
          <w:szCs w:val="32"/>
          <w:lang w:val="zh-CN"/>
        </w:rPr>
        <w:t>代表</w:t>
      </w:r>
      <w:r>
        <w:rPr>
          <w:rFonts w:hint="eastAsia" w:ascii="仿宋" w:hAnsi="仿宋" w:eastAsia="仿宋" w:cs="仿宋"/>
          <w:color w:val="000000"/>
          <w:sz w:val="32"/>
          <w:szCs w:val="32"/>
          <w:u w:val="single"/>
          <w:lang w:val="zh-CN"/>
        </w:rPr>
        <w:t xml:space="preserve">  （供应商名称）  </w:t>
      </w:r>
      <w:r>
        <w:rPr>
          <w:rFonts w:hint="eastAsia" w:ascii="仿宋" w:hAnsi="仿宋" w:eastAsia="仿宋" w:cs="仿宋"/>
          <w:color w:val="000000"/>
          <w:sz w:val="32"/>
          <w:szCs w:val="32"/>
          <w:lang w:val="zh-CN"/>
        </w:rPr>
        <w:t>，按照你方谈判文件的规定提交全部文件，并保证所提供的全部文件是真实的、有效的和准确的。</w:t>
      </w:r>
    </w:p>
    <w:p w14:paraId="20F4CD39">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据此函，签字人宣布同意如下：</w:t>
      </w:r>
    </w:p>
    <w:p w14:paraId="6455C36E">
      <w:pPr>
        <w:tabs>
          <w:tab w:val="left" w:pos="8175"/>
        </w:tabs>
        <w:ind w:firstLine="640" w:firstLineChars="20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1.按谈判文件规定提供货物及服务的总报价为（大写）</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元人民币。</w:t>
      </w:r>
    </w:p>
    <w:p w14:paraId="6A761915">
      <w:pPr>
        <w:ind w:firstLine="480"/>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lang w:val="zh-CN"/>
        </w:rPr>
        <w:t>2.如果我方被评定为成交，我们保证按照谈判文件的规定履行合同责任和义务。具体交货承诺如下：合同订立后</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u w:val="none"/>
          <w:lang w:val="zh-CN"/>
        </w:rPr>
        <w:t>天，质量保证期</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年。</w:t>
      </w:r>
    </w:p>
    <w:p w14:paraId="0F4BDBD7">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3.我方人民币</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元的谈判保证金与本响应文件同时提交。</w:t>
      </w:r>
    </w:p>
    <w:p w14:paraId="2302CC2F">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zh-CN"/>
        </w:rPr>
        <w:t>.我们已详细阅读了全部谈判文件，包括谈判文件的修改、补充文件、参考资料及有关的附件，我们接受谈判文件的全部条款和条件，我们知道必须放弃提出含糊不清或误解的问题的权利。</w:t>
      </w:r>
    </w:p>
    <w:p w14:paraId="485E578D">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val="zh-CN"/>
        </w:rPr>
        <w:t>.我们对谈判文件关于时限、程序方面的规定没有异议，保证按照谈判文件规定的时限和程序参加谈判活动。</w:t>
      </w:r>
    </w:p>
    <w:p w14:paraId="11F02123">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val="zh-CN"/>
        </w:rPr>
        <w:t>.我们同意在供应商须知规定的谈判时间起遵循本响应文件，并在供应商须知规定的报价有效期满之前均具有约束力，并有可能成交。</w:t>
      </w:r>
    </w:p>
    <w:p w14:paraId="49D51449">
      <w:pPr>
        <w:ind w:firstLine="480"/>
        <w:rPr>
          <w:rFonts w:hint="eastAsia" w:ascii="仿宋" w:hAnsi="仿宋" w:eastAsia="仿宋" w:cs="仿宋"/>
          <w:i/>
          <w:iCs/>
          <w:color w:val="000000"/>
          <w:sz w:val="32"/>
          <w:szCs w:val="32"/>
          <w:lang w:val="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val="zh-CN"/>
        </w:rPr>
        <w:t>.我们如果在规定的报价有效期内撤回报价，则你方可不予退还我们的谈判保证金。</w:t>
      </w:r>
    </w:p>
    <w:p w14:paraId="21ADC508">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val="zh-CN"/>
        </w:rPr>
        <w:t>.我们保证向你方提供你方可能要求的与本报价有关的任何证据或资料。</w:t>
      </w:r>
    </w:p>
    <w:p w14:paraId="5BCB2848">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val="zh-CN"/>
        </w:rPr>
        <w:t>.我们完全理解你方不一定要接受最低报价的投标或收到的任何投标。</w:t>
      </w:r>
    </w:p>
    <w:p w14:paraId="0EAC3117">
      <w:pPr>
        <w:ind w:firstLine="480"/>
        <w:outlineLvl w:val="1"/>
        <w:rPr>
          <w:rFonts w:hint="eastAsia" w:ascii="仿宋" w:hAnsi="仿宋" w:eastAsia="仿宋" w:cs="仿宋"/>
          <w:color w:val="000000"/>
          <w:sz w:val="32"/>
          <w:szCs w:val="32"/>
          <w:lang w:val="zh-CN"/>
        </w:rPr>
      </w:pPr>
      <w:bookmarkStart w:id="201" w:name="_Toc5393"/>
      <w:bookmarkStart w:id="202" w:name="_Toc5268"/>
      <w:bookmarkStart w:id="203" w:name="_Toc27174"/>
      <w:bookmarkStart w:id="204" w:name="_Toc16299"/>
      <w:r>
        <w:rPr>
          <w:rFonts w:hint="eastAsia" w:ascii="仿宋" w:hAnsi="仿宋" w:eastAsia="仿宋" w:cs="仿宋"/>
          <w:color w:val="000000"/>
          <w:sz w:val="32"/>
          <w:szCs w:val="32"/>
          <w:lang w:val="zh-CN"/>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lang w:val="zh-CN"/>
        </w:rPr>
        <w:t>.本响应文件自开标之时起90天内有效。</w:t>
      </w:r>
      <w:bookmarkEnd w:id="201"/>
      <w:bookmarkEnd w:id="202"/>
      <w:bookmarkEnd w:id="203"/>
      <w:bookmarkEnd w:id="204"/>
    </w:p>
    <w:p w14:paraId="246F526D">
      <w:pPr>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1</w:t>
      </w: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lang w:val="zh-CN"/>
        </w:rPr>
        <w:t>.我方保证严格遵守《中华人民共和国政府采购法》的有关规定，若有下列情形之一的，我方将被处不予退还谈判保证金，列入不良行为记录名单，在一至三年内禁止参加政府采购活动，并予以公告：</w:t>
      </w:r>
    </w:p>
    <w:p w14:paraId="4B19DE24">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（1）提供虚假材料谋取中标、成交的；</w:t>
      </w:r>
    </w:p>
    <w:p w14:paraId="031995AC">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（2）采取不正当手段诋毁、排挤其他供应商的；</w:t>
      </w:r>
    </w:p>
    <w:p w14:paraId="4EA800B7">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（3）与其他供应商、采购中心或者采购单位人员或者其他有关人员恶意串通的；</w:t>
      </w:r>
    </w:p>
    <w:p w14:paraId="2FD6C117">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（4）向</w:t>
      </w:r>
      <w:r>
        <w:rPr>
          <w:rFonts w:hint="eastAsia" w:ascii="仿宋" w:hAnsi="仿宋" w:eastAsia="仿宋" w:cs="仿宋"/>
          <w:color w:val="000000"/>
          <w:sz w:val="32"/>
          <w:szCs w:val="32"/>
          <w:lang w:val="en"/>
        </w:rPr>
        <w:t>谈判小组</w:t>
      </w:r>
      <w:r>
        <w:rPr>
          <w:rFonts w:hint="eastAsia" w:ascii="仿宋" w:hAnsi="仿宋" w:eastAsia="仿宋" w:cs="仿宋"/>
          <w:color w:val="000000"/>
          <w:sz w:val="32"/>
          <w:szCs w:val="32"/>
          <w:lang w:val="zh-CN"/>
        </w:rPr>
        <w:t>成员、采购中心或者采购单位人员或者其他有关人员行贿或者提供其他不正当利益的；</w:t>
      </w:r>
    </w:p>
    <w:p w14:paraId="19E69691">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（5）被评定中标后无正当理由不与采购人或者采购代理机构订立合同，或者中标后不按采购文件和中标供应商的响应文件订立合同，或者与采购人另行订立背离合同实质性内容的协议的；</w:t>
      </w:r>
    </w:p>
    <w:p w14:paraId="16305FAB">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（6）将中标项目转让给他人或者将中标项目分包给他人的；</w:t>
      </w:r>
    </w:p>
    <w:p w14:paraId="34C3221B">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（7）签订合同后拒绝履行合同义务的；</w:t>
      </w:r>
    </w:p>
    <w:p w14:paraId="6DEC8E5E">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（8）拒绝有关部门监督检查或提供虚假情况的。</w:t>
      </w:r>
    </w:p>
    <w:p w14:paraId="717AD3EB">
      <w:pPr>
        <w:ind w:firstLine="480"/>
        <w:rPr>
          <w:rFonts w:hint="eastAsia" w:ascii="仿宋" w:hAnsi="仿宋" w:eastAsia="仿宋" w:cs="仿宋"/>
          <w:color w:val="000000"/>
          <w:sz w:val="32"/>
          <w:szCs w:val="32"/>
          <w:lang w:val="zh-CN"/>
        </w:rPr>
      </w:pPr>
    </w:p>
    <w:p w14:paraId="5D342D39">
      <w:pPr>
        <w:ind w:firstLine="482"/>
        <w:rPr>
          <w:rFonts w:hint="eastAsia" w:ascii="仿宋" w:hAnsi="仿宋" w:eastAsia="仿宋" w:cs="仿宋"/>
          <w:b/>
          <w:bCs/>
          <w:color w:val="000000"/>
          <w:sz w:val="32"/>
          <w:szCs w:val="32"/>
          <w:u w:val="single"/>
          <w:lang w:val="zh-CN"/>
        </w:rPr>
      </w:pPr>
      <w:r>
        <w:rPr>
          <w:rFonts w:hint="eastAsia" w:ascii="仿宋" w:hAnsi="仿宋" w:eastAsia="仿宋" w:cs="仿宋"/>
          <w:b/>
          <w:bCs/>
          <w:color w:val="000000"/>
          <w:sz w:val="32"/>
          <w:szCs w:val="32"/>
          <w:lang w:val="zh-CN"/>
        </w:rPr>
        <w:t>供应商印刷体名称（加盖公章）：</w:t>
      </w:r>
      <w:r>
        <w:rPr>
          <w:rFonts w:hint="eastAsia" w:ascii="仿宋" w:hAnsi="仿宋" w:eastAsia="仿宋" w:cs="仿宋"/>
          <w:b/>
          <w:bCs/>
          <w:color w:val="000000"/>
          <w:sz w:val="32"/>
          <w:szCs w:val="32"/>
          <w:u w:val="single"/>
          <w:lang w:val="zh-CN"/>
        </w:rPr>
        <w:t xml:space="preserve">                      </w:t>
      </w:r>
    </w:p>
    <w:p w14:paraId="244B8E24">
      <w:pPr>
        <w:ind w:firstLine="480"/>
        <w:rPr>
          <w:rFonts w:hint="eastAsia" w:ascii="仿宋" w:hAnsi="仿宋" w:eastAsia="仿宋" w:cs="仿宋"/>
          <w:color w:val="000000"/>
          <w:sz w:val="32"/>
          <w:szCs w:val="32"/>
          <w:u w:val="single"/>
          <w:lang w:val="zh-CN"/>
        </w:rPr>
      </w:pPr>
      <w:r>
        <w:rPr>
          <w:rFonts w:hint="eastAsia" w:ascii="仿宋" w:hAnsi="仿宋" w:eastAsia="仿宋" w:cs="仿宋"/>
          <w:color w:val="000000"/>
          <w:sz w:val="32"/>
          <w:szCs w:val="32"/>
          <w:lang w:val="zh-CN"/>
        </w:rPr>
        <w:t>地址：</w:t>
      </w:r>
      <w:r>
        <w:rPr>
          <w:rFonts w:hint="eastAsia" w:ascii="仿宋" w:hAnsi="仿宋" w:eastAsia="仿宋" w:cs="仿宋"/>
          <w:color w:val="000000"/>
          <w:sz w:val="32"/>
          <w:szCs w:val="32"/>
          <w:u w:val="single"/>
          <w:lang w:val="zh-CN"/>
        </w:rPr>
        <w:t xml:space="preserve">                                       </w:t>
      </w:r>
    </w:p>
    <w:p w14:paraId="3F5C1640">
      <w:pPr>
        <w:ind w:firstLine="480"/>
        <w:rPr>
          <w:rFonts w:hint="eastAsia" w:ascii="仿宋" w:hAnsi="仿宋" w:eastAsia="仿宋" w:cs="仿宋"/>
          <w:color w:val="000000"/>
          <w:sz w:val="32"/>
          <w:szCs w:val="32"/>
          <w:u w:val="single"/>
          <w:lang w:val="zh-CN"/>
        </w:rPr>
      </w:pPr>
      <w:r>
        <w:rPr>
          <w:rFonts w:hint="eastAsia" w:ascii="仿宋" w:hAnsi="仿宋" w:eastAsia="仿宋" w:cs="仿宋"/>
          <w:color w:val="000000"/>
          <w:sz w:val="32"/>
          <w:szCs w:val="32"/>
          <w:lang w:val="zh-CN"/>
        </w:rPr>
        <w:t>电话、传真或电传：</w:t>
      </w:r>
      <w:r>
        <w:rPr>
          <w:rFonts w:hint="eastAsia" w:ascii="仿宋" w:hAnsi="仿宋" w:eastAsia="仿宋" w:cs="仿宋"/>
          <w:color w:val="000000"/>
          <w:sz w:val="32"/>
          <w:szCs w:val="32"/>
          <w:u w:val="single"/>
          <w:lang w:val="zh-CN"/>
        </w:rPr>
        <w:t xml:space="preserve">                           </w:t>
      </w:r>
    </w:p>
    <w:p w14:paraId="346586F3">
      <w:pPr>
        <w:ind w:firstLine="480"/>
        <w:rPr>
          <w:rFonts w:hint="eastAsia" w:ascii="仿宋" w:hAnsi="仿宋" w:eastAsia="仿宋" w:cs="仿宋"/>
          <w:color w:val="000000"/>
          <w:sz w:val="32"/>
          <w:szCs w:val="32"/>
          <w:u w:val="single"/>
          <w:lang w:val="zh-CN"/>
        </w:rPr>
      </w:pPr>
      <w:r>
        <w:rPr>
          <w:rFonts w:hint="eastAsia" w:ascii="仿宋" w:hAnsi="仿宋" w:eastAsia="仿宋" w:cs="仿宋"/>
          <w:color w:val="000000"/>
          <w:sz w:val="32"/>
          <w:szCs w:val="32"/>
          <w:lang w:val="zh-CN"/>
        </w:rPr>
        <w:t>邮政编码：</w:t>
      </w:r>
      <w:r>
        <w:rPr>
          <w:rFonts w:hint="eastAsia" w:ascii="仿宋" w:hAnsi="仿宋" w:eastAsia="仿宋" w:cs="仿宋"/>
          <w:color w:val="000000"/>
          <w:sz w:val="32"/>
          <w:szCs w:val="32"/>
          <w:u w:val="single"/>
          <w:lang w:val="zh-CN"/>
        </w:rPr>
        <w:t xml:space="preserve">                                   </w:t>
      </w:r>
    </w:p>
    <w:p w14:paraId="27D945EA">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签署日期：</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日</w:t>
      </w:r>
    </w:p>
    <w:p w14:paraId="6A6B62BE">
      <w:pPr>
        <w:pStyle w:val="50"/>
        <w:rPr>
          <w:rFonts w:hint="eastAsia"/>
          <w:lang w:val="zh-CN"/>
        </w:rPr>
      </w:pPr>
    </w:p>
    <w:p w14:paraId="7DC56C60">
      <w:pPr>
        <w:pStyle w:val="50"/>
        <w:rPr>
          <w:rFonts w:hint="eastAsia"/>
          <w:lang w:val="zh-CN"/>
        </w:rPr>
      </w:pPr>
    </w:p>
    <w:p w14:paraId="799CBEE9">
      <w:pPr>
        <w:pStyle w:val="50"/>
        <w:rPr>
          <w:rFonts w:hint="eastAsia"/>
          <w:lang w:val="zh-CN"/>
        </w:rPr>
      </w:pPr>
    </w:p>
    <w:p w14:paraId="2EC80FE0">
      <w:pPr>
        <w:pStyle w:val="50"/>
        <w:rPr>
          <w:rFonts w:hint="eastAsia"/>
          <w:lang w:val="zh-CN"/>
        </w:rPr>
      </w:pPr>
    </w:p>
    <w:p w14:paraId="510A0706">
      <w:pPr>
        <w:pStyle w:val="50"/>
        <w:rPr>
          <w:rFonts w:hint="eastAsia"/>
          <w:lang w:val="zh-CN"/>
        </w:rPr>
      </w:pPr>
    </w:p>
    <w:p w14:paraId="228030B4">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格式二、供应商基本情况</w:t>
      </w:r>
    </w:p>
    <w:p w14:paraId="7E48E546">
      <w:pPr>
        <w:ind w:firstLine="435"/>
        <w:rPr>
          <w:rFonts w:hint="eastAsia" w:ascii="仿宋" w:hAnsi="仿宋" w:eastAsia="仿宋" w:cs="仿宋"/>
          <w:color w:val="000000"/>
          <w:sz w:val="32"/>
          <w:szCs w:val="32"/>
        </w:rPr>
      </w:pPr>
    </w:p>
    <w:p w14:paraId="616B2E77">
      <w:pPr>
        <w:ind w:firstLine="435"/>
        <w:rPr>
          <w:rFonts w:hint="eastAsia" w:ascii="仿宋" w:hAnsi="仿宋" w:eastAsia="仿宋" w:cs="仿宋"/>
          <w:color w:val="000000"/>
          <w:sz w:val="32"/>
          <w:szCs w:val="32"/>
        </w:rPr>
      </w:pPr>
      <w:r>
        <w:rPr>
          <w:rFonts w:hint="eastAsia" w:ascii="仿宋" w:hAnsi="仿宋" w:eastAsia="仿宋" w:cs="仿宋"/>
          <w:color w:val="000000"/>
          <w:sz w:val="32"/>
          <w:szCs w:val="32"/>
          <w:lang w:val="zh-CN"/>
        </w:rPr>
        <w:t>文字描述：企业性质、发展历程、经营规模、服务理念、主营产品、技术力量等或图片描述：经营场所、主要产品、生产场所、工艺流程等。</w:t>
      </w:r>
    </w:p>
    <w:p w14:paraId="02E03ED7">
      <w:pPr>
        <w:rPr>
          <w:rFonts w:hint="eastAsia" w:ascii="仿宋" w:hAnsi="仿宋" w:eastAsia="仿宋" w:cs="仿宋"/>
          <w:b/>
          <w:bCs/>
          <w:color w:val="000000"/>
          <w:sz w:val="32"/>
          <w:szCs w:val="32"/>
          <w:lang w:val="zh-CN"/>
        </w:rPr>
      </w:pPr>
    </w:p>
    <w:p w14:paraId="2A908300">
      <w:pP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zh-CN"/>
        </w:rPr>
        <w:t>格式三、供应商的资格声明</w:t>
      </w:r>
    </w:p>
    <w:p w14:paraId="6AFE722F">
      <w:pPr>
        <w:rPr>
          <w:rFonts w:hint="eastAsia" w:ascii="仿宋" w:hAnsi="仿宋" w:eastAsia="仿宋" w:cs="仿宋"/>
          <w:color w:val="000000"/>
          <w:sz w:val="32"/>
          <w:szCs w:val="32"/>
        </w:rPr>
      </w:pPr>
      <w:r>
        <w:rPr>
          <w:rFonts w:hint="eastAsia" w:ascii="仿宋" w:hAnsi="仿宋" w:eastAsia="仿宋" w:cs="仿宋"/>
          <w:color w:val="000000"/>
          <w:sz w:val="32"/>
          <w:szCs w:val="32"/>
          <w:lang w:val="zh-CN"/>
        </w:rPr>
        <w:t>致和龙市政府采购中心：</w:t>
      </w:r>
    </w:p>
    <w:p w14:paraId="13A559B8">
      <w:pPr>
        <w:ind w:firstLine="480"/>
        <w:rPr>
          <w:rFonts w:hint="eastAsia" w:ascii="仿宋" w:hAnsi="仿宋" w:eastAsia="仿宋" w:cs="仿宋"/>
          <w:color w:val="000000"/>
          <w:sz w:val="32"/>
          <w:szCs w:val="32"/>
        </w:rPr>
      </w:pPr>
      <w:r>
        <w:rPr>
          <w:rFonts w:hint="eastAsia" w:ascii="仿宋" w:hAnsi="仿宋" w:eastAsia="仿宋" w:cs="仿宋"/>
          <w:color w:val="000000"/>
          <w:sz w:val="32"/>
          <w:szCs w:val="32"/>
          <w:lang w:val="zh-CN"/>
        </w:rPr>
        <w:t>按照《中华人民共和国政府采购法实施条例》第</w:t>
      </w:r>
      <w:r>
        <w:rPr>
          <w:rFonts w:hint="eastAsia" w:ascii="仿宋" w:hAnsi="仿宋" w:eastAsia="仿宋" w:cs="仿宋"/>
          <w:color w:val="000000"/>
          <w:sz w:val="32"/>
          <w:szCs w:val="32"/>
          <w:lang w:eastAsia="zh-CN"/>
        </w:rPr>
        <w:t>十七</w:t>
      </w:r>
      <w:r>
        <w:rPr>
          <w:rFonts w:hint="eastAsia" w:ascii="仿宋" w:hAnsi="仿宋" w:eastAsia="仿宋" w:cs="仿宋"/>
          <w:color w:val="000000"/>
          <w:sz w:val="32"/>
          <w:szCs w:val="32"/>
          <w:lang w:val="zh-CN"/>
        </w:rPr>
        <w:t>和你中心发布的《</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竞争性谈判文件 》（</w:t>
      </w:r>
      <w:r>
        <w:rPr>
          <w:rFonts w:hint="eastAsia" w:ascii="仿宋" w:hAnsi="仿宋" w:eastAsia="仿宋" w:cs="仿宋"/>
          <w:sz w:val="32"/>
          <w:szCs w:val="32"/>
        </w:rPr>
        <w:t>项目编号：</w:t>
      </w:r>
      <w:r>
        <w:rPr>
          <w:rFonts w:hint="eastAsia" w:ascii="仿宋" w:hAnsi="仿宋" w:eastAsia="仿宋" w:cs="仿宋"/>
          <w:sz w:val="32"/>
          <w:szCs w:val="32"/>
          <w:u w:val="single"/>
          <w:lang w:val="en-US" w:eastAsia="zh-CN"/>
        </w:rPr>
        <w:t xml:space="preserve">          </w:t>
      </w:r>
      <w:r>
        <w:rPr>
          <w:rFonts w:hint="eastAsia" w:ascii="仿宋" w:hAnsi="仿宋" w:eastAsia="仿宋" w:cs="仿宋"/>
          <w:color w:val="000000"/>
          <w:sz w:val="32"/>
          <w:szCs w:val="32"/>
          <w:lang w:val="zh-CN"/>
        </w:rPr>
        <w:t>）的规定，我公司郑重声明如下：</w:t>
      </w:r>
    </w:p>
    <w:p w14:paraId="19156DB0">
      <w:pPr>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zh-CN"/>
        </w:rPr>
        <w:t>、我公司是按照中华人民共和国法律在工商管理机关登记注册的企业法人，注册地点为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lang w:val="zh-CN"/>
        </w:rPr>
        <w:t>，公司全称为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lang w:val="zh-CN"/>
        </w:rPr>
        <w:t>，法定代表人为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lang w:val="zh-CN"/>
        </w:rPr>
        <w:t>，具有独立承担民事责任的能力。</w:t>
      </w:r>
    </w:p>
    <w:p w14:paraId="66266B37">
      <w:pPr>
        <w:spacing w:line="440" w:lineRule="exact"/>
        <w:ind w:firstLine="480"/>
        <w:rPr>
          <w:rFonts w:hint="eastAsia" w:ascii="仿宋" w:hAnsi="仿宋" w:eastAsia="仿宋" w:cs="仿宋"/>
          <w:color w:val="FF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zh-CN"/>
        </w:rPr>
        <w:t>、我公司具有良好的商业信誉和健全的财务会计制度。（</w:t>
      </w:r>
      <w:r>
        <w:rPr>
          <w:rFonts w:hint="eastAsia" w:ascii="仿宋" w:hAnsi="仿宋" w:eastAsia="仿宋" w:cs="仿宋"/>
          <w:color w:val="FF0000"/>
          <w:sz w:val="32"/>
          <w:szCs w:val="32"/>
          <w:lang w:val="zh-CN"/>
        </w:rPr>
        <w:t>提供</w:t>
      </w:r>
      <w:r>
        <w:rPr>
          <w:rFonts w:hint="eastAsia" w:ascii="仿宋" w:hAnsi="仿宋" w:eastAsia="仿宋" w:cs="仿宋"/>
          <w:color w:val="FF0000"/>
          <w:sz w:val="32"/>
          <w:szCs w:val="32"/>
        </w:rPr>
        <w:t>财务状况报告</w:t>
      </w:r>
      <w:r>
        <w:rPr>
          <w:rFonts w:hint="eastAsia" w:ascii="仿宋" w:hAnsi="仿宋" w:eastAsia="仿宋" w:cs="仿宋"/>
          <w:color w:val="FF0000"/>
          <w:sz w:val="32"/>
          <w:szCs w:val="32"/>
          <w:lang w:val="zh-CN"/>
        </w:rPr>
        <w:t>）</w:t>
      </w:r>
    </w:p>
    <w:p w14:paraId="414AF55C">
      <w:pPr>
        <w:ind w:firstLine="640" w:firstLineChars="200"/>
        <w:outlineLvl w:val="1"/>
        <w:rPr>
          <w:rFonts w:hint="eastAsia" w:ascii="仿宋" w:hAnsi="仿宋" w:eastAsia="仿宋" w:cs="仿宋"/>
          <w:color w:val="000000"/>
          <w:sz w:val="32"/>
          <w:szCs w:val="32"/>
        </w:rPr>
      </w:pPr>
      <w:bookmarkStart w:id="205" w:name="_Toc14365"/>
      <w:bookmarkStart w:id="206" w:name="_Toc8982"/>
      <w:bookmarkStart w:id="207" w:name="_Toc20315"/>
      <w:bookmarkStart w:id="208" w:name="_Toc32410"/>
      <w:r>
        <w:rPr>
          <w:rFonts w:hint="eastAsia" w:ascii="仿宋" w:hAnsi="仿宋" w:eastAsia="仿宋" w:cs="仿宋"/>
          <w:color w:val="000000"/>
          <w:sz w:val="32"/>
          <w:szCs w:val="32"/>
        </w:rPr>
        <w:t>3</w:t>
      </w:r>
      <w:r>
        <w:rPr>
          <w:rFonts w:hint="eastAsia" w:ascii="仿宋" w:hAnsi="仿宋" w:eastAsia="仿宋" w:cs="仿宋"/>
          <w:color w:val="000000"/>
          <w:sz w:val="32"/>
          <w:szCs w:val="32"/>
          <w:lang w:val="zh-CN"/>
        </w:rPr>
        <w:t>、我公司具有履行本项目采购合同所必需的设备和专业技术能力。</w:t>
      </w:r>
      <w:bookmarkEnd w:id="205"/>
      <w:bookmarkEnd w:id="206"/>
      <w:bookmarkEnd w:id="207"/>
      <w:bookmarkEnd w:id="208"/>
    </w:p>
    <w:p w14:paraId="0931E301">
      <w:pPr>
        <w:spacing w:line="440" w:lineRule="exact"/>
        <w:ind w:firstLine="480"/>
        <w:rPr>
          <w:rFonts w:hint="eastAsia" w:ascii="仿宋" w:hAnsi="仿宋" w:eastAsia="仿宋" w:cs="仿宋"/>
          <w:color w:val="FF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zh-CN"/>
        </w:rPr>
        <w:t>、我公司具有依法缴纳税收和社会保障资金的良好记录。</w:t>
      </w:r>
      <w:r>
        <w:rPr>
          <w:rFonts w:hint="eastAsia" w:ascii="仿宋" w:hAnsi="仿宋" w:eastAsia="仿宋" w:cs="仿宋"/>
          <w:color w:val="FF0000"/>
          <w:sz w:val="32"/>
          <w:szCs w:val="32"/>
          <w:lang w:val="zh-CN"/>
        </w:rPr>
        <w:t>（提供</w:t>
      </w:r>
      <w:r>
        <w:rPr>
          <w:rFonts w:hint="eastAsia" w:ascii="仿宋" w:hAnsi="仿宋" w:eastAsia="仿宋" w:cs="仿宋"/>
          <w:color w:val="FF0000"/>
          <w:sz w:val="32"/>
          <w:szCs w:val="32"/>
        </w:rPr>
        <w:t>依法缴纳税收和社会保障资金的相关材料</w:t>
      </w:r>
      <w:r>
        <w:rPr>
          <w:rFonts w:hint="eastAsia" w:ascii="仿宋" w:hAnsi="仿宋" w:eastAsia="仿宋" w:cs="仿宋"/>
          <w:color w:val="FF0000"/>
          <w:sz w:val="32"/>
          <w:szCs w:val="32"/>
          <w:lang w:val="zh-CN"/>
        </w:rPr>
        <w:t>）</w:t>
      </w:r>
    </w:p>
    <w:p w14:paraId="2DD0C8DE">
      <w:pPr>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val="zh-CN"/>
        </w:rPr>
        <w:t>、我公司在参与本次政府采购活动之前三年内，在经营活动中无重大违法记录。</w:t>
      </w:r>
      <w:r>
        <w:rPr>
          <w:rFonts w:hint="eastAsia" w:ascii="仿宋" w:hAnsi="仿宋" w:eastAsia="仿宋" w:cs="仿宋"/>
          <w:color w:val="FF0000"/>
          <w:sz w:val="32"/>
          <w:szCs w:val="32"/>
          <w:lang w:val="zh-CN"/>
        </w:rPr>
        <w:t>（提供</w:t>
      </w:r>
      <w:r>
        <w:rPr>
          <w:rFonts w:hint="eastAsia" w:ascii="仿宋" w:hAnsi="仿宋" w:eastAsia="仿宋" w:cs="仿宋"/>
          <w:color w:val="FF0000"/>
          <w:sz w:val="32"/>
          <w:szCs w:val="32"/>
        </w:rPr>
        <w:t>书面声明</w:t>
      </w:r>
      <w:r>
        <w:rPr>
          <w:rFonts w:hint="eastAsia" w:ascii="仿宋" w:hAnsi="仿宋" w:eastAsia="仿宋" w:cs="仿宋"/>
          <w:b/>
          <w:color w:val="FF0000"/>
          <w:sz w:val="32"/>
          <w:szCs w:val="32"/>
        </w:rPr>
        <w:t>）</w:t>
      </w:r>
    </w:p>
    <w:p w14:paraId="28EE388F">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val="zh-CN"/>
        </w:rPr>
        <w:t>、我公司在参与本次政府采购活动时未受到任何地方政府采购部门作出的暂停参加政府采购活动的处罚。</w:t>
      </w:r>
    </w:p>
    <w:p w14:paraId="373376E2">
      <w:pPr>
        <w:ind w:firstLine="480"/>
        <w:rPr>
          <w:rFonts w:hint="eastAsia" w:ascii="仿宋" w:hAnsi="仿宋" w:eastAsia="仿宋" w:cs="仿宋"/>
          <w:color w:val="000000"/>
          <w:sz w:val="32"/>
          <w:szCs w:val="32"/>
        </w:rPr>
      </w:pPr>
      <w:r>
        <w:rPr>
          <w:rFonts w:hint="eastAsia" w:ascii="仿宋" w:hAnsi="仿宋" w:eastAsia="仿宋" w:cs="仿宋"/>
          <w:color w:val="000000"/>
          <w:sz w:val="32"/>
          <w:szCs w:val="32"/>
          <w:lang w:val="zh-CN"/>
        </w:rPr>
        <w:t>我公司保证上述声明的事项都是真实的，如有虚假，我公司承担相应的法律责任，并承担因此给你中心以及本项目采购人所造成的损失。</w:t>
      </w:r>
    </w:p>
    <w:p w14:paraId="1D1E666B">
      <w:pPr>
        <w:ind w:firstLine="480"/>
        <w:rPr>
          <w:rFonts w:hint="eastAsia" w:ascii="仿宋" w:hAnsi="仿宋" w:eastAsia="仿宋" w:cs="仿宋"/>
          <w:color w:val="000000"/>
          <w:sz w:val="32"/>
          <w:szCs w:val="32"/>
        </w:rPr>
      </w:pPr>
      <w:r>
        <w:rPr>
          <w:rFonts w:hint="eastAsia" w:ascii="仿宋" w:hAnsi="仿宋" w:eastAsia="仿宋" w:cs="仿宋"/>
          <w:color w:val="000000"/>
          <w:sz w:val="32"/>
          <w:szCs w:val="32"/>
          <w:lang w:val="zh-CN"/>
        </w:rPr>
        <w:t>我公司已经按照你中心竞争性谈判文件的要求提交了所要求提交的能够证明上述声明事项真实性的全部文件材料，并保证随时按照你中心的要求提供能够证明上述声明事项真实性的任何有效文件。</w:t>
      </w:r>
    </w:p>
    <w:p w14:paraId="27F12309">
      <w:pPr>
        <w:ind w:firstLine="480"/>
        <w:rPr>
          <w:rFonts w:hint="eastAsia" w:ascii="仿宋" w:hAnsi="仿宋" w:eastAsia="仿宋" w:cs="仿宋"/>
          <w:color w:val="000000"/>
          <w:sz w:val="32"/>
          <w:szCs w:val="32"/>
        </w:rPr>
      </w:pPr>
    </w:p>
    <w:p w14:paraId="00579FB6">
      <w:pPr>
        <w:ind w:firstLine="480"/>
        <w:rPr>
          <w:rFonts w:hint="eastAsia" w:ascii="仿宋" w:hAnsi="仿宋" w:eastAsia="仿宋" w:cs="仿宋"/>
          <w:color w:val="000000"/>
          <w:sz w:val="32"/>
          <w:szCs w:val="32"/>
        </w:rPr>
      </w:pPr>
      <w:r>
        <w:rPr>
          <w:rFonts w:hint="eastAsia" w:ascii="仿宋" w:hAnsi="仿宋" w:eastAsia="仿宋" w:cs="仿宋"/>
          <w:color w:val="000000"/>
          <w:sz w:val="32"/>
          <w:szCs w:val="32"/>
          <w:lang w:val="zh-CN"/>
        </w:rPr>
        <w:t>供应商名称全称</w:t>
      </w:r>
      <w:r>
        <w:rPr>
          <w:rFonts w:hint="eastAsia" w:ascii="仿宋" w:hAnsi="仿宋" w:eastAsia="仿宋" w:cs="仿宋"/>
          <w:b/>
          <w:bCs/>
          <w:color w:val="000000"/>
          <w:sz w:val="32"/>
          <w:szCs w:val="32"/>
          <w:lang w:val="zh-CN"/>
        </w:rPr>
        <w:t>（加盖公章）</w:t>
      </w:r>
      <w:r>
        <w:rPr>
          <w:rFonts w:hint="eastAsia" w:ascii="仿宋" w:hAnsi="仿宋" w:eastAsia="仿宋" w:cs="仿宋"/>
          <w:color w:val="000000"/>
          <w:sz w:val="32"/>
          <w:szCs w:val="32"/>
          <w:lang w:val="zh-CN"/>
        </w:rPr>
        <w:t>：</w:t>
      </w:r>
    </w:p>
    <w:p w14:paraId="1470F999">
      <w:pPr>
        <w:ind w:firstLine="480"/>
        <w:rPr>
          <w:rFonts w:hint="eastAsia" w:ascii="仿宋" w:hAnsi="仿宋" w:eastAsia="仿宋" w:cs="仿宋"/>
          <w:color w:val="000000"/>
          <w:sz w:val="32"/>
          <w:szCs w:val="32"/>
        </w:rPr>
      </w:pPr>
      <w:r>
        <w:rPr>
          <w:rFonts w:hint="eastAsia" w:ascii="仿宋" w:hAnsi="仿宋" w:eastAsia="仿宋" w:cs="仿宋"/>
          <w:color w:val="000000"/>
          <w:sz w:val="32"/>
          <w:szCs w:val="32"/>
          <w:lang w:val="zh-CN"/>
        </w:rPr>
        <w:t xml:space="preserve">时间：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日</w:t>
      </w:r>
    </w:p>
    <w:p w14:paraId="0A3556E8">
      <w:pPr>
        <w:outlineLvl w:val="0"/>
        <w:rPr>
          <w:rFonts w:hint="eastAsia" w:ascii="仿宋" w:hAnsi="仿宋" w:eastAsia="仿宋" w:cs="仿宋"/>
          <w:b/>
          <w:bCs/>
          <w:color w:val="000000"/>
          <w:sz w:val="32"/>
          <w:szCs w:val="32"/>
          <w:lang w:val="zh-CN"/>
        </w:rPr>
      </w:pPr>
      <w:bookmarkStart w:id="209" w:name="_Toc16535"/>
      <w:bookmarkStart w:id="210" w:name="_Toc6478"/>
      <w:bookmarkStart w:id="211" w:name="_Toc20721"/>
      <w:bookmarkStart w:id="212" w:name="_Toc5160"/>
      <w:bookmarkStart w:id="213" w:name="_Toc23264"/>
    </w:p>
    <w:p w14:paraId="4BEB3041">
      <w:pPr>
        <w:outlineLvl w:val="0"/>
        <w:rPr>
          <w:rFonts w:hint="eastAsia" w:ascii="仿宋" w:hAnsi="仿宋" w:eastAsia="仿宋" w:cs="仿宋"/>
          <w:b/>
          <w:bCs/>
          <w:color w:val="000000"/>
          <w:sz w:val="32"/>
          <w:szCs w:val="32"/>
          <w:lang w:val="zh-CN"/>
        </w:rPr>
      </w:pPr>
    </w:p>
    <w:p w14:paraId="4CEE1D3A">
      <w:pPr>
        <w:outlineLvl w:val="0"/>
        <w:rPr>
          <w:rFonts w:hint="eastAsia" w:ascii="仿宋" w:hAnsi="仿宋" w:eastAsia="仿宋" w:cs="仿宋"/>
          <w:color w:val="000000"/>
          <w:sz w:val="32"/>
          <w:szCs w:val="32"/>
          <w:lang w:val="zh-CN"/>
        </w:rPr>
      </w:pPr>
      <w:r>
        <w:rPr>
          <w:rFonts w:hint="eastAsia" w:ascii="仿宋" w:hAnsi="仿宋" w:eastAsia="仿宋" w:cs="仿宋"/>
          <w:b/>
          <w:bCs/>
          <w:color w:val="000000"/>
          <w:sz w:val="32"/>
          <w:szCs w:val="32"/>
          <w:lang w:val="zh-CN"/>
        </w:rPr>
        <w:t>格式四、法定代表人授权书</w:t>
      </w:r>
      <w:r>
        <w:rPr>
          <w:rFonts w:hint="eastAsia" w:ascii="仿宋" w:hAnsi="仿宋" w:eastAsia="仿宋" w:cs="仿宋"/>
          <w:color w:val="000000"/>
          <w:sz w:val="32"/>
          <w:szCs w:val="32"/>
          <w:lang w:val="zh-CN"/>
        </w:rPr>
        <w:t>（法定代表人投标的可不提供）</w:t>
      </w:r>
      <w:bookmarkEnd w:id="209"/>
      <w:bookmarkEnd w:id="210"/>
      <w:bookmarkEnd w:id="211"/>
      <w:bookmarkEnd w:id="212"/>
      <w:bookmarkEnd w:id="213"/>
    </w:p>
    <w:p w14:paraId="50400452">
      <w:pPr>
        <w:rPr>
          <w:rFonts w:hint="eastAsia" w:ascii="仿宋" w:hAnsi="仿宋" w:eastAsia="仿宋" w:cs="仿宋"/>
          <w:color w:val="000000"/>
          <w:sz w:val="32"/>
          <w:szCs w:val="32"/>
          <w:lang w:val="zh-CN"/>
        </w:rPr>
      </w:pPr>
    </w:p>
    <w:p w14:paraId="32CC8681">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本授权书声明：注册于</w:t>
      </w:r>
      <w:r>
        <w:rPr>
          <w:rFonts w:hint="eastAsia" w:ascii="仿宋" w:hAnsi="仿宋" w:eastAsia="仿宋" w:cs="仿宋"/>
          <w:color w:val="000000"/>
          <w:sz w:val="32"/>
          <w:szCs w:val="32"/>
          <w:u w:val="single"/>
          <w:lang w:val="zh-CN"/>
        </w:rPr>
        <w:t xml:space="preserve">  （注册地点）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zh-CN"/>
        </w:rPr>
        <w:t xml:space="preserve">  （供应商名称）  </w:t>
      </w:r>
      <w:r>
        <w:rPr>
          <w:rFonts w:hint="eastAsia" w:ascii="仿宋" w:hAnsi="仿宋" w:eastAsia="仿宋" w:cs="仿宋"/>
          <w:color w:val="000000"/>
          <w:sz w:val="32"/>
          <w:szCs w:val="32"/>
          <w:lang w:val="zh-CN"/>
        </w:rPr>
        <w:t>的在下面签字的</w:t>
      </w:r>
      <w:r>
        <w:rPr>
          <w:rFonts w:hint="eastAsia" w:ascii="仿宋" w:hAnsi="仿宋" w:eastAsia="仿宋" w:cs="仿宋"/>
          <w:color w:val="000000"/>
          <w:sz w:val="32"/>
          <w:szCs w:val="32"/>
          <w:u w:val="single"/>
          <w:lang w:val="zh-CN"/>
        </w:rPr>
        <w:t xml:space="preserve">  （供应商法定代表人姓名、职务）  </w:t>
      </w:r>
      <w:r>
        <w:rPr>
          <w:rFonts w:hint="eastAsia" w:ascii="仿宋" w:hAnsi="仿宋" w:eastAsia="仿宋" w:cs="仿宋"/>
          <w:color w:val="000000"/>
          <w:sz w:val="32"/>
          <w:szCs w:val="32"/>
          <w:lang w:val="zh-CN"/>
        </w:rPr>
        <w:t>代表本公司授权在下面签字的</w:t>
      </w:r>
      <w:r>
        <w:rPr>
          <w:rFonts w:hint="eastAsia" w:ascii="仿宋" w:hAnsi="仿宋" w:eastAsia="仿宋" w:cs="仿宋"/>
          <w:color w:val="000000"/>
          <w:sz w:val="32"/>
          <w:szCs w:val="32"/>
          <w:u w:val="single"/>
          <w:lang w:val="zh-CN"/>
        </w:rPr>
        <w:t xml:space="preserve">  （被授权人的姓名、职务）  </w:t>
      </w:r>
      <w:r>
        <w:rPr>
          <w:rFonts w:hint="eastAsia" w:ascii="仿宋" w:hAnsi="仿宋" w:eastAsia="仿宋" w:cs="仿宋"/>
          <w:color w:val="000000"/>
          <w:sz w:val="32"/>
          <w:szCs w:val="32"/>
          <w:lang w:val="zh-CN"/>
        </w:rPr>
        <w:t>为本公司的合法代理人，</w:t>
      </w:r>
      <w:r>
        <w:rPr>
          <w:rFonts w:hint="eastAsia" w:ascii="仿宋" w:hAnsi="仿宋" w:eastAsia="仿宋" w:cs="仿宋"/>
          <w:color w:val="auto"/>
          <w:sz w:val="32"/>
          <w:szCs w:val="32"/>
          <w:lang w:val="zh-CN"/>
        </w:rPr>
        <w:t>就</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b w:val="0"/>
          <w:bCs w:val="0"/>
          <w:color w:val="auto"/>
          <w:sz w:val="32"/>
          <w:szCs w:val="32"/>
          <w:lang w:val="en-US" w:eastAsia="zh-CN"/>
        </w:rPr>
        <w:t>项目（</w:t>
      </w:r>
      <w:r>
        <w:rPr>
          <w:rFonts w:hint="eastAsia" w:ascii="仿宋" w:hAnsi="仿宋" w:eastAsia="仿宋" w:cs="仿宋"/>
          <w:b w:val="0"/>
          <w:bCs w:val="0"/>
          <w:color w:val="auto"/>
          <w:sz w:val="32"/>
          <w:szCs w:val="32"/>
        </w:rPr>
        <w:t>采购项目编号：</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000000"/>
          <w:sz w:val="32"/>
          <w:szCs w:val="32"/>
          <w:lang w:val="zh-CN"/>
        </w:rPr>
        <w:t>的投标以及合同的谈判、签约、执行、完成和保修等全权负责，以本公司名义处理一切与之有关的事务。</w:t>
      </w:r>
    </w:p>
    <w:p w14:paraId="456DB75C">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本授权书于</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日签字生效，特此声明。</w:t>
      </w:r>
    </w:p>
    <w:p w14:paraId="6891F3B5">
      <w:pPr>
        <w:ind w:firstLine="480"/>
        <w:rPr>
          <w:rFonts w:hint="eastAsia" w:ascii="仿宋" w:hAnsi="仿宋" w:eastAsia="仿宋" w:cs="仿宋"/>
          <w:color w:val="000000"/>
          <w:sz w:val="32"/>
          <w:szCs w:val="32"/>
          <w:lang w:val="zh-CN"/>
        </w:rPr>
      </w:pPr>
    </w:p>
    <w:p w14:paraId="34ABE99B">
      <w:pPr>
        <w:ind w:firstLine="480"/>
        <w:rPr>
          <w:rFonts w:hint="eastAsia" w:ascii="仿宋" w:hAnsi="仿宋" w:eastAsia="仿宋" w:cs="仿宋"/>
          <w:b/>
          <w:bCs/>
          <w:color w:val="000000"/>
          <w:sz w:val="32"/>
          <w:szCs w:val="32"/>
          <w:lang w:val="zh-CN"/>
        </w:rPr>
      </w:pPr>
      <w:r>
        <w:rPr>
          <w:rFonts w:hint="eastAsia" w:ascii="仿宋" w:hAnsi="仿宋" w:eastAsia="仿宋" w:cs="仿宋"/>
          <w:color w:val="000000"/>
          <w:sz w:val="32"/>
          <w:szCs w:val="32"/>
          <w:lang w:val="en"/>
        </w:rPr>
        <w:t>供应商</w:t>
      </w:r>
      <w:r>
        <w:rPr>
          <w:rFonts w:hint="eastAsia" w:ascii="仿宋" w:hAnsi="仿宋" w:eastAsia="仿宋" w:cs="仿宋"/>
          <w:color w:val="000000"/>
          <w:sz w:val="32"/>
          <w:szCs w:val="32"/>
          <w:lang w:val="zh-CN"/>
        </w:rPr>
        <w:t>印刷体名称</w:t>
      </w:r>
      <w:r>
        <w:rPr>
          <w:rFonts w:hint="eastAsia" w:ascii="仿宋" w:hAnsi="仿宋" w:eastAsia="仿宋" w:cs="仿宋"/>
          <w:b/>
          <w:bCs/>
          <w:color w:val="000000"/>
          <w:sz w:val="32"/>
          <w:szCs w:val="32"/>
          <w:lang w:val="zh-CN"/>
        </w:rPr>
        <w:t>（加盖公章）：</w:t>
      </w:r>
    </w:p>
    <w:p w14:paraId="5251CCB0">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地址： </w:t>
      </w:r>
    </w:p>
    <w:p w14:paraId="674FBD8E">
      <w:pPr>
        <w:rPr>
          <w:rFonts w:hint="eastAsia" w:ascii="仿宋" w:hAnsi="仿宋" w:eastAsia="仿宋" w:cs="仿宋"/>
          <w:b/>
          <w:bCs/>
          <w:color w:val="000000"/>
          <w:sz w:val="32"/>
          <w:szCs w:val="32"/>
          <w:u w:val="single"/>
          <w:lang w:val="zh-CN"/>
        </w:rPr>
      </w:pPr>
      <w:r>
        <w:rPr>
          <w:rFonts w:hint="eastAsia" w:ascii="仿宋" w:hAnsi="仿宋" w:eastAsia="仿宋" w:cs="仿宋"/>
          <w:b/>
          <w:bCs/>
          <w:color w:val="000000"/>
          <w:sz w:val="32"/>
          <w:szCs w:val="32"/>
          <w:lang w:val="zh-CN"/>
        </w:rPr>
        <w:t xml:space="preserve">   </w:t>
      </w:r>
      <w:r>
        <w:rPr>
          <w:rFonts w:hint="eastAsia" w:ascii="仿宋" w:hAnsi="仿宋" w:eastAsia="仿宋" w:cs="仿宋"/>
          <w:color w:val="000000"/>
          <w:sz w:val="32"/>
          <w:szCs w:val="32"/>
          <w:lang w:val="zh-CN"/>
        </w:rPr>
        <w:t xml:space="preserve"> 授权人（法定代表人）</w:t>
      </w:r>
      <w:r>
        <w:rPr>
          <w:rFonts w:hint="eastAsia" w:ascii="仿宋" w:hAnsi="仿宋" w:eastAsia="仿宋" w:cs="仿宋"/>
          <w:b/>
          <w:bCs/>
          <w:color w:val="000000"/>
          <w:sz w:val="32"/>
          <w:szCs w:val="32"/>
          <w:lang w:val="zh-CN"/>
        </w:rPr>
        <w:t>印刷体姓名、手书签名：</w:t>
      </w:r>
    </w:p>
    <w:p w14:paraId="71C643F2">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 xml:space="preserve">   </w:t>
      </w:r>
      <w:r>
        <w:rPr>
          <w:rFonts w:hint="eastAsia" w:ascii="仿宋" w:hAnsi="仿宋" w:eastAsia="仿宋" w:cs="仿宋"/>
          <w:color w:val="000000"/>
          <w:sz w:val="32"/>
          <w:szCs w:val="32"/>
          <w:lang w:val="zh-CN"/>
        </w:rPr>
        <w:t xml:space="preserve"> 被授权人（代理人）</w:t>
      </w:r>
      <w:r>
        <w:rPr>
          <w:rFonts w:hint="eastAsia" w:ascii="仿宋" w:hAnsi="仿宋" w:eastAsia="仿宋" w:cs="仿宋"/>
          <w:b/>
          <w:bCs/>
          <w:color w:val="000000"/>
          <w:sz w:val="32"/>
          <w:szCs w:val="32"/>
          <w:lang w:val="zh-CN"/>
        </w:rPr>
        <w:t>印刷体姓名、手书签名：</w:t>
      </w:r>
    </w:p>
    <w:p w14:paraId="6C8C1EB3">
      <w:pPr>
        <w:rPr>
          <w:rFonts w:hint="eastAsia" w:ascii="仿宋" w:hAnsi="仿宋" w:eastAsia="仿宋" w:cs="仿宋"/>
          <w:b/>
          <w:bCs/>
          <w:color w:val="000000"/>
          <w:sz w:val="32"/>
          <w:szCs w:val="32"/>
          <w:lang w:val="zh-CN"/>
        </w:rPr>
      </w:pPr>
    </w:p>
    <w:p w14:paraId="0C6CF2FF">
      <w:pPr>
        <w:rPr>
          <w:rFonts w:hint="eastAsia" w:ascii="仿宋" w:hAnsi="仿宋" w:eastAsia="仿宋" w:cs="仿宋"/>
          <w:b/>
          <w:bCs/>
          <w:color w:val="000000"/>
          <w:sz w:val="32"/>
          <w:szCs w:val="32"/>
          <w:lang w:val="zh-CN"/>
        </w:rPr>
      </w:pPr>
    </w:p>
    <w:p w14:paraId="77978B06">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格式五、售后服务承诺书</w:t>
      </w:r>
    </w:p>
    <w:p w14:paraId="0746FC47">
      <w:pPr>
        <w:rPr>
          <w:rFonts w:hint="eastAsia" w:ascii="仿宋" w:hAnsi="仿宋" w:eastAsia="仿宋" w:cs="仿宋"/>
          <w:color w:val="000000"/>
          <w:sz w:val="32"/>
          <w:szCs w:val="32"/>
          <w:lang w:val="zh-CN"/>
        </w:rPr>
      </w:pPr>
    </w:p>
    <w:p w14:paraId="63805F13">
      <w:pP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和龙市</w:t>
      </w:r>
      <w:r>
        <w:rPr>
          <w:rFonts w:hint="eastAsia" w:ascii="仿宋" w:hAnsi="仿宋" w:eastAsia="仿宋" w:cs="仿宋"/>
          <w:color w:val="000000"/>
          <w:sz w:val="32"/>
          <w:szCs w:val="32"/>
          <w:lang w:val="zh-CN"/>
        </w:rPr>
        <w:t>政府采购中心及</w:t>
      </w:r>
      <w:r>
        <w:rPr>
          <w:rFonts w:hint="eastAsia" w:ascii="仿宋" w:hAnsi="仿宋" w:eastAsia="仿宋" w:cs="仿宋"/>
          <w:color w:val="000000"/>
          <w:sz w:val="32"/>
          <w:szCs w:val="32"/>
          <w:u w:val="single"/>
          <w:lang w:val="zh-CN"/>
        </w:rPr>
        <w:t xml:space="preserve"> </w:t>
      </w:r>
      <w:r>
        <w:rPr>
          <w:rFonts w:hint="eastAsia" w:ascii="仿宋" w:hAnsi="仿宋" w:eastAsia="仿宋" w:cs="仿宋"/>
          <w:i/>
          <w:iCs/>
          <w:color w:val="000000"/>
          <w:sz w:val="32"/>
          <w:szCs w:val="32"/>
          <w:u w:val="single"/>
          <w:lang w:val="zh-CN"/>
        </w:rPr>
        <w:t>和龙市职业中等专业学校</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w:t>
      </w:r>
    </w:p>
    <w:p w14:paraId="03990706">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我公司自愿参加</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（项目编</w:t>
      </w:r>
      <w:r>
        <w:rPr>
          <w:rFonts w:hint="eastAsia" w:ascii="仿宋" w:hAnsi="仿宋" w:eastAsia="仿宋" w:cs="仿宋"/>
          <w:sz w:val="32"/>
          <w:szCs w:val="32"/>
          <w:lang w:val="zh-CN"/>
        </w:rPr>
        <w:t>号</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color w:val="000000"/>
          <w:sz w:val="32"/>
          <w:szCs w:val="32"/>
          <w:lang w:val="zh-CN"/>
        </w:rPr>
        <w:t>）的竞争性谈判。我公司郑重承诺，如果我公司被评定为成交，我公司除完全响应竞争性谈判文件的所有要求外，还将按照以下条款提供优质和完善的售后服务：</w:t>
      </w:r>
    </w:p>
    <w:p w14:paraId="00DDA4B6">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1、我公司成交后将为采购人提供下列售后服务项目：</w:t>
      </w:r>
    </w:p>
    <w:p w14:paraId="40352A35">
      <w:pPr>
        <w:ind w:firstLine="480"/>
        <w:rPr>
          <w:rFonts w:hint="eastAsia" w:ascii="仿宋" w:hAnsi="仿宋" w:eastAsia="仿宋" w:cs="仿宋"/>
          <w:b/>
          <w:bCs/>
          <w:color w:val="000000"/>
          <w:sz w:val="32"/>
          <w:szCs w:val="32"/>
          <w:lang w:val="zh-CN"/>
        </w:rPr>
      </w:pPr>
      <w:r>
        <w:rPr>
          <w:rFonts w:hint="eastAsia" w:ascii="仿宋" w:hAnsi="仿宋" w:eastAsia="仿宋" w:cs="仿宋"/>
          <w:color w:val="000000"/>
          <w:sz w:val="32"/>
          <w:szCs w:val="32"/>
          <w:lang w:val="zh-CN"/>
        </w:rPr>
        <w:t>2、我公司的售后服务响应及到达现场的时间（包括质保期内免费维修和</w:t>
      </w:r>
      <w:r>
        <w:rPr>
          <w:rFonts w:hint="eastAsia" w:ascii="仿宋" w:hAnsi="仿宋" w:eastAsia="仿宋" w:cs="仿宋"/>
          <w:color w:val="000000"/>
          <w:sz w:val="32"/>
          <w:szCs w:val="32"/>
          <w:lang w:val="en-US" w:eastAsia="zh-CN"/>
        </w:rPr>
        <w:t>/或更换有缺陷的货物或部件的响应时间</w:t>
      </w:r>
      <w:r>
        <w:rPr>
          <w:rFonts w:hint="eastAsia" w:ascii="仿宋" w:hAnsi="仿宋" w:eastAsia="仿宋" w:cs="仿宋"/>
          <w:color w:val="000000"/>
          <w:sz w:val="32"/>
          <w:szCs w:val="32"/>
          <w:lang w:val="zh-CN"/>
        </w:rPr>
        <w:t>）:</w:t>
      </w:r>
    </w:p>
    <w:p w14:paraId="00BCFF28">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3、我公司对本项目的技术培训安排：</w:t>
      </w:r>
    </w:p>
    <w:p w14:paraId="2E36657F">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4、我公司用于本项目的维修技术人员及设备情况、备品备件供应的保证措施及收费标准：</w:t>
      </w:r>
    </w:p>
    <w:p w14:paraId="37F0CD3D">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5、制造厂商和我公司在本项目所在地（实施地）设置的服务网点明细表及相关情况：</w:t>
      </w:r>
    </w:p>
    <w:p w14:paraId="3B47C506">
      <w:pPr>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公司在本项目所在地（实施地）设立的服务机构一览表</w:t>
      </w:r>
    </w:p>
    <w:tbl>
      <w:tblPr>
        <w:tblStyle w:val="36"/>
        <w:tblW w:w="9294" w:type="dxa"/>
        <w:jc w:val="center"/>
        <w:tblLayout w:type="fixed"/>
        <w:tblCellMar>
          <w:top w:w="0" w:type="dxa"/>
          <w:left w:w="108" w:type="dxa"/>
          <w:bottom w:w="0" w:type="dxa"/>
          <w:right w:w="108" w:type="dxa"/>
        </w:tblCellMar>
      </w:tblPr>
      <w:tblGrid>
        <w:gridCol w:w="743"/>
        <w:gridCol w:w="2268"/>
        <w:gridCol w:w="2693"/>
        <w:gridCol w:w="1038"/>
        <w:gridCol w:w="1260"/>
        <w:gridCol w:w="1292"/>
      </w:tblGrid>
      <w:tr w14:paraId="67DF1F53">
        <w:tblPrEx>
          <w:tblCellMar>
            <w:top w:w="0" w:type="dxa"/>
            <w:left w:w="108" w:type="dxa"/>
            <w:bottom w:w="0" w:type="dxa"/>
            <w:right w:w="108" w:type="dxa"/>
          </w:tblCellMar>
        </w:tblPrEx>
        <w:trPr>
          <w:jc w:val="center"/>
        </w:trPr>
        <w:tc>
          <w:tcPr>
            <w:tcW w:w="743" w:type="dxa"/>
            <w:tcBorders>
              <w:top w:val="single" w:color="auto" w:sz="6" w:space="0"/>
              <w:left w:val="single" w:color="auto" w:sz="6" w:space="0"/>
              <w:bottom w:val="single" w:color="auto" w:sz="6" w:space="0"/>
              <w:right w:val="single" w:color="auto" w:sz="6" w:space="0"/>
            </w:tcBorders>
            <w:noWrap w:val="0"/>
            <w:vAlign w:val="top"/>
          </w:tcPr>
          <w:p w14:paraId="22E7347D">
            <w:pPr>
              <w:rPr>
                <w:rFonts w:hint="eastAsia" w:ascii="仿宋" w:hAnsi="仿宋" w:eastAsia="仿宋" w:cs="仿宋"/>
                <w:color w:val="000000"/>
                <w:sz w:val="32"/>
                <w:szCs w:val="32"/>
              </w:rPr>
            </w:pPr>
            <w:r>
              <w:rPr>
                <w:rFonts w:hint="eastAsia" w:ascii="仿宋" w:hAnsi="仿宋" w:eastAsia="仿宋" w:cs="仿宋"/>
                <w:color w:val="000000"/>
                <w:sz w:val="32"/>
                <w:szCs w:val="32"/>
                <w:lang w:val="zh-CN"/>
              </w:rPr>
              <w:t>序号</w:t>
            </w:r>
          </w:p>
        </w:tc>
        <w:tc>
          <w:tcPr>
            <w:tcW w:w="2268" w:type="dxa"/>
            <w:tcBorders>
              <w:top w:val="single" w:color="auto" w:sz="6" w:space="0"/>
              <w:left w:val="single" w:color="auto" w:sz="6" w:space="0"/>
              <w:bottom w:val="single" w:color="auto" w:sz="6" w:space="0"/>
              <w:right w:val="single" w:color="auto" w:sz="6" w:space="0"/>
            </w:tcBorders>
            <w:noWrap w:val="0"/>
            <w:vAlign w:val="top"/>
          </w:tcPr>
          <w:p w14:paraId="75914B79">
            <w:pPr>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zh-CN"/>
              </w:rPr>
              <w:t>服务机构名称</w:t>
            </w:r>
          </w:p>
        </w:tc>
        <w:tc>
          <w:tcPr>
            <w:tcW w:w="2693" w:type="dxa"/>
            <w:tcBorders>
              <w:top w:val="single" w:color="auto" w:sz="6" w:space="0"/>
              <w:left w:val="single" w:color="auto" w:sz="6" w:space="0"/>
              <w:bottom w:val="single" w:color="auto" w:sz="6" w:space="0"/>
              <w:right w:val="single" w:color="auto" w:sz="6" w:space="0"/>
            </w:tcBorders>
            <w:noWrap w:val="0"/>
            <w:vAlign w:val="top"/>
          </w:tcPr>
          <w:p w14:paraId="15340EFA">
            <w:pPr>
              <w:rPr>
                <w:rFonts w:hint="eastAsia" w:ascii="仿宋" w:hAnsi="仿宋" w:eastAsia="仿宋" w:cs="仿宋"/>
                <w:color w:val="000000"/>
                <w:sz w:val="32"/>
                <w:szCs w:val="32"/>
              </w:rPr>
            </w:pPr>
            <w:r>
              <w:rPr>
                <w:rFonts w:hint="eastAsia" w:ascii="仿宋" w:hAnsi="仿宋" w:eastAsia="仿宋" w:cs="仿宋"/>
                <w:color w:val="000000"/>
                <w:sz w:val="32"/>
                <w:szCs w:val="32"/>
                <w:lang w:val="zh-CN"/>
              </w:rPr>
              <w:t>所在市县及街区门牌号</w:t>
            </w:r>
          </w:p>
        </w:tc>
        <w:tc>
          <w:tcPr>
            <w:tcW w:w="1038" w:type="dxa"/>
            <w:tcBorders>
              <w:top w:val="single" w:color="auto" w:sz="6" w:space="0"/>
              <w:left w:val="single" w:color="auto" w:sz="6" w:space="0"/>
              <w:bottom w:val="single" w:color="auto" w:sz="6" w:space="0"/>
              <w:right w:val="single" w:color="auto" w:sz="6" w:space="0"/>
            </w:tcBorders>
            <w:noWrap w:val="0"/>
            <w:vAlign w:val="top"/>
          </w:tcPr>
          <w:p w14:paraId="22EDFE98">
            <w:pPr>
              <w:rPr>
                <w:rFonts w:hint="eastAsia" w:ascii="仿宋" w:hAnsi="仿宋" w:eastAsia="仿宋" w:cs="仿宋"/>
                <w:color w:val="000000"/>
                <w:sz w:val="32"/>
                <w:szCs w:val="32"/>
              </w:rPr>
            </w:pPr>
            <w:r>
              <w:rPr>
                <w:rFonts w:hint="eastAsia" w:ascii="仿宋" w:hAnsi="仿宋" w:eastAsia="仿宋" w:cs="仿宋"/>
                <w:color w:val="000000"/>
                <w:sz w:val="32"/>
                <w:szCs w:val="32"/>
                <w:lang w:val="zh-CN"/>
              </w:rPr>
              <w:t>联系人</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01C19597">
            <w:pPr>
              <w:rPr>
                <w:rFonts w:hint="eastAsia" w:ascii="仿宋" w:hAnsi="仿宋" w:eastAsia="仿宋" w:cs="仿宋"/>
                <w:color w:val="000000"/>
                <w:sz w:val="32"/>
                <w:szCs w:val="32"/>
              </w:rPr>
            </w:pPr>
            <w:r>
              <w:rPr>
                <w:rFonts w:hint="eastAsia" w:ascii="仿宋" w:hAnsi="仿宋" w:eastAsia="仿宋" w:cs="仿宋"/>
                <w:color w:val="000000"/>
                <w:sz w:val="32"/>
                <w:szCs w:val="32"/>
                <w:lang w:val="zh-CN"/>
              </w:rPr>
              <w:t>移动电话</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7C2CD196">
            <w:pPr>
              <w:rPr>
                <w:rFonts w:hint="eastAsia" w:ascii="仿宋" w:hAnsi="仿宋" w:eastAsia="仿宋" w:cs="仿宋"/>
                <w:color w:val="000000"/>
                <w:sz w:val="32"/>
                <w:szCs w:val="32"/>
              </w:rPr>
            </w:pPr>
            <w:r>
              <w:rPr>
                <w:rFonts w:hint="eastAsia" w:ascii="仿宋" w:hAnsi="仿宋" w:eastAsia="仿宋" w:cs="仿宋"/>
                <w:color w:val="000000"/>
                <w:sz w:val="32"/>
                <w:szCs w:val="32"/>
                <w:lang w:val="zh-CN"/>
              </w:rPr>
              <w:t>固定电话</w:t>
            </w:r>
          </w:p>
        </w:tc>
      </w:tr>
      <w:tr w14:paraId="4E40EB1C">
        <w:tblPrEx>
          <w:tblCellMar>
            <w:top w:w="0" w:type="dxa"/>
            <w:left w:w="108" w:type="dxa"/>
            <w:bottom w:w="0" w:type="dxa"/>
            <w:right w:w="108" w:type="dxa"/>
          </w:tblCellMar>
        </w:tblPrEx>
        <w:trPr>
          <w:jc w:val="center"/>
        </w:trPr>
        <w:tc>
          <w:tcPr>
            <w:tcW w:w="743" w:type="dxa"/>
            <w:tcBorders>
              <w:top w:val="single" w:color="auto" w:sz="6" w:space="0"/>
              <w:left w:val="single" w:color="auto" w:sz="6" w:space="0"/>
              <w:bottom w:val="single" w:color="auto" w:sz="6" w:space="0"/>
              <w:right w:val="single" w:color="auto" w:sz="6" w:space="0"/>
            </w:tcBorders>
            <w:noWrap w:val="0"/>
            <w:vAlign w:val="top"/>
          </w:tcPr>
          <w:p w14:paraId="3C3BEFF7">
            <w:pPr>
              <w:rPr>
                <w:rFonts w:hint="eastAsia" w:ascii="仿宋" w:hAnsi="仿宋" w:eastAsia="仿宋" w:cs="仿宋"/>
                <w:color w:val="000000"/>
                <w:sz w:val="32"/>
                <w:szCs w:val="32"/>
              </w:rPr>
            </w:pPr>
          </w:p>
        </w:tc>
        <w:tc>
          <w:tcPr>
            <w:tcW w:w="2268" w:type="dxa"/>
            <w:tcBorders>
              <w:top w:val="single" w:color="auto" w:sz="6" w:space="0"/>
              <w:left w:val="single" w:color="auto" w:sz="6" w:space="0"/>
              <w:bottom w:val="single" w:color="auto" w:sz="6" w:space="0"/>
              <w:right w:val="single" w:color="auto" w:sz="6" w:space="0"/>
            </w:tcBorders>
            <w:noWrap w:val="0"/>
            <w:vAlign w:val="top"/>
          </w:tcPr>
          <w:p w14:paraId="54C145C2">
            <w:pPr>
              <w:rPr>
                <w:rFonts w:hint="eastAsia" w:ascii="仿宋" w:hAnsi="仿宋" w:eastAsia="仿宋" w:cs="仿宋"/>
                <w:color w:val="000000"/>
                <w:sz w:val="32"/>
                <w:szCs w:val="32"/>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18C1AB21">
            <w:pPr>
              <w:rPr>
                <w:rFonts w:hint="eastAsia" w:ascii="仿宋" w:hAnsi="仿宋" w:eastAsia="仿宋" w:cs="仿宋"/>
                <w:color w:val="000000"/>
                <w:sz w:val="32"/>
                <w:szCs w:val="32"/>
              </w:rPr>
            </w:pPr>
          </w:p>
        </w:tc>
        <w:tc>
          <w:tcPr>
            <w:tcW w:w="1038" w:type="dxa"/>
            <w:tcBorders>
              <w:top w:val="single" w:color="auto" w:sz="6" w:space="0"/>
              <w:left w:val="single" w:color="auto" w:sz="6" w:space="0"/>
              <w:bottom w:val="single" w:color="auto" w:sz="6" w:space="0"/>
              <w:right w:val="single" w:color="auto" w:sz="6" w:space="0"/>
            </w:tcBorders>
            <w:noWrap w:val="0"/>
            <w:vAlign w:val="top"/>
          </w:tcPr>
          <w:p w14:paraId="57C86B36">
            <w:pPr>
              <w:rPr>
                <w:rFonts w:hint="eastAsia" w:ascii="仿宋" w:hAnsi="仿宋" w:eastAsia="仿宋" w:cs="仿宋"/>
                <w:color w:val="000000"/>
                <w:sz w:val="32"/>
                <w:szCs w:val="3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7D23A9">
            <w:pPr>
              <w:rPr>
                <w:rFonts w:hint="eastAsia" w:ascii="仿宋" w:hAnsi="仿宋" w:eastAsia="仿宋" w:cs="仿宋"/>
                <w:color w:val="000000"/>
                <w:sz w:val="32"/>
                <w:szCs w:val="32"/>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7FEB981E">
            <w:pPr>
              <w:rPr>
                <w:rFonts w:hint="eastAsia" w:ascii="仿宋" w:hAnsi="仿宋" w:eastAsia="仿宋" w:cs="仿宋"/>
                <w:color w:val="000000"/>
                <w:sz w:val="32"/>
                <w:szCs w:val="32"/>
              </w:rPr>
            </w:pPr>
          </w:p>
        </w:tc>
      </w:tr>
      <w:tr w14:paraId="3C67F8BF">
        <w:tblPrEx>
          <w:tblCellMar>
            <w:top w:w="0" w:type="dxa"/>
            <w:left w:w="108" w:type="dxa"/>
            <w:bottom w:w="0" w:type="dxa"/>
            <w:right w:w="108" w:type="dxa"/>
          </w:tblCellMar>
        </w:tblPrEx>
        <w:trPr>
          <w:jc w:val="center"/>
        </w:trPr>
        <w:tc>
          <w:tcPr>
            <w:tcW w:w="743" w:type="dxa"/>
            <w:tcBorders>
              <w:top w:val="single" w:color="auto" w:sz="6" w:space="0"/>
              <w:left w:val="single" w:color="auto" w:sz="6" w:space="0"/>
              <w:bottom w:val="single" w:color="auto" w:sz="6" w:space="0"/>
              <w:right w:val="single" w:color="auto" w:sz="6" w:space="0"/>
            </w:tcBorders>
            <w:noWrap w:val="0"/>
            <w:vAlign w:val="top"/>
          </w:tcPr>
          <w:p w14:paraId="62C4E04A">
            <w:pPr>
              <w:rPr>
                <w:rFonts w:hint="eastAsia" w:ascii="仿宋" w:hAnsi="仿宋" w:eastAsia="仿宋" w:cs="仿宋"/>
                <w:color w:val="000000"/>
                <w:sz w:val="32"/>
                <w:szCs w:val="32"/>
              </w:rPr>
            </w:pPr>
          </w:p>
        </w:tc>
        <w:tc>
          <w:tcPr>
            <w:tcW w:w="2268" w:type="dxa"/>
            <w:tcBorders>
              <w:top w:val="single" w:color="auto" w:sz="6" w:space="0"/>
              <w:left w:val="single" w:color="auto" w:sz="6" w:space="0"/>
              <w:bottom w:val="single" w:color="auto" w:sz="6" w:space="0"/>
              <w:right w:val="single" w:color="auto" w:sz="6" w:space="0"/>
            </w:tcBorders>
            <w:noWrap w:val="0"/>
            <w:vAlign w:val="top"/>
          </w:tcPr>
          <w:p w14:paraId="00D1D23F">
            <w:pPr>
              <w:rPr>
                <w:rFonts w:hint="eastAsia" w:ascii="仿宋" w:hAnsi="仿宋" w:eastAsia="仿宋" w:cs="仿宋"/>
                <w:color w:val="000000"/>
                <w:sz w:val="32"/>
                <w:szCs w:val="32"/>
              </w:rPr>
            </w:pPr>
          </w:p>
        </w:tc>
        <w:tc>
          <w:tcPr>
            <w:tcW w:w="2693" w:type="dxa"/>
            <w:tcBorders>
              <w:top w:val="single" w:color="auto" w:sz="6" w:space="0"/>
              <w:left w:val="single" w:color="auto" w:sz="6" w:space="0"/>
              <w:bottom w:val="single" w:color="auto" w:sz="6" w:space="0"/>
              <w:right w:val="single" w:color="auto" w:sz="6" w:space="0"/>
            </w:tcBorders>
            <w:noWrap w:val="0"/>
            <w:vAlign w:val="top"/>
          </w:tcPr>
          <w:p w14:paraId="2E745A80">
            <w:pPr>
              <w:rPr>
                <w:rFonts w:hint="eastAsia" w:ascii="仿宋" w:hAnsi="仿宋" w:eastAsia="仿宋" w:cs="仿宋"/>
                <w:color w:val="000000"/>
                <w:sz w:val="32"/>
                <w:szCs w:val="32"/>
              </w:rPr>
            </w:pPr>
          </w:p>
        </w:tc>
        <w:tc>
          <w:tcPr>
            <w:tcW w:w="1038" w:type="dxa"/>
            <w:tcBorders>
              <w:top w:val="single" w:color="auto" w:sz="6" w:space="0"/>
              <w:left w:val="single" w:color="auto" w:sz="6" w:space="0"/>
              <w:bottom w:val="single" w:color="auto" w:sz="6" w:space="0"/>
              <w:right w:val="single" w:color="auto" w:sz="6" w:space="0"/>
            </w:tcBorders>
            <w:noWrap w:val="0"/>
            <w:vAlign w:val="top"/>
          </w:tcPr>
          <w:p w14:paraId="5C2AF9F8">
            <w:pPr>
              <w:rPr>
                <w:rFonts w:hint="eastAsia" w:ascii="仿宋" w:hAnsi="仿宋" w:eastAsia="仿宋" w:cs="仿宋"/>
                <w:color w:val="000000"/>
                <w:sz w:val="32"/>
                <w:szCs w:val="32"/>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E6F31D8">
            <w:pPr>
              <w:rPr>
                <w:rFonts w:hint="eastAsia" w:ascii="仿宋" w:hAnsi="仿宋" w:eastAsia="仿宋" w:cs="仿宋"/>
                <w:color w:val="000000"/>
                <w:sz w:val="32"/>
                <w:szCs w:val="32"/>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1675917A">
            <w:pPr>
              <w:rPr>
                <w:rFonts w:hint="eastAsia" w:ascii="仿宋" w:hAnsi="仿宋" w:eastAsia="仿宋" w:cs="仿宋"/>
                <w:color w:val="000000"/>
                <w:sz w:val="32"/>
                <w:szCs w:val="32"/>
              </w:rPr>
            </w:pPr>
          </w:p>
        </w:tc>
      </w:tr>
    </w:tbl>
    <w:p w14:paraId="152D5C92">
      <w:pPr>
        <w:ind w:firstLine="480"/>
        <w:rPr>
          <w:rFonts w:hint="eastAsia" w:ascii="仿宋" w:hAnsi="仿宋" w:eastAsia="仿宋" w:cs="仿宋"/>
          <w:color w:val="000000"/>
          <w:sz w:val="32"/>
          <w:szCs w:val="32"/>
          <w:lang w:val="zh-CN"/>
        </w:rPr>
      </w:pPr>
    </w:p>
    <w:p w14:paraId="156DCE17">
      <w:pPr>
        <w:spacing w:line="360" w:lineRule="exact"/>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
        </w:rPr>
        <w:t>供应商</w:t>
      </w:r>
      <w:r>
        <w:rPr>
          <w:rFonts w:hint="eastAsia" w:ascii="仿宋" w:hAnsi="仿宋" w:eastAsia="仿宋" w:cs="仿宋"/>
          <w:color w:val="000000"/>
          <w:sz w:val="32"/>
          <w:szCs w:val="32"/>
          <w:lang w:val="zh-CN"/>
        </w:rPr>
        <w:t>全称</w:t>
      </w:r>
      <w:r>
        <w:rPr>
          <w:rFonts w:hint="eastAsia" w:ascii="仿宋" w:hAnsi="仿宋" w:eastAsia="仿宋" w:cs="仿宋"/>
          <w:b/>
          <w:bCs/>
          <w:color w:val="000000"/>
          <w:sz w:val="32"/>
          <w:szCs w:val="32"/>
          <w:lang w:val="zh-CN"/>
        </w:rPr>
        <w:t>（加盖</w:t>
      </w:r>
      <w:r>
        <w:rPr>
          <w:rFonts w:hint="eastAsia" w:ascii="仿宋" w:hAnsi="仿宋" w:eastAsia="仿宋" w:cs="仿宋"/>
          <w:b/>
          <w:bCs/>
          <w:color w:val="000000"/>
          <w:sz w:val="32"/>
          <w:szCs w:val="32"/>
          <w:lang w:val="en"/>
        </w:rPr>
        <w:t>供应商</w:t>
      </w:r>
      <w:r>
        <w:rPr>
          <w:rFonts w:hint="eastAsia" w:ascii="仿宋" w:hAnsi="仿宋" w:eastAsia="仿宋" w:cs="仿宋"/>
          <w:b/>
          <w:bCs/>
          <w:color w:val="000000"/>
          <w:sz w:val="32"/>
          <w:szCs w:val="32"/>
          <w:lang w:val="zh-CN"/>
        </w:rPr>
        <w:t>公章）：</w:t>
      </w:r>
    </w:p>
    <w:p w14:paraId="0AD41E07">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日</w:t>
      </w:r>
    </w:p>
    <w:p w14:paraId="5A2771CE">
      <w:pPr>
        <w:spacing w:line="440" w:lineRule="exact"/>
        <w:rPr>
          <w:rFonts w:hint="eastAsia" w:ascii="仿宋" w:hAnsi="仿宋" w:eastAsia="仿宋" w:cs="仿宋"/>
          <w:b/>
          <w:bCs/>
          <w:color w:val="000000"/>
          <w:sz w:val="32"/>
          <w:szCs w:val="32"/>
        </w:rPr>
      </w:pPr>
    </w:p>
    <w:p w14:paraId="1D012AB6">
      <w:pPr>
        <w:pStyle w:val="28"/>
        <w:rPr>
          <w:rFonts w:hint="eastAsia"/>
        </w:rPr>
      </w:pPr>
    </w:p>
    <w:p w14:paraId="6E0EC62A">
      <w:pPr>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第二部分  技术文件</w:t>
      </w:r>
    </w:p>
    <w:p w14:paraId="70C91850">
      <w:pPr>
        <w:rPr>
          <w:rFonts w:hint="eastAsia" w:ascii="仿宋" w:hAnsi="仿宋" w:eastAsia="仿宋" w:cs="仿宋"/>
          <w:b/>
          <w:bCs/>
          <w:color w:val="000000"/>
          <w:sz w:val="32"/>
          <w:szCs w:val="32"/>
          <w:lang w:val="zh-CN"/>
        </w:rPr>
      </w:pPr>
    </w:p>
    <w:p w14:paraId="48E2108E">
      <w:pPr>
        <w:rPr>
          <w:rFonts w:hint="eastAsia" w:ascii="仿宋" w:hAnsi="仿宋" w:eastAsia="仿宋" w:cs="仿宋"/>
          <w:b/>
          <w:bCs/>
          <w:color w:val="000000"/>
          <w:sz w:val="32"/>
          <w:szCs w:val="32"/>
          <w:highlight w:val="none"/>
          <w:lang w:val="zh-CN"/>
        </w:rPr>
      </w:pPr>
      <w:r>
        <w:rPr>
          <w:rFonts w:hint="eastAsia" w:ascii="仿宋" w:hAnsi="仿宋" w:eastAsia="仿宋" w:cs="仿宋"/>
          <w:b/>
          <w:bCs/>
          <w:color w:val="000000"/>
          <w:sz w:val="32"/>
          <w:szCs w:val="32"/>
          <w:highlight w:val="none"/>
          <w:lang w:val="zh-CN"/>
        </w:rPr>
        <w:t>供应商应提交的技术文件清单：</w:t>
      </w:r>
    </w:p>
    <w:tbl>
      <w:tblPr>
        <w:tblStyle w:val="36"/>
        <w:tblW w:w="9368" w:type="dxa"/>
        <w:tblInd w:w="-261" w:type="dxa"/>
        <w:tblLayout w:type="fixed"/>
        <w:tblCellMar>
          <w:top w:w="0" w:type="dxa"/>
          <w:left w:w="108" w:type="dxa"/>
          <w:bottom w:w="0" w:type="dxa"/>
          <w:right w:w="108" w:type="dxa"/>
        </w:tblCellMar>
      </w:tblPr>
      <w:tblGrid>
        <w:gridCol w:w="737"/>
        <w:gridCol w:w="6464"/>
        <w:gridCol w:w="1291"/>
        <w:gridCol w:w="876"/>
      </w:tblGrid>
      <w:tr w14:paraId="6814184F">
        <w:tblPrEx>
          <w:tblCellMar>
            <w:top w:w="0" w:type="dxa"/>
            <w:left w:w="108" w:type="dxa"/>
            <w:bottom w:w="0" w:type="dxa"/>
            <w:right w:w="108" w:type="dxa"/>
          </w:tblCellMar>
        </w:tblPrEx>
        <w:tc>
          <w:tcPr>
            <w:tcW w:w="737" w:type="dxa"/>
            <w:tcBorders>
              <w:top w:val="single" w:color="auto" w:sz="6" w:space="0"/>
              <w:left w:val="single" w:color="auto" w:sz="6" w:space="0"/>
              <w:bottom w:val="single" w:color="auto" w:sz="6" w:space="0"/>
              <w:right w:val="single" w:color="auto" w:sz="6" w:space="0"/>
            </w:tcBorders>
            <w:noWrap w:val="0"/>
            <w:vAlign w:val="top"/>
          </w:tcPr>
          <w:p w14:paraId="644A6392">
            <w:pPr>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序</w:t>
            </w:r>
          </w:p>
          <w:p w14:paraId="57529404">
            <w:pPr>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号</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2F858C7C">
            <w:pPr>
              <w:ind w:firstLine="1918"/>
              <w:jc w:val="both"/>
              <w:rPr>
                <w:rFonts w:hint="eastAsia" w:ascii="仿宋" w:hAnsi="仿宋" w:eastAsia="仿宋" w:cs="仿宋"/>
                <w:b/>
                <w:bCs/>
                <w:color w:val="000000"/>
                <w:sz w:val="32"/>
                <w:szCs w:val="32"/>
                <w:lang w:val="zh-CN"/>
              </w:rPr>
            </w:pPr>
          </w:p>
          <w:p w14:paraId="354B9DF1">
            <w:pPr>
              <w:ind w:firstLine="1918"/>
              <w:jc w:val="both"/>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技术文件名称及要求</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631495CA">
            <w:pPr>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是否已按要求提交</w:t>
            </w:r>
          </w:p>
        </w:tc>
        <w:tc>
          <w:tcPr>
            <w:tcW w:w="876" w:type="dxa"/>
            <w:tcBorders>
              <w:top w:val="single" w:color="auto" w:sz="6" w:space="0"/>
              <w:left w:val="single" w:color="auto" w:sz="6" w:space="0"/>
              <w:bottom w:val="single" w:color="auto" w:sz="6" w:space="0"/>
              <w:right w:val="single" w:color="auto" w:sz="6" w:space="0"/>
            </w:tcBorders>
            <w:noWrap w:val="0"/>
            <w:vAlign w:val="top"/>
          </w:tcPr>
          <w:p w14:paraId="293D8937">
            <w:pPr>
              <w:jc w:val="cente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文件页码</w:t>
            </w:r>
          </w:p>
        </w:tc>
      </w:tr>
      <w:tr w14:paraId="6110FC30">
        <w:tblPrEx>
          <w:tblCellMar>
            <w:top w:w="0" w:type="dxa"/>
            <w:left w:w="108" w:type="dxa"/>
            <w:bottom w:w="0" w:type="dxa"/>
            <w:right w:w="108" w:type="dxa"/>
          </w:tblCellMar>
        </w:tblPrEx>
        <w:trPr>
          <w:trHeight w:val="444" w:hRule="atLeast"/>
        </w:trPr>
        <w:tc>
          <w:tcPr>
            <w:tcW w:w="737" w:type="dxa"/>
            <w:tcBorders>
              <w:top w:val="single" w:color="auto" w:sz="6" w:space="0"/>
              <w:left w:val="single" w:color="auto" w:sz="6" w:space="0"/>
              <w:bottom w:val="single" w:color="auto" w:sz="6" w:space="0"/>
              <w:right w:val="single" w:color="auto" w:sz="6" w:space="0"/>
            </w:tcBorders>
            <w:noWrap w:val="0"/>
            <w:vAlign w:val="top"/>
          </w:tcPr>
          <w:p w14:paraId="364E5CD8">
            <w:pPr>
              <w:jc w:val="center"/>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4B9A4957">
            <w:pPr>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报价明细表（按格式一提交）</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6F4B2B43">
            <w:pPr>
              <w:rPr>
                <w:rFonts w:hint="eastAsia" w:ascii="仿宋" w:hAnsi="仿宋" w:eastAsia="仿宋" w:cs="仿宋"/>
                <w:color w:val="000000"/>
                <w:sz w:val="32"/>
                <w:szCs w:val="32"/>
                <w:lang w:val="zh-CN"/>
              </w:rPr>
            </w:pPr>
          </w:p>
        </w:tc>
        <w:tc>
          <w:tcPr>
            <w:tcW w:w="876" w:type="dxa"/>
            <w:tcBorders>
              <w:top w:val="single" w:color="auto" w:sz="6" w:space="0"/>
              <w:left w:val="single" w:color="auto" w:sz="6" w:space="0"/>
              <w:bottom w:val="single" w:color="auto" w:sz="6" w:space="0"/>
              <w:right w:val="single" w:color="auto" w:sz="6" w:space="0"/>
            </w:tcBorders>
            <w:noWrap w:val="0"/>
            <w:vAlign w:val="top"/>
          </w:tcPr>
          <w:p w14:paraId="260DF3EB">
            <w:pPr>
              <w:rPr>
                <w:rFonts w:hint="eastAsia" w:ascii="仿宋" w:hAnsi="仿宋" w:eastAsia="仿宋" w:cs="仿宋"/>
                <w:color w:val="000000"/>
                <w:sz w:val="32"/>
                <w:szCs w:val="32"/>
                <w:lang w:val="zh-CN"/>
              </w:rPr>
            </w:pPr>
          </w:p>
        </w:tc>
      </w:tr>
      <w:tr w14:paraId="21CE1CF7">
        <w:tblPrEx>
          <w:tblCellMar>
            <w:top w:w="0" w:type="dxa"/>
            <w:left w:w="108" w:type="dxa"/>
            <w:bottom w:w="0" w:type="dxa"/>
            <w:right w:w="108" w:type="dxa"/>
          </w:tblCellMar>
        </w:tblPrEx>
        <w:trPr>
          <w:trHeight w:val="678" w:hRule="atLeast"/>
        </w:trPr>
        <w:tc>
          <w:tcPr>
            <w:tcW w:w="737" w:type="dxa"/>
            <w:tcBorders>
              <w:top w:val="single" w:color="auto" w:sz="6" w:space="0"/>
              <w:left w:val="single" w:color="auto" w:sz="6" w:space="0"/>
              <w:bottom w:val="single" w:color="auto" w:sz="6" w:space="0"/>
              <w:right w:val="single" w:color="auto" w:sz="6" w:space="0"/>
            </w:tcBorders>
            <w:noWrap w:val="0"/>
            <w:vAlign w:val="top"/>
          </w:tcPr>
          <w:p w14:paraId="32A62EFA">
            <w:pPr>
              <w:jc w:val="center"/>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5ECCB274">
            <w:pPr>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rPr>
              <w:t>满足谈判文件</w:t>
            </w:r>
            <w:r>
              <w:rPr>
                <w:rFonts w:hint="eastAsia" w:ascii="仿宋" w:hAnsi="仿宋" w:eastAsia="仿宋" w:cs="仿宋"/>
                <w:b w:val="0"/>
                <w:bCs w:val="0"/>
                <w:color w:val="000000"/>
                <w:sz w:val="32"/>
                <w:szCs w:val="32"/>
                <w:lang w:val="zh-CN" w:eastAsia="zh-CN"/>
              </w:rPr>
              <w:t>货物需求表中要求的相关文件材料</w:t>
            </w:r>
            <w:r>
              <w:rPr>
                <w:rFonts w:hint="eastAsia" w:ascii="仿宋" w:hAnsi="仿宋" w:eastAsia="仿宋" w:cs="仿宋"/>
                <w:b w:val="0"/>
                <w:bCs w:val="0"/>
                <w:color w:val="000000"/>
                <w:sz w:val="32"/>
                <w:szCs w:val="32"/>
                <w:lang w:val="zh-CN"/>
              </w:rPr>
              <w:t>。</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25D2EE63">
            <w:pPr>
              <w:rPr>
                <w:rFonts w:hint="eastAsia" w:ascii="仿宋" w:hAnsi="仿宋" w:eastAsia="仿宋" w:cs="仿宋"/>
                <w:color w:val="000000"/>
                <w:sz w:val="32"/>
                <w:szCs w:val="32"/>
                <w:lang w:val="zh-CN"/>
              </w:rPr>
            </w:pPr>
          </w:p>
        </w:tc>
        <w:tc>
          <w:tcPr>
            <w:tcW w:w="876" w:type="dxa"/>
            <w:tcBorders>
              <w:top w:val="single" w:color="auto" w:sz="6" w:space="0"/>
              <w:left w:val="single" w:color="auto" w:sz="6" w:space="0"/>
              <w:bottom w:val="single" w:color="auto" w:sz="6" w:space="0"/>
              <w:right w:val="single" w:color="auto" w:sz="6" w:space="0"/>
            </w:tcBorders>
            <w:noWrap w:val="0"/>
            <w:vAlign w:val="top"/>
          </w:tcPr>
          <w:p w14:paraId="4320A35B">
            <w:pPr>
              <w:rPr>
                <w:rFonts w:hint="eastAsia" w:ascii="仿宋" w:hAnsi="仿宋" w:eastAsia="仿宋" w:cs="仿宋"/>
                <w:color w:val="000000"/>
                <w:sz w:val="32"/>
                <w:szCs w:val="32"/>
                <w:lang w:val="zh-CN"/>
              </w:rPr>
            </w:pPr>
          </w:p>
        </w:tc>
      </w:tr>
      <w:tr w14:paraId="7B735E55">
        <w:tblPrEx>
          <w:tblCellMar>
            <w:top w:w="0" w:type="dxa"/>
            <w:left w:w="108" w:type="dxa"/>
            <w:bottom w:w="0" w:type="dxa"/>
            <w:right w:w="108" w:type="dxa"/>
          </w:tblCellMar>
        </w:tblPrEx>
        <w:tc>
          <w:tcPr>
            <w:tcW w:w="737" w:type="dxa"/>
            <w:tcBorders>
              <w:top w:val="single" w:color="auto" w:sz="6" w:space="0"/>
              <w:left w:val="single" w:color="auto" w:sz="6" w:space="0"/>
              <w:bottom w:val="single" w:color="auto" w:sz="6" w:space="0"/>
              <w:right w:val="single" w:color="auto" w:sz="6" w:space="0"/>
            </w:tcBorders>
            <w:noWrap w:val="0"/>
            <w:vAlign w:val="top"/>
          </w:tcPr>
          <w:p w14:paraId="39EEC58A">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3CDE1567">
            <w:pP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rPr>
              <w:t>按照竞争性谈判文件的规定提交谈判保证金</w:t>
            </w:r>
            <w:r>
              <w:rPr>
                <w:rFonts w:hint="eastAsia" w:ascii="仿宋" w:hAnsi="仿宋" w:eastAsia="仿宋" w:cs="仿宋"/>
                <w:b w:val="0"/>
                <w:bCs w:val="0"/>
                <w:color w:val="000000"/>
                <w:sz w:val="32"/>
                <w:szCs w:val="32"/>
                <w:lang w:val="en-US" w:eastAsia="zh-CN"/>
              </w:rPr>
              <w:t>8000元</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4684DD42">
            <w:pPr>
              <w:rPr>
                <w:rFonts w:hint="eastAsia" w:ascii="仿宋" w:hAnsi="仿宋" w:eastAsia="仿宋" w:cs="仿宋"/>
                <w:color w:val="000000"/>
                <w:sz w:val="32"/>
                <w:szCs w:val="32"/>
                <w:lang w:val="zh-CN"/>
              </w:rPr>
            </w:pPr>
          </w:p>
        </w:tc>
        <w:tc>
          <w:tcPr>
            <w:tcW w:w="876" w:type="dxa"/>
            <w:tcBorders>
              <w:top w:val="single" w:color="auto" w:sz="6" w:space="0"/>
              <w:left w:val="single" w:color="auto" w:sz="6" w:space="0"/>
              <w:bottom w:val="single" w:color="auto" w:sz="6" w:space="0"/>
              <w:right w:val="single" w:color="auto" w:sz="6" w:space="0"/>
            </w:tcBorders>
            <w:noWrap w:val="0"/>
            <w:vAlign w:val="top"/>
          </w:tcPr>
          <w:p w14:paraId="7A9431B8">
            <w:pPr>
              <w:rPr>
                <w:rFonts w:hint="eastAsia" w:ascii="仿宋" w:hAnsi="仿宋" w:eastAsia="仿宋" w:cs="仿宋"/>
                <w:color w:val="000000"/>
                <w:sz w:val="32"/>
                <w:szCs w:val="32"/>
                <w:lang w:val="zh-CN"/>
              </w:rPr>
            </w:pPr>
          </w:p>
        </w:tc>
      </w:tr>
      <w:tr w14:paraId="07786167">
        <w:tblPrEx>
          <w:tblCellMar>
            <w:top w:w="0" w:type="dxa"/>
            <w:left w:w="108" w:type="dxa"/>
            <w:bottom w:w="0" w:type="dxa"/>
            <w:right w:w="108" w:type="dxa"/>
          </w:tblCellMar>
        </w:tblPrEx>
        <w:tc>
          <w:tcPr>
            <w:tcW w:w="737" w:type="dxa"/>
            <w:tcBorders>
              <w:top w:val="single" w:color="auto" w:sz="6" w:space="0"/>
              <w:left w:val="single" w:color="auto" w:sz="6" w:space="0"/>
              <w:bottom w:val="single" w:color="auto" w:sz="6" w:space="0"/>
              <w:right w:val="single" w:color="auto" w:sz="6" w:space="0"/>
            </w:tcBorders>
            <w:noWrap w:val="0"/>
            <w:vAlign w:val="top"/>
          </w:tcPr>
          <w:p w14:paraId="36CB65BF">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75C584A6">
            <w:pPr>
              <w:keepNext w:val="0"/>
              <w:keepLines w:val="0"/>
              <w:widowControl/>
              <w:suppressLineNumbers w:val="0"/>
              <w:jc w:val="left"/>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kern w:val="0"/>
                <w:sz w:val="32"/>
                <w:szCs w:val="32"/>
                <w:lang w:val="en-US" w:eastAsia="zh-CN" w:bidi="ar"/>
              </w:rPr>
              <w:t>中小企业声明函（货物）（须提供，按格式二提交）</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1A1720C0">
            <w:pPr>
              <w:rPr>
                <w:rFonts w:hint="eastAsia" w:ascii="仿宋" w:hAnsi="仿宋" w:eastAsia="仿宋" w:cs="仿宋"/>
                <w:color w:val="000000"/>
                <w:sz w:val="32"/>
                <w:szCs w:val="32"/>
                <w:lang w:val="zh-CN"/>
              </w:rPr>
            </w:pPr>
          </w:p>
        </w:tc>
        <w:tc>
          <w:tcPr>
            <w:tcW w:w="876" w:type="dxa"/>
            <w:tcBorders>
              <w:top w:val="single" w:color="auto" w:sz="6" w:space="0"/>
              <w:left w:val="single" w:color="auto" w:sz="6" w:space="0"/>
              <w:bottom w:val="single" w:color="auto" w:sz="6" w:space="0"/>
              <w:right w:val="single" w:color="auto" w:sz="6" w:space="0"/>
            </w:tcBorders>
            <w:noWrap w:val="0"/>
            <w:vAlign w:val="top"/>
          </w:tcPr>
          <w:p w14:paraId="02C56F73">
            <w:pPr>
              <w:rPr>
                <w:rFonts w:hint="eastAsia" w:ascii="仿宋" w:hAnsi="仿宋" w:eastAsia="仿宋" w:cs="仿宋"/>
                <w:color w:val="000000"/>
                <w:sz w:val="32"/>
                <w:szCs w:val="32"/>
                <w:lang w:val="zh-CN"/>
              </w:rPr>
            </w:pPr>
          </w:p>
        </w:tc>
      </w:tr>
      <w:tr w14:paraId="154B2D8D">
        <w:tblPrEx>
          <w:tblCellMar>
            <w:top w:w="0" w:type="dxa"/>
            <w:left w:w="108" w:type="dxa"/>
            <w:bottom w:w="0" w:type="dxa"/>
            <w:right w:w="108" w:type="dxa"/>
          </w:tblCellMar>
        </w:tblPrEx>
        <w:trPr>
          <w:trHeight w:val="285" w:hRule="atLeast"/>
        </w:trPr>
        <w:tc>
          <w:tcPr>
            <w:tcW w:w="737" w:type="dxa"/>
            <w:tcBorders>
              <w:top w:val="single" w:color="auto" w:sz="6" w:space="0"/>
              <w:left w:val="single" w:color="auto" w:sz="6" w:space="0"/>
              <w:bottom w:val="single" w:color="auto" w:sz="6" w:space="0"/>
              <w:right w:val="single" w:color="auto" w:sz="6" w:space="0"/>
            </w:tcBorders>
            <w:noWrap w:val="0"/>
            <w:vAlign w:val="top"/>
          </w:tcPr>
          <w:p w14:paraId="59116783">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5</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3F730300">
            <w:pPr>
              <w:rPr>
                <w:rFonts w:hint="eastAsia" w:ascii="仿宋" w:hAnsi="仿宋" w:eastAsia="仿宋" w:cs="仿宋"/>
                <w:b w:val="0"/>
                <w:bCs w:val="0"/>
                <w:color w:val="000000"/>
                <w:sz w:val="32"/>
                <w:szCs w:val="32"/>
                <w:lang w:val="zh-CN"/>
              </w:rPr>
            </w:pPr>
            <w:r>
              <w:rPr>
                <w:rFonts w:hint="eastAsia" w:ascii="仿宋" w:hAnsi="仿宋" w:eastAsia="仿宋" w:cs="仿宋"/>
                <w:b w:val="0"/>
                <w:bCs w:val="0"/>
                <w:spacing w:val="6"/>
                <w:sz w:val="32"/>
                <w:szCs w:val="32"/>
              </w:rPr>
              <w:t>残疾人福利性单位声明函</w:t>
            </w:r>
            <w:r>
              <w:rPr>
                <w:rFonts w:hint="eastAsia" w:ascii="仿宋" w:hAnsi="仿宋" w:eastAsia="仿宋" w:cs="仿宋"/>
                <w:b w:val="0"/>
                <w:bCs w:val="0"/>
                <w:spacing w:val="6"/>
                <w:sz w:val="32"/>
                <w:szCs w:val="32"/>
                <w:lang w:eastAsia="zh-CN"/>
              </w:rPr>
              <w:t>（如果是，</w:t>
            </w:r>
            <w:r>
              <w:rPr>
                <w:rFonts w:hint="eastAsia" w:ascii="仿宋" w:hAnsi="仿宋" w:eastAsia="仿宋" w:cs="仿宋"/>
                <w:b w:val="0"/>
                <w:bCs w:val="0"/>
                <w:sz w:val="32"/>
                <w:szCs w:val="32"/>
              </w:rPr>
              <w:t>格式</w:t>
            </w:r>
            <w:r>
              <w:rPr>
                <w:rFonts w:hint="eastAsia" w:ascii="仿宋" w:hAnsi="仿宋" w:eastAsia="仿宋" w:cs="仿宋"/>
                <w:b w:val="0"/>
                <w:bCs w:val="0"/>
                <w:sz w:val="32"/>
                <w:szCs w:val="32"/>
                <w:lang w:eastAsia="zh-CN"/>
              </w:rPr>
              <w:t>三提交）</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2C4EEF86">
            <w:pPr>
              <w:rPr>
                <w:rFonts w:hint="eastAsia" w:ascii="仿宋" w:hAnsi="仿宋" w:eastAsia="仿宋" w:cs="仿宋"/>
                <w:color w:val="000000"/>
                <w:sz w:val="32"/>
                <w:szCs w:val="32"/>
                <w:lang w:val="zh-CN"/>
              </w:rPr>
            </w:pPr>
          </w:p>
        </w:tc>
        <w:tc>
          <w:tcPr>
            <w:tcW w:w="876" w:type="dxa"/>
            <w:tcBorders>
              <w:top w:val="single" w:color="auto" w:sz="6" w:space="0"/>
              <w:left w:val="single" w:color="auto" w:sz="6" w:space="0"/>
              <w:bottom w:val="single" w:color="auto" w:sz="6" w:space="0"/>
              <w:right w:val="single" w:color="auto" w:sz="6" w:space="0"/>
            </w:tcBorders>
            <w:noWrap w:val="0"/>
            <w:vAlign w:val="top"/>
          </w:tcPr>
          <w:p w14:paraId="4234C9C4">
            <w:pPr>
              <w:rPr>
                <w:rFonts w:hint="eastAsia" w:ascii="仿宋" w:hAnsi="仿宋" w:eastAsia="仿宋" w:cs="仿宋"/>
                <w:color w:val="000000"/>
                <w:sz w:val="32"/>
                <w:szCs w:val="32"/>
                <w:lang w:val="zh-CN"/>
              </w:rPr>
            </w:pPr>
          </w:p>
        </w:tc>
      </w:tr>
      <w:tr w14:paraId="03E5AE80">
        <w:tblPrEx>
          <w:tblCellMar>
            <w:top w:w="0" w:type="dxa"/>
            <w:left w:w="108" w:type="dxa"/>
            <w:bottom w:w="0" w:type="dxa"/>
            <w:right w:w="108" w:type="dxa"/>
          </w:tblCellMar>
        </w:tblPrEx>
        <w:tc>
          <w:tcPr>
            <w:tcW w:w="737" w:type="dxa"/>
            <w:tcBorders>
              <w:top w:val="single" w:color="auto" w:sz="6" w:space="0"/>
              <w:left w:val="single" w:color="auto" w:sz="6" w:space="0"/>
              <w:bottom w:val="single" w:color="auto" w:sz="6" w:space="0"/>
              <w:right w:val="single" w:color="auto" w:sz="6" w:space="0"/>
            </w:tcBorders>
            <w:noWrap w:val="0"/>
            <w:vAlign w:val="top"/>
          </w:tcPr>
          <w:p w14:paraId="7DBB2FC5">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6</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5175B7EF">
            <w:pPr>
              <w:rPr>
                <w:rFonts w:hint="eastAsia" w:ascii="仿宋" w:hAnsi="仿宋" w:eastAsia="仿宋" w:cs="仿宋"/>
                <w:b w:val="0"/>
                <w:bCs w:val="0"/>
                <w:color w:val="000000"/>
                <w:sz w:val="32"/>
                <w:szCs w:val="32"/>
                <w:lang w:val="zh-CN"/>
              </w:rPr>
            </w:pPr>
            <w:r>
              <w:rPr>
                <w:rFonts w:hint="eastAsia" w:ascii="仿宋" w:hAnsi="仿宋" w:eastAsia="仿宋" w:cs="仿宋"/>
                <w:b w:val="0"/>
                <w:bCs w:val="0"/>
                <w:spacing w:val="6"/>
                <w:sz w:val="32"/>
                <w:szCs w:val="32"/>
              </w:rPr>
              <w:t>属于监狱企业的证明文件（如果是，</w:t>
            </w:r>
            <w:r>
              <w:rPr>
                <w:rFonts w:hint="eastAsia" w:ascii="仿宋" w:hAnsi="仿宋" w:eastAsia="仿宋" w:cs="仿宋"/>
                <w:b w:val="0"/>
                <w:bCs w:val="0"/>
                <w:sz w:val="32"/>
                <w:szCs w:val="32"/>
              </w:rPr>
              <w:t>按格式</w:t>
            </w:r>
            <w:r>
              <w:rPr>
                <w:rFonts w:hint="eastAsia" w:ascii="仿宋" w:hAnsi="仿宋" w:eastAsia="仿宋" w:cs="仿宋"/>
                <w:b w:val="0"/>
                <w:bCs w:val="0"/>
                <w:sz w:val="32"/>
                <w:szCs w:val="32"/>
                <w:lang w:eastAsia="zh-CN"/>
              </w:rPr>
              <w:t>四</w:t>
            </w:r>
            <w:r>
              <w:rPr>
                <w:rFonts w:hint="eastAsia" w:ascii="仿宋" w:hAnsi="仿宋" w:eastAsia="仿宋" w:cs="仿宋"/>
                <w:b w:val="0"/>
                <w:bCs w:val="0"/>
                <w:spacing w:val="6"/>
                <w:sz w:val="32"/>
                <w:szCs w:val="32"/>
              </w:rPr>
              <w:t>提交）</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246BEA53">
            <w:pPr>
              <w:rPr>
                <w:rFonts w:hint="eastAsia" w:ascii="仿宋" w:hAnsi="仿宋" w:eastAsia="仿宋" w:cs="仿宋"/>
                <w:b/>
                <w:bCs/>
                <w:color w:val="000000"/>
                <w:sz w:val="32"/>
                <w:szCs w:val="32"/>
                <w:lang w:val="zh-CN"/>
              </w:rPr>
            </w:pPr>
          </w:p>
        </w:tc>
        <w:tc>
          <w:tcPr>
            <w:tcW w:w="876" w:type="dxa"/>
            <w:tcBorders>
              <w:top w:val="single" w:color="auto" w:sz="6" w:space="0"/>
              <w:left w:val="single" w:color="auto" w:sz="6" w:space="0"/>
              <w:bottom w:val="single" w:color="auto" w:sz="6" w:space="0"/>
              <w:right w:val="single" w:color="auto" w:sz="6" w:space="0"/>
            </w:tcBorders>
            <w:noWrap w:val="0"/>
            <w:vAlign w:val="top"/>
          </w:tcPr>
          <w:p w14:paraId="31D445F6">
            <w:pPr>
              <w:rPr>
                <w:rFonts w:hint="eastAsia" w:ascii="仿宋" w:hAnsi="仿宋" w:eastAsia="仿宋" w:cs="仿宋"/>
                <w:b/>
                <w:bCs/>
                <w:color w:val="000000"/>
                <w:sz w:val="32"/>
                <w:szCs w:val="32"/>
                <w:lang w:val="zh-CN"/>
              </w:rPr>
            </w:pPr>
          </w:p>
        </w:tc>
      </w:tr>
      <w:tr w14:paraId="7092FC2D">
        <w:tblPrEx>
          <w:tblCellMar>
            <w:top w:w="0" w:type="dxa"/>
            <w:left w:w="108" w:type="dxa"/>
            <w:bottom w:w="0" w:type="dxa"/>
            <w:right w:w="108" w:type="dxa"/>
          </w:tblCellMar>
        </w:tblPrEx>
        <w:tc>
          <w:tcPr>
            <w:tcW w:w="737" w:type="dxa"/>
            <w:tcBorders>
              <w:top w:val="single" w:color="auto" w:sz="6" w:space="0"/>
              <w:left w:val="single" w:color="auto" w:sz="6" w:space="0"/>
              <w:bottom w:val="single" w:color="auto" w:sz="6" w:space="0"/>
              <w:right w:val="single" w:color="auto" w:sz="6" w:space="0"/>
            </w:tcBorders>
            <w:noWrap w:val="0"/>
            <w:vAlign w:val="top"/>
          </w:tcPr>
          <w:p w14:paraId="7052654B">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638F0255">
            <w:pPr>
              <w:rPr>
                <w:rFonts w:hint="eastAsia" w:ascii="仿宋" w:hAnsi="仿宋" w:eastAsia="仿宋" w:cs="仿宋"/>
                <w:b w:val="0"/>
                <w:bCs w:val="0"/>
                <w:color w:val="000000"/>
                <w:sz w:val="32"/>
                <w:szCs w:val="32"/>
                <w:lang w:val="zh-CN" w:eastAsia="zh-CN" w:bidi="ar-SA"/>
              </w:rPr>
            </w:pPr>
            <w:r>
              <w:rPr>
                <w:rFonts w:hint="eastAsia" w:ascii="仿宋" w:hAnsi="仿宋" w:eastAsia="仿宋" w:cs="仿宋"/>
                <w:b w:val="0"/>
                <w:bCs w:val="0"/>
                <w:color w:val="000000"/>
                <w:sz w:val="32"/>
                <w:szCs w:val="32"/>
                <w:lang w:val="zh-CN"/>
              </w:rPr>
              <w:t>谈判文件要求提交的其他技术文件材料</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1D9E0A16">
            <w:pPr>
              <w:rPr>
                <w:rFonts w:hint="eastAsia" w:ascii="仿宋" w:hAnsi="仿宋" w:eastAsia="仿宋" w:cs="仿宋"/>
                <w:b/>
                <w:bCs/>
                <w:color w:val="000000"/>
                <w:sz w:val="32"/>
                <w:szCs w:val="32"/>
                <w:lang w:val="zh-CN"/>
              </w:rPr>
            </w:pPr>
          </w:p>
        </w:tc>
        <w:tc>
          <w:tcPr>
            <w:tcW w:w="876" w:type="dxa"/>
            <w:tcBorders>
              <w:top w:val="single" w:color="auto" w:sz="6" w:space="0"/>
              <w:left w:val="single" w:color="auto" w:sz="6" w:space="0"/>
              <w:bottom w:val="single" w:color="auto" w:sz="6" w:space="0"/>
              <w:right w:val="single" w:color="auto" w:sz="6" w:space="0"/>
            </w:tcBorders>
            <w:noWrap w:val="0"/>
            <w:vAlign w:val="top"/>
          </w:tcPr>
          <w:p w14:paraId="20841E17">
            <w:pPr>
              <w:rPr>
                <w:rFonts w:hint="eastAsia" w:ascii="仿宋" w:hAnsi="仿宋" w:eastAsia="仿宋" w:cs="仿宋"/>
                <w:b/>
                <w:bCs/>
                <w:color w:val="000000"/>
                <w:sz w:val="32"/>
                <w:szCs w:val="32"/>
                <w:lang w:val="zh-CN"/>
              </w:rPr>
            </w:pPr>
          </w:p>
        </w:tc>
      </w:tr>
      <w:tr w14:paraId="2B72B5BF">
        <w:tblPrEx>
          <w:tblCellMar>
            <w:top w:w="0" w:type="dxa"/>
            <w:left w:w="108" w:type="dxa"/>
            <w:bottom w:w="0" w:type="dxa"/>
            <w:right w:w="108" w:type="dxa"/>
          </w:tblCellMar>
        </w:tblPrEx>
        <w:trPr>
          <w:trHeight w:val="652" w:hRule="atLeast"/>
        </w:trPr>
        <w:tc>
          <w:tcPr>
            <w:tcW w:w="737" w:type="dxa"/>
            <w:tcBorders>
              <w:top w:val="single" w:color="auto" w:sz="6" w:space="0"/>
              <w:left w:val="single" w:color="auto" w:sz="6" w:space="0"/>
              <w:bottom w:val="single" w:color="auto" w:sz="6" w:space="0"/>
              <w:right w:val="single" w:color="auto" w:sz="6" w:space="0"/>
            </w:tcBorders>
            <w:noWrap w:val="0"/>
            <w:vAlign w:val="top"/>
          </w:tcPr>
          <w:p w14:paraId="025E39C0">
            <w:pPr>
              <w:jc w:val="center"/>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8</w:t>
            </w:r>
          </w:p>
        </w:tc>
        <w:tc>
          <w:tcPr>
            <w:tcW w:w="6464" w:type="dxa"/>
            <w:tcBorders>
              <w:top w:val="single" w:color="auto" w:sz="6" w:space="0"/>
              <w:left w:val="single" w:color="auto" w:sz="6" w:space="0"/>
              <w:bottom w:val="single" w:color="auto" w:sz="6" w:space="0"/>
              <w:right w:val="single" w:color="auto" w:sz="6" w:space="0"/>
            </w:tcBorders>
            <w:noWrap w:val="0"/>
            <w:vAlign w:val="top"/>
          </w:tcPr>
          <w:p w14:paraId="632B08FE">
            <w:pPr>
              <w:rPr>
                <w:rFonts w:hint="eastAsia" w:ascii="仿宋" w:hAnsi="仿宋" w:eastAsia="仿宋" w:cs="仿宋"/>
                <w:b w:val="0"/>
                <w:bCs w:val="0"/>
                <w:color w:val="000000"/>
                <w:sz w:val="32"/>
                <w:szCs w:val="32"/>
                <w:lang w:val="zh-CN" w:eastAsia="zh-CN" w:bidi="ar-SA"/>
              </w:rPr>
            </w:pPr>
            <w:r>
              <w:rPr>
                <w:rFonts w:hint="eastAsia" w:ascii="仿宋" w:hAnsi="仿宋" w:eastAsia="仿宋" w:cs="仿宋"/>
                <w:b w:val="0"/>
                <w:bCs w:val="0"/>
                <w:color w:val="000000"/>
                <w:sz w:val="32"/>
                <w:szCs w:val="32"/>
                <w:lang w:val="zh-CN"/>
              </w:rPr>
              <w:t>供应商认为需要提供的其他技术文件材料,但应注意不要提供与评标无直接关联的文件材料。</w:t>
            </w:r>
          </w:p>
        </w:tc>
        <w:tc>
          <w:tcPr>
            <w:tcW w:w="1291" w:type="dxa"/>
            <w:tcBorders>
              <w:top w:val="single" w:color="auto" w:sz="6" w:space="0"/>
              <w:left w:val="single" w:color="auto" w:sz="6" w:space="0"/>
              <w:bottom w:val="single" w:color="auto" w:sz="6" w:space="0"/>
              <w:right w:val="single" w:color="auto" w:sz="6" w:space="0"/>
            </w:tcBorders>
            <w:noWrap w:val="0"/>
            <w:vAlign w:val="top"/>
          </w:tcPr>
          <w:p w14:paraId="47941835">
            <w:pPr>
              <w:rPr>
                <w:rFonts w:hint="eastAsia" w:ascii="仿宋" w:hAnsi="仿宋" w:eastAsia="仿宋" w:cs="仿宋"/>
                <w:b/>
                <w:bCs/>
                <w:color w:val="000000"/>
                <w:sz w:val="32"/>
                <w:szCs w:val="32"/>
                <w:lang w:val="zh-CN"/>
              </w:rPr>
            </w:pPr>
          </w:p>
        </w:tc>
        <w:tc>
          <w:tcPr>
            <w:tcW w:w="876" w:type="dxa"/>
            <w:tcBorders>
              <w:top w:val="single" w:color="auto" w:sz="6" w:space="0"/>
              <w:left w:val="single" w:color="auto" w:sz="6" w:space="0"/>
              <w:bottom w:val="single" w:color="auto" w:sz="6" w:space="0"/>
              <w:right w:val="single" w:color="auto" w:sz="6" w:space="0"/>
            </w:tcBorders>
            <w:noWrap w:val="0"/>
            <w:vAlign w:val="top"/>
          </w:tcPr>
          <w:p w14:paraId="13DE9F50">
            <w:pPr>
              <w:rPr>
                <w:rFonts w:hint="eastAsia" w:ascii="仿宋" w:hAnsi="仿宋" w:eastAsia="仿宋" w:cs="仿宋"/>
                <w:b/>
                <w:bCs/>
                <w:color w:val="000000"/>
                <w:sz w:val="32"/>
                <w:szCs w:val="32"/>
                <w:lang w:val="zh-CN"/>
              </w:rPr>
            </w:pPr>
          </w:p>
        </w:tc>
      </w:tr>
    </w:tbl>
    <w:p w14:paraId="115BC31E">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要求：</w:t>
      </w:r>
    </w:p>
    <w:p w14:paraId="61F99D04">
      <w:pPr>
        <w:ind w:firstLine="482"/>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zh-CN"/>
        </w:rPr>
        <w:t>1、供应商必须按照技术文件清单以及规定的格式和要求提交，清单中虽未列出但谈判文件要求提交的技术文件，供应商也应按谈判文件的要求提交。</w:t>
      </w:r>
    </w:p>
    <w:p w14:paraId="6EC69392">
      <w:pPr>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2、供应商在投标前应自行检查要求提交的技术文件是否已完整提交并加盖公章和/或有效签署，若有缺失、无效或者不符合谈判文件要求，将导致其投标被拒绝。</w:t>
      </w:r>
    </w:p>
    <w:p w14:paraId="47EAE896">
      <w:pPr>
        <w:ind w:firstLine="482"/>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3、供应商应按本格式编制技术文件目录，并编排在技术文件部分首页。</w:t>
      </w:r>
    </w:p>
    <w:p w14:paraId="69499D3A">
      <w:pPr>
        <w:rPr>
          <w:rFonts w:hint="eastAsia" w:ascii="仿宋" w:hAnsi="仿宋" w:eastAsia="仿宋" w:cs="仿宋"/>
          <w:b/>
          <w:bCs/>
          <w:color w:val="000000"/>
          <w:sz w:val="32"/>
          <w:szCs w:val="32"/>
          <w:lang w:val="zh-CN"/>
        </w:rPr>
      </w:pPr>
    </w:p>
    <w:p w14:paraId="77842B8A">
      <w:pPr>
        <w:pStyle w:val="28"/>
        <w:rPr>
          <w:rFonts w:hint="eastAsia" w:ascii="仿宋" w:hAnsi="仿宋" w:eastAsia="仿宋" w:cs="仿宋"/>
          <w:b/>
          <w:bCs/>
          <w:color w:val="000000"/>
          <w:sz w:val="32"/>
          <w:szCs w:val="32"/>
          <w:lang w:val="zh-CN"/>
        </w:rPr>
      </w:pPr>
    </w:p>
    <w:p w14:paraId="4B2EF736">
      <w:pPr>
        <w:pStyle w:val="28"/>
        <w:rPr>
          <w:rFonts w:hint="eastAsia" w:ascii="仿宋" w:hAnsi="仿宋" w:eastAsia="仿宋" w:cs="仿宋"/>
          <w:b/>
          <w:bCs/>
          <w:color w:val="000000"/>
          <w:sz w:val="32"/>
          <w:szCs w:val="32"/>
          <w:lang w:val="zh-CN"/>
        </w:rPr>
      </w:pPr>
    </w:p>
    <w:p w14:paraId="5AAD1572">
      <w:pPr>
        <w:pStyle w:val="28"/>
        <w:rPr>
          <w:rFonts w:hint="eastAsia" w:ascii="仿宋" w:hAnsi="仿宋" w:eastAsia="仿宋" w:cs="仿宋"/>
          <w:b/>
          <w:bCs/>
          <w:color w:val="000000"/>
          <w:sz w:val="32"/>
          <w:szCs w:val="32"/>
          <w:lang w:val="zh-CN"/>
        </w:rPr>
      </w:pPr>
    </w:p>
    <w:p w14:paraId="323A87BA">
      <w:pPr>
        <w:pStyle w:val="28"/>
        <w:ind w:left="0" w:leftChars="0" w:firstLine="0" w:firstLineChars="0"/>
        <w:rPr>
          <w:rFonts w:hint="eastAsia" w:ascii="仿宋" w:hAnsi="仿宋" w:eastAsia="仿宋" w:cs="仿宋"/>
          <w:b/>
          <w:bCs/>
          <w:color w:val="000000"/>
          <w:sz w:val="32"/>
          <w:szCs w:val="32"/>
          <w:lang w:val="zh-CN"/>
        </w:rPr>
      </w:pPr>
    </w:p>
    <w:p w14:paraId="0E6F72FD">
      <w:pPr>
        <w:pStyle w:val="28"/>
        <w:ind w:left="0" w:leftChars="0" w:firstLine="0" w:firstLineChars="0"/>
        <w:rPr>
          <w:rFonts w:hint="eastAsia" w:ascii="仿宋" w:hAnsi="仿宋" w:eastAsia="仿宋" w:cs="仿宋"/>
          <w:b/>
          <w:bCs/>
          <w:color w:val="000000"/>
          <w:sz w:val="32"/>
          <w:szCs w:val="32"/>
          <w:lang w:val="zh-CN"/>
        </w:rPr>
      </w:pPr>
    </w:p>
    <w:p w14:paraId="4BB46731">
      <w:pPr>
        <w:pStyle w:val="28"/>
        <w:ind w:left="0" w:leftChars="0" w:firstLine="0" w:firstLineChars="0"/>
        <w:rPr>
          <w:rFonts w:hint="eastAsia" w:ascii="仿宋" w:hAnsi="仿宋" w:eastAsia="仿宋" w:cs="仿宋"/>
          <w:b/>
          <w:bCs/>
          <w:color w:val="000000"/>
          <w:sz w:val="32"/>
          <w:szCs w:val="32"/>
          <w:lang w:val="zh-CN"/>
        </w:rPr>
      </w:pPr>
    </w:p>
    <w:p w14:paraId="28958AE1">
      <w:pPr>
        <w:pStyle w:val="28"/>
        <w:ind w:left="0" w:leftChars="0" w:firstLine="0" w:firstLineChars="0"/>
        <w:rPr>
          <w:rFonts w:hint="eastAsia" w:ascii="仿宋" w:hAnsi="仿宋" w:eastAsia="仿宋" w:cs="仿宋"/>
          <w:b/>
          <w:bCs/>
          <w:color w:val="000000"/>
          <w:sz w:val="32"/>
          <w:szCs w:val="32"/>
          <w:lang w:val="zh-CN"/>
        </w:rPr>
      </w:pPr>
    </w:p>
    <w:p w14:paraId="6DF5FFCE">
      <w:pPr>
        <w:pStyle w:val="28"/>
        <w:ind w:left="0" w:leftChars="0" w:firstLine="0" w:firstLineChars="0"/>
        <w:rPr>
          <w:rFonts w:hint="eastAsia" w:ascii="仿宋" w:hAnsi="仿宋" w:eastAsia="仿宋" w:cs="仿宋"/>
          <w:b/>
          <w:bCs/>
          <w:color w:val="000000"/>
          <w:sz w:val="32"/>
          <w:szCs w:val="32"/>
          <w:lang w:val="zh-CN"/>
        </w:rPr>
      </w:pPr>
    </w:p>
    <w:p w14:paraId="5C70EA23">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格式一、报价明细表</w:t>
      </w:r>
    </w:p>
    <w:p w14:paraId="68C6C218">
      <w:pPr>
        <w:rPr>
          <w:rFonts w:hint="eastAsia" w:ascii="仿宋" w:hAnsi="仿宋" w:eastAsia="仿宋" w:cs="仿宋"/>
          <w:color w:val="000000"/>
          <w:sz w:val="32"/>
          <w:szCs w:val="32"/>
          <w:lang w:val="zh-CN"/>
        </w:rPr>
      </w:pPr>
    </w:p>
    <w:p w14:paraId="47E4C174">
      <w:pP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项目名称： </w:t>
      </w:r>
      <w:bookmarkStart w:id="214" w:name="BTML_XIANGMMC8"/>
      <w:r>
        <w:rPr>
          <w:rFonts w:hint="eastAsia" w:ascii="仿宋" w:hAnsi="仿宋" w:eastAsia="仿宋" w:cs="仿宋"/>
          <w:color w:val="000000"/>
          <w:sz w:val="32"/>
          <w:szCs w:val="32"/>
          <w:lang w:val="zh-CN"/>
        </w:rPr>
        <w:t xml:space="preserve">       </w:t>
      </w:r>
      <w:bookmarkEnd w:id="214"/>
      <w:r>
        <w:rPr>
          <w:rFonts w:hint="eastAsia" w:ascii="仿宋" w:hAnsi="仿宋" w:eastAsia="仿宋" w:cs="仿宋"/>
          <w:color w:val="000000"/>
          <w:sz w:val="32"/>
          <w:szCs w:val="32"/>
          <w:lang w:val="zh-CN"/>
        </w:rPr>
        <w:t xml:space="preserve"> </w:t>
      </w:r>
    </w:p>
    <w:p w14:paraId="5834D77E">
      <w:pP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供应商名称</w:t>
      </w:r>
      <w:r>
        <w:rPr>
          <w:rFonts w:hint="eastAsia" w:ascii="仿宋" w:hAnsi="仿宋" w:eastAsia="仿宋" w:cs="仿宋"/>
          <w:b/>
          <w:bCs/>
          <w:color w:val="000000"/>
          <w:sz w:val="32"/>
          <w:szCs w:val="32"/>
          <w:lang w:val="zh-CN"/>
        </w:rPr>
        <w:t>（加盖供应商公章）：</w:t>
      </w:r>
    </w:p>
    <w:p w14:paraId="10ECF423">
      <w:pP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日</w:t>
      </w:r>
    </w:p>
    <w:tbl>
      <w:tblPr>
        <w:tblStyle w:val="36"/>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61"/>
        <w:gridCol w:w="1959"/>
        <w:gridCol w:w="1080"/>
        <w:gridCol w:w="720"/>
        <w:gridCol w:w="720"/>
        <w:gridCol w:w="1080"/>
        <w:gridCol w:w="1080"/>
        <w:gridCol w:w="900"/>
      </w:tblGrid>
      <w:tr w14:paraId="7C9D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bottom w:val="single" w:color="auto" w:sz="4" w:space="0"/>
            </w:tcBorders>
            <w:noWrap w:val="0"/>
            <w:vAlign w:val="center"/>
          </w:tcPr>
          <w:p w14:paraId="36A920CF">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461" w:type="dxa"/>
            <w:tcBorders>
              <w:bottom w:val="single" w:color="auto" w:sz="4" w:space="0"/>
            </w:tcBorders>
            <w:noWrap w:val="0"/>
            <w:vAlign w:val="center"/>
          </w:tcPr>
          <w:p w14:paraId="61E60D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959" w:type="dxa"/>
            <w:tcBorders>
              <w:bottom w:val="single" w:color="auto" w:sz="4" w:space="0"/>
            </w:tcBorders>
            <w:noWrap w:val="0"/>
            <w:vAlign w:val="center"/>
          </w:tcPr>
          <w:p w14:paraId="6F23CA6A">
            <w:pPr>
              <w:spacing w:line="360" w:lineRule="auto"/>
              <w:rPr>
                <w:rFonts w:hint="eastAsia" w:ascii="宋体" w:hAnsi="宋体" w:eastAsia="宋体" w:cs="宋体"/>
                <w:sz w:val="24"/>
                <w:szCs w:val="24"/>
              </w:rPr>
            </w:pPr>
            <w:r>
              <w:rPr>
                <w:rFonts w:hint="eastAsia" w:ascii="宋体" w:hAnsi="宋体" w:eastAsia="宋体" w:cs="宋体"/>
                <w:bCs/>
                <w:kern w:val="0"/>
                <w:sz w:val="24"/>
                <w:szCs w:val="24"/>
              </w:rPr>
              <w:t>参数规格</w:t>
            </w:r>
          </w:p>
        </w:tc>
        <w:tc>
          <w:tcPr>
            <w:tcW w:w="1080" w:type="dxa"/>
            <w:tcBorders>
              <w:bottom w:val="single" w:color="auto" w:sz="4" w:space="0"/>
            </w:tcBorders>
            <w:noWrap w:val="0"/>
            <w:vAlign w:val="center"/>
          </w:tcPr>
          <w:p w14:paraId="7D555B11">
            <w:pPr>
              <w:spacing w:line="360" w:lineRule="auto"/>
              <w:rPr>
                <w:rFonts w:hint="eastAsia" w:ascii="宋体" w:hAnsi="宋体" w:eastAsia="宋体" w:cs="宋体"/>
                <w:sz w:val="24"/>
                <w:szCs w:val="24"/>
              </w:rPr>
            </w:pPr>
            <w:r>
              <w:rPr>
                <w:rFonts w:hint="eastAsia" w:ascii="宋体" w:hAnsi="宋体" w:eastAsia="宋体" w:cs="宋体"/>
                <w:sz w:val="24"/>
                <w:szCs w:val="24"/>
              </w:rPr>
              <w:t>品牌</w:t>
            </w:r>
          </w:p>
          <w:p w14:paraId="0964E627">
            <w:pPr>
              <w:spacing w:line="360" w:lineRule="auto"/>
              <w:rPr>
                <w:rFonts w:hint="eastAsia" w:ascii="宋体" w:hAnsi="宋体" w:eastAsia="宋体" w:cs="宋体"/>
                <w:sz w:val="24"/>
                <w:szCs w:val="24"/>
              </w:rPr>
            </w:pPr>
            <w:r>
              <w:rPr>
                <w:rFonts w:hint="eastAsia" w:ascii="宋体" w:hAnsi="宋体" w:eastAsia="宋体" w:cs="宋体"/>
                <w:sz w:val="24"/>
                <w:szCs w:val="24"/>
              </w:rPr>
              <w:t>型号</w:t>
            </w:r>
          </w:p>
        </w:tc>
        <w:tc>
          <w:tcPr>
            <w:tcW w:w="720" w:type="dxa"/>
            <w:tcBorders>
              <w:bottom w:val="single" w:color="auto" w:sz="4" w:space="0"/>
            </w:tcBorders>
            <w:noWrap w:val="0"/>
            <w:vAlign w:val="center"/>
          </w:tcPr>
          <w:p w14:paraId="13A19F58">
            <w:pPr>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720" w:type="dxa"/>
            <w:tcBorders>
              <w:bottom w:val="single" w:color="auto" w:sz="4" w:space="0"/>
            </w:tcBorders>
            <w:noWrap w:val="0"/>
            <w:vAlign w:val="center"/>
          </w:tcPr>
          <w:p w14:paraId="123B2301">
            <w:pPr>
              <w:spacing w:line="360" w:lineRule="auto"/>
              <w:rPr>
                <w:rFonts w:hint="eastAsia" w:ascii="宋体" w:hAnsi="宋体" w:eastAsia="宋体" w:cs="宋体"/>
                <w:sz w:val="24"/>
                <w:szCs w:val="24"/>
              </w:rPr>
            </w:pPr>
            <w:r>
              <w:rPr>
                <w:rFonts w:hint="eastAsia" w:ascii="宋体" w:hAnsi="宋体" w:eastAsia="宋体" w:cs="宋体"/>
                <w:sz w:val="24"/>
                <w:szCs w:val="24"/>
              </w:rPr>
              <w:t>单位</w:t>
            </w:r>
          </w:p>
        </w:tc>
        <w:tc>
          <w:tcPr>
            <w:tcW w:w="1080" w:type="dxa"/>
            <w:tcBorders>
              <w:bottom w:val="single" w:color="auto" w:sz="4" w:space="0"/>
            </w:tcBorders>
            <w:noWrap w:val="0"/>
            <w:vAlign w:val="center"/>
          </w:tcPr>
          <w:p w14:paraId="057243BD">
            <w:pPr>
              <w:spacing w:line="360" w:lineRule="auto"/>
              <w:rPr>
                <w:rFonts w:hint="eastAsia" w:ascii="宋体" w:hAnsi="宋体" w:eastAsia="宋体" w:cs="宋体"/>
                <w:sz w:val="24"/>
                <w:szCs w:val="24"/>
              </w:rPr>
            </w:pPr>
            <w:r>
              <w:rPr>
                <w:rFonts w:hint="eastAsia" w:ascii="宋体" w:hAnsi="宋体" w:eastAsia="宋体" w:cs="宋体"/>
                <w:sz w:val="24"/>
                <w:szCs w:val="24"/>
              </w:rPr>
              <w:t>单价（元）</w:t>
            </w:r>
          </w:p>
        </w:tc>
        <w:tc>
          <w:tcPr>
            <w:tcW w:w="1080" w:type="dxa"/>
            <w:tcBorders>
              <w:bottom w:val="single" w:color="auto" w:sz="4" w:space="0"/>
            </w:tcBorders>
            <w:noWrap w:val="0"/>
            <w:vAlign w:val="center"/>
          </w:tcPr>
          <w:p w14:paraId="4B8783F5">
            <w:pPr>
              <w:spacing w:line="360" w:lineRule="auto"/>
              <w:rPr>
                <w:rFonts w:hint="eastAsia" w:ascii="宋体" w:hAnsi="宋体" w:eastAsia="宋体" w:cs="宋体"/>
                <w:sz w:val="24"/>
                <w:szCs w:val="24"/>
              </w:rPr>
            </w:pPr>
            <w:r>
              <w:rPr>
                <w:rFonts w:hint="eastAsia" w:ascii="宋体" w:hAnsi="宋体" w:eastAsia="宋体" w:cs="宋体"/>
                <w:sz w:val="24"/>
                <w:szCs w:val="24"/>
              </w:rPr>
              <w:t>总价（元）</w:t>
            </w:r>
          </w:p>
        </w:tc>
        <w:tc>
          <w:tcPr>
            <w:tcW w:w="900" w:type="dxa"/>
            <w:tcBorders>
              <w:bottom w:val="single" w:color="auto" w:sz="4" w:space="0"/>
            </w:tcBorders>
            <w:noWrap w:val="0"/>
            <w:vAlign w:val="center"/>
          </w:tcPr>
          <w:p w14:paraId="1F0E9B98">
            <w:pPr>
              <w:spacing w:line="360" w:lineRule="auto"/>
              <w:rPr>
                <w:rFonts w:hint="eastAsia" w:ascii="宋体" w:hAnsi="宋体" w:eastAsia="宋体" w:cs="宋体"/>
                <w:sz w:val="24"/>
                <w:szCs w:val="24"/>
              </w:rPr>
            </w:pPr>
            <w:r>
              <w:rPr>
                <w:rFonts w:hint="eastAsia" w:ascii="宋体" w:hAnsi="宋体" w:eastAsia="宋体" w:cs="宋体"/>
                <w:sz w:val="24"/>
                <w:szCs w:val="24"/>
              </w:rPr>
              <w:t>响应情 况</w:t>
            </w:r>
          </w:p>
        </w:tc>
      </w:tr>
      <w:tr w14:paraId="4955C3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4" w:hRule="atLeast"/>
        </w:trPr>
        <w:tc>
          <w:tcPr>
            <w:tcW w:w="720" w:type="dxa"/>
            <w:tcBorders>
              <w:top w:val="nil"/>
              <w:left w:val="single" w:color="auto" w:sz="4" w:space="0"/>
              <w:bottom w:val="single" w:color="auto" w:sz="4" w:space="0"/>
              <w:right w:val="single" w:color="auto" w:sz="4" w:space="0"/>
            </w:tcBorders>
            <w:noWrap w:val="0"/>
            <w:vAlign w:val="center"/>
          </w:tcPr>
          <w:p w14:paraId="77201623">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1-1</w:t>
            </w:r>
          </w:p>
        </w:tc>
        <w:tc>
          <w:tcPr>
            <w:tcW w:w="1461" w:type="dxa"/>
            <w:tcBorders>
              <w:top w:val="nil"/>
              <w:left w:val="nil"/>
              <w:bottom w:val="single" w:color="auto" w:sz="4" w:space="0"/>
              <w:right w:val="single" w:color="auto" w:sz="4" w:space="0"/>
            </w:tcBorders>
            <w:noWrap w:val="0"/>
            <w:vAlign w:val="center"/>
          </w:tcPr>
          <w:p w14:paraId="7AB316E5">
            <w:pPr>
              <w:widowControl/>
              <w:spacing w:line="360" w:lineRule="auto"/>
              <w:jc w:val="center"/>
              <w:rPr>
                <w:rFonts w:hint="eastAsia" w:ascii="宋体" w:hAnsi="宋体" w:eastAsia="宋体" w:cs="宋体"/>
                <w:bCs/>
                <w:kern w:val="0"/>
                <w:sz w:val="24"/>
                <w:szCs w:val="24"/>
              </w:rPr>
            </w:pPr>
          </w:p>
        </w:tc>
        <w:tc>
          <w:tcPr>
            <w:tcW w:w="1959" w:type="dxa"/>
            <w:tcBorders>
              <w:top w:val="nil"/>
              <w:left w:val="nil"/>
              <w:bottom w:val="single" w:color="auto" w:sz="4" w:space="0"/>
              <w:right w:val="single" w:color="auto" w:sz="4" w:space="0"/>
            </w:tcBorders>
            <w:noWrap w:val="0"/>
            <w:vAlign w:val="center"/>
          </w:tcPr>
          <w:p w14:paraId="19BD9616">
            <w:pPr>
              <w:spacing w:line="360" w:lineRule="auto"/>
              <w:rPr>
                <w:rFonts w:hint="eastAsia" w:ascii="宋体" w:hAnsi="宋体" w:eastAsia="宋体" w:cs="宋体"/>
                <w:kern w:val="0"/>
                <w:sz w:val="24"/>
                <w:szCs w:val="24"/>
              </w:rPr>
            </w:pPr>
          </w:p>
        </w:tc>
        <w:tc>
          <w:tcPr>
            <w:tcW w:w="1080" w:type="dxa"/>
            <w:tcBorders>
              <w:top w:val="nil"/>
              <w:left w:val="nil"/>
              <w:bottom w:val="single" w:color="auto" w:sz="4" w:space="0"/>
              <w:right w:val="single" w:color="auto" w:sz="4" w:space="0"/>
            </w:tcBorders>
            <w:noWrap w:val="0"/>
            <w:vAlign w:val="center"/>
          </w:tcPr>
          <w:p w14:paraId="33C29832">
            <w:pPr>
              <w:spacing w:line="360" w:lineRule="auto"/>
              <w:rPr>
                <w:rFonts w:hint="eastAsia" w:ascii="宋体" w:hAnsi="宋体" w:eastAsia="宋体" w:cs="宋体"/>
                <w:kern w:val="0"/>
                <w:sz w:val="24"/>
                <w:szCs w:val="24"/>
              </w:rPr>
            </w:pPr>
          </w:p>
        </w:tc>
        <w:tc>
          <w:tcPr>
            <w:tcW w:w="720" w:type="dxa"/>
            <w:tcBorders>
              <w:top w:val="nil"/>
              <w:left w:val="nil"/>
              <w:bottom w:val="single" w:color="auto" w:sz="4" w:space="0"/>
              <w:right w:val="single" w:color="auto" w:sz="4" w:space="0"/>
            </w:tcBorders>
            <w:noWrap w:val="0"/>
            <w:vAlign w:val="center"/>
          </w:tcPr>
          <w:p w14:paraId="38080169">
            <w:pPr>
              <w:widowControl/>
              <w:spacing w:line="360" w:lineRule="auto"/>
              <w:jc w:val="center"/>
              <w:rPr>
                <w:rFonts w:hint="eastAsia" w:ascii="宋体" w:hAnsi="宋体" w:eastAsia="宋体" w:cs="宋体"/>
                <w:bCs/>
                <w:kern w:val="0"/>
                <w:sz w:val="24"/>
                <w:szCs w:val="24"/>
              </w:rPr>
            </w:pPr>
          </w:p>
        </w:tc>
        <w:tc>
          <w:tcPr>
            <w:tcW w:w="720" w:type="dxa"/>
            <w:tcBorders>
              <w:top w:val="nil"/>
              <w:left w:val="nil"/>
              <w:bottom w:val="single" w:color="auto" w:sz="4" w:space="0"/>
              <w:right w:val="single" w:color="auto" w:sz="4" w:space="0"/>
            </w:tcBorders>
            <w:noWrap w:val="0"/>
            <w:vAlign w:val="center"/>
          </w:tcPr>
          <w:p w14:paraId="1B638D23">
            <w:pPr>
              <w:widowControl/>
              <w:spacing w:line="360" w:lineRule="auto"/>
              <w:jc w:val="center"/>
              <w:rPr>
                <w:rFonts w:hint="eastAsia" w:ascii="宋体" w:hAnsi="宋体" w:eastAsia="宋体" w:cs="宋体"/>
                <w:bCs/>
                <w:kern w:val="0"/>
                <w:sz w:val="24"/>
                <w:szCs w:val="24"/>
              </w:rPr>
            </w:pPr>
          </w:p>
        </w:tc>
        <w:tc>
          <w:tcPr>
            <w:tcW w:w="1080" w:type="dxa"/>
            <w:tcBorders>
              <w:top w:val="nil"/>
              <w:left w:val="nil"/>
              <w:bottom w:val="single" w:color="auto" w:sz="4" w:space="0"/>
              <w:right w:val="single" w:color="auto" w:sz="4" w:space="0"/>
            </w:tcBorders>
            <w:noWrap w:val="0"/>
            <w:vAlign w:val="center"/>
          </w:tcPr>
          <w:p w14:paraId="01FAB232">
            <w:pPr>
              <w:spacing w:line="360" w:lineRule="auto"/>
              <w:rPr>
                <w:rFonts w:hint="eastAsia" w:ascii="宋体" w:hAnsi="宋体" w:eastAsia="宋体" w:cs="宋体"/>
                <w:kern w:val="0"/>
                <w:sz w:val="24"/>
                <w:szCs w:val="24"/>
              </w:rPr>
            </w:pPr>
          </w:p>
        </w:tc>
        <w:tc>
          <w:tcPr>
            <w:tcW w:w="1080" w:type="dxa"/>
            <w:tcBorders>
              <w:top w:val="nil"/>
              <w:left w:val="nil"/>
              <w:bottom w:val="single" w:color="auto" w:sz="4" w:space="0"/>
              <w:right w:val="single" w:color="auto" w:sz="4" w:space="0"/>
            </w:tcBorders>
            <w:noWrap w:val="0"/>
            <w:vAlign w:val="center"/>
          </w:tcPr>
          <w:p w14:paraId="6846A6AB">
            <w:pPr>
              <w:widowControl/>
              <w:spacing w:line="360" w:lineRule="auto"/>
              <w:jc w:val="center"/>
              <w:rPr>
                <w:rFonts w:hint="eastAsia" w:ascii="宋体" w:hAnsi="宋体" w:eastAsia="宋体" w:cs="宋体"/>
                <w:color w:val="000000"/>
                <w:kern w:val="0"/>
                <w:sz w:val="24"/>
                <w:szCs w:val="24"/>
              </w:rPr>
            </w:pPr>
          </w:p>
        </w:tc>
        <w:tc>
          <w:tcPr>
            <w:tcW w:w="900" w:type="dxa"/>
            <w:tcBorders>
              <w:top w:val="nil"/>
              <w:left w:val="nil"/>
              <w:bottom w:val="single" w:color="auto" w:sz="4" w:space="0"/>
              <w:right w:val="single" w:color="auto" w:sz="4" w:space="0"/>
            </w:tcBorders>
            <w:noWrap w:val="0"/>
            <w:vAlign w:val="center"/>
          </w:tcPr>
          <w:p w14:paraId="3BADBF53">
            <w:pPr>
              <w:widowControl/>
              <w:spacing w:line="360" w:lineRule="auto"/>
              <w:jc w:val="center"/>
              <w:rPr>
                <w:rFonts w:hint="eastAsia" w:ascii="宋体" w:hAnsi="宋体" w:eastAsia="宋体" w:cs="宋体"/>
                <w:color w:val="000000"/>
                <w:kern w:val="0"/>
                <w:sz w:val="24"/>
                <w:szCs w:val="24"/>
              </w:rPr>
            </w:pPr>
          </w:p>
        </w:tc>
      </w:tr>
      <w:tr w14:paraId="0AE8C1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8BA7A32">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1-2</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1247D9CC">
            <w:pPr>
              <w:widowControl/>
              <w:spacing w:line="360" w:lineRule="auto"/>
              <w:jc w:val="center"/>
              <w:rPr>
                <w:rFonts w:hint="eastAsia" w:ascii="宋体" w:hAnsi="宋体" w:eastAsia="宋体" w:cs="宋体"/>
                <w:bCs/>
                <w:kern w:val="0"/>
                <w:sz w:val="24"/>
                <w:szCs w:val="24"/>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14:paraId="7A89E7B9">
            <w:pPr>
              <w:spacing w:line="360" w:lineRule="auto"/>
              <w:rPr>
                <w:rFonts w:hint="eastAsia" w:ascii="宋体" w:hAnsi="宋体" w:eastAsia="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3E1C87">
            <w:pPr>
              <w:spacing w:line="360" w:lineRule="auto"/>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0009CF9">
            <w:pPr>
              <w:widowControl/>
              <w:spacing w:line="360" w:lineRule="auto"/>
              <w:jc w:val="center"/>
              <w:rPr>
                <w:rFonts w:hint="eastAsia" w:ascii="宋体" w:hAnsi="宋体" w:eastAsia="宋体" w:cs="宋体"/>
                <w:bCs/>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568D9E3">
            <w:pPr>
              <w:widowControl/>
              <w:spacing w:line="360" w:lineRule="auto"/>
              <w:jc w:val="center"/>
              <w:rPr>
                <w:rFonts w:hint="eastAsia" w:ascii="宋体" w:hAnsi="宋体" w:eastAsia="宋体" w:cs="宋体"/>
                <w:bCs/>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56D538">
            <w:pPr>
              <w:spacing w:line="360" w:lineRule="auto"/>
              <w:rPr>
                <w:rFonts w:hint="eastAsia" w:ascii="宋体" w:hAnsi="宋体" w:eastAsia="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F5902F">
            <w:pPr>
              <w:widowControl/>
              <w:spacing w:line="360" w:lineRule="auto"/>
              <w:jc w:val="center"/>
              <w:rPr>
                <w:rFonts w:hint="eastAsia" w:ascii="宋体" w:hAnsi="宋体" w:eastAsia="宋体" w:cs="宋体"/>
                <w:color w:val="000000"/>
                <w:kern w:val="0"/>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E50D963">
            <w:pPr>
              <w:widowControl/>
              <w:spacing w:line="360" w:lineRule="auto"/>
              <w:jc w:val="center"/>
              <w:rPr>
                <w:rFonts w:hint="eastAsia" w:ascii="宋体" w:hAnsi="宋体" w:eastAsia="宋体" w:cs="宋体"/>
                <w:color w:val="000000"/>
                <w:kern w:val="0"/>
                <w:sz w:val="24"/>
                <w:szCs w:val="24"/>
              </w:rPr>
            </w:pPr>
          </w:p>
        </w:tc>
      </w:tr>
      <w:tr w14:paraId="6BAA0B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75B86E1">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1-3</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40B4DC9A">
            <w:pPr>
              <w:widowControl/>
              <w:spacing w:line="360" w:lineRule="auto"/>
              <w:jc w:val="center"/>
              <w:rPr>
                <w:rFonts w:hint="eastAsia" w:ascii="宋体" w:hAnsi="宋体" w:eastAsia="宋体" w:cs="宋体"/>
                <w:bCs/>
                <w:kern w:val="0"/>
                <w:sz w:val="24"/>
                <w:szCs w:val="24"/>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14:paraId="51E291CF">
            <w:pPr>
              <w:spacing w:line="360" w:lineRule="auto"/>
              <w:rPr>
                <w:rFonts w:hint="eastAsia" w:ascii="宋体" w:hAnsi="宋体" w:eastAsia="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FF7BDC">
            <w:pPr>
              <w:spacing w:line="360" w:lineRule="auto"/>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37C2C11">
            <w:pPr>
              <w:widowControl/>
              <w:spacing w:line="360" w:lineRule="auto"/>
              <w:jc w:val="center"/>
              <w:rPr>
                <w:rFonts w:hint="eastAsia" w:ascii="宋体" w:hAnsi="宋体" w:eastAsia="宋体" w:cs="宋体"/>
                <w:bCs/>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B38591C">
            <w:pPr>
              <w:widowControl/>
              <w:spacing w:line="360" w:lineRule="auto"/>
              <w:jc w:val="center"/>
              <w:rPr>
                <w:rFonts w:hint="eastAsia" w:ascii="宋体" w:hAnsi="宋体" w:eastAsia="宋体" w:cs="宋体"/>
                <w:bCs/>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9BD8EFA">
            <w:pPr>
              <w:spacing w:line="360" w:lineRule="auto"/>
              <w:rPr>
                <w:rFonts w:hint="eastAsia" w:ascii="宋体" w:hAnsi="宋体" w:eastAsia="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5453BD">
            <w:pPr>
              <w:widowControl/>
              <w:spacing w:line="360" w:lineRule="auto"/>
              <w:jc w:val="center"/>
              <w:rPr>
                <w:rFonts w:hint="eastAsia" w:ascii="宋体" w:hAnsi="宋体" w:eastAsia="宋体" w:cs="宋体"/>
                <w:color w:val="000000"/>
                <w:kern w:val="0"/>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312820C">
            <w:pPr>
              <w:widowControl/>
              <w:spacing w:line="360" w:lineRule="auto"/>
              <w:jc w:val="center"/>
              <w:rPr>
                <w:rFonts w:hint="eastAsia" w:ascii="宋体" w:hAnsi="宋体" w:eastAsia="宋体" w:cs="宋体"/>
                <w:color w:val="000000"/>
                <w:kern w:val="0"/>
                <w:sz w:val="24"/>
                <w:szCs w:val="24"/>
              </w:rPr>
            </w:pPr>
          </w:p>
        </w:tc>
      </w:tr>
      <w:tr w14:paraId="53B440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F167BAD">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6FFBA29">
            <w:pPr>
              <w:widowControl/>
              <w:spacing w:line="360" w:lineRule="auto"/>
              <w:jc w:val="center"/>
              <w:rPr>
                <w:rFonts w:hint="eastAsia" w:ascii="宋体" w:hAnsi="宋体" w:eastAsia="宋体" w:cs="宋体"/>
                <w:bCs/>
                <w:kern w:val="0"/>
                <w:sz w:val="24"/>
                <w:szCs w:val="24"/>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14:paraId="5F8CC3B1">
            <w:pPr>
              <w:spacing w:line="360" w:lineRule="auto"/>
              <w:rPr>
                <w:rFonts w:hint="eastAsia" w:ascii="宋体" w:hAnsi="宋体" w:eastAsia="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12117">
            <w:pPr>
              <w:spacing w:line="360" w:lineRule="auto"/>
              <w:rPr>
                <w:rFonts w:hint="eastAsia" w:ascii="宋体" w:hAnsi="宋体" w:eastAsia="宋体" w:cs="宋体"/>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E2094C2">
            <w:pPr>
              <w:widowControl/>
              <w:spacing w:line="360" w:lineRule="auto"/>
              <w:jc w:val="center"/>
              <w:rPr>
                <w:rFonts w:hint="eastAsia" w:ascii="宋体" w:hAnsi="宋体" w:eastAsia="宋体" w:cs="宋体"/>
                <w:bCs/>
                <w:kern w:val="0"/>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37D094F">
            <w:pPr>
              <w:widowControl/>
              <w:spacing w:line="360" w:lineRule="auto"/>
              <w:jc w:val="center"/>
              <w:rPr>
                <w:rFonts w:hint="eastAsia" w:ascii="宋体" w:hAnsi="宋体" w:eastAsia="宋体" w:cs="宋体"/>
                <w:bCs/>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796A50">
            <w:pPr>
              <w:spacing w:line="360" w:lineRule="auto"/>
              <w:rPr>
                <w:rFonts w:hint="eastAsia" w:ascii="宋体" w:hAnsi="宋体" w:eastAsia="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322309">
            <w:pPr>
              <w:widowControl/>
              <w:spacing w:line="360" w:lineRule="auto"/>
              <w:jc w:val="center"/>
              <w:rPr>
                <w:rFonts w:hint="eastAsia" w:ascii="宋体" w:hAnsi="宋体" w:eastAsia="宋体" w:cs="宋体"/>
                <w:color w:val="000000"/>
                <w:kern w:val="0"/>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4861023">
            <w:pPr>
              <w:widowControl/>
              <w:spacing w:line="360" w:lineRule="auto"/>
              <w:jc w:val="center"/>
              <w:rPr>
                <w:rFonts w:hint="eastAsia" w:ascii="宋体" w:hAnsi="宋体" w:eastAsia="宋体" w:cs="宋体"/>
                <w:color w:val="000000"/>
                <w:kern w:val="0"/>
                <w:sz w:val="24"/>
                <w:szCs w:val="24"/>
              </w:rPr>
            </w:pPr>
          </w:p>
        </w:tc>
      </w:tr>
      <w:tr w14:paraId="4227866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BDC212C">
            <w:pPr>
              <w:tabs>
                <w:tab w:val="left" w:pos="1395"/>
              </w:tabs>
              <w:spacing w:line="360" w:lineRule="auto"/>
              <w:ind w:firstLine="120" w:firstLineChars="50"/>
              <w:rPr>
                <w:rFonts w:hint="eastAsia" w:ascii="宋体" w:hAnsi="宋体" w:eastAsia="宋体" w:cs="宋体"/>
                <w:sz w:val="24"/>
                <w:szCs w:val="24"/>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4948367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sz w:val="28"/>
                <w:szCs w:val="28"/>
              </w:rPr>
              <w:t>总　　计</w:t>
            </w:r>
          </w:p>
        </w:tc>
        <w:tc>
          <w:tcPr>
            <w:tcW w:w="7539" w:type="dxa"/>
            <w:gridSpan w:val="7"/>
            <w:tcBorders>
              <w:top w:val="single" w:color="auto" w:sz="4" w:space="0"/>
              <w:left w:val="single" w:color="auto" w:sz="4" w:space="0"/>
              <w:bottom w:val="single" w:color="auto" w:sz="4" w:space="0"/>
              <w:right w:val="single" w:color="auto" w:sz="4" w:space="0"/>
            </w:tcBorders>
            <w:noWrap w:val="0"/>
            <w:vAlign w:val="center"/>
          </w:tcPr>
          <w:p w14:paraId="7493B045">
            <w:pPr>
              <w:pStyle w:val="89"/>
              <w:widowControl/>
              <w:spacing w:line="360" w:lineRule="auto"/>
              <w:ind w:left="47"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人民币大写：                 ￥</w:t>
            </w:r>
          </w:p>
        </w:tc>
      </w:tr>
    </w:tbl>
    <w:p w14:paraId="5F244C4B">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要求：</w:t>
      </w:r>
    </w:p>
    <w:p w14:paraId="51822C2A">
      <w:pPr>
        <w:ind w:firstLine="48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1.与完成本项目有关的各种费用均应包含在总报价中，数量单位须写明项(次)。如果提供价格折扣应明确标明。</w:t>
      </w:r>
    </w:p>
    <w:p w14:paraId="7B38BB78">
      <w:pPr>
        <w:ind w:firstLine="480"/>
        <w:rPr>
          <w:rFonts w:hint="eastAsia" w:ascii="仿宋" w:hAnsi="仿宋" w:eastAsia="仿宋" w:cs="仿宋"/>
          <w:b/>
          <w:i/>
          <w:color w:val="000000"/>
          <w:sz w:val="32"/>
          <w:szCs w:val="32"/>
          <w:u w:val="single"/>
          <w:lang w:val="zh-CN"/>
        </w:rPr>
      </w:pPr>
      <w:r>
        <w:rPr>
          <w:rFonts w:hint="eastAsia" w:ascii="仿宋" w:hAnsi="仿宋" w:eastAsia="仿宋" w:cs="仿宋"/>
          <w:color w:val="000000"/>
          <w:sz w:val="32"/>
          <w:szCs w:val="32"/>
          <w:lang w:val="zh-CN"/>
        </w:rPr>
        <w:t>2.报价明细表中各项必须如实详细完整填写，凡未按要求填写的，均按无效投标处理。</w:t>
      </w:r>
    </w:p>
    <w:p w14:paraId="5D7D6601">
      <w:pPr>
        <w:ind w:firstLine="480"/>
        <w:rPr>
          <w:rFonts w:hint="eastAsia" w:ascii="仿宋" w:hAnsi="仿宋" w:eastAsia="仿宋" w:cs="仿宋"/>
          <w:color w:val="000000"/>
          <w:sz w:val="32"/>
          <w:szCs w:val="32"/>
          <w:lang w:val="zh-CN"/>
        </w:rPr>
      </w:pPr>
    </w:p>
    <w:p w14:paraId="14E71FAB">
      <w:pPr>
        <w:pStyle w:val="28"/>
        <w:ind w:left="0" w:leftChars="0" w:firstLine="0" w:firstLineChars="0"/>
        <w:rPr>
          <w:rFonts w:hint="eastAsia" w:ascii="仿宋" w:hAnsi="仿宋" w:eastAsia="仿宋" w:cs="仿宋"/>
          <w:color w:val="000000"/>
          <w:sz w:val="32"/>
          <w:szCs w:val="32"/>
          <w:lang w:val="zh-CN"/>
        </w:rPr>
      </w:pPr>
    </w:p>
    <w:p w14:paraId="59D0111F">
      <w:pPr>
        <w:pStyle w:val="28"/>
        <w:ind w:left="0" w:leftChars="0" w:firstLine="0" w:firstLineChars="0"/>
        <w:rPr>
          <w:rFonts w:hint="eastAsia" w:ascii="仿宋" w:hAnsi="仿宋" w:eastAsia="仿宋" w:cs="仿宋"/>
          <w:color w:val="000000"/>
          <w:sz w:val="32"/>
          <w:szCs w:val="32"/>
          <w:lang w:val="zh-CN"/>
        </w:rPr>
      </w:pPr>
    </w:p>
    <w:p w14:paraId="2BA436B5">
      <w:pPr>
        <w:pStyle w:val="28"/>
        <w:ind w:left="0" w:leftChars="0" w:firstLine="0" w:firstLineChars="0"/>
        <w:rPr>
          <w:rFonts w:hint="eastAsia" w:ascii="仿宋" w:hAnsi="仿宋" w:eastAsia="仿宋" w:cs="仿宋"/>
          <w:color w:val="000000"/>
          <w:sz w:val="32"/>
          <w:szCs w:val="32"/>
          <w:lang w:val="zh-CN"/>
        </w:rPr>
      </w:pPr>
    </w:p>
    <w:p w14:paraId="30571D3C">
      <w:pPr>
        <w:spacing w:line="440" w:lineRule="exact"/>
        <w:rPr>
          <w:rFonts w:hint="eastAsia" w:ascii="仿宋" w:hAnsi="仿宋" w:eastAsia="仿宋" w:cs="仿宋"/>
          <w:b/>
          <w:sz w:val="32"/>
          <w:szCs w:val="32"/>
        </w:rPr>
      </w:pPr>
      <w:r>
        <w:rPr>
          <w:rFonts w:hint="eastAsia" w:ascii="仿宋" w:hAnsi="仿宋" w:eastAsia="仿宋" w:cs="仿宋"/>
          <w:b/>
          <w:bCs/>
          <w:sz w:val="32"/>
          <w:szCs w:val="32"/>
          <w:lang w:val="zh-CN"/>
        </w:rPr>
        <w:t>格式</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zh-CN"/>
        </w:rPr>
        <w:t>、</w:t>
      </w:r>
      <w:r>
        <w:rPr>
          <w:rFonts w:hint="eastAsia" w:ascii="仿宋" w:hAnsi="仿宋" w:eastAsia="仿宋" w:cs="仿宋"/>
          <w:b/>
          <w:sz w:val="32"/>
          <w:szCs w:val="32"/>
        </w:rPr>
        <w:t>承接企业为中小企业声明函</w:t>
      </w:r>
    </w:p>
    <w:p w14:paraId="26AC2091">
      <w:pPr>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中小企业声明函（货物）</w:t>
      </w:r>
    </w:p>
    <w:p w14:paraId="5EF4D87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 企业发展管理办法》（财库﹝2020﹞46 号）的规定，本公司 （联合体）参加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 xml:space="preserve">采购活动，提供的货物全部由符合政策要求的中小企业制造。相关企业（含联合体中的中小企业、签订分包意向协议的中小企业） 的具体情况如下： </w:t>
      </w:r>
    </w:p>
    <w:p w14:paraId="70486FF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 xml:space="preserve"> 行业；制造商为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HYPERLINK  \l "br9"</w:instrText>
      </w:r>
      <w:r>
        <w:rPr>
          <w:rFonts w:hint="eastAsia" w:ascii="宋体" w:hAnsi="宋体" w:eastAsia="宋体" w:cs="宋体"/>
          <w:color w:val="000000"/>
          <w:sz w:val="24"/>
          <w:szCs w:val="24"/>
        </w:rPr>
        <w:fldChar w:fldCharType="separate"/>
      </w:r>
      <w:r>
        <w:rPr>
          <w:rFonts w:hint="eastAsia" w:ascii="宋体" w:hAnsi="宋体" w:eastAsia="宋体" w:cs="宋体"/>
          <w:color w:val="000000"/>
          <w:spacing w:val="-1"/>
          <w:sz w:val="24"/>
          <w:szCs w:val="24"/>
          <w:vertAlign w:val="superscript"/>
        </w:rPr>
        <w:t>1</w:t>
      </w:r>
      <w:r>
        <w:rPr>
          <w:rFonts w:hint="eastAsia" w:ascii="宋体" w:hAnsi="宋体" w:eastAsia="宋体" w:cs="宋体"/>
          <w:color w:val="000000"/>
          <w:sz w:val="24"/>
          <w:szCs w:val="24"/>
        </w:rPr>
        <w:fldChar w:fldCharType="end"/>
      </w:r>
      <w:r>
        <w:rPr>
          <w:rFonts w:hint="eastAsia" w:ascii="宋体" w:hAnsi="宋体" w:eastAsia="宋体" w:cs="宋体"/>
          <w:sz w:val="28"/>
          <w:szCs w:val="28"/>
        </w:rPr>
        <w:t>，属于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 xml:space="preserve">； </w:t>
      </w:r>
    </w:p>
    <w:p w14:paraId="603E039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 xml:space="preserve"> 行业；制造商为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p>
    <w:p w14:paraId="6C37C06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 </w:t>
      </w:r>
    </w:p>
    <w:p w14:paraId="1B5A1C9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以上企业，不属于大企业的分支机构，不存在控股股东为大企业的情形，也不存在与大企业的负责人为同一人的情形。 </w:t>
      </w:r>
    </w:p>
    <w:p w14:paraId="20DFED3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14:paraId="70A98EAC">
      <w:pPr>
        <w:spacing w:line="360" w:lineRule="auto"/>
        <w:ind w:firstLine="560" w:firstLineChars="200"/>
        <w:rPr>
          <w:rFonts w:hint="eastAsia" w:ascii="宋体" w:hAnsi="宋体" w:eastAsia="宋体" w:cs="宋体"/>
          <w:sz w:val="28"/>
          <w:szCs w:val="28"/>
        </w:rPr>
      </w:pPr>
    </w:p>
    <w:p w14:paraId="36AD3FB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企业名称（盖章）： </w:t>
      </w:r>
    </w:p>
    <w:p w14:paraId="3BE86C42">
      <w:pPr>
        <w:spacing w:line="360" w:lineRule="auto"/>
        <w:ind w:firstLine="3920" w:firstLineChars="1400"/>
        <w:rPr>
          <w:rFonts w:hint="eastAsia" w:ascii="宋体" w:hAnsi="宋体" w:eastAsia="宋体" w:cs="宋体"/>
          <w:sz w:val="28"/>
          <w:szCs w:val="28"/>
        </w:rPr>
      </w:pPr>
      <w:r>
        <w:rPr>
          <w:rFonts w:hint="eastAsia" w:ascii="宋体" w:hAnsi="宋体" w:eastAsia="宋体" w:cs="宋体"/>
          <w:sz w:val="28"/>
          <w:szCs w:val="28"/>
        </w:rPr>
        <w:t>日 期：</w:t>
      </w:r>
    </w:p>
    <w:p w14:paraId="2C0FB8A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5BCEA237">
      <w:pPr>
        <w:spacing w:line="360" w:lineRule="auto"/>
        <w:jc w:val="left"/>
        <w:rPr>
          <w:rFonts w:hint="eastAsia" w:ascii="宋体" w:hAnsi="宋体" w:eastAsia="宋体" w:cs="宋体"/>
          <w:color w:val="000000"/>
          <w:spacing w:val="-1"/>
          <w:sz w:val="24"/>
          <w:szCs w:val="24"/>
        </w:rPr>
      </w:pPr>
      <w:r>
        <w:rPr>
          <w:rFonts w:hint="eastAsia" w:ascii="宋体" w:hAnsi="宋体" w:eastAsia="宋体" w:cs="宋体"/>
          <w:color w:val="000000"/>
          <w:spacing w:val="-1"/>
          <w:sz w:val="24"/>
          <w:szCs w:val="24"/>
        </w:rPr>
        <w:t>说明：</w:t>
      </w:r>
      <w:r>
        <w:rPr>
          <w:rFonts w:hint="eastAsia" w:ascii="宋体" w:hAnsi="宋体" w:eastAsia="宋体" w:cs="宋体"/>
          <w:color w:val="000000"/>
          <w:spacing w:val="5"/>
          <w:sz w:val="24"/>
          <w:szCs w:val="24"/>
        </w:rPr>
        <w:t>《投标报价明细表》中列明的制造商均应在</w:t>
      </w:r>
      <w:r>
        <w:rPr>
          <w:rFonts w:hint="eastAsia" w:ascii="宋体" w:hAnsi="宋体" w:eastAsia="宋体" w:cs="宋体"/>
          <w:color w:val="000000"/>
          <w:spacing w:val="-1"/>
          <w:sz w:val="24"/>
          <w:szCs w:val="24"/>
        </w:rPr>
        <w:t>本声明函</w:t>
      </w:r>
      <w:r>
        <w:rPr>
          <w:rFonts w:hint="eastAsia" w:ascii="宋体" w:hAnsi="宋体" w:eastAsia="宋体" w:cs="宋体"/>
          <w:color w:val="000000"/>
          <w:spacing w:val="5"/>
          <w:sz w:val="24"/>
          <w:szCs w:val="24"/>
        </w:rPr>
        <w:t>中进行填列，否则本声明函无效。</w:t>
      </w:r>
    </w:p>
    <w:p w14:paraId="2ED04B68">
      <w:pPr>
        <w:spacing w:line="360" w:lineRule="auto"/>
        <w:ind w:firstLine="480" w:firstLineChars="200"/>
        <w:rPr>
          <w:rFonts w:hint="eastAsia" w:ascii="仿宋" w:hAnsi="仿宋" w:eastAsia="仿宋" w:cs="仿宋"/>
          <w:b/>
          <w:bCs/>
          <w:color w:val="000000"/>
          <w:sz w:val="32"/>
          <w:szCs w:val="32"/>
          <w:lang w:val="zh-CN"/>
        </w:rPr>
      </w:pPr>
      <w:r>
        <w:rPr>
          <w:rFonts w:hint="eastAsia" w:ascii="宋体" w:hAnsi="宋体" w:eastAsia="宋体" w:cs="宋体"/>
          <w:sz w:val="24"/>
          <w:szCs w:val="24"/>
        </w:rPr>
        <w:t>注：1、从业人员、营业收入、资产总额填报上一年度数据，无上一年度数据的新成立企业可不填报。</w:t>
      </w:r>
    </w:p>
    <w:p w14:paraId="782DBD53">
      <w:pPr>
        <w:autoSpaceDE w:val="0"/>
        <w:autoSpaceDN w:val="0"/>
        <w:adjustRightInd w:val="0"/>
        <w:spacing w:beforeLines="50" w:afterLines="50"/>
        <w:rPr>
          <w:rFonts w:hint="eastAsia" w:ascii="仿宋" w:hAnsi="仿宋" w:eastAsia="仿宋" w:cs="仿宋"/>
          <w:b/>
          <w:spacing w:val="6"/>
          <w:sz w:val="32"/>
          <w:szCs w:val="32"/>
        </w:rPr>
      </w:pPr>
      <w:r>
        <w:rPr>
          <w:rFonts w:hint="eastAsia" w:ascii="仿宋" w:hAnsi="仿宋" w:eastAsia="仿宋" w:cs="仿宋"/>
          <w:b/>
          <w:sz w:val="32"/>
          <w:szCs w:val="32"/>
        </w:rPr>
        <w:t>格式</w:t>
      </w:r>
      <w:r>
        <w:rPr>
          <w:rFonts w:hint="eastAsia" w:ascii="仿宋" w:hAnsi="仿宋" w:eastAsia="仿宋" w:cs="仿宋"/>
          <w:b/>
          <w:sz w:val="32"/>
          <w:szCs w:val="32"/>
          <w:lang w:eastAsia="zh-CN"/>
        </w:rPr>
        <w:t>三</w:t>
      </w:r>
      <w:r>
        <w:rPr>
          <w:rFonts w:hint="eastAsia" w:ascii="仿宋" w:hAnsi="仿宋" w:eastAsia="仿宋" w:cs="仿宋"/>
          <w:b/>
          <w:sz w:val="32"/>
          <w:szCs w:val="32"/>
        </w:rPr>
        <w:t>、</w:t>
      </w:r>
      <w:r>
        <w:rPr>
          <w:rFonts w:hint="eastAsia" w:ascii="仿宋" w:hAnsi="仿宋" w:eastAsia="仿宋" w:cs="仿宋"/>
          <w:b/>
          <w:spacing w:val="6"/>
          <w:sz w:val="32"/>
          <w:szCs w:val="32"/>
        </w:rPr>
        <w:t>残疾人福利性单位声明函</w:t>
      </w:r>
      <w:r>
        <w:rPr>
          <w:rFonts w:hint="eastAsia" w:ascii="仿宋" w:hAnsi="仿宋" w:eastAsia="仿宋" w:cs="仿宋"/>
          <w:kern w:val="0"/>
          <w:sz w:val="32"/>
          <w:szCs w:val="32"/>
        </w:rPr>
        <w:t>（如果是，提供）</w:t>
      </w:r>
    </w:p>
    <w:p w14:paraId="7FD374CC">
      <w:pPr>
        <w:spacing w:line="44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本单位郑重声明，根据《财政部 民政部 中国残疾人联合会关于促进残疾人就业政府采购政策的通知》（财库</w:t>
      </w:r>
      <w:r>
        <w:rPr>
          <w:rFonts w:hint="eastAsia" w:ascii="仿宋" w:hAnsi="仿宋" w:eastAsia="仿宋" w:cs="仿宋"/>
          <w:sz w:val="32"/>
          <w:szCs w:val="32"/>
        </w:rPr>
        <w:t>〔2017〕 141</w:t>
      </w:r>
      <w:r>
        <w:rPr>
          <w:rFonts w:hint="eastAsia" w:ascii="仿宋" w:hAnsi="仿宋" w:eastAsia="仿宋" w:cs="仿宋"/>
          <w:spacing w:val="6"/>
          <w:sz w:val="32"/>
          <w:szCs w:val="32"/>
        </w:rPr>
        <w:t>号）的规定，本单位为符合条件的残疾人福利性单位，且本单位参加______单位的______项目采购活动提供本单位制造的货物（由本单位承担工程/提供</w:t>
      </w:r>
      <w:r>
        <w:rPr>
          <w:rFonts w:hint="eastAsia" w:ascii="仿宋" w:hAnsi="仿宋" w:eastAsia="仿宋" w:cs="仿宋"/>
          <w:spacing w:val="6"/>
          <w:sz w:val="32"/>
          <w:szCs w:val="32"/>
          <w:lang w:eastAsia="zh-CN"/>
        </w:rPr>
        <w:t>货物</w:t>
      </w:r>
      <w:r>
        <w:rPr>
          <w:rFonts w:hint="eastAsia" w:ascii="仿宋" w:hAnsi="仿宋" w:eastAsia="仿宋" w:cs="仿宋"/>
          <w:spacing w:val="6"/>
          <w:sz w:val="32"/>
          <w:szCs w:val="32"/>
        </w:rPr>
        <w:t>），或者提供其他残疾人福利性单位制造的货物（不包括使用非残疾人福利性单位注册商标的货物）。</w:t>
      </w:r>
    </w:p>
    <w:p w14:paraId="6084282E">
      <w:pPr>
        <w:spacing w:line="44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本单位对上述声明的真实性负责。如有虚假，将依法承担相应责任。</w:t>
      </w:r>
    </w:p>
    <w:p w14:paraId="58559844">
      <w:pPr>
        <w:spacing w:line="440" w:lineRule="exact"/>
        <w:ind w:firstLine="664" w:firstLineChars="200"/>
        <w:rPr>
          <w:rFonts w:hint="eastAsia" w:ascii="仿宋" w:hAnsi="仿宋" w:eastAsia="仿宋" w:cs="仿宋"/>
          <w:spacing w:val="6"/>
          <w:sz w:val="32"/>
          <w:szCs w:val="32"/>
        </w:rPr>
      </w:pPr>
    </w:p>
    <w:p w14:paraId="2B432DA0">
      <w:pPr>
        <w:spacing w:line="440" w:lineRule="exact"/>
        <w:ind w:firstLine="664" w:firstLineChars="200"/>
        <w:rPr>
          <w:rFonts w:hint="eastAsia" w:ascii="仿宋" w:hAnsi="仿宋" w:eastAsia="仿宋" w:cs="仿宋"/>
          <w:spacing w:val="6"/>
          <w:sz w:val="32"/>
          <w:szCs w:val="32"/>
        </w:rPr>
      </w:pPr>
    </w:p>
    <w:p w14:paraId="09AF569B">
      <w:pPr>
        <w:tabs>
          <w:tab w:val="left" w:pos="4860"/>
        </w:tabs>
        <w:spacing w:line="440" w:lineRule="exact"/>
        <w:ind w:right="1560" w:firstLine="664" w:firstLineChars="200"/>
        <w:jc w:val="center"/>
        <w:rPr>
          <w:rFonts w:hint="eastAsia" w:ascii="仿宋" w:hAnsi="仿宋" w:eastAsia="仿宋" w:cs="仿宋"/>
          <w:spacing w:val="6"/>
          <w:sz w:val="32"/>
          <w:szCs w:val="32"/>
        </w:rPr>
      </w:pPr>
      <w:r>
        <w:rPr>
          <w:rFonts w:hint="eastAsia" w:ascii="仿宋" w:hAnsi="仿宋" w:eastAsia="仿宋" w:cs="仿宋"/>
          <w:spacing w:val="6"/>
          <w:sz w:val="32"/>
          <w:szCs w:val="32"/>
        </w:rPr>
        <w:t xml:space="preserve">               单位名称（盖章）：</w:t>
      </w:r>
    </w:p>
    <w:p w14:paraId="5706EFD1">
      <w:pPr>
        <w:tabs>
          <w:tab w:val="left" w:pos="4860"/>
        </w:tabs>
        <w:spacing w:line="440" w:lineRule="exact"/>
        <w:ind w:right="1560" w:firstLine="664" w:firstLineChars="200"/>
        <w:jc w:val="center"/>
        <w:rPr>
          <w:rFonts w:hint="eastAsia" w:ascii="仿宋" w:hAnsi="仿宋" w:eastAsia="仿宋" w:cs="仿宋"/>
          <w:spacing w:val="6"/>
          <w:sz w:val="32"/>
          <w:szCs w:val="32"/>
        </w:rPr>
      </w:pPr>
      <w:r>
        <w:rPr>
          <w:rFonts w:hint="eastAsia" w:ascii="仿宋" w:hAnsi="仿宋" w:eastAsia="仿宋" w:cs="仿宋"/>
          <w:spacing w:val="6"/>
          <w:sz w:val="32"/>
          <w:szCs w:val="32"/>
        </w:rPr>
        <w:t xml:space="preserve">       日  期：</w:t>
      </w:r>
    </w:p>
    <w:p w14:paraId="65557B1C">
      <w:pPr>
        <w:pStyle w:val="32"/>
        <w:snapToGrid w:val="0"/>
        <w:spacing w:before="120" w:beforeAutospacing="0" w:after="120" w:afterAutospacing="0" w:line="440" w:lineRule="exact"/>
        <w:ind w:right="480" w:firstLine="5600" w:firstLineChars="1750"/>
        <w:rPr>
          <w:rFonts w:hint="eastAsia" w:ascii="仿宋" w:hAnsi="仿宋" w:eastAsia="仿宋" w:cs="仿宋"/>
          <w:sz w:val="32"/>
          <w:szCs w:val="32"/>
        </w:rPr>
      </w:pPr>
    </w:p>
    <w:p w14:paraId="22502AFE">
      <w:pPr>
        <w:autoSpaceDE w:val="0"/>
        <w:autoSpaceDN w:val="0"/>
        <w:adjustRightInd w:val="0"/>
        <w:spacing w:before="120" w:beforeLines="50" w:after="120" w:afterLines="50"/>
        <w:jc w:val="center"/>
        <w:rPr>
          <w:rFonts w:hint="eastAsia" w:ascii="仿宋" w:hAnsi="仿宋" w:eastAsia="仿宋" w:cs="仿宋"/>
          <w:b/>
          <w:sz w:val="32"/>
          <w:szCs w:val="32"/>
        </w:rPr>
      </w:pPr>
      <w:r>
        <w:rPr>
          <w:rFonts w:hint="eastAsia" w:ascii="仿宋" w:hAnsi="仿宋" w:eastAsia="仿宋" w:cs="仿宋"/>
          <w:b/>
          <w:sz w:val="32"/>
          <w:szCs w:val="32"/>
        </w:rPr>
        <w:t>格式</w:t>
      </w:r>
      <w:r>
        <w:rPr>
          <w:rFonts w:hint="eastAsia" w:ascii="仿宋" w:hAnsi="仿宋" w:eastAsia="仿宋" w:cs="仿宋"/>
          <w:b/>
          <w:sz w:val="32"/>
          <w:szCs w:val="32"/>
          <w:lang w:eastAsia="zh-CN"/>
        </w:rPr>
        <w:t>四</w:t>
      </w:r>
      <w:r>
        <w:rPr>
          <w:rFonts w:hint="eastAsia" w:ascii="仿宋" w:hAnsi="仿宋" w:eastAsia="仿宋" w:cs="仿宋"/>
          <w:b/>
          <w:sz w:val="32"/>
          <w:szCs w:val="32"/>
        </w:rPr>
        <w:t>、省级以上监狱管理局、戒毒管理局（含新疆生产建设兵团）出具的属于监狱企业的证明文件</w:t>
      </w:r>
    </w:p>
    <w:p w14:paraId="34870E62">
      <w:pPr>
        <w:autoSpaceDE w:val="0"/>
        <w:autoSpaceDN w:val="0"/>
        <w:adjustRightInd w:val="0"/>
        <w:spacing w:before="120" w:beforeLines="50" w:after="120" w:afterLines="50"/>
        <w:jc w:val="center"/>
        <w:rPr>
          <w:rFonts w:hint="eastAsia" w:ascii="仿宋" w:hAnsi="仿宋" w:eastAsia="仿宋" w:cs="仿宋"/>
          <w:sz w:val="32"/>
          <w:szCs w:val="32"/>
        </w:rPr>
      </w:pPr>
      <w:r>
        <w:rPr>
          <w:rFonts w:hint="eastAsia" w:ascii="仿宋" w:hAnsi="仿宋" w:eastAsia="仿宋" w:cs="仿宋"/>
          <w:kern w:val="0"/>
          <w:sz w:val="32"/>
          <w:szCs w:val="32"/>
        </w:rPr>
        <w:t>（如果是，提供）</w:t>
      </w:r>
      <w:r>
        <w:rPr>
          <w:rFonts w:hint="eastAsia" w:ascii="仿宋" w:hAnsi="仿宋" w:eastAsia="仿宋" w:cs="仿宋"/>
          <w:kern w:val="0"/>
          <w:sz w:val="32"/>
          <w:szCs w:val="32"/>
        </w:rPr>
        <w:tab/>
      </w:r>
    </w:p>
    <w:p w14:paraId="6399EA9C">
      <w:pPr>
        <w:rPr>
          <w:rFonts w:hint="eastAsia" w:ascii="仿宋" w:hAnsi="仿宋" w:eastAsia="仿宋" w:cs="仿宋"/>
          <w:b/>
          <w:bCs/>
          <w:color w:val="000000"/>
          <w:sz w:val="32"/>
          <w:szCs w:val="32"/>
          <w:lang w:val="zh-CN"/>
        </w:rPr>
      </w:pPr>
    </w:p>
    <w:p w14:paraId="07A7BF47">
      <w:pPr>
        <w:rPr>
          <w:rFonts w:hint="eastAsia" w:ascii="仿宋" w:hAnsi="仿宋" w:eastAsia="仿宋" w:cs="仿宋"/>
          <w:b/>
          <w:bCs/>
          <w:color w:val="000000"/>
          <w:sz w:val="32"/>
          <w:szCs w:val="32"/>
          <w:lang w:val="zh-CN"/>
        </w:rPr>
      </w:pPr>
    </w:p>
    <w:p w14:paraId="2D6AB244">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14:paraId="10353BF4">
      <w:pPr>
        <w:pStyle w:val="3"/>
        <w:jc w:val="center"/>
        <w:rPr>
          <w:rFonts w:ascii="宋体" w:hAnsi="宋体" w:cs="宋体"/>
        </w:rPr>
      </w:pPr>
      <w:r>
        <w:rPr>
          <w:rFonts w:hint="eastAsia" w:ascii="宋体" w:hAnsi="宋体" w:cs="宋体"/>
          <w:lang w:eastAsia="zh-CN"/>
        </w:rPr>
        <w:t>二次</w:t>
      </w:r>
      <w:r>
        <w:rPr>
          <w:rFonts w:hint="eastAsia" w:ascii="宋体" w:hAnsi="宋体" w:cs="宋体"/>
        </w:rPr>
        <w:t>报价表（最后报价）</w:t>
      </w:r>
    </w:p>
    <w:p w14:paraId="61175E0C">
      <w:pPr>
        <w:keepNext w:val="0"/>
        <w:keepLines w:val="0"/>
        <w:widowControl/>
        <w:suppressLineNumbers w:val="0"/>
        <w:jc w:val="left"/>
        <w:rPr>
          <w:rFonts w:hint="eastAsia" w:ascii="宋体" w:hAnsi="宋体" w:cs="宋体"/>
          <w:szCs w:val="21"/>
        </w:rPr>
      </w:pPr>
      <w:r>
        <w:rPr>
          <w:rFonts w:hint="eastAsia" w:ascii="宋体" w:hAnsi="宋体" w:cs="宋体"/>
          <w:szCs w:val="21"/>
        </w:rPr>
        <w:t>注：</w:t>
      </w:r>
      <w:r>
        <w:rPr>
          <w:rFonts w:hint="eastAsia" w:ascii="宋体" w:hAnsi="宋体" w:cs="宋体"/>
          <w:szCs w:val="21"/>
          <w:lang w:val="en-US" w:eastAsia="zh-CN"/>
        </w:rPr>
        <w:t>通过评审的供应商等待采购组织机构在平台开启新一轮报价，供应商可在线进行报价。</w:t>
      </w:r>
    </w:p>
    <w:p w14:paraId="6708F367">
      <w:pPr>
        <w:spacing w:line="400" w:lineRule="exact"/>
        <w:rPr>
          <w:rFonts w:ascii="宋体" w:hAnsi="宋体" w:cs="宋体"/>
          <w:szCs w:val="21"/>
        </w:rPr>
      </w:pPr>
    </w:p>
    <w:p w14:paraId="7A171E00">
      <w:pPr>
        <w:pStyle w:val="50"/>
        <w:rPr>
          <w:rFonts w:hint="eastAsia" w:ascii="仿宋" w:hAnsi="仿宋" w:eastAsia="仿宋" w:cs="仿宋"/>
          <w:sz w:val="32"/>
          <w:szCs w:val="32"/>
          <w:lang w:val="zh-CN"/>
        </w:rPr>
      </w:pPr>
    </w:p>
    <w:p w14:paraId="7BCC0019">
      <w:pPr>
        <w:pStyle w:val="50"/>
        <w:rPr>
          <w:rFonts w:hint="eastAsia" w:ascii="仿宋" w:hAnsi="仿宋" w:eastAsia="仿宋" w:cs="仿宋"/>
          <w:sz w:val="32"/>
          <w:szCs w:val="32"/>
          <w:lang w:val="zh-CN"/>
        </w:rPr>
      </w:pPr>
    </w:p>
    <w:p w14:paraId="308F792B">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黑体"/>
    <w:panose1 w:val="03000509000000000000"/>
    <w:charset w:val="00"/>
    <w:family w:val="script"/>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008CF">
    <w:pPr>
      <w:pStyle w:val="23"/>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24</w:t>
    </w:r>
    <w:r>
      <w:rPr>
        <w:rStyle w:val="38"/>
      </w:rPr>
      <w:fldChar w:fldCharType="end"/>
    </w:r>
  </w:p>
  <w:p w14:paraId="1A0618FC">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6543F">
    <w:pPr>
      <w:pStyle w:val="24"/>
      <w:jc w:val="left"/>
      <w:rPr>
        <w:rFonts w:hint="eastAsia" w:eastAsia="宋体"/>
        <w:lang w:eastAsia="zh-CN"/>
      </w:rPr>
    </w:pPr>
    <w:r>
      <w:rPr>
        <w:rFonts w:hint="eastAsia"/>
        <w:sz w:val="18"/>
        <w:szCs w:val="18"/>
        <w:lang w:eastAsia="zh-CN"/>
      </w:rPr>
      <w:t>和龙市政府采购中心</w:t>
    </w:r>
    <w:r>
      <w:rPr>
        <w:rFonts w:hint="eastAsia"/>
        <w:lang w:eastAsia="zh-CN"/>
      </w:rPr>
      <w:t xml:space="preserve">  </w:t>
    </w:r>
    <w:r>
      <w:rPr>
        <w:rFonts w:hint="eastAsia"/>
        <w:lang w:val="en-US" w:eastAsia="zh-CN"/>
      </w:rPr>
      <w:t xml:space="preserve">                      和龙市职业中等专业学校设备采购项目</w:t>
    </w:r>
    <w:r>
      <w:rPr>
        <w:rFonts w:hint="eastAsia"/>
        <w:lang w:eastAsia="zh-CN"/>
      </w:rPr>
      <w:t>竞争性谈判文件</w:t>
    </w:r>
  </w:p>
  <w:p w14:paraId="030B76D5">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5E085"/>
    <w:multiLevelType w:val="singleLevel"/>
    <w:tmpl w:val="2195E085"/>
    <w:lvl w:ilvl="0" w:tentative="0">
      <w:start w:val="2"/>
      <w:numFmt w:val="decimal"/>
      <w:suff w:val="nothing"/>
      <w:lvlText w:val="%1．"/>
      <w:lvlJc w:val="left"/>
    </w:lvl>
  </w:abstractNum>
  <w:abstractNum w:abstractNumId="1">
    <w:nsid w:val="3013FE8C"/>
    <w:multiLevelType w:val="singleLevel"/>
    <w:tmpl w:val="3013FE8C"/>
    <w:lvl w:ilvl="0" w:tentative="0">
      <w:start w:val="1"/>
      <w:numFmt w:val="decimal"/>
      <w:suff w:val="nothing"/>
      <w:lvlText w:val="%1．"/>
      <w:lvlJc w:val="left"/>
    </w:lvl>
  </w:abstractNum>
  <w:abstractNum w:abstractNumId="2">
    <w:nsid w:val="6E1BD7D5"/>
    <w:multiLevelType w:val="singleLevel"/>
    <w:tmpl w:val="6E1BD7D5"/>
    <w:lvl w:ilvl="0" w:tentative="0">
      <w:start w:val="3"/>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NjBkMzJhY2QwNDAwNzQ1ZjczNWMyNDQ1YWIxN2YifQ=="/>
  </w:docVars>
  <w:rsids>
    <w:rsidRoot w:val="00172A27"/>
    <w:rsid w:val="00000BB0"/>
    <w:rsid w:val="0001633D"/>
    <w:rsid w:val="000206C1"/>
    <w:rsid w:val="00022687"/>
    <w:rsid w:val="0003079E"/>
    <w:rsid w:val="000475F9"/>
    <w:rsid w:val="000528D5"/>
    <w:rsid w:val="00055294"/>
    <w:rsid w:val="00076D4E"/>
    <w:rsid w:val="00085591"/>
    <w:rsid w:val="00090B68"/>
    <w:rsid w:val="000C2C4D"/>
    <w:rsid w:val="000C4A0A"/>
    <w:rsid w:val="000D7BEC"/>
    <w:rsid w:val="000F183C"/>
    <w:rsid w:val="000F4871"/>
    <w:rsid w:val="001007FE"/>
    <w:rsid w:val="001041A5"/>
    <w:rsid w:val="001129DB"/>
    <w:rsid w:val="00113E46"/>
    <w:rsid w:val="001160AC"/>
    <w:rsid w:val="00140004"/>
    <w:rsid w:val="001423F4"/>
    <w:rsid w:val="0014292B"/>
    <w:rsid w:val="00165CED"/>
    <w:rsid w:val="00173320"/>
    <w:rsid w:val="00186888"/>
    <w:rsid w:val="001C3CE6"/>
    <w:rsid w:val="001C67E7"/>
    <w:rsid w:val="001E51E2"/>
    <w:rsid w:val="0020122C"/>
    <w:rsid w:val="00206FC0"/>
    <w:rsid w:val="00220F3C"/>
    <w:rsid w:val="00222F3F"/>
    <w:rsid w:val="0023779D"/>
    <w:rsid w:val="00241A82"/>
    <w:rsid w:val="002460FD"/>
    <w:rsid w:val="00250004"/>
    <w:rsid w:val="00250C62"/>
    <w:rsid w:val="002542E6"/>
    <w:rsid w:val="00254D8D"/>
    <w:rsid w:val="002553AB"/>
    <w:rsid w:val="002562E0"/>
    <w:rsid w:val="00263CA5"/>
    <w:rsid w:val="0026542A"/>
    <w:rsid w:val="00271E14"/>
    <w:rsid w:val="00275653"/>
    <w:rsid w:val="002971BF"/>
    <w:rsid w:val="002A60EA"/>
    <w:rsid w:val="002B50D8"/>
    <w:rsid w:val="002B68FF"/>
    <w:rsid w:val="002D411F"/>
    <w:rsid w:val="002D41C6"/>
    <w:rsid w:val="002D4C93"/>
    <w:rsid w:val="002F5B58"/>
    <w:rsid w:val="00300CF9"/>
    <w:rsid w:val="00301FB3"/>
    <w:rsid w:val="0030372D"/>
    <w:rsid w:val="0030383A"/>
    <w:rsid w:val="0034411B"/>
    <w:rsid w:val="00350D0A"/>
    <w:rsid w:val="0036490F"/>
    <w:rsid w:val="00370600"/>
    <w:rsid w:val="00370E72"/>
    <w:rsid w:val="003808BF"/>
    <w:rsid w:val="003900EF"/>
    <w:rsid w:val="003A6D4C"/>
    <w:rsid w:val="003B2AA0"/>
    <w:rsid w:val="003B5698"/>
    <w:rsid w:val="003D07D9"/>
    <w:rsid w:val="003D7C68"/>
    <w:rsid w:val="003E4718"/>
    <w:rsid w:val="003E7E54"/>
    <w:rsid w:val="00400332"/>
    <w:rsid w:val="00403994"/>
    <w:rsid w:val="00411E11"/>
    <w:rsid w:val="004301DF"/>
    <w:rsid w:val="00441345"/>
    <w:rsid w:val="00441FCF"/>
    <w:rsid w:val="00452FD5"/>
    <w:rsid w:val="0045337C"/>
    <w:rsid w:val="004545E5"/>
    <w:rsid w:val="00455139"/>
    <w:rsid w:val="00456EAC"/>
    <w:rsid w:val="00461559"/>
    <w:rsid w:val="004628ED"/>
    <w:rsid w:val="00473BF3"/>
    <w:rsid w:val="00476337"/>
    <w:rsid w:val="00497962"/>
    <w:rsid w:val="004A2ABF"/>
    <w:rsid w:val="004A4371"/>
    <w:rsid w:val="004A510D"/>
    <w:rsid w:val="004A52DE"/>
    <w:rsid w:val="004A6E90"/>
    <w:rsid w:val="004B6001"/>
    <w:rsid w:val="004C718E"/>
    <w:rsid w:val="004E646A"/>
    <w:rsid w:val="0052139A"/>
    <w:rsid w:val="00531DAA"/>
    <w:rsid w:val="0053377E"/>
    <w:rsid w:val="00534EC5"/>
    <w:rsid w:val="00535FC8"/>
    <w:rsid w:val="00545935"/>
    <w:rsid w:val="00545A6D"/>
    <w:rsid w:val="0055440D"/>
    <w:rsid w:val="00560AC0"/>
    <w:rsid w:val="00560EE5"/>
    <w:rsid w:val="0056532F"/>
    <w:rsid w:val="005C6265"/>
    <w:rsid w:val="005C6D56"/>
    <w:rsid w:val="005D2451"/>
    <w:rsid w:val="005E001C"/>
    <w:rsid w:val="005E6D00"/>
    <w:rsid w:val="006131A3"/>
    <w:rsid w:val="00625EE4"/>
    <w:rsid w:val="0063183C"/>
    <w:rsid w:val="00644523"/>
    <w:rsid w:val="00650914"/>
    <w:rsid w:val="00652FBC"/>
    <w:rsid w:val="00655F03"/>
    <w:rsid w:val="00656BC0"/>
    <w:rsid w:val="00683797"/>
    <w:rsid w:val="00692863"/>
    <w:rsid w:val="006B03FB"/>
    <w:rsid w:val="006B5D46"/>
    <w:rsid w:val="006D2CBD"/>
    <w:rsid w:val="006E453D"/>
    <w:rsid w:val="00724869"/>
    <w:rsid w:val="007263DF"/>
    <w:rsid w:val="00750C61"/>
    <w:rsid w:val="0075236D"/>
    <w:rsid w:val="007571B3"/>
    <w:rsid w:val="00766977"/>
    <w:rsid w:val="007705EE"/>
    <w:rsid w:val="00771366"/>
    <w:rsid w:val="00775AEB"/>
    <w:rsid w:val="007839F4"/>
    <w:rsid w:val="007B2B36"/>
    <w:rsid w:val="007B2DB0"/>
    <w:rsid w:val="007B4E10"/>
    <w:rsid w:val="007B5733"/>
    <w:rsid w:val="007B7132"/>
    <w:rsid w:val="007C5AB4"/>
    <w:rsid w:val="007C722F"/>
    <w:rsid w:val="007D17DD"/>
    <w:rsid w:val="007E027E"/>
    <w:rsid w:val="007F4238"/>
    <w:rsid w:val="007F64F0"/>
    <w:rsid w:val="00801EA8"/>
    <w:rsid w:val="00804DA6"/>
    <w:rsid w:val="00805C4C"/>
    <w:rsid w:val="00807C60"/>
    <w:rsid w:val="00810FE7"/>
    <w:rsid w:val="008346A4"/>
    <w:rsid w:val="0083542A"/>
    <w:rsid w:val="0083773A"/>
    <w:rsid w:val="00841707"/>
    <w:rsid w:val="008633DA"/>
    <w:rsid w:val="0086607B"/>
    <w:rsid w:val="00875739"/>
    <w:rsid w:val="00876E1D"/>
    <w:rsid w:val="0089480E"/>
    <w:rsid w:val="008A1FEE"/>
    <w:rsid w:val="008B44D9"/>
    <w:rsid w:val="008B7FD6"/>
    <w:rsid w:val="008C29F1"/>
    <w:rsid w:val="008E1F69"/>
    <w:rsid w:val="008E23B7"/>
    <w:rsid w:val="008F2674"/>
    <w:rsid w:val="008F7E7F"/>
    <w:rsid w:val="00900834"/>
    <w:rsid w:val="00910504"/>
    <w:rsid w:val="00913F23"/>
    <w:rsid w:val="00915917"/>
    <w:rsid w:val="00921346"/>
    <w:rsid w:val="009410A7"/>
    <w:rsid w:val="00947527"/>
    <w:rsid w:val="00953857"/>
    <w:rsid w:val="00955A41"/>
    <w:rsid w:val="009621E4"/>
    <w:rsid w:val="0096252B"/>
    <w:rsid w:val="009666E2"/>
    <w:rsid w:val="009708B1"/>
    <w:rsid w:val="00984318"/>
    <w:rsid w:val="00993659"/>
    <w:rsid w:val="009A4A7C"/>
    <w:rsid w:val="009A79BA"/>
    <w:rsid w:val="009B1867"/>
    <w:rsid w:val="009C5310"/>
    <w:rsid w:val="009D7A5F"/>
    <w:rsid w:val="009E1303"/>
    <w:rsid w:val="009E1746"/>
    <w:rsid w:val="009E6AE0"/>
    <w:rsid w:val="00A16C5E"/>
    <w:rsid w:val="00A20ACF"/>
    <w:rsid w:val="00A217E2"/>
    <w:rsid w:val="00A21D1A"/>
    <w:rsid w:val="00A37B56"/>
    <w:rsid w:val="00A540A4"/>
    <w:rsid w:val="00A71853"/>
    <w:rsid w:val="00A85F04"/>
    <w:rsid w:val="00A8670E"/>
    <w:rsid w:val="00A87DA6"/>
    <w:rsid w:val="00A963A6"/>
    <w:rsid w:val="00AA0D76"/>
    <w:rsid w:val="00AA1027"/>
    <w:rsid w:val="00AA2B7F"/>
    <w:rsid w:val="00AA3B71"/>
    <w:rsid w:val="00AA67CF"/>
    <w:rsid w:val="00AB60D9"/>
    <w:rsid w:val="00AB7285"/>
    <w:rsid w:val="00AC1B7B"/>
    <w:rsid w:val="00AC6C06"/>
    <w:rsid w:val="00AD3CA7"/>
    <w:rsid w:val="00AD5016"/>
    <w:rsid w:val="00B05BA4"/>
    <w:rsid w:val="00B15C51"/>
    <w:rsid w:val="00B15FDA"/>
    <w:rsid w:val="00B16318"/>
    <w:rsid w:val="00B30AB4"/>
    <w:rsid w:val="00B3396F"/>
    <w:rsid w:val="00B424BB"/>
    <w:rsid w:val="00B43B39"/>
    <w:rsid w:val="00B46922"/>
    <w:rsid w:val="00B54B9D"/>
    <w:rsid w:val="00B6223D"/>
    <w:rsid w:val="00B63B09"/>
    <w:rsid w:val="00B64C7F"/>
    <w:rsid w:val="00B65980"/>
    <w:rsid w:val="00B6660E"/>
    <w:rsid w:val="00B67B3E"/>
    <w:rsid w:val="00B77BCA"/>
    <w:rsid w:val="00BA31F2"/>
    <w:rsid w:val="00BB0298"/>
    <w:rsid w:val="00BC0C12"/>
    <w:rsid w:val="00BC3D3A"/>
    <w:rsid w:val="00BD3BA8"/>
    <w:rsid w:val="00BF2932"/>
    <w:rsid w:val="00C11A44"/>
    <w:rsid w:val="00C12F95"/>
    <w:rsid w:val="00C205A1"/>
    <w:rsid w:val="00C27E1B"/>
    <w:rsid w:val="00C3240B"/>
    <w:rsid w:val="00C3354C"/>
    <w:rsid w:val="00C33587"/>
    <w:rsid w:val="00C36500"/>
    <w:rsid w:val="00C4189B"/>
    <w:rsid w:val="00C45563"/>
    <w:rsid w:val="00C45F04"/>
    <w:rsid w:val="00C47A5D"/>
    <w:rsid w:val="00C540DE"/>
    <w:rsid w:val="00C73BCB"/>
    <w:rsid w:val="00C8111E"/>
    <w:rsid w:val="00C835EE"/>
    <w:rsid w:val="00C919E9"/>
    <w:rsid w:val="00C95BC2"/>
    <w:rsid w:val="00CA318F"/>
    <w:rsid w:val="00CB71EA"/>
    <w:rsid w:val="00CC3CE5"/>
    <w:rsid w:val="00CC7FF3"/>
    <w:rsid w:val="00CD3892"/>
    <w:rsid w:val="00CD72DC"/>
    <w:rsid w:val="00CE1F47"/>
    <w:rsid w:val="00CF18E6"/>
    <w:rsid w:val="00CF76D4"/>
    <w:rsid w:val="00D26208"/>
    <w:rsid w:val="00D36963"/>
    <w:rsid w:val="00D429B5"/>
    <w:rsid w:val="00D44342"/>
    <w:rsid w:val="00D63D44"/>
    <w:rsid w:val="00D6592B"/>
    <w:rsid w:val="00D72326"/>
    <w:rsid w:val="00D76E95"/>
    <w:rsid w:val="00DA1FA8"/>
    <w:rsid w:val="00DB3FF8"/>
    <w:rsid w:val="00DD56B5"/>
    <w:rsid w:val="00DD5FAB"/>
    <w:rsid w:val="00DD604A"/>
    <w:rsid w:val="00DE3726"/>
    <w:rsid w:val="00DE5399"/>
    <w:rsid w:val="00DE5564"/>
    <w:rsid w:val="00DE672D"/>
    <w:rsid w:val="00DF2EC8"/>
    <w:rsid w:val="00E03C72"/>
    <w:rsid w:val="00E04CD3"/>
    <w:rsid w:val="00E05481"/>
    <w:rsid w:val="00E067FB"/>
    <w:rsid w:val="00E075AC"/>
    <w:rsid w:val="00E13EFE"/>
    <w:rsid w:val="00E170D7"/>
    <w:rsid w:val="00E34FF5"/>
    <w:rsid w:val="00E4445C"/>
    <w:rsid w:val="00E51B34"/>
    <w:rsid w:val="00E67581"/>
    <w:rsid w:val="00E95569"/>
    <w:rsid w:val="00E97C1B"/>
    <w:rsid w:val="00EA1B31"/>
    <w:rsid w:val="00EB117B"/>
    <w:rsid w:val="00ED5CFC"/>
    <w:rsid w:val="00EF229F"/>
    <w:rsid w:val="00EF795C"/>
    <w:rsid w:val="00F133B1"/>
    <w:rsid w:val="00F25D30"/>
    <w:rsid w:val="00F3105F"/>
    <w:rsid w:val="00F42DAC"/>
    <w:rsid w:val="00F61F38"/>
    <w:rsid w:val="00F638C7"/>
    <w:rsid w:val="00F77300"/>
    <w:rsid w:val="00F77E14"/>
    <w:rsid w:val="00F809A4"/>
    <w:rsid w:val="00F80DB6"/>
    <w:rsid w:val="00F86650"/>
    <w:rsid w:val="00FA01A1"/>
    <w:rsid w:val="00FA659F"/>
    <w:rsid w:val="00FB2FED"/>
    <w:rsid w:val="00FC17B9"/>
    <w:rsid w:val="00FC43DF"/>
    <w:rsid w:val="00FF037E"/>
    <w:rsid w:val="00FF4CC8"/>
    <w:rsid w:val="00FF75E9"/>
    <w:rsid w:val="01395086"/>
    <w:rsid w:val="018C2481"/>
    <w:rsid w:val="01964270"/>
    <w:rsid w:val="01CA5CC8"/>
    <w:rsid w:val="01DA6BFB"/>
    <w:rsid w:val="023A2E4D"/>
    <w:rsid w:val="037A17D5"/>
    <w:rsid w:val="03C56D80"/>
    <w:rsid w:val="044674CF"/>
    <w:rsid w:val="04507359"/>
    <w:rsid w:val="052F01ED"/>
    <w:rsid w:val="054C1E66"/>
    <w:rsid w:val="05776166"/>
    <w:rsid w:val="05A607FA"/>
    <w:rsid w:val="06473986"/>
    <w:rsid w:val="065A31C9"/>
    <w:rsid w:val="066E5C0B"/>
    <w:rsid w:val="066F54A2"/>
    <w:rsid w:val="06AC411C"/>
    <w:rsid w:val="070457D8"/>
    <w:rsid w:val="072874B8"/>
    <w:rsid w:val="07294771"/>
    <w:rsid w:val="074B2F2B"/>
    <w:rsid w:val="07C17B6D"/>
    <w:rsid w:val="07DE2AF3"/>
    <w:rsid w:val="07F908BC"/>
    <w:rsid w:val="08824DBC"/>
    <w:rsid w:val="088714D6"/>
    <w:rsid w:val="08EE04EE"/>
    <w:rsid w:val="097E2803"/>
    <w:rsid w:val="09906FB0"/>
    <w:rsid w:val="09DE4985"/>
    <w:rsid w:val="0A786C09"/>
    <w:rsid w:val="0AD84792"/>
    <w:rsid w:val="0B017684"/>
    <w:rsid w:val="0B3362C6"/>
    <w:rsid w:val="0B456830"/>
    <w:rsid w:val="0C061FF2"/>
    <w:rsid w:val="0D7002CE"/>
    <w:rsid w:val="0DC857B1"/>
    <w:rsid w:val="0DD84102"/>
    <w:rsid w:val="0E0A401C"/>
    <w:rsid w:val="0E5F3277"/>
    <w:rsid w:val="0F615EBD"/>
    <w:rsid w:val="0FD44CF6"/>
    <w:rsid w:val="0FE645FA"/>
    <w:rsid w:val="102962AF"/>
    <w:rsid w:val="10612F9F"/>
    <w:rsid w:val="11BA7B07"/>
    <w:rsid w:val="11DF2318"/>
    <w:rsid w:val="1265259A"/>
    <w:rsid w:val="12773653"/>
    <w:rsid w:val="12BE6229"/>
    <w:rsid w:val="13363FA0"/>
    <w:rsid w:val="138F12B4"/>
    <w:rsid w:val="143771ED"/>
    <w:rsid w:val="14435C06"/>
    <w:rsid w:val="1467033D"/>
    <w:rsid w:val="14A625C4"/>
    <w:rsid w:val="14EF3F6B"/>
    <w:rsid w:val="15253330"/>
    <w:rsid w:val="154070C7"/>
    <w:rsid w:val="15796BD2"/>
    <w:rsid w:val="159529BE"/>
    <w:rsid w:val="16053C66"/>
    <w:rsid w:val="1615442F"/>
    <w:rsid w:val="16983EEA"/>
    <w:rsid w:val="16C86310"/>
    <w:rsid w:val="16CB4564"/>
    <w:rsid w:val="16E8769A"/>
    <w:rsid w:val="16F9487C"/>
    <w:rsid w:val="16FB6BF7"/>
    <w:rsid w:val="178409CC"/>
    <w:rsid w:val="17A3345B"/>
    <w:rsid w:val="17E53404"/>
    <w:rsid w:val="180D4FC6"/>
    <w:rsid w:val="1852068C"/>
    <w:rsid w:val="18C15407"/>
    <w:rsid w:val="18DE3674"/>
    <w:rsid w:val="191B532F"/>
    <w:rsid w:val="19563CAD"/>
    <w:rsid w:val="19F863D7"/>
    <w:rsid w:val="1A2664F0"/>
    <w:rsid w:val="1A433816"/>
    <w:rsid w:val="1A7C09DE"/>
    <w:rsid w:val="1A881CA5"/>
    <w:rsid w:val="1AAB4D8E"/>
    <w:rsid w:val="1AF2632B"/>
    <w:rsid w:val="1AFE657F"/>
    <w:rsid w:val="1B8847D2"/>
    <w:rsid w:val="1C52538A"/>
    <w:rsid w:val="1C666047"/>
    <w:rsid w:val="1D1C7189"/>
    <w:rsid w:val="1DC67833"/>
    <w:rsid w:val="1DD37408"/>
    <w:rsid w:val="1E4B4B5A"/>
    <w:rsid w:val="1E6037E4"/>
    <w:rsid w:val="1E74728F"/>
    <w:rsid w:val="1EFA737A"/>
    <w:rsid w:val="1F30765A"/>
    <w:rsid w:val="1F882FF2"/>
    <w:rsid w:val="21071E67"/>
    <w:rsid w:val="21962EF2"/>
    <w:rsid w:val="22A43769"/>
    <w:rsid w:val="22EA2AF3"/>
    <w:rsid w:val="22F91688"/>
    <w:rsid w:val="233B5A4E"/>
    <w:rsid w:val="23A52CB3"/>
    <w:rsid w:val="24575689"/>
    <w:rsid w:val="24992662"/>
    <w:rsid w:val="24FA5BEC"/>
    <w:rsid w:val="25D92FF1"/>
    <w:rsid w:val="25E87AEB"/>
    <w:rsid w:val="273F4332"/>
    <w:rsid w:val="27430C79"/>
    <w:rsid w:val="276E51C4"/>
    <w:rsid w:val="27BA5D13"/>
    <w:rsid w:val="28322616"/>
    <w:rsid w:val="28C606E7"/>
    <w:rsid w:val="291077F4"/>
    <w:rsid w:val="294A6DC7"/>
    <w:rsid w:val="29B50E88"/>
    <w:rsid w:val="29C64817"/>
    <w:rsid w:val="2A1A0CEB"/>
    <w:rsid w:val="2B0B2082"/>
    <w:rsid w:val="2BF01641"/>
    <w:rsid w:val="2CE04EE3"/>
    <w:rsid w:val="2D1B739C"/>
    <w:rsid w:val="2D2040A5"/>
    <w:rsid w:val="2D3C773F"/>
    <w:rsid w:val="2D3D1C16"/>
    <w:rsid w:val="2D7A4A42"/>
    <w:rsid w:val="2DBE2BF5"/>
    <w:rsid w:val="2DCA29CD"/>
    <w:rsid w:val="2DDC5E7F"/>
    <w:rsid w:val="2ECE479A"/>
    <w:rsid w:val="2F081A5A"/>
    <w:rsid w:val="2F611596"/>
    <w:rsid w:val="2F7334AE"/>
    <w:rsid w:val="2FA80AF0"/>
    <w:rsid w:val="2FB90FA6"/>
    <w:rsid w:val="30EE2ED1"/>
    <w:rsid w:val="31BE5869"/>
    <w:rsid w:val="31DB3455"/>
    <w:rsid w:val="31DC3BCF"/>
    <w:rsid w:val="322B1EAA"/>
    <w:rsid w:val="322C1545"/>
    <w:rsid w:val="3240150B"/>
    <w:rsid w:val="332C66F3"/>
    <w:rsid w:val="33DA136C"/>
    <w:rsid w:val="340D56F0"/>
    <w:rsid w:val="350D601C"/>
    <w:rsid w:val="35357321"/>
    <w:rsid w:val="357263F6"/>
    <w:rsid w:val="360A4309"/>
    <w:rsid w:val="362A64D8"/>
    <w:rsid w:val="370074BA"/>
    <w:rsid w:val="377828B2"/>
    <w:rsid w:val="37C648C2"/>
    <w:rsid w:val="380011DE"/>
    <w:rsid w:val="380A4A95"/>
    <w:rsid w:val="380A6498"/>
    <w:rsid w:val="38920ABF"/>
    <w:rsid w:val="38EA768E"/>
    <w:rsid w:val="39567866"/>
    <w:rsid w:val="39D22645"/>
    <w:rsid w:val="39E430C3"/>
    <w:rsid w:val="39FF3FDC"/>
    <w:rsid w:val="3A443B62"/>
    <w:rsid w:val="3A573E9C"/>
    <w:rsid w:val="3B9D5E5A"/>
    <w:rsid w:val="3BA945C4"/>
    <w:rsid w:val="3BD77008"/>
    <w:rsid w:val="3C795D45"/>
    <w:rsid w:val="3DEC7507"/>
    <w:rsid w:val="3E210442"/>
    <w:rsid w:val="3E7303EF"/>
    <w:rsid w:val="403A57EB"/>
    <w:rsid w:val="40985D11"/>
    <w:rsid w:val="40D57C99"/>
    <w:rsid w:val="40F954CC"/>
    <w:rsid w:val="4139096F"/>
    <w:rsid w:val="41656AA3"/>
    <w:rsid w:val="422A54E5"/>
    <w:rsid w:val="425A6618"/>
    <w:rsid w:val="43124176"/>
    <w:rsid w:val="4344253B"/>
    <w:rsid w:val="437E00E5"/>
    <w:rsid w:val="43BB504B"/>
    <w:rsid w:val="43DA5D32"/>
    <w:rsid w:val="448B69A4"/>
    <w:rsid w:val="44A873F6"/>
    <w:rsid w:val="44C578EC"/>
    <w:rsid w:val="44F30F65"/>
    <w:rsid w:val="46021317"/>
    <w:rsid w:val="462D0777"/>
    <w:rsid w:val="465144C9"/>
    <w:rsid w:val="46592680"/>
    <w:rsid w:val="474D674C"/>
    <w:rsid w:val="47FF7F77"/>
    <w:rsid w:val="48AF6648"/>
    <w:rsid w:val="48F36E7F"/>
    <w:rsid w:val="494D658F"/>
    <w:rsid w:val="49927204"/>
    <w:rsid w:val="49B52386"/>
    <w:rsid w:val="49EB0E41"/>
    <w:rsid w:val="4A151CD4"/>
    <w:rsid w:val="4ACE3700"/>
    <w:rsid w:val="4B1C138E"/>
    <w:rsid w:val="4B771FE9"/>
    <w:rsid w:val="4C513BE2"/>
    <w:rsid w:val="4C76404F"/>
    <w:rsid w:val="4C9A4F83"/>
    <w:rsid w:val="4CDB357B"/>
    <w:rsid w:val="4DDB4D21"/>
    <w:rsid w:val="4DFC5BBF"/>
    <w:rsid w:val="4E252E08"/>
    <w:rsid w:val="4F6E2334"/>
    <w:rsid w:val="4FC651F9"/>
    <w:rsid w:val="5039786D"/>
    <w:rsid w:val="50BF368C"/>
    <w:rsid w:val="50D11356"/>
    <w:rsid w:val="50D43A3A"/>
    <w:rsid w:val="511C1E5B"/>
    <w:rsid w:val="517B3CD2"/>
    <w:rsid w:val="52464E53"/>
    <w:rsid w:val="52744BA5"/>
    <w:rsid w:val="528C458D"/>
    <w:rsid w:val="529D1B1E"/>
    <w:rsid w:val="52FA4EFC"/>
    <w:rsid w:val="53042F77"/>
    <w:rsid w:val="533B38FC"/>
    <w:rsid w:val="537231BE"/>
    <w:rsid w:val="537312E8"/>
    <w:rsid w:val="53D30009"/>
    <w:rsid w:val="53F313E7"/>
    <w:rsid w:val="545C4D54"/>
    <w:rsid w:val="54B04BD3"/>
    <w:rsid w:val="55116410"/>
    <w:rsid w:val="554D5B69"/>
    <w:rsid w:val="562F3EBC"/>
    <w:rsid w:val="573E6C88"/>
    <w:rsid w:val="579E71C6"/>
    <w:rsid w:val="57F66044"/>
    <w:rsid w:val="58593315"/>
    <w:rsid w:val="58C3061C"/>
    <w:rsid w:val="58E14755"/>
    <w:rsid w:val="58EE06B9"/>
    <w:rsid w:val="593A3763"/>
    <w:rsid w:val="5963158C"/>
    <w:rsid w:val="59B94BEC"/>
    <w:rsid w:val="5A1969F0"/>
    <w:rsid w:val="5A5654C0"/>
    <w:rsid w:val="5AE83AC9"/>
    <w:rsid w:val="5B0867BA"/>
    <w:rsid w:val="5B1717B8"/>
    <w:rsid w:val="5BE95008"/>
    <w:rsid w:val="5BF26A02"/>
    <w:rsid w:val="5C1D08DA"/>
    <w:rsid w:val="5C976F68"/>
    <w:rsid w:val="5DB31597"/>
    <w:rsid w:val="5F0C4BC4"/>
    <w:rsid w:val="60183E44"/>
    <w:rsid w:val="60552A61"/>
    <w:rsid w:val="6063158D"/>
    <w:rsid w:val="60A800EB"/>
    <w:rsid w:val="61823DF3"/>
    <w:rsid w:val="61F65545"/>
    <w:rsid w:val="61FF17D7"/>
    <w:rsid w:val="64552377"/>
    <w:rsid w:val="64765509"/>
    <w:rsid w:val="64ED019C"/>
    <w:rsid w:val="657B402C"/>
    <w:rsid w:val="65CB4FB4"/>
    <w:rsid w:val="65E567E2"/>
    <w:rsid w:val="66C33EDD"/>
    <w:rsid w:val="66D87988"/>
    <w:rsid w:val="66E618E5"/>
    <w:rsid w:val="67420C8E"/>
    <w:rsid w:val="676743A5"/>
    <w:rsid w:val="676E01CD"/>
    <w:rsid w:val="67D466E9"/>
    <w:rsid w:val="68103152"/>
    <w:rsid w:val="681E0008"/>
    <w:rsid w:val="684150B9"/>
    <w:rsid w:val="684A6664"/>
    <w:rsid w:val="686A49AA"/>
    <w:rsid w:val="68721C43"/>
    <w:rsid w:val="68750492"/>
    <w:rsid w:val="68C04838"/>
    <w:rsid w:val="68C21C7D"/>
    <w:rsid w:val="68D71C39"/>
    <w:rsid w:val="691A7E90"/>
    <w:rsid w:val="693B2151"/>
    <w:rsid w:val="69647149"/>
    <w:rsid w:val="69D8119A"/>
    <w:rsid w:val="6A707ED8"/>
    <w:rsid w:val="6AE461D0"/>
    <w:rsid w:val="6AFD1801"/>
    <w:rsid w:val="6B496B95"/>
    <w:rsid w:val="6B9E55DD"/>
    <w:rsid w:val="6BC75CD5"/>
    <w:rsid w:val="6C0F1E14"/>
    <w:rsid w:val="6C6E6120"/>
    <w:rsid w:val="6CFF5543"/>
    <w:rsid w:val="6D4B3842"/>
    <w:rsid w:val="6D6D6950"/>
    <w:rsid w:val="6DF826BE"/>
    <w:rsid w:val="6E143C39"/>
    <w:rsid w:val="6E492F1A"/>
    <w:rsid w:val="6F2208FC"/>
    <w:rsid w:val="6FD24C25"/>
    <w:rsid w:val="6FD51482"/>
    <w:rsid w:val="6FE07F7A"/>
    <w:rsid w:val="703061FE"/>
    <w:rsid w:val="70716758"/>
    <w:rsid w:val="71BC3A02"/>
    <w:rsid w:val="7273429E"/>
    <w:rsid w:val="73790B6A"/>
    <w:rsid w:val="73974727"/>
    <w:rsid w:val="74281823"/>
    <w:rsid w:val="7446270C"/>
    <w:rsid w:val="744D7CC4"/>
    <w:rsid w:val="74AC314B"/>
    <w:rsid w:val="74FA7EFA"/>
    <w:rsid w:val="75ED04B3"/>
    <w:rsid w:val="76220153"/>
    <w:rsid w:val="766C416D"/>
    <w:rsid w:val="766E7342"/>
    <w:rsid w:val="76E96F4F"/>
    <w:rsid w:val="770C0F88"/>
    <w:rsid w:val="770D55ED"/>
    <w:rsid w:val="776F7BD0"/>
    <w:rsid w:val="785901FD"/>
    <w:rsid w:val="794B36EF"/>
    <w:rsid w:val="79A669E4"/>
    <w:rsid w:val="79EA1A55"/>
    <w:rsid w:val="7A6537B6"/>
    <w:rsid w:val="7BA23D82"/>
    <w:rsid w:val="7BC7749B"/>
    <w:rsid w:val="7C7E6733"/>
    <w:rsid w:val="7D376633"/>
    <w:rsid w:val="7D9624F1"/>
    <w:rsid w:val="7E3A1412"/>
    <w:rsid w:val="7E493C92"/>
    <w:rsid w:val="7E6F077A"/>
    <w:rsid w:val="7E857F9E"/>
    <w:rsid w:val="7EB240F2"/>
    <w:rsid w:val="7EDC1B88"/>
    <w:rsid w:val="7F001607"/>
    <w:rsid w:val="7F487681"/>
    <w:rsid w:val="7FF9CD02"/>
    <w:rsid w:val="A6FBED89"/>
    <w:rsid w:val="BEB7BCD0"/>
    <w:rsid w:val="CF994B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1"/>
    <w:basedOn w:val="1"/>
    <w:next w:val="1"/>
    <w:link w:val="51"/>
    <w:qFormat/>
    <w:uiPriority w:val="0"/>
    <w:pPr>
      <w:keepNext/>
      <w:jc w:val="center"/>
      <w:outlineLvl w:val="0"/>
    </w:pPr>
    <w:rPr>
      <w:rFonts w:ascii="黑体" w:hAnsi="Times New Roman" w:eastAsia="黑体"/>
    </w:rPr>
  </w:style>
  <w:style w:type="paragraph" w:styleId="3">
    <w:name w:val="heading 2"/>
    <w:basedOn w:val="1"/>
    <w:next w:val="1"/>
    <w:link w:val="53"/>
    <w:qFormat/>
    <w:uiPriority w:val="0"/>
    <w:pPr>
      <w:keepNext/>
      <w:spacing w:line="720" w:lineRule="exact"/>
      <w:jc w:val="both"/>
      <w:outlineLvl w:val="1"/>
    </w:pPr>
    <w:rPr>
      <w:rFonts w:ascii="黑体" w:hAnsi="Times New Roman" w:eastAsia="黑体"/>
    </w:rPr>
  </w:style>
  <w:style w:type="paragraph" w:styleId="4">
    <w:name w:val="heading 3"/>
    <w:basedOn w:val="1"/>
    <w:next w:val="1"/>
    <w:link w:val="52"/>
    <w:qFormat/>
    <w:uiPriority w:val="0"/>
    <w:pPr>
      <w:keepNext/>
      <w:spacing w:line="320" w:lineRule="exact"/>
      <w:jc w:val="both"/>
      <w:outlineLvl w:val="2"/>
    </w:pPr>
    <w:rPr>
      <w:rFonts w:ascii="楷体_GB2312" w:hAnsi="Times New Roman" w:eastAsia="楷体_GB2312"/>
      <w:sz w:val="32"/>
      <w:szCs w:val="32"/>
    </w:rPr>
  </w:style>
  <w:style w:type="paragraph" w:styleId="5">
    <w:name w:val="heading 4"/>
    <w:basedOn w:val="1"/>
    <w:next w:val="1"/>
    <w:link w:val="54"/>
    <w:qFormat/>
    <w:uiPriority w:val="0"/>
    <w:pPr>
      <w:keepNext/>
      <w:spacing w:line="600" w:lineRule="exact"/>
      <w:jc w:val="center"/>
      <w:outlineLvl w:val="3"/>
    </w:pPr>
    <w:rPr>
      <w:rFonts w:ascii="楷体_GB2312" w:hAnsi="Times New Roman" w:eastAsia="楷体_GB2312"/>
      <w:sz w:val="32"/>
      <w:szCs w:val="32"/>
    </w:rPr>
  </w:style>
  <w:style w:type="paragraph" w:styleId="6">
    <w:name w:val="heading 6"/>
    <w:basedOn w:val="1"/>
    <w:next w:val="1"/>
    <w:link w:val="55"/>
    <w:qFormat/>
    <w:uiPriority w:val="0"/>
    <w:pPr>
      <w:keepNext/>
      <w:keepLines/>
      <w:spacing w:before="240" w:beforeLines="0" w:after="64" w:afterLines="0" w:line="320" w:lineRule="atLeast"/>
      <w:outlineLvl w:val="5"/>
    </w:pPr>
    <w:rPr>
      <w:rFonts w:ascii="Arial" w:hAnsi="Arial"/>
      <w:b/>
      <w:bCs/>
      <w:sz w:val="20"/>
      <w:szCs w:val="24"/>
    </w:rPr>
  </w:style>
  <w:style w:type="paragraph" w:styleId="7">
    <w:name w:val="heading 7"/>
    <w:basedOn w:val="1"/>
    <w:next w:val="1"/>
    <w:link w:val="56"/>
    <w:qFormat/>
    <w:uiPriority w:val="0"/>
    <w:pPr>
      <w:keepNext/>
      <w:keepLines/>
      <w:spacing w:before="240" w:beforeLines="0" w:after="64" w:afterLines="0" w:line="320" w:lineRule="atLeast"/>
      <w:outlineLvl w:val="6"/>
    </w:pPr>
    <w:rPr>
      <w:rFonts w:ascii="Times New Roman" w:hAnsi="Times New Roman"/>
      <w:b/>
      <w:bCs/>
      <w:sz w:val="20"/>
      <w:szCs w:val="24"/>
    </w:rPr>
  </w:style>
  <w:style w:type="paragraph" w:styleId="8">
    <w:name w:val="heading 8"/>
    <w:basedOn w:val="1"/>
    <w:next w:val="1"/>
    <w:link w:val="57"/>
    <w:qFormat/>
    <w:uiPriority w:val="0"/>
    <w:pPr>
      <w:keepNext/>
      <w:keepLines/>
      <w:spacing w:before="240" w:beforeLines="0" w:after="64" w:afterLines="0" w:line="320" w:lineRule="atLeast"/>
      <w:outlineLvl w:val="7"/>
    </w:pPr>
    <w:rPr>
      <w:rFonts w:ascii="Arial" w:hAnsi="Arial"/>
      <w:sz w:val="20"/>
      <w:szCs w:val="24"/>
    </w:rPr>
  </w:style>
  <w:style w:type="paragraph" w:styleId="9">
    <w:name w:val="heading 9"/>
    <w:basedOn w:val="1"/>
    <w:next w:val="1"/>
    <w:link w:val="58"/>
    <w:qFormat/>
    <w:uiPriority w:val="0"/>
    <w:pPr>
      <w:keepNext/>
      <w:keepLines/>
      <w:spacing w:before="240" w:beforeLines="0" w:after="64" w:afterLines="0" w:line="320" w:lineRule="atLeast"/>
      <w:outlineLvl w:val="8"/>
    </w:pPr>
    <w:rPr>
      <w:rFonts w:ascii="Arial" w:hAnsi="Arial"/>
      <w:sz w:val="21"/>
      <w:szCs w:val="21"/>
    </w:rPr>
  </w:style>
  <w:style w:type="character" w:default="1" w:styleId="37">
    <w:name w:val="Default Paragraph Font"/>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10">
    <w:name w:val="List 3"/>
    <w:basedOn w:val="1"/>
    <w:qFormat/>
    <w:uiPriority w:val="0"/>
    <w:pPr>
      <w:ind w:left="100" w:leftChars="400" w:hanging="200" w:hangingChars="200"/>
    </w:pPr>
  </w:style>
  <w:style w:type="paragraph" w:styleId="11">
    <w:name w:val="Note Heading"/>
    <w:basedOn w:val="1"/>
    <w:next w:val="1"/>
    <w:link w:val="59"/>
    <w:qFormat/>
    <w:uiPriority w:val="0"/>
    <w:pPr>
      <w:jc w:val="center"/>
    </w:pPr>
  </w:style>
  <w:style w:type="paragraph" w:styleId="12">
    <w:name w:val="Normal Indent"/>
    <w:basedOn w:val="1"/>
    <w:qFormat/>
    <w:uiPriority w:val="0"/>
    <w:pPr>
      <w:ind w:firstLine="420"/>
      <w:jc w:val="both"/>
    </w:pPr>
    <w:rPr>
      <w:rFonts w:ascii="Times New Roman" w:hAnsi="Times New Roman"/>
      <w:sz w:val="21"/>
      <w:szCs w:val="21"/>
    </w:rPr>
  </w:style>
  <w:style w:type="paragraph" w:styleId="13">
    <w:name w:val="annotation text"/>
    <w:basedOn w:val="1"/>
    <w:link w:val="60"/>
    <w:qFormat/>
    <w:uiPriority w:val="0"/>
  </w:style>
  <w:style w:type="paragraph" w:styleId="14">
    <w:name w:val="Salutation"/>
    <w:basedOn w:val="1"/>
    <w:next w:val="1"/>
    <w:link w:val="61"/>
    <w:qFormat/>
    <w:uiPriority w:val="0"/>
    <w:pPr>
      <w:autoSpaceDE/>
      <w:autoSpaceDN/>
      <w:adjustRightInd/>
      <w:jc w:val="both"/>
    </w:pPr>
    <w:rPr>
      <w:rFonts w:ascii="Times New Roman" w:hAnsi="Times New Roman"/>
      <w:kern w:val="2"/>
      <w:sz w:val="24"/>
      <w:szCs w:val="20"/>
    </w:rPr>
  </w:style>
  <w:style w:type="paragraph" w:styleId="15">
    <w:name w:val="Body Text"/>
    <w:basedOn w:val="1"/>
    <w:next w:val="1"/>
    <w:link w:val="62"/>
    <w:qFormat/>
    <w:uiPriority w:val="0"/>
    <w:pPr>
      <w:spacing w:after="120" w:afterLines="0"/>
    </w:pPr>
  </w:style>
  <w:style w:type="paragraph" w:styleId="16">
    <w:name w:val="Body Text Indent"/>
    <w:basedOn w:val="1"/>
    <w:link w:val="63"/>
    <w:qFormat/>
    <w:uiPriority w:val="0"/>
    <w:pPr>
      <w:spacing w:line="600" w:lineRule="exact"/>
      <w:ind w:firstLine="560"/>
      <w:jc w:val="both"/>
    </w:pPr>
    <w:rPr>
      <w:rFonts w:ascii="方正书宋简体" w:hAnsi="Times New Roman" w:eastAsia="方正书宋简体"/>
    </w:rPr>
  </w:style>
  <w:style w:type="paragraph" w:styleId="17">
    <w:name w:val="List 2"/>
    <w:basedOn w:val="1"/>
    <w:qFormat/>
    <w:uiPriority w:val="0"/>
    <w:pPr>
      <w:ind w:left="100" w:leftChars="200" w:hanging="200" w:hangingChars="200"/>
    </w:pPr>
  </w:style>
  <w:style w:type="paragraph" w:styleId="18">
    <w:name w:val="toc 3"/>
    <w:basedOn w:val="1"/>
    <w:next w:val="1"/>
    <w:unhideWhenUsed/>
    <w:qFormat/>
    <w:uiPriority w:val="39"/>
    <w:pPr>
      <w:ind w:left="840" w:leftChars="400"/>
    </w:pPr>
    <w:rPr>
      <w:rFonts w:ascii="Times New Roman" w:hAnsi="Times New Roman" w:eastAsia="宋体" w:cs="Times New Roman"/>
      <w:szCs w:val="20"/>
    </w:rPr>
  </w:style>
  <w:style w:type="paragraph" w:styleId="19">
    <w:name w:val="Plain Text"/>
    <w:basedOn w:val="1"/>
    <w:link w:val="64"/>
    <w:qFormat/>
    <w:uiPriority w:val="0"/>
    <w:pPr>
      <w:jc w:val="both"/>
    </w:pPr>
    <w:rPr>
      <w:rFonts w:ascii="宋体" w:hAnsi="Times New Roman"/>
      <w:sz w:val="21"/>
      <w:szCs w:val="21"/>
    </w:rPr>
  </w:style>
  <w:style w:type="paragraph" w:styleId="20">
    <w:name w:val="Date"/>
    <w:basedOn w:val="1"/>
    <w:next w:val="1"/>
    <w:link w:val="65"/>
    <w:qFormat/>
    <w:uiPriority w:val="0"/>
    <w:pPr>
      <w:jc w:val="both"/>
    </w:pPr>
    <w:rPr>
      <w:sz w:val="32"/>
      <w:szCs w:val="32"/>
    </w:rPr>
  </w:style>
  <w:style w:type="paragraph" w:styleId="21">
    <w:name w:val="Body Text Indent 2"/>
    <w:basedOn w:val="1"/>
    <w:link w:val="66"/>
    <w:qFormat/>
    <w:uiPriority w:val="0"/>
    <w:pPr>
      <w:spacing w:line="640" w:lineRule="exact"/>
      <w:ind w:firstLine="645"/>
      <w:jc w:val="both"/>
    </w:pPr>
    <w:rPr>
      <w:rFonts w:ascii="楷体_GB2312" w:hAnsi="Times New Roman" w:eastAsia="楷体_GB2312"/>
      <w:sz w:val="32"/>
      <w:szCs w:val="32"/>
    </w:rPr>
  </w:style>
  <w:style w:type="paragraph" w:styleId="22">
    <w:name w:val="Balloon Text"/>
    <w:basedOn w:val="1"/>
    <w:link w:val="67"/>
    <w:qFormat/>
    <w:uiPriority w:val="0"/>
    <w:rPr>
      <w:sz w:val="18"/>
      <w:szCs w:val="18"/>
    </w:rPr>
  </w:style>
  <w:style w:type="paragraph" w:styleId="23">
    <w:name w:val="footer"/>
    <w:basedOn w:val="1"/>
    <w:link w:val="68"/>
    <w:qFormat/>
    <w:uiPriority w:val="0"/>
    <w:pPr>
      <w:tabs>
        <w:tab w:val="center" w:pos="4153"/>
        <w:tab w:val="right" w:pos="8306"/>
      </w:tabs>
      <w:snapToGrid w:val="0"/>
      <w:jc w:val="left"/>
    </w:pPr>
    <w:rPr>
      <w:sz w:val="18"/>
      <w:szCs w:val="18"/>
    </w:rPr>
  </w:style>
  <w:style w:type="paragraph" w:styleId="24">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footnote text"/>
    <w:basedOn w:val="1"/>
    <w:qFormat/>
    <w:uiPriority w:val="0"/>
    <w:pPr>
      <w:snapToGrid w:val="0"/>
      <w:jc w:val="left"/>
    </w:pPr>
    <w:rPr>
      <w:sz w:val="18"/>
      <w:szCs w:val="18"/>
    </w:rPr>
  </w:style>
  <w:style w:type="paragraph" w:styleId="27">
    <w:name w:val="List 5"/>
    <w:basedOn w:val="1"/>
    <w:qFormat/>
    <w:uiPriority w:val="0"/>
    <w:pPr>
      <w:ind w:left="100" w:leftChars="800" w:hanging="200" w:hangingChars="200"/>
    </w:pPr>
  </w:style>
  <w:style w:type="paragraph" w:styleId="28">
    <w:name w:val="Body Text Indent 3"/>
    <w:basedOn w:val="1"/>
    <w:link w:val="70"/>
    <w:qFormat/>
    <w:uiPriority w:val="0"/>
    <w:pPr>
      <w:ind w:firstLine="570"/>
      <w:jc w:val="both"/>
    </w:pPr>
    <w:rPr>
      <w:rFonts w:ascii="Times New Roman" w:hAnsi="Times New Roman"/>
      <w:sz w:val="32"/>
      <w:szCs w:val="32"/>
    </w:rPr>
  </w:style>
  <w:style w:type="paragraph" w:styleId="29">
    <w:name w:val="toc 2"/>
    <w:basedOn w:val="1"/>
    <w:next w:val="1"/>
    <w:qFormat/>
    <w:uiPriority w:val="0"/>
    <w:pPr>
      <w:ind w:left="420" w:leftChars="200"/>
    </w:pPr>
  </w:style>
  <w:style w:type="paragraph" w:styleId="30">
    <w:name w:val="Body Text 2"/>
    <w:basedOn w:val="1"/>
    <w:link w:val="71"/>
    <w:qFormat/>
    <w:uiPriority w:val="0"/>
    <w:pPr>
      <w:autoSpaceDE/>
      <w:autoSpaceDN/>
      <w:adjustRightInd/>
      <w:spacing w:after="120" w:line="480" w:lineRule="auto"/>
      <w:jc w:val="both"/>
    </w:pPr>
    <w:rPr>
      <w:rFonts w:ascii="Times New Roman" w:hAnsi="Times New Roman"/>
      <w:sz w:val="20"/>
      <w:szCs w:val="24"/>
    </w:rPr>
  </w:style>
  <w:style w:type="paragraph" w:styleId="31">
    <w:name w:val="List 4"/>
    <w:basedOn w:val="1"/>
    <w:qFormat/>
    <w:uiPriority w:val="0"/>
    <w:pPr>
      <w:ind w:left="100" w:leftChars="600" w:hanging="200" w:hangingChars="200"/>
    </w:pPr>
  </w:style>
  <w:style w:type="paragraph" w:styleId="32">
    <w:name w:val="Normal (Web)"/>
    <w:basedOn w:val="1"/>
    <w:unhideWhenUsed/>
    <w:qFormat/>
    <w:uiPriority w:val="99"/>
    <w:pPr>
      <w:widowControl/>
      <w:autoSpaceDE/>
      <w:autoSpaceDN/>
      <w:adjustRightInd/>
      <w:spacing w:before="100" w:beforeAutospacing="1" w:after="100" w:afterAutospacing="1"/>
    </w:pPr>
    <w:rPr>
      <w:rFonts w:ascii="宋体" w:hAnsi="宋体" w:cs="宋体"/>
      <w:sz w:val="24"/>
      <w:szCs w:val="24"/>
    </w:rPr>
  </w:style>
  <w:style w:type="paragraph" w:styleId="33">
    <w:name w:val="annotation subject"/>
    <w:basedOn w:val="13"/>
    <w:next w:val="13"/>
    <w:link w:val="72"/>
    <w:qFormat/>
    <w:uiPriority w:val="0"/>
    <w:rPr>
      <w:b/>
      <w:bCs/>
    </w:rPr>
  </w:style>
  <w:style w:type="paragraph" w:styleId="34">
    <w:name w:val="Body Text First Indent"/>
    <w:basedOn w:val="15"/>
    <w:link w:val="73"/>
    <w:qFormat/>
    <w:uiPriority w:val="0"/>
    <w:pPr>
      <w:ind w:firstLine="420" w:firstLineChars="100"/>
    </w:pPr>
  </w:style>
  <w:style w:type="paragraph" w:styleId="35">
    <w:name w:val="Body Text First Indent 2"/>
    <w:basedOn w:val="16"/>
    <w:link w:val="74"/>
    <w:qFormat/>
    <w:uiPriority w:val="0"/>
    <w:pPr>
      <w:spacing w:after="120" w:afterLines="0" w:line="240" w:lineRule="auto"/>
      <w:ind w:left="420" w:leftChars="200" w:firstLine="420" w:firstLineChars="200"/>
      <w:jc w:val="left"/>
    </w:pPr>
    <w:rPr>
      <w:rFonts w:ascii="Copperplate Gothic Bold" w:hAnsi="Copperplate Gothic Bold"/>
    </w:rPr>
  </w:style>
  <w:style w:type="character" w:styleId="38">
    <w:name w:val="page number"/>
    <w:basedOn w:val="37"/>
    <w:qFormat/>
    <w:uiPriority w:val="0"/>
  </w:style>
  <w:style w:type="character" w:styleId="39">
    <w:name w:val="FollowedHyperlink"/>
    <w:unhideWhenUsed/>
    <w:qFormat/>
    <w:uiPriority w:val="99"/>
    <w:rPr>
      <w:color w:val="800080"/>
      <w:u w:val="single"/>
    </w:rPr>
  </w:style>
  <w:style w:type="character" w:styleId="40">
    <w:name w:val="HTML Definition"/>
    <w:basedOn w:val="37"/>
    <w:qFormat/>
    <w:uiPriority w:val="0"/>
  </w:style>
  <w:style w:type="character" w:styleId="41">
    <w:name w:val="HTML Typewriter"/>
    <w:basedOn w:val="37"/>
    <w:qFormat/>
    <w:uiPriority w:val="0"/>
    <w:rPr>
      <w:rFonts w:hint="default" w:ascii="monospace" w:hAnsi="monospace" w:eastAsia="monospace" w:cs="monospace"/>
      <w:sz w:val="20"/>
    </w:rPr>
  </w:style>
  <w:style w:type="character" w:styleId="42">
    <w:name w:val="HTML Acronym"/>
    <w:basedOn w:val="37"/>
    <w:qFormat/>
    <w:uiPriority w:val="0"/>
  </w:style>
  <w:style w:type="character" w:styleId="43">
    <w:name w:val="HTML Variable"/>
    <w:basedOn w:val="37"/>
    <w:qFormat/>
    <w:uiPriority w:val="0"/>
    <w:rPr>
      <w:color w:val="333333"/>
      <w:sz w:val="16"/>
      <w:szCs w:val="16"/>
      <w:shd w:val="clear" w:fill="F8F8F8"/>
    </w:rPr>
  </w:style>
  <w:style w:type="character" w:styleId="44">
    <w:name w:val="Hyperlink"/>
    <w:qFormat/>
    <w:uiPriority w:val="0"/>
    <w:rPr>
      <w:color w:val="0000FF"/>
      <w:u w:val="single"/>
    </w:rPr>
  </w:style>
  <w:style w:type="character" w:styleId="45">
    <w:name w:val="HTML Code"/>
    <w:basedOn w:val="37"/>
    <w:qFormat/>
    <w:uiPriority w:val="0"/>
    <w:rPr>
      <w:rFonts w:hint="default"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7"/>
    <w:qFormat/>
    <w:uiPriority w:val="0"/>
  </w:style>
  <w:style w:type="character" w:styleId="48">
    <w:name w:val="HTML Keyboard"/>
    <w:basedOn w:val="37"/>
    <w:qFormat/>
    <w:uiPriority w:val="0"/>
    <w:rPr>
      <w:rFonts w:hint="default" w:ascii="monospace" w:hAnsi="monospace" w:eastAsia="monospace" w:cs="monospace"/>
      <w:sz w:val="20"/>
    </w:rPr>
  </w:style>
  <w:style w:type="character" w:styleId="49">
    <w:name w:val="HTML Sample"/>
    <w:basedOn w:val="37"/>
    <w:qFormat/>
    <w:uiPriority w:val="0"/>
    <w:rPr>
      <w:rFonts w:ascii="monospace" w:hAnsi="monospace" w:eastAsia="monospace" w:cs="monospace"/>
    </w:rPr>
  </w:style>
  <w:style w:type="paragraph" w:customStyle="1" w:styleId="5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标题 1 Char"/>
    <w:link w:val="2"/>
    <w:qFormat/>
    <w:uiPriority w:val="0"/>
    <w:rPr>
      <w:rFonts w:ascii="黑体" w:eastAsia="黑体"/>
      <w:sz w:val="28"/>
      <w:szCs w:val="28"/>
    </w:rPr>
  </w:style>
  <w:style w:type="character" w:customStyle="1" w:styleId="52">
    <w:name w:val="标题 3 Char"/>
    <w:link w:val="4"/>
    <w:qFormat/>
    <w:uiPriority w:val="0"/>
    <w:rPr>
      <w:rFonts w:ascii="楷体_GB2312" w:eastAsia="楷体_GB2312"/>
      <w:sz w:val="32"/>
      <w:szCs w:val="32"/>
    </w:rPr>
  </w:style>
  <w:style w:type="character" w:customStyle="1" w:styleId="53">
    <w:name w:val="标题 2 Char"/>
    <w:link w:val="3"/>
    <w:qFormat/>
    <w:uiPriority w:val="0"/>
    <w:rPr>
      <w:rFonts w:ascii="黑体" w:eastAsia="黑体"/>
      <w:sz w:val="28"/>
      <w:szCs w:val="28"/>
      <w:lang w:val="en-US" w:eastAsia="zh-CN" w:bidi="ar-SA"/>
    </w:rPr>
  </w:style>
  <w:style w:type="character" w:customStyle="1" w:styleId="54">
    <w:name w:val="标题 4 Char"/>
    <w:link w:val="5"/>
    <w:qFormat/>
    <w:uiPriority w:val="0"/>
    <w:rPr>
      <w:rFonts w:ascii="楷体_GB2312" w:eastAsia="楷体_GB2312"/>
      <w:sz w:val="32"/>
      <w:szCs w:val="32"/>
    </w:rPr>
  </w:style>
  <w:style w:type="character" w:customStyle="1" w:styleId="55">
    <w:name w:val="标题 6 Char"/>
    <w:link w:val="6"/>
    <w:qFormat/>
    <w:uiPriority w:val="0"/>
    <w:rPr>
      <w:rFonts w:ascii="Arial" w:hAnsi="Arial" w:cs="Arial"/>
      <w:b/>
      <w:bCs/>
      <w:szCs w:val="24"/>
    </w:rPr>
  </w:style>
  <w:style w:type="character" w:customStyle="1" w:styleId="56">
    <w:name w:val="标题 7 Char"/>
    <w:link w:val="7"/>
    <w:qFormat/>
    <w:uiPriority w:val="0"/>
    <w:rPr>
      <w:b/>
      <w:bCs/>
      <w:szCs w:val="24"/>
    </w:rPr>
  </w:style>
  <w:style w:type="character" w:customStyle="1" w:styleId="57">
    <w:name w:val="标题 8 Char"/>
    <w:link w:val="8"/>
    <w:qFormat/>
    <w:uiPriority w:val="0"/>
    <w:rPr>
      <w:rFonts w:ascii="Arial" w:hAnsi="Arial" w:cs="Arial"/>
      <w:szCs w:val="24"/>
    </w:rPr>
  </w:style>
  <w:style w:type="character" w:customStyle="1" w:styleId="58">
    <w:name w:val="标题 9 Char"/>
    <w:link w:val="9"/>
    <w:qFormat/>
    <w:uiPriority w:val="0"/>
    <w:rPr>
      <w:rFonts w:ascii="Arial" w:hAnsi="Arial" w:cs="Arial"/>
      <w:sz w:val="21"/>
      <w:szCs w:val="21"/>
    </w:rPr>
  </w:style>
  <w:style w:type="character" w:customStyle="1" w:styleId="59">
    <w:name w:val="注释标题 Char"/>
    <w:link w:val="11"/>
    <w:qFormat/>
    <w:uiPriority w:val="0"/>
    <w:rPr>
      <w:rFonts w:ascii="Copperplate Gothic Bold" w:hAnsi="Copperplate Gothic Bold"/>
      <w:sz w:val="28"/>
      <w:szCs w:val="28"/>
    </w:rPr>
  </w:style>
  <w:style w:type="character" w:customStyle="1" w:styleId="60">
    <w:name w:val="批注文字 字符"/>
    <w:link w:val="13"/>
    <w:qFormat/>
    <w:uiPriority w:val="0"/>
    <w:rPr>
      <w:rFonts w:ascii="Copperplate Gothic Bold" w:hAnsi="Copperplate Gothic Bold"/>
      <w:sz w:val="28"/>
      <w:szCs w:val="28"/>
    </w:rPr>
  </w:style>
  <w:style w:type="character" w:customStyle="1" w:styleId="61">
    <w:name w:val="称呼 Char"/>
    <w:link w:val="14"/>
    <w:qFormat/>
    <w:uiPriority w:val="0"/>
    <w:rPr>
      <w:kern w:val="2"/>
      <w:sz w:val="24"/>
    </w:rPr>
  </w:style>
  <w:style w:type="character" w:customStyle="1" w:styleId="62">
    <w:name w:val="正文文本 Char"/>
    <w:link w:val="15"/>
    <w:qFormat/>
    <w:uiPriority w:val="0"/>
    <w:rPr>
      <w:rFonts w:ascii="Copperplate Gothic Bold" w:hAnsi="Copperplate Gothic Bold"/>
      <w:sz w:val="28"/>
      <w:szCs w:val="28"/>
    </w:rPr>
  </w:style>
  <w:style w:type="character" w:customStyle="1" w:styleId="63">
    <w:name w:val="正文文本缩进 Char"/>
    <w:link w:val="16"/>
    <w:qFormat/>
    <w:uiPriority w:val="0"/>
    <w:rPr>
      <w:rFonts w:ascii="方正书宋简体" w:eastAsia="方正书宋简体"/>
      <w:sz w:val="28"/>
      <w:szCs w:val="28"/>
    </w:rPr>
  </w:style>
  <w:style w:type="character" w:customStyle="1" w:styleId="64">
    <w:name w:val="纯文本 Char"/>
    <w:link w:val="19"/>
    <w:qFormat/>
    <w:uiPriority w:val="0"/>
    <w:rPr>
      <w:rFonts w:ascii="宋体" w:eastAsia="宋体"/>
      <w:sz w:val="21"/>
      <w:szCs w:val="21"/>
      <w:lang w:val="en-US" w:eastAsia="zh-CN" w:bidi="ar-SA"/>
    </w:rPr>
  </w:style>
  <w:style w:type="character" w:customStyle="1" w:styleId="65">
    <w:name w:val="日期 Char"/>
    <w:link w:val="20"/>
    <w:qFormat/>
    <w:uiPriority w:val="0"/>
    <w:rPr>
      <w:rFonts w:ascii="Copperplate Gothic Bold" w:hAnsi="Copperplate Gothic Bold"/>
      <w:sz w:val="32"/>
      <w:szCs w:val="32"/>
    </w:rPr>
  </w:style>
  <w:style w:type="character" w:customStyle="1" w:styleId="66">
    <w:name w:val="正文文本缩进 2 Char"/>
    <w:link w:val="21"/>
    <w:qFormat/>
    <w:uiPriority w:val="0"/>
    <w:rPr>
      <w:rFonts w:ascii="楷体_GB2312" w:eastAsia="楷体_GB2312"/>
      <w:sz w:val="32"/>
      <w:szCs w:val="32"/>
    </w:rPr>
  </w:style>
  <w:style w:type="character" w:customStyle="1" w:styleId="67">
    <w:name w:val="批注框文本 Char"/>
    <w:link w:val="22"/>
    <w:qFormat/>
    <w:uiPriority w:val="0"/>
    <w:rPr>
      <w:rFonts w:ascii="Copperplate Gothic Bold" w:hAnsi="Copperplate Gothic Bold"/>
      <w:sz w:val="18"/>
      <w:szCs w:val="18"/>
    </w:rPr>
  </w:style>
  <w:style w:type="character" w:customStyle="1" w:styleId="68">
    <w:name w:val="页脚 Char"/>
    <w:link w:val="23"/>
    <w:qFormat/>
    <w:uiPriority w:val="0"/>
    <w:rPr>
      <w:rFonts w:ascii="Copperplate Gothic Bold" w:hAnsi="Copperplate Gothic Bold"/>
      <w:sz w:val="18"/>
      <w:szCs w:val="18"/>
    </w:rPr>
  </w:style>
  <w:style w:type="character" w:customStyle="1" w:styleId="69">
    <w:name w:val="页眉 Char"/>
    <w:link w:val="24"/>
    <w:qFormat/>
    <w:uiPriority w:val="99"/>
    <w:rPr>
      <w:rFonts w:ascii="Copperplate Gothic Bold" w:hAnsi="Copperplate Gothic Bold"/>
      <w:sz w:val="18"/>
      <w:szCs w:val="18"/>
    </w:rPr>
  </w:style>
  <w:style w:type="character" w:customStyle="1" w:styleId="70">
    <w:name w:val="正文文本缩进 3 Char"/>
    <w:link w:val="28"/>
    <w:qFormat/>
    <w:uiPriority w:val="0"/>
    <w:rPr>
      <w:sz w:val="32"/>
      <w:szCs w:val="32"/>
    </w:rPr>
  </w:style>
  <w:style w:type="character" w:customStyle="1" w:styleId="71">
    <w:name w:val="正文文本 2 Char"/>
    <w:link w:val="30"/>
    <w:qFormat/>
    <w:uiPriority w:val="0"/>
    <w:rPr>
      <w:szCs w:val="24"/>
    </w:rPr>
  </w:style>
  <w:style w:type="character" w:customStyle="1" w:styleId="72">
    <w:name w:val="批注主题 字符"/>
    <w:link w:val="33"/>
    <w:qFormat/>
    <w:uiPriority w:val="0"/>
    <w:rPr>
      <w:rFonts w:ascii="Copperplate Gothic Bold" w:hAnsi="Copperplate Gothic Bold"/>
      <w:b/>
      <w:bCs/>
      <w:sz w:val="28"/>
      <w:szCs w:val="28"/>
    </w:rPr>
  </w:style>
  <w:style w:type="character" w:customStyle="1" w:styleId="73">
    <w:name w:val="正文首行缩进 Char"/>
    <w:basedOn w:val="62"/>
    <w:link w:val="34"/>
    <w:qFormat/>
    <w:uiPriority w:val="0"/>
  </w:style>
  <w:style w:type="character" w:customStyle="1" w:styleId="74">
    <w:name w:val="正文首行缩进 2 Char"/>
    <w:link w:val="35"/>
    <w:qFormat/>
    <w:uiPriority w:val="0"/>
    <w:rPr>
      <w:rFonts w:ascii="Copperplate Gothic Bold" w:hAnsi="Copperplate Gothic Bold" w:eastAsia="方正书宋简体"/>
      <w:sz w:val="28"/>
      <w:szCs w:val="28"/>
    </w:rPr>
  </w:style>
  <w:style w:type="paragraph" w:customStyle="1" w:styleId="75">
    <w:name w:val=" Char1"/>
    <w:basedOn w:val="1"/>
    <w:qFormat/>
    <w:uiPriority w:val="0"/>
    <w:pPr>
      <w:autoSpaceDE/>
      <w:autoSpaceDN/>
      <w:adjustRightInd/>
      <w:spacing w:line="440" w:lineRule="atLeast"/>
      <w:ind w:firstLine="482" w:firstLineChars="200"/>
      <w:jc w:val="both"/>
    </w:pPr>
    <w:rPr>
      <w:rFonts w:ascii="宋体" w:hAnsi="宋体"/>
      <w:b/>
      <w:color w:val="000000"/>
      <w:kern w:val="2"/>
      <w:sz w:val="24"/>
      <w:szCs w:val="24"/>
    </w:rPr>
  </w:style>
  <w:style w:type="paragraph" w:customStyle="1" w:styleId="76">
    <w:name w:val=" Char Char Char"/>
    <w:basedOn w:val="1"/>
    <w:qFormat/>
    <w:uiPriority w:val="0"/>
    <w:pPr>
      <w:autoSpaceDE/>
      <w:autoSpaceDN/>
      <w:adjustRightInd/>
      <w:jc w:val="both"/>
    </w:pPr>
    <w:rPr>
      <w:rFonts w:ascii="Tahoma" w:hAnsi="Tahoma"/>
      <w:kern w:val="2"/>
      <w:sz w:val="24"/>
      <w:szCs w:val="20"/>
    </w:rPr>
  </w:style>
  <w:style w:type="paragraph" w:customStyle="1" w:styleId="77">
    <w:name w:val="样式1"/>
    <w:basedOn w:val="1"/>
    <w:qFormat/>
    <w:uiPriority w:val="0"/>
    <w:pPr>
      <w:tabs>
        <w:tab w:val="left" w:pos="709"/>
      </w:tabs>
      <w:ind w:left="709" w:hanging="709"/>
      <w:jc w:val="both"/>
    </w:pPr>
    <w:rPr>
      <w:rFonts w:ascii="宋体" w:hAnsi="Times New Roman"/>
      <w:sz w:val="21"/>
      <w:szCs w:val="21"/>
    </w:rPr>
  </w:style>
  <w:style w:type="paragraph" w:customStyle="1" w:styleId="78">
    <w:name w:val="样式 样式 样式 样式 标题"/>
    <w:basedOn w:val="1"/>
    <w:qFormat/>
    <w:uiPriority w:val="0"/>
    <w:pPr>
      <w:keepNext/>
      <w:keepLines/>
      <w:tabs>
        <w:tab w:val="left" w:pos="709"/>
      </w:tabs>
      <w:spacing w:before="240" w:beforeLines="0"/>
      <w:ind w:left="709" w:hanging="709"/>
    </w:pPr>
    <w:rPr>
      <w:rFonts w:ascii="宋体" w:hAnsi="Times New Roman"/>
      <w:b/>
      <w:bCs/>
      <w:color w:val="000000"/>
      <w:sz w:val="21"/>
      <w:szCs w:val="21"/>
    </w:rPr>
  </w:style>
  <w:style w:type="paragraph" w:customStyle="1" w:styleId="79">
    <w:name w:val="xl48"/>
    <w:basedOn w:val="1"/>
    <w:qFormat/>
    <w:uiPriority w:val="0"/>
    <w:pPr>
      <w:widowControl/>
      <w:pBdr>
        <w:bottom w:val="single" w:color="auto" w:sz="4" w:space="0"/>
      </w:pBdr>
      <w:autoSpaceDE/>
      <w:autoSpaceDN/>
      <w:adjustRightInd/>
      <w:spacing w:before="100" w:beforeLines="0" w:beforeAutospacing="1" w:after="100" w:afterLines="0" w:afterAutospacing="1"/>
      <w:jc w:val="center"/>
    </w:pPr>
    <w:rPr>
      <w:rFonts w:ascii="Times New Roman" w:hAnsi="Times New Roman" w:eastAsia="Arial Unicode MS"/>
      <w:sz w:val="24"/>
      <w:szCs w:val="24"/>
    </w:rPr>
  </w:style>
  <w:style w:type="paragraph" w:customStyle="1" w:styleId="80">
    <w:name w:val="样式 标题 1 + 四号 居中"/>
    <w:basedOn w:val="2"/>
    <w:qFormat/>
    <w:uiPriority w:val="0"/>
    <w:pPr>
      <w:keepLines/>
      <w:spacing w:before="240" w:beforeLines="0" w:after="240" w:afterLines="0"/>
      <w:ind w:firstLine="288"/>
      <w:outlineLvl w:val="9"/>
    </w:pPr>
    <w:rPr>
      <w:rFonts w:ascii="Times New Roman" w:eastAsia="宋体"/>
      <w:b/>
      <w:bCs/>
    </w:rPr>
  </w:style>
  <w:style w:type="paragraph" w:customStyle="1" w:styleId="81">
    <w:name w:val=" Char Char1 Char Char Char Char Char Char"/>
    <w:basedOn w:val="1"/>
    <w:qFormat/>
    <w:uiPriority w:val="0"/>
    <w:pPr>
      <w:widowControl/>
      <w:autoSpaceDE/>
      <w:autoSpaceDN/>
      <w:adjustRightInd/>
      <w:spacing w:after="160" w:afterLines="0" w:line="240" w:lineRule="exact"/>
      <w:jc w:val="center"/>
    </w:pPr>
    <w:rPr>
      <w:rFonts w:ascii="黑体" w:hAnsi="Verdana" w:eastAsia="黑体"/>
      <w:sz w:val="36"/>
      <w:szCs w:val="36"/>
    </w:rPr>
  </w:style>
  <w:style w:type="paragraph" w:customStyle="1" w:styleId="82">
    <w:name w:val="Char Char Char"/>
    <w:basedOn w:val="1"/>
    <w:qFormat/>
    <w:uiPriority w:val="0"/>
    <w:pPr>
      <w:autoSpaceDE/>
      <w:autoSpaceDN/>
      <w:adjustRightInd/>
      <w:jc w:val="both"/>
    </w:pPr>
    <w:rPr>
      <w:rFonts w:ascii="Tahoma" w:hAnsi="Tahoma"/>
      <w:kern w:val="2"/>
      <w:sz w:val="24"/>
      <w:szCs w:val="20"/>
    </w:rPr>
  </w:style>
  <w:style w:type="character" w:customStyle="1" w:styleId="83">
    <w:name w:val="纯文本 Char1"/>
    <w:semiHidden/>
    <w:qFormat/>
    <w:uiPriority w:val="99"/>
    <w:rPr>
      <w:rFonts w:ascii="宋体" w:hAnsi="Courier New" w:eastAsia="宋体" w:cs="Courier New"/>
      <w:kern w:val="0"/>
      <w:szCs w:val="21"/>
    </w:rPr>
  </w:style>
  <w:style w:type="paragraph" w:customStyle="1" w:styleId="84">
    <w:name w:val="Char1"/>
    <w:basedOn w:val="1"/>
    <w:qFormat/>
    <w:uiPriority w:val="0"/>
    <w:pPr>
      <w:autoSpaceDE/>
      <w:autoSpaceDN/>
      <w:adjustRightInd/>
      <w:spacing w:line="440" w:lineRule="atLeast"/>
      <w:ind w:firstLine="482" w:firstLineChars="200"/>
      <w:jc w:val="both"/>
    </w:pPr>
    <w:rPr>
      <w:rFonts w:ascii="宋体" w:hAnsi="宋体"/>
      <w:b/>
      <w:color w:val="000000"/>
      <w:kern w:val="2"/>
      <w:sz w:val="24"/>
      <w:szCs w:val="24"/>
    </w:rPr>
  </w:style>
  <w:style w:type="character" w:customStyle="1" w:styleId="85">
    <w:name w:val="正文文本 2 Char1"/>
    <w:qFormat/>
    <w:uiPriority w:val="0"/>
    <w:rPr>
      <w:rFonts w:ascii="Copperplate Gothic Bold" w:hAnsi="Copperplate Gothic Bold"/>
      <w:sz w:val="28"/>
      <w:szCs w:val="28"/>
    </w:rPr>
  </w:style>
  <w:style w:type="paragraph" w:customStyle="1" w:styleId="86">
    <w:name w:val="Char Char1 Char Char Char Char Char Char"/>
    <w:basedOn w:val="1"/>
    <w:qFormat/>
    <w:uiPriority w:val="0"/>
    <w:pPr>
      <w:widowControl/>
      <w:autoSpaceDE/>
      <w:autoSpaceDN/>
      <w:adjustRightInd/>
      <w:spacing w:after="160" w:line="240" w:lineRule="exact"/>
      <w:jc w:val="center"/>
    </w:pPr>
    <w:rPr>
      <w:rFonts w:ascii="黑体" w:hAnsi="Verdana" w:eastAsia="黑体"/>
      <w:sz w:val="36"/>
      <w:szCs w:val="36"/>
    </w:rPr>
  </w:style>
  <w:style w:type="paragraph" w:customStyle="1" w:styleId="87">
    <w:name w:val="_Style 75"/>
    <w:semiHidden/>
    <w:qFormat/>
    <w:uiPriority w:val="99"/>
    <w:rPr>
      <w:rFonts w:ascii="Copperplate Gothic Bold" w:hAnsi="Copperplate Gothic Bold" w:eastAsia="宋体" w:cs="Times New Roman"/>
      <w:sz w:val="28"/>
      <w:szCs w:val="28"/>
      <w:lang w:val="en-US" w:eastAsia="zh-CN" w:bidi="ar-SA"/>
    </w:rPr>
  </w:style>
  <w:style w:type="paragraph" w:customStyle="1" w:styleId="88">
    <w:name w:val="正文（缩进）"/>
    <w:basedOn w:val="1"/>
    <w:qFormat/>
    <w:uiPriority w:val="0"/>
    <w:pPr>
      <w:spacing w:before="50" w:after="50"/>
      <w:ind w:firstLine="200" w:firstLineChars="200"/>
    </w:pPr>
    <w:rPr>
      <w:szCs w:val="22"/>
    </w:rPr>
  </w:style>
  <w:style w:type="paragraph" w:customStyle="1" w:styleId="89">
    <w:name w:val="List Paragraph"/>
    <w:basedOn w:val="1"/>
    <w:qFormat/>
    <w:uiPriority w:val="0"/>
    <w:pPr>
      <w:ind w:firstLine="420"/>
    </w:pPr>
  </w:style>
  <w:style w:type="paragraph" w:customStyle="1" w:styleId="90">
    <w:name w:val="WPSOffice手动目录 1"/>
    <w:qFormat/>
    <w:uiPriority w:val="0"/>
    <w:pPr>
      <w:ind w:leftChars="0"/>
    </w:pPr>
    <w:rPr>
      <w:rFonts w:ascii="Times New Roman" w:hAnsi="Times New Roman" w:eastAsia="宋体" w:cs="Times New Roman"/>
      <w:sz w:val="20"/>
      <w:szCs w:val="20"/>
    </w:rPr>
  </w:style>
  <w:style w:type="paragraph" w:customStyle="1" w:styleId="91">
    <w:name w:val="WPSOffice手动目录 2"/>
    <w:qFormat/>
    <w:uiPriority w:val="0"/>
    <w:pPr>
      <w:ind w:leftChars="200"/>
    </w:pPr>
    <w:rPr>
      <w:rFonts w:ascii="Times New Roman" w:hAnsi="Times New Roman" w:eastAsia="宋体" w:cs="Times New Roman"/>
      <w:sz w:val="20"/>
      <w:szCs w:val="20"/>
    </w:rPr>
  </w:style>
  <w:style w:type="character" w:customStyle="1" w:styleId="92">
    <w:name w:val="first-child"/>
    <w:basedOn w:val="37"/>
    <w:qFormat/>
    <w:uiPriority w:val="0"/>
  </w:style>
  <w:style w:type="character" w:customStyle="1" w:styleId="93">
    <w:name w:val="layui-layer-tabnow"/>
    <w:basedOn w:val="37"/>
    <w:qFormat/>
    <w:uiPriority w:val="0"/>
    <w:rPr>
      <w:bdr w:val="single" w:color="CCCCCC" w:sz="4" w:space="0"/>
      <w:shd w:val="clear" w:fill="FFFFFF"/>
    </w:rPr>
  </w:style>
  <w:style w:type="character" w:customStyle="1" w:styleId="94">
    <w:name w:val="font31"/>
    <w:basedOn w:val="37"/>
    <w:qFormat/>
    <w:uiPriority w:val="0"/>
    <w:rPr>
      <w:rFonts w:hint="eastAsia" w:ascii="宋体" w:hAnsi="宋体" w:eastAsia="宋体" w:cs="宋体"/>
      <w:color w:val="000000"/>
      <w:sz w:val="22"/>
      <w:szCs w:val="22"/>
      <w:u w:val="none"/>
    </w:rPr>
  </w:style>
  <w:style w:type="character" w:customStyle="1" w:styleId="95">
    <w:name w:val="font71"/>
    <w:basedOn w:val="37"/>
    <w:qFormat/>
    <w:uiPriority w:val="0"/>
    <w:rPr>
      <w:rFonts w:ascii="Arial" w:hAnsi="Arial" w:cs="Arial"/>
      <w:color w:val="000000"/>
      <w:sz w:val="22"/>
      <w:szCs w:val="22"/>
      <w:u w:val="none"/>
    </w:rPr>
  </w:style>
  <w:style w:type="character" w:customStyle="1" w:styleId="96">
    <w:name w:val="font01"/>
    <w:basedOn w:val="37"/>
    <w:qFormat/>
    <w:uiPriority w:val="0"/>
    <w:rPr>
      <w:rFonts w:hint="eastAsia" w:ascii="宋体" w:hAnsi="宋体" w:eastAsia="宋体" w:cs="宋体"/>
      <w:color w:val="000000"/>
      <w:sz w:val="22"/>
      <w:szCs w:val="22"/>
      <w:u w:val="none"/>
    </w:rPr>
  </w:style>
  <w:style w:type="paragraph" w:customStyle="1" w:styleId="9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CNC</Company>
  <Pages>60</Pages>
  <Words>12651</Words>
  <Characters>13768</Characters>
  <Lines>152</Lines>
  <Paragraphs>43</Paragraphs>
  <TotalTime>74</TotalTime>
  <ScaleCrop>false</ScaleCrop>
  <LinksUpToDate>false</LinksUpToDate>
  <CharactersWithSpaces>14321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2011-03-11T08:46:00Z</dcterms:created>
  <dc:creator>lenovo</dc:creator>
  <cp:lastModifiedBy>避役</cp:lastModifiedBy>
  <cp:lastPrinted>2023-09-08T07:12:00Z</cp:lastPrinted>
  <dcterms:modified xsi:type="dcterms:W3CDTF">2024-12-18T08:27:18Z</dcterms:modified>
  <dc:title>2011电子版讨论稿</dc:title>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20FE32FE22304644A7437627D7A1EC1A_13</vt:lpwstr>
  </property>
</Properties>
</file>