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A5133">
      <w:pPr>
        <w:jc w:val="center"/>
        <w:rPr>
          <w:rFonts w:hint="eastAsia" w:ascii="宋体" w:hAnsi="宋体" w:eastAsia="宋体" w:cs="宋体"/>
          <w:b/>
          <w:color w:val="000000" w:themeColor="text1"/>
          <w:sz w:val="44"/>
          <w:szCs w:val="44"/>
          <w14:textFill>
            <w14:solidFill>
              <w14:schemeClr w14:val="tx1"/>
            </w14:solidFill>
          </w14:textFill>
        </w:rPr>
      </w:pPr>
      <w:bookmarkStart w:id="0" w:name="_Toc466466372"/>
      <w:bookmarkStart w:id="1" w:name="_Toc466454728"/>
      <w:bookmarkStart w:id="2" w:name="_Toc465257481"/>
      <w:r>
        <w:rPr>
          <w:rFonts w:hint="eastAsia" w:ascii="宋体" w:hAnsi="宋体" w:cs="宋体"/>
          <w:b/>
          <w:color w:val="000000" w:themeColor="text1"/>
          <w:sz w:val="44"/>
          <w:szCs w:val="44"/>
          <w:lang w:val="en-US" w:eastAsia="zh-CN"/>
          <w14:textFill>
            <w14:solidFill>
              <w14:schemeClr w14:val="tx1"/>
            </w14:solidFill>
          </w14:textFill>
        </w:rPr>
        <w:t>延吉市林业局特种车辆采购项目</w:t>
      </w:r>
    </w:p>
    <w:p w14:paraId="43D38E7C">
      <w:pPr>
        <w:jc w:val="center"/>
        <w:rPr>
          <w:rFonts w:hint="eastAsia" w:ascii="宋体" w:hAnsi="宋体" w:eastAsia="宋体" w:cs="宋体"/>
          <w:b/>
          <w:color w:val="000000" w:themeColor="text1"/>
          <w14:textFill>
            <w14:solidFill>
              <w14:schemeClr w14:val="tx1"/>
            </w14:solidFill>
          </w14:textFill>
        </w:rPr>
      </w:pPr>
    </w:p>
    <w:p w14:paraId="1DD13165">
      <w:pPr>
        <w:ind w:firstLine="2168" w:firstLineChars="600"/>
        <w:rPr>
          <w:rFonts w:hint="eastAsia" w:ascii="宋体" w:hAnsi="宋体" w:eastAsia="宋体" w:cs="宋体"/>
          <w:b/>
          <w:color w:val="000000" w:themeColor="text1"/>
          <w:sz w:val="36"/>
          <w:szCs w:val="144"/>
          <w14:textFill>
            <w14:solidFill>
              <w14:schemeClr w14:val="tx1"/>
            </w14:solidFill>
          </w14:textFill>
        </w:rPr>
      </w:pPr>
    </w:p>
    <w:p w14:paraId="5DAEAAE0">
      <w:pPr>
        <w:pStyle w:val="17"/>
        <w:ind w:left="1470" w:right="1470"/>
        <w:rPr>
          <w:rFonts w:hint="eastAsia" w:ascii="宋体" w:hAnsi="宋体" w:eastAsia="宋体" w:cs="宋体"/>
          <w:color w:val="000000" w:themeColor="text1"/>
          <w14:textFill>
            <w14:solidFill>
              <w14:schemeClr w14:val="tx1"/>
            </w14:solidFill>
          </w14:textFill>
        </w:rPr>
      </w:pPr>
    </w:p>
    <w:p w14:paraId="4F2DDF33">
      <w:pPr>
        <w:pStyle w:val="17"/>
        <w:ind w:left="1470" w:right="1470"/>
        <w:rPr>
          <w:rFonts w:hint="eastAsia" w:ascii="宋体" w:hAnsi="宋体" w:eastAsia="宋体" w:cs="宋体"/>
          <w:color w:val="000000" w:themeColor="text1"/>
          <w14:textFill>
            <w14:solidFill>
              <w14:schemeClr w14:val="tx1"/>
            </w14:solidFill>
          </w14:textFill>
        </w:rPr>
      </w:pPr>
    </w:p>
    <w:p w14:paraId="611DCE6F">
      <w:pPr>
        <w:pStyle w:val="17"/>
        <w:ind w:left="1470" w:right="1470"/>
        <w:rPr>
          <w:rFonts w:hint="eastAsia" w:ascii="宋体" w:hAnsi="宋体" w:eastAsia="宋体" w:cs="宋体"/>
          <w:color w:val="000000" w:themeColor="text1"/>
          <w14:textFill>
            <w14:solidFill>
              <w14:schemeClr w14:val="tx1"/>
            </w14:solidFill>
          </w14:textFill>
        </w:rPr>
      </w:pPr>
    </w:p>
    <w:p w14:paraId="06921188">
      <w:pPr>
        <w:jc w:val="center"/>
        <w:rPr>
          <w:rFonts w:hint="eastAsia" w:ascii="宋体" w:hAnsi="宋体" w:eastAsia="宋体" w:cs="宋体"/>
          <w:b/>
          <w:color w:val="000000" w:themeColor="text1"/>
          <w:sz w:val="96"/>
          <w:szCs w:val="96"/>
          <w:lang w:val="en-US" w:eastAsia="zh-CN"/>
          <w14:textFill>
            <w14:solidFill>
              <w14:schemeClr w14:val="tx1"/>
            </w14:solidFill>
          </w14:textFill>
        </w:rPr>
      </w:pPr>
      <w:r>
        <w:rPr>
          <w:rFonts w:hint="eastAsia" w:ascii="宋体" w:hAnsi="宋体" w:eastAsia="宋体" w:cs="宋体"/>
          <w:b/>
          <w:color w:val="000000" w:themeColor="text1"/>
          <w:sz w:val="36"/>
          <w:szCs w:val="144"/>
          <w14:textFill>
            <w14:solidFill>
              <w14:schemeClr w14:val="tx1"/>
            </w14:solidFill>
          </w14:textFill>
        </w:rPr>
        <w:t>项目编号</w:t>
      </w:r>
      <w:r>
        <w:rPr>
          <w:rFonts w:hint="eastAsia" w:ascii="宋体" w:hAnsi="宋体" w:eastAsia="宋体" w:cs="宋体"/>
          <w:b/>
          <w:color w:val="000000" w:themeColor="text1"/>
          <w:sz w:val="36"/>
          <w:szCs w:val="144"/>
          <w:highlight w:val="none"/>
          <w14:textFill>
            <w14:solidFill>
              <w14:schemeClr w14:val="tx1"/>
            </w14:solidFill>
          </w14:textFill>
        </w:rPr>
        <w:t>：</w:t>
      </w:r>
      <w:r>
        <w:rPr>
          <w:rFonts w:hint="eastAsia" w:ascii="宋体" w:hAnsi="宋体" w:cs="宋体"/>
          <w:b/>
          <w:color w:val="000000" w:themeColor="text1"/>
          <w:sz w:val="36"/>
          <w:szCs w:val="144"/>
          <w:highlight w:val="none"/>
          <w:lang w:eastAsia="zh-CN"/>
          <w14:textFill>
            <w14:solidFill>
              <w14:schemeClr w14:val="tx1"/>
            </w14:solidFill>
          </w14:textFill>
        </w:rPr>
        <w:t>JLCR2024-CG62</w:t>
      </w:r>
    </w:p>
    <w:p w14:paraId="2326FFD2">
      <w:pPr>
        <w:jc w:val="center"/>
        <w:rPr>
          <w:rFonts w:hint="eastAsia" w:ascii="宋体" w:hAnsi="宋体" w:eastAsia="宋体" w:cs="宋体"/>
          <w:b/>
          <w:color w:val="000000" w:themeColor="text1"/>
          <w:sz w:val="96"/>
          <w:szCs w:val="96"/>
          <w14:textFill>
            <w14:solidFill>
              <w14:schemeClr w14:val="tx1"/>
            </w14:solidFill>
          </w14:textFill>
        </w:rPr>
      </w:pPr>
    </w:p>
    <w:p w14:paraId="5291EC38">
      <w:pPr>
        <w:pStyle w:val="14"/>
        <w:rPr>
          <w:rFonts w:hint="eastAsia"/>
        </w:rPr>
      </w:pPr>
    </w:p>
    <w:p w14:paraId="7BCF87C5">
      <w:pPr>
        <w:jc w:val="center"/>
        <w:rPr>
          <w:rFonts w:hint="eastAsia" w:ascii="宋体" w:hAnsi="宋体" w:eastAsia="宋体" w:cs="宋体"/>
          <w:b/>
          <w:color w:val="000000" w:themeColor="text1"/>
          <w:sz w:val="96"/>
          <w:szCs w:val="96"/>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竞争性磋商文件</w:t>
      </w:r>
    </w:p>
    <w:p w14:paraId="609671F7">
      <w:pPr>
        <w:jc w:val="center"/>
        <w:rPr>
          <w:rFonts w:hint="eastAsia" w:ascii="宋体" w:hAnsi="宋体" w:eastAsia="宋体" w:cs="宋体"/>
          <w:b/>
          <w:color w:val="000000" w:themeColor="text1"/>
          <w:sz w:val="32"/>
          <w:szCs w:val="96"/>
          <w14:textFill>
            <w14:solidFill>
              <w14:schemeClr w14:val="tx1"/>
            </w14:solidFill>
          </w14:textFill>
        </w:rPr>
      </w:pPr>
    </w:p>
    <w:p w14:paraId="2A2C45C3">
      <w:pPr>
        <w:jc w:val="center"/>
        <w:rPr>
          <w:rFonts w:hint="eastAsia" w:ascii="宋体" w:hAnsi="宋体" w:eastAsia="宋体" w:cs="宋体"/>
          <w:b/>
          <w:color w:val="000000" w:themeColor="text1"/>
          <w:sz w:val="32"/>
          <w:szCs w:val="96"/>
          <w14:textFill>
            <w14:solidFill>
              <w14:schemeClr w14:val="tx1"/>
            </w14:solidFill>
          </w14:textFill>
        </w:rPr>
      </w:pPr>
    </w:p>
    <w:p w14:paraId="07D35ADD">
      <w:pPr>
        <w:jc w:val="center"/>
        <w:rPr>
          <w:rFonts w:hint="eastAsia" w:ascii="宋体" w:hAnsi="宋体" w:eastAsia="宋体" w:cs="宋体"/>
          <w:color w:val="000000" w:themeColor="text1"/>
          <w:sz w:val="32"/>
          <w14:textFill>
            <w14:solidFill>
              <w14:schemeClr w14:val="tx1"/>
            </w14:solidFill>
          </w14:textFill>
        </w:rPr>
      </w:pPr>
    </w:p>
    <w:p w14:paraId="1C42CAB6">
      <w:pPr>
        <w:jc w:val="center"/>
        <w:rPr>
          <w:rFonts w:hint="eastAsia" w:ascii="宋体" w:hAnsi="宋体" w:eastAsia="宋体" w:cs="宋体"/>
          <w:b/>
          <w:color w:val="000000" w:themeColor="text1"/>
          <w:sz w:val="72"/>
          <w:szCs w:val="72"/>
          <w14:textFill>
            <w14:solidFill>
              <w14:schemeClr w14:val="tx1"/>
            </w14:solidFill>
          </w14:textFill>
        </w:rPr>
      </w:pPr>
    </w:p>
    <w:p w14:paraId="45CB4A95">
      <w:pPr>
        <w:rPr>
          <w:rFonts w:hint="eastAsia" w:ascii="宋体" w:hAnsi="宋体" w:eastAsia="宋体" w:cs="宋体"/>
          <w:b/>
          <w:color w:val="000000" w:themeColor="text1"/>
          <w:sz w:val="36"/>
          <w:szCs w:val="36"/>
          <w14:textFill>
            <w14:solidFill>
              <w14:schemeClr w14:val="tx1"/>
            </w14:solidFill>
          </w14:textFill>
        </w:rPr>
      </w:pPr>
    </w:p>
    <w:p w14:paraId="4DB0B719">
      <w:pPr>
        <w:spacing w:line="640" w:lineRule="exact"/>
        <w:rPr>
          <w:rFonts w:hint="eastAsia" w:ascii="宋体" w:hAnsi="宋体" w:eastAsia="宋体" w:cs="宋体"/>
          <w:b/>
          <w:color w:val="000000" w:themeColor="text1"/>
          <w:sz w:val="36"/>
          <w:szCs w:val="36"/>
          <w14:textFill>
            <w14:solidFill>
              <w14:schemeClr w14:val="tx1"/>
            </w14:solidFill>
          </w14:textFill>
        </w:rPr>
      </w:pPr>
    </w:p>
    <w:p w14:paraId="74EE368E">
      <w:pPr>
        <w:widowControl/>
        <w:autoSpaceDE w:val="0"/>
        <w:autoSpaceDN w:val="0"/>
        <w:adjustRightInd w:val="0"/>
        <w:spacing w:line="480" w:lineRule="auto"/>
        <w:ind w:right="-28" w:firstLine="1285" w:firstLineChars="400"/>
        <w:jc w:val="left"/>
        <w:textAlignment w:val="bottom"/>
        <w:rPr>
          <w:rFonts w:hint="eastAsia" w:ascii="宋体" w:hAnsi="宋体" w:eastAsia="宋体" w:cs="宋体"/>
          <w:b/>
          <w:color w:val="000000" w:themeColor="text1"/>
          <w:kern w:val="0"/>
          <w:sz w:val="32"/>
          <w:szCs w:val="28"/>
          <w:lang w:val="zh-CN"/>
          <w14:textFill>
            <w14:solidFill>
              <w14:schemeClr w14:val="tx1"/>
            </w14:solidFill>
          </w14:textFill>
        </w:rPr>
      </w:pPr>
    </w:p>
    <w:p w14:paraId="6F8AC6FA">
      <w:pPr>
        <w:widowControl/>
        <w:autoSpaceDE w:val="0"/>
        <w:autoSpaceDN w:val="0"/>
        <w:adjustRightInd w:val="0"/>
        <w:spacing w:line="480" w:lineRule="auto"/>
        <w:ind w:right="-28" w:firstLine="1928" w:firstLineChars="600"/>
        <w:jc w:val="left"/>
        <w:textAlignment w:val="bottom"/>
        <w:rPr>
          <w:rFonts w:hint="eastAsia" w:ascii="宋体" w:hAnsi="宋体" w:eastAsia="宋体" w:cs="宋体"/>
          <w:b/>
          <w:bCs/>
          <w:color w:val="000000" w:themeColor="text1"/>
          <w:kern w:val="0"/>
          <w:sz w:val="32"/>
          <w:szCs w:val="28"/>
          <w14:textFill>
            <w14:solidFill>
              <w14:schemeClr w14:val="tx1"/>
            </w14:solidFill>
          </w14:textFill>
        </w:rPr>
      </w:pPr>
    </w:p>
    <w:p w14:paraId="2BBA1919">
      <w:pPr>
        <w:widowControl/>
        <w:autoSpaceDE w:val="0"/>
        <w:autoSpaceDN w:val="0"/>
        <w:adjustRightInd w:val="0"/>
        <w:spacing w:line="480" w:lineRule="auto"/>
        <w:ind w:right="-28"/>
        <w:jc w:val="center"/>
        <w:textAlignment w:val="bottom"/>
        <w:rPr>
          <w:rFonts w:hint="eastAsia" w:ascii="宋体" w:hAnsi="宋体" w:eastAsia="宋体" w:cs="宋体"/>
          <w:b/>
          <w:bCs/>
          <w:color w:val="000000" w:themeColor="text1"/>
          <w:kern w:val="0"/>
          <w:sz w:val="32"/>
          <w:szCs w:val="28"/>
          <w14:textFill>
            <w14:solidFill>
              <w14:schemeClr w14:val="tx1"/>
            </w14:solidFill>
          </w14:textFill>
        </w:rPr>
      </w:pPr>
    </w:p>
    <w:p w14:paraId="27DCE87A">
      <w:pPr>
        <w:widowControl/>
        <w:autoSpaceDE w:val="0"/>
        <w:autoSpaceDN w:val="0"/>
        <w:adjustRightInd w:val="0"/>
        <w:spacing w:line="480" w:lineRule="auto"/>
        <w:ind w:right="-28"/>
        <w:jc w:val="center"/>
        <w:textAlignment w:val="bottom"/>
        <w:rPr>
          <w:rFonts w:hint="eastAsia" w:ascii="宋体" w:hAnsi="宋体" w:eastAsia="宋体" w:cs="宋体"/>
          <w:b/>
          <w:color w:val="000000" w:themeColor="text1"/>
          <w:sz w:val="48"/>
          <w:szCs w:val="56"/>
          <w14:textFill>
            <w14:solidFill>
              <w14:schemeClr w14:val="tx1"/>
            </w14:solidFill>
          </w14:textFill>
        </w:rPr>
        <w:sectPr>
          <w:headerReference r:id="rId3" w:type="first"/>
          <w:footerReference r:id="rId4" w:type="default"/>
          <w:pgSz w:w="11905" w:h="16838"/>
          <w:pgMar w:top="1440" w:right="1803" w:bottom="1440" w:left="1803" w:header="1140" w:footer="720" w:gutter="0"/>
          <w:pgNumType w:start="1"/>
          <w:cols w:space="0" w:num="1"/>
          <w:docGrid w:type="lines" w:linePitch="317" w:charSpace="0"/>
        </w:sectPr>
      </w:pPr>
      <w:r>
        <w:rPr>
          <w:rFonts w:hint="eastAsia" w:ascii="宋体" w:hAnsi="宋体" w:eastAsia="宋体" w:cs="宋体"/>
          <w:b/>
          <w:bCs/>
          <w:color w:val="000000" w:themeColor="text1"/>
          <w:kern w:val="0"/>
          <w:sz w:val="32"/>
          <w:szCs w:val="28"/>
          <w14:textFill>
            <w14:solidFill>
              <w14:schemeClr w14:val="tx1"/>
            </w14:solidFill>
          </w14:textFill>
        </w:rPr>
        <w:t>吉林省长润工程咨询有限公司</w:t>
      </w:r>
      <w:r>
        <w:rPr>
          <w:rFonts w:hint="eastAsia" w:ascii="宋体" w:hAnsi="宋体" w:eastAsia="宋体" w:cs="宋体"/>
          <w:b/>
          <w:bCs/>
          <w:color w:val="000000" w:themeColor="text1"/>
          <w:sz w:val="32"/>
          <w:szCs w:val="32"/>
          <w14:textFill>
            <w14:solidFill>
              <w14:schemeClr w14:val="tx1"/>
            </w14:solidFill>
          </w14:textFill>
        </w:rPr>
        <w:t>·</w:t>
      </w:r>
      <w:r>
        <w:rPr>
          <w:rFonts w:hint="eastAsia" w:ascii="宋体" w:hAnsi="宋体" w:eastAsia="宋体" w:cs="宋体"/>
          <w:b/>
          <w:bCs/>
          <w:color w:val="000000" w:themeColor="text1"/>
          <w:kern w:val="0"/>
          <w:sz w:val="32"/>
          <w:szCs w:val="28"/>
          <w14:textFill>
            <w14:solidFill>
              <w14:schemeClr w14:val="tx1"/>
            </w14:solidFill>
          </w14:textFill>
        </w:rPr>
        <w:t>编制</w:t>
      </w:r>
    </w:p>
    <w:p w14:paraId="33424FB8">
      <w:pPr>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lang w:val="en-US" w:eastAsia="zh-CN"/>
          <w14:textFill>
            <w14:solidFill>
              <w14:schemeClr w14:val="tx1"/>
            </w14:solidFill>
          </w14:textFill>
        </w:rPr>
        <w:t>延吉市林业局特种车辆采购项目</w:t>
      </w:r>
    </w:p>
    <w:p w14:paraId="5A8B68EB">
      <w:pPr>
        <w:jc w:val="center"/>
        <w:rPr>
          <w:rFonts w:hint="eastAsia" w:ascii="宋体" w:hAnsi="宋体" w:eastAsia="宋体" w:cs="宋体"/>
          <w:b/>
          <w:color w:val="000000" w:themeColor="text1"/>
          <w14:textFill>
            <w14:solidFill>
              <w14:schemeClr w14:val="tx1"/>
            </w14:solidFill>
          </w14:textFill>
        </w:rPr>
      </w:pPr>
    </w:p>
    <w:p w14:paraId="629F6B03">
      <w:pPr>
        <w:ind w:firstLine="2168" w:firstLineChars="600"/>
        <w:rPr>
          <w:rFonts w:hint="eastAsia" w:ascii="宋体" w:hAnsi="宋体" w:eastAsia="宋体" w:cs="宋体"/>
          <w:b/>
          <w:color w:val="000000" w:themeColor="text1"/>
          <w:sz w:val="36"/>
          <w:szCs w:val="144"/>
          <w14:textFill>
            <w14:solidFill>
              <w14:schemeClr w14:val="tx1"/>
            </w14:solidFill>
          </w14:textFill>
        </w:rPr>
      </w:pPr>
    </w:p>
    <w:p w14:paraId="6C67CAA9">
      <w:pPr>
        <w:pStyle w:val="17"/>
        <w:ind w:left="1470" w:right="1470"/>
        <w:rPr>
          <w:rFonts w:hint="eastAsia" w:ascii="宋体" w:hAnsi="宋体" w:eastAsia="宋体" w:cs="宋体"/>
          <w:b/>
          <w:color w:val="000000" w:themeColor="text1"/>
          <w:sz w:val="36"/>
          <w:szCs w:val="144"/>
          <w14:textFill>
            <w14:solidFill>
              <w14:schemeClr w14:val="tx1"/>
            </w14:solidFill>
          </w14:textFill>
        </w:rPr>
      </w:pPr>
    </w:p>
    <w:p w14:paraId="413205E6">
      <w:pPr>
        <w:pStyle w:val="17"/>
        <w:ind w:left="1470" w:right="1470"/>
        <w:rPr>
          <w:rFonts w:hint="eastAsia" w:ascii="宋体" w:hAnsi="宋体" w:eastAsia="宋体" w:cs="宋体"/>
          <w:b/>
          <w:color w:val="000000" w:themeColor="text1"/>
          <w:sz w:val="36"/>
          <w:szCs w:val="144"/>
          <w14:textFill>
            <w14:solidFill>
              <w14:schemeClr w14:val="tx1"/>
            </w14:solidFill>
          </w14:textFill>
        </w:rPr>
      </w:pPr>
    </w:p>
    <w:p w14:paraId="16F98958">
      <w:pPr>
        <w:jc w:val="center"/>
        <w:rPr>
          <w:rFonts w:hint="eastAsia" w:ascii="宋体" w:hAnsi="宋体" w:eastAsia="宋体" w:cs="宋体"/>
          <w:b/>
          <w:color w:val="000000" w:themeColor="text1"/>
          <w:sz w:val="36"/>
          <w:szCs w:val="144"/>
          <w:highlight w:val="none"/>
          <w:lang w:val="en-US" w:eastAsia="zh-CN"/>
          <w14:textFill>
            <w14:solidFill>
              <w14:schemeClr w14:val="tx1"/>
            </w14:solidFill>
          </w14:textFill>
        </w:rPr>
      </w:pPr>
      <w:r>
        <w:rPr>
          <w:rFonts w:hint="eastAsia" w:ascii="宋体" w:hAnsi="宋体" w:eastAsia="宋体" w:cs="宋体"/>
          <w:b/>
          <w:color w:val="000000" w:themeColor="text1"/>
          <w:sz w:val="36"/>
          <w:szCs w:val="144"/>
          <w14:textFill>
            <w14:solidFill>
              <w14:schemeClr w14:val="tx1"/>
            </w14:solidFill>
          </w14:textFill>
        </w:rPr>
        <w:t>项目编号：</w:t>
      </w:r>
      <w:r>
        <w:rPr>
          <w:rFonts w:hint="eastAsia" w:ascii="宋体" w:hAnsi="宋体" w:cs="宋体"/>
          <w:b/>
          <w:color w:val="000000" w:themeColor="text1"/>
          <w:sz w:val="36"/>
          <w:szCs w:val="144"/>
          <w:highlight w:val="none"/>
          <w:lang w:eastAsia="zh-CN"/>
          <w14:textFill>
            <w14:solidFill>
              <w14:schemeClr w14:val="tx1"/>
            </w14:solidFill>
          </w14:textFill>
        </w:rPr>
        <w:t>JLCR2024-CG62</w:t>
      </w:r>
    </w:p>
    <w:p w14:paraId="206CC9DD">
      <w:pPr>
        <w:jc w:val="center"/>
        <w:rPr>
          <w:rFonts w:hint="eastAsia" w:ascii="宋体" w:hAnsi="宋体" w:eastAsia="宋体" w:cs="宋体"/>
          <w:b/>
          <w:color w:val="000000" w:themeColor="text1"/>
          <w14:textFill>
            <w14:solidFill>
              <w14:schemeClr w14:val="tx1"/>
            </w14:solidFill>
          </w14:textFill>
        </w:rPr>
      </w:pPr>
    </w:p>
    <w:p w14:paraId="2D80C955">
      <w:pPr>
        <w:jc w:val="center"/>
        <w:rPr>
          <w:rFonts w:hint="eastAsia" w:ascii="宋体" w:hAnsi="宋体" w:eastAsia="宋体" w:cs="宋体"/>
          <w:b/>
          <w:color w:val="000000" w:themeColor="text1"/>
          <w:sz w:val="96"/>
          <w:szCs w:val="96"/>
          <w14:textFill>
            <w14:solidFill>
              <w14:schemeClr w14:val="tx1"/>
            </w14:solidFill>
          </w14:textFill>
        </w:rPr>
      </w:pPr>
    </w:p>
    <w:p w14:paraId="355C6365">
      <w:pPr>
        <w:jc w:val="center"/>
        <w:rPr>
          <w:rFonts w:hint="eastAsia" w:ascii="宋体" w:hAnsi="宋体" w:eastAsia="宋体" w:cs="宋体"/>
          <w:b/>
          <w:color w:val="000000" w:themeColor="text1"/>
          <w:sz w:val="96"/>
          <w:szCs w:val="96"/>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竞争性磋商文件</w:t>
      </w:r>
    </w:p>
    <w:p w14:paraId="3665EC8B">
      <w:pPr>
        <w:jc w:val="center"/>
        <w:rPr>
          <w:rFonts w:hint="eastAsia" w:ascii="宋体" w:hAnsi="宋体" w:eastAsia="宋体" w:cs="宋体"/>
          <w:b/>
          <w:color w:val="000000" w:themeColor="text1"/>
          <w:sz w:val="96"/>
          <w:szCs w:val="96"/>
          <w14:textFill>
            <w14:solidFill>
              <w14:schemeClr w14:val="tx1"/>
            </w14:solidFill>
          </w14:textFill>
        </w:rPr>
      </w:pPr>
    </w:p>
    <w:p w14:paraId="60439F4C">
      <w:pPr>
        <w:jc w:val="center"/>
        <w:rPr>
          <w:rFonts w:hint="eastAsia" w:ascii="宋体" w:hAnsi="宋体" w:eastAsia="宋体" w:cs="宋体"/>
          <w:b/>
          <w:color w:val="000000" w:themeColor="text1"/>
          <w:sz w:val="32"/>
          <w:szCs w:val="96"/>
          <w14:textFill>
            <w14:solidFill>
              <w14:schemeClr w14:val="tx1"/>
            </w14:solidFill>
          </w14:textFill>
        </w:rPr>
      </w:pPr>
    </w:p>
    <w:p w14:paraId="484B9069">
      <w:pPr>
        <w:pStyle w:val="14"/>
        <w:rPr>
          <w:rFonts w:hint="eastAsia"/>
        </w:rPr>
      </w:pPr>
    </w:p>
    <w:p w14:paraId="45829B38">
      <w:pPr>
        <w:jc w:val="center"/>
        <w:rPr>
          <w:rFonts w:hint="eastAsia" w:ascii="宋体" w:hAnsi="宋体" w:eastAsia="宋体" w:cs="宋体"/>
          <w:b/>
          <w:color w:val="000000" w:themeColor="text1"/>
          <w:sz w:val="32"/>
          <w:szCs w:val="96"/>
          <w14:textFill>
            <w14:solidFill>
              <w14:schemeClr w14:val="tx1"/>
            </w14:solidFill>
          </w14:textFill>
        </w:rPr>
      </w:pPr>
    </w:p>
    <w:p w14:paraId="219C460B">
      <w:pPr>
        <w:jc w:val="center"/>
        <w:rPr>
          <w:rFonts w:hint="eastAsia" w:ascii="宋体" w:hAnsi="宋体" w:eastAsia="宋体" w:cs="宋体"/>
          <w:color w:val="000000" w:themeColor="text1"/>
          <w:sz w:val="32"/>
          <w14:textFill>
            <w14:solidFill>
              <w14:schemeClr w14:val="tx1"/>
            </w14:solidFill>
          </w14:textFill>
        </w:rPr>
      </w:pPr>
    </w:p>
    <w:p w14:paraId="20CF5939">
      <w:pPr>
        <w:widowControl/>
        <w:autoSpaceDE w:val="0"/>
        <w:autoSpaceDN w:val="0"/>
        <w:adjustRightInd w:val="0"/>
        <w:spacing w:line="480" w:lineRule="auto"/>
        <w:ind w:right="-28" w:firstLine="1928" w:firstLineChars="600"/>
        <w:jc w:val="both"/>
        <w:textAlignment w:val="bottom"/>
        <w:rPr>
          <w:rFonts w:hint="eastAsia" w:ascii="宋体" w:hAnsi="宋体" w:eastAsia="宋体" w:cs="宋体"/>
          <w:b/>
          <w:color w:val="000000" w:themeColor="text1"/>
          <w:kern w:val="0"/>
          <w:sz w:val="32"/>
          <w:szCs w:val="28"/>
          <w:lang w:eastAsia="zh-CN"/>
          <w14:textFill>
            <w14:solidFill>
              <w14:schemeClr w14:val="tx1"/>
            </w14:solidFill>
          </w14:textFill>
        </w:rPr>
      </w:pPr>
      <w:bookmarkStart w:id="3" w:name="OLE_LINK10"/>
      <w:r>
        <w:rPr>
          <w:rFonts w:hint="eastAsia" w:ascii="宋体" w:hAnsi="宋体" w:eastAsia="宋体" w:cs="宋体"/>
          <w:b/>
          <w:color w:val="000000" w:themeColor="text1"/>
          <w:kern w:val="0"/>
          <w:sz w:val="32"/>
          <w:szCs w:val="28"/>
          <w:lang w:val="en-US" w:eastAsia="zh-CN"/>
          <w14:textFill>
            <w14:solidFill>
              <w14:schemeClr w14:val="tx1"/>
            </w14:solidFill>
          </w14:textFill>
        </w:rPr>
        <w:t>采 购 人</w:t>
      </w:r>
      <w:r>
        <w:rPr>
          <w:rFonts w:hint="eastAsia" w:ascii="宋体" w:hAnsi="宋体" w:eastAsia="宋体" w:cs="宋体"/>
          <w:b/>
          <w:color w:val="000000" w:themeColor="text1"/>
          <w:kern w:val="0"/>
          <w:sz w:val="32"/>
          <w:szCs w:val="28"/>
          <w14:textFill>
            <w14:solidFill>
              <w14:schemeClr w14:val="tx1"/>
            </w14:solidFill>
          </w14:textFill>
        </w:rPr>
        <w:t>：</w:t>
      </w:r>
      <w:bookmarkEnd w:id="3"/>
      <w:r>
        <w:rPr>
          <w:rFonts w:hint="eastAsia" w:ascii="宋体" w:hAnsi="宋体" w:cs="宋体"/>
          <w:b/>
          <w:bCs/>
          <w:color w:val="000000" w:themeColor="text1"/>
          <w:kern w:val="0"/>
          <w:sz w:val="32"/>
          <w:szCs w:val="28"/>
          <w:lang w:eastAsia="zh-CN"/>
          <w14:textFill>
            <w14:solidFill>
              <w14:schemeClr w14:val="tx1"/>
            </w14:solidFill>
          </w14:textFill>
        </w:rPr>
        <w:t>延吉市林业局</w:t>
      </w:r>
    </w:p>
    <w:p w14:paraId="01BBF33A">
      <w:pPr>
        <w:widowControl/>
        <w:autoSpaceDE w:val="0"/>
        <w:autoSpaceDN w:val="0"/>
        <w:adjustRightInd w:val="0"/>
        <w:spacing w:line="480" w:lineRule="auto"/>
        <w:ind w:right="-28" w:firstLine="1285" w:firstLineChars="400"/>
        <w:jc w:val="left"/>
        <w:textAlignment w:val="bottom"/>
        <w:rPr>
          <w:rFonts w:hint="eastAsia" w:ascii="宋体" w:hAnsi="宋体" w:eastAsia="宋体" w:cs="宋体"/>
          <w:b/>
          <w:color w:val="000000" w:themeColor="text1"/>
          <w:kern w:val="0"/>
          <w:sz w:val="32"/>
          <w:szCs w:val="28"/>
          <w:lang w:val="zh-CN"/>
          <w14:textFill>
            <w14:solidFill>
              <w14:schemeClr w14:val="tx1"/>
            </w14:solidFill>
          </w14:textFill>
        </w:rPr>
      </w:pPr>
    </w:p>
    <w:p w14:paraId="6918B8FD">
      <w:pPr>
        <w:widowControl/>
        <w:autoSpaceDE w:val="0"/>
        <w:autoSpaceDN w:val="0"/>
        <w:adjustRightInd w:val="0"/>
        <w:spacing w:line="480" w:lineRule="auto"/>
        <w:ind w:right="-28" w:firstLine="1928" w:firstLineChars="600"/>
        <w:jc w:val="left"/>
        <w:textAlignment w:val="bottom"/>
        <w:rPr>
          <w:rFonts w:hint="eastAsia" w:ascii="宋体" w:hAnsi="宋体" w:eastAsia="宋体" w:cs="宋体"/>
          <w:b/>
          <w:color w:val="000000" w:themeColor="text1"/>
          <w:sz w:val="32"/>
          <w:szCs w:val="52"/>
          <w14:textFill>
            <w14:solidFill>
              <w14:schemeClr w14:val="tx1"/>
            </w14:solidFill>
          </w14:textFill>
        </w:rPr>
      </w:pPr>
      <w:r>
        <w:rPr>
          <w:rFonts w:hint="eastAsia" w:ascii="宋体" w:hAnsi="宋体" w:eastAsia="宋体" w:cs="宋体"/>
          <w:b/>
          <w:color w:val="000000" w:themeColor="text1"/>
          <w:kern w:val="0"/>
          <w:sz w:val="32"/>
          <w:szCs w:val="28"/>
          <w:lang w:val="zh-CN"/>
          <w14:textFill>
            <w14:solidFill>
              <w14:schemeClr w14:val="tx1"/>
            </w14:solidFill>
          </w14:textFill>
        </w:rPr>
        <w:t>代理机构：</w:t>
      </w:r>
      <w:r>
        <w:rPr>
          <w:rFonts w:hint="eastAsia" w:ascii="宋体" w:hAnsi="宋体" w:eastAsia="宋体" w:cs="宋体"/>
          <w:b/>
          <w:bCs/>
          <w:color w:val="000000" w:themeColor="text1"/>
          <w:kern w:val="0"/>
          <w:sz w:val="32"/>
          <w:szCs w:val="28"/>
          <w14:textFill>
            <w14:solidFill>
              <w14:schemeClr w14:val="tx1"/>
            </w14:solidFill>
          </w14:textFill>
        </w:rPr>
        <w:t>吉林省长润工程咨询有限公司</w:t>
      </w:r>
    </w:p>
    <w:p w14:paraId="5EBB8AB1">
      <w:pPr>
        <w:jc w:val="center"/>
        <w:rPr>
          <w:rFonts w:hint="eastAsia" w:ascii="宋体" w:hAnsi="宋体" w:eastAsia="宋体" w:cs="宋体"/>
          <w:b/>
          <w:color w:val="000000" w:themeColor="text1"/>
          <w:sz w:val="32"/>
          <w:szCs w:val="52"/>
          <w14:textFill>
            <w14:solidFill>
              <w14:schemeClr w14:val="tx1"/>
            </w14:solidFill>
          </w14:textFill>
        </w:rPr>
      </w:pPr>
    </w:p>
    <w:p w14:paraId="7145397A">
      <w:pPr>
        <w:jc w:val="center"/>
        <w:rPr>
          <w:rFonts w:hint="eastAsia" w:ascii="宋体" w:hAnsi="宋体" w:eastAsia="宋体" w:cs="宋体"/>
          <w:b/>
          <w:color w:val="000000" w:themeColor="text1"/>
          <w:sz w:val="32"/>
          <w:szCs w:val="52"/>
          <w14:textFill>
            <w14:solidFill>
              <w14:schemeClr w14:val="tx1"/>
            </w14:solidFill>
          </w14:textFill>
        </w:rPr>
        <w:sectPr>
          <w:pgSz w:w="11905" w:h="16838"/>
          <w:pgMar w:top="1440" w:right="1803" w:bottom="1440" w:left="1803" w:header="1140" w:footer="720" w:gutter="0"/>
          <w:pgNumType w:start="1"/>
          <w:cols w:space="0" w:num="1"/>
          <w:docGrid w:type="lines" w:linePitch="317" w:charSpace="0"/>
        </w:sectPr>
      </w:pPr>
      <w:r>
        <w:rPr>
          <w:rFonts w:hint="eastAsia" w:ascii="宋体" w:hAnsi="宋体" w:eastAsia="宋体" w:cs="宋体"/>
          <w:b/>
          <w:color w:val="000000" w:themeColor="text1"/>
          <w:sz w:val="32"/>
          <w:szCs w:val="52"/>
          <w14:textFill>
            <w14:solidFill>
              <w14:schemeClr w14:val="tx1"/>
            </w14:solidFill>
          </w14:textFill>
        </w:rPr>
        <w:t>二〇二四年</w:t>
      </w:r>
      <w:r>
        <w:rPr>
          <w:rFonts w:hint="eastAsia" w:ascii="宋体" w:hAnsi="宋体" w:cs="宋体"/>
          <w:b/>
          <w:color w:val="000000" w:themeColor="text1"/>
          <w:sz w:val="32"/>
          <w:szCs w:val="52"/>
          <w:lang w:eastAsia="zh-CN"/>
          <w14:textFill>
            <w14:solidFill>
              <w14:schemeClr w14:val="tx1"/>
            </w14:solidFill>
          </w14:textFill>
        </w:rPr>
        <w:t>十二</w:t>
      </w:r>
      <w:r>
        <w:rPr>
          <w:rFonts w:hint="eastAsia" w:ascii="宋体" w:hAnsi="宋体" w:eastAsia="宋体" w:cs="宋体"/>
          <w:b/>
          <w:color w:val="000000" w:themeColor="text1"/>
          <w:sz w:val="32"/>
          <w:szCs w:val="52"/>
          <w14:textFill>
            <w14:solidFill>
              <w14:schemeClr w14:val="tx1"/>
            </w14:solidFill>
          </w14:textFill>
        </w:rPr>
        <w:t>月</w:t>
      </w:r>
    </w:p>
    <w:bookmarkEnd w:id="0"/>
    <w:bookmarkEnd w:id="1"/>
    <w:bookmarkEnd w:id="2"/>
    <w:p w14:paraId="5F7EB399">
      <w:pPr>
        <w:jc w:val="center"/>
        <w:outlineLvl w:val="0"/>
        <w:rPr>
          <w:rFonts w:hint="eastAsia" w:ascii="宋体" w:hAnsi="宋体" w:eastAsia="宋体" w:cs="宋体"/>
          <w:b/>
          <w:bCs/>
          <w:color w:val="000000" w:themeColor="text1"/>
          <w:sz w:val="44"/>
          <w:szCs w:val="44"/>
          <w14:textFill>
            <w14:solidFill>
              <w14:schemeClr w14:val="tx1"/>
            </w14:solidFill>
          </w14:textFill>
        </w:rPr>
      </w:pPr>
      <w:bookmarkStart w:id="4" w:name="_Toc6528"/>
      <w:bookmarkStart w:id="5" w:name="_Toc19478"/>
      <w:bookmarkStart w:id="6" w:name="_Toc4341"/>
      <w:bookmarkStart w:id="7" w:name="_Toc29123"/>
      <w:bookmarkStart w:id="8" w:name="_Toc139"/>
      <w:bookmarkStart w:id="9" w:name="_Toc19476"/>
      <w:bookmarkStart w:id="10" w:name="_Toc6853"/>
      <w:r>
        <w:rPr>
          <w:rFonts w:hint="eastAsia" w:ascii="宋体" w:hAnsi="宋体" w:eastAsia="宋体" w:cs="宋体"/>
          <w:b/>
          <w:bCs/>
          <w:color w:val="000000" w:themeColor="text1"/>
          <w:sz w:val="44"/>
          <w:szCs w:val="44"/>
          <w14:textFill>
            <w14:solidFill>
              <w14:schemeClr w14:val="tx1"/>
            </w14:solidFill>
          </w14:textFill>
        </w:rPr>
        <w:t>目</w:t>
      </w:r>
      <w:r>
        <w:rPr>
          <w:rFonts w:hint="eastAsia" w:ascii="宋体" w:hAnsi="宋体" w:cs="宋体"/>
          <w:b/>
          <w:bCs/>
          <w:color w:val="000000" w:themeColor="text1"/>
          <w:sz w:val="44"/>
          <w:szCs w:val="44"/>
          <w:lang w:val="en-US" w:eastAsia="zh-CN"/>
          <w14:textFill>
            <w14:solidFill>
              <w14:schemeClr w14:val="tx1"/>
            </w14:solidFill>
          </w14:textFill>
        </w:rPr>
        <w:t xml:space="preserve"> </w:t>
      </w:r>
      <w:r>
        <w:rPr>
          <w:rFonts w:hint="eastAsia" w:ascii="宋体" w:hAnsi="宋体" w:eastAsia="宋体" w:cs="宋体"/>
          <w:b/>
          <w:bCs/>
          <w:color w:val="000000" w:themeColor="text1"/>
          <w:sz w:val="44"/>
          <w:szCs w:val="44"/>
          <w14:textFill>
            <w14:solidFill>
              <w14:schemeClr w14:val="tx1"/>
            </w14:solidFill>
          </w14:textFill>
        </w:rPr>
        <w:t>录</w:t>
      </w:r>
      <w:bookmarkEnd w:id="4"/>
      <w:bookmarkEnd w:id="5"/>
      <w:bookmarkEnd w:id="6"/>
      <w:bookmarkEnd w:id="7"/>
    </w:p>
    <w:p w14:paraId="4A0BF5B1">
      <w:pPr>
        <w:pStyle w:val="14"/>
        <w:rPr>
          <w:rFonts w:hint="eastAsia" w:ascii="宋体" w:hAnsi="宋体" w:eastAsia="宋体" w:cs="宋体"/>
        </w:rPr>
      </w:pPr>
    </w:p>
    <w:p w14:paraId="622EBCF3">
      <w:pPr>
        <w:rPr>
          <w:rFonts w:hint="eastAsia" w:ascii="宋体" w:hAnsi="宋体" w:eastAsia="宋体" w:cs="宋体"/>
          <w:color w:val="000000" w:themeColor="text1"/>
          <w14:textFill>
            <w14:solidFill>
              <w14:schemeClr w14:val="tx1"/>
            </w14:solidFill>
          </w14:textFill>
        </w:rPr>
      </w:pPr>
    </w:p>
    <w:p w14:paraId="7BD43B02">
      <w:pPr>
        <w:pStyle w:val="26"/>
        <w:tabs>
          <w:tab w:val="right" w:leader="dot" w:pos="8299"/>
          <w:tab w:val="clear" w:pos="8390"/>
        </w:tabs>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TOC \o "1-2" \h \u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sz w:val="32"/>
          <w:szCs w:val="32"/>
        </w:rPr>
        <w:instrText xml:space="preserve"> HYPERLINK \l _Toc9302 </w:instrText>
      </w:r>
      <w:r>
        <w:rPr>
          <w:rFonts w:hint="eastAsia" w:ascii="宋体" w:hAnsi="宋体" w:eastAsia="宋体" w:cs="宋体"/>
          <w:sz w:val="32"/>
          <w:szCs w:val="32"/>
        </w:rPr>
        <w:fldChar w:fldCharType="separate"/>
      </w:r>
      <w:r>
        <w:rPr>
          <w:rFonts w:hint="eastAsia" w:ascii="宋体" w:hAnsi="宋体" w:eastAsia="宋体" w:cs="宋体"/>
          <w:bCs/>
          <w:sz w:val="32"/>
          <w:szCs w:val="32"/>
        </w:rPr>
        <w:t>第一章</w:t>
      </w:r>
      <w:r>
        <w:rPr>
          <w:rFonts w:hint="eastAsia" w:ascii="宋体" w:hAnsi="宋体" w:eastAsia="宋体" w:cs="宋体"/>
          <w:bCs/>
          <w:sz w:val="32"/>
          <w:szCs w:val="32"/>
          <w:lang w:val="en-US" w:eastAsia="zh-CN"/>
        </w:rPr>
        <w:t xml:space="preserve"> </w:t>
      </w:r>
      <w:r>
        <w:rPr>
          <w:rFonts w:hint="eastAsia" w:ascii="宋体" w:hAnsi="宋体" w:eastAsia="宋体" w:cs="宋体"/>
          <w:bCs/>
          <w:sz w:val="32"/>
          <w:szCs w:val="32"/>
        </w:rPr>
        <w:t>竞争性磋商公告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_Toc9302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14:paraId="0E7B5B91">
      <w:pPr>
        <w:pStyle w:val="26"/>
        <w:tabs>
          <w:tab w:val="right" w:leader="dot" w:pos="8299"/>
          <w:tab w:val="clear" w:pos="8390"/>
        </w:tabs>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sz w:val="32"/>
          <w:szCs w:val="32"/>
        </w:rPr>
        <w:instrText xml:space="preserve"> HYPERLINK \l _Toc9842 </w:instrText>
      </w:r>
      <w:r>
        <w:rPr>
          <w:rFonts w:hint="eastAsia" w:ascii="宋体" w:hAnsi="宋体" w:eastAsia="宋体" w:cs="宋体"/>
          <w:sz w:val="32"/>
          <w:szCs w:val="32"/>
        </w:rPr>
        <w:fldChar w:fldCharType="separate"/>
      </w:r>
      <w:r>
        <w:rPr>
          <w:rFonts w:hint="eastAsia" w:ascii="宋体" w:hAnsi="宋体" w:eastAsia="宋体" w:cs="宋体"/>
          <w:bCs/>
          <w:sz w:val="32"/>
          <w:szCs w:val="32"/>
        </w:rPr>
        <w:t>第二章</w:t>
      </w:r>
      <w:r>
        <w:rPr>
          <w:rFonts w:hint="eastAsia" w:ascii="宋体" w:hAnsi="宋体" w:eastAsia="宋体" w:cs="宋体"/>
          <w:bCs/>
          <w:sz w:val="32"/>
          <w:szCs w:val="32"/>
          <w:lang w:val="en-US" w:eastAsia="zh-CN"/>
        </w:rPr>
        <w:t xml:space="preserve"> </w:t>
      </w:r>
      <w:r>
        <w:rPr>
          <w:rFonts w:hint="eastAsia" w:ascii="宋体" w:hAnsi="宋体" w:eastAsia="宋体" w:cs="宋体"/>
          <w:bCs/>
          <w:sz w:val="32"/>
          <w:szCs w:val="32"/>
        </w:rPr>
        <w:t>供应商须知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_Toc9842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14:paraId="391DCAEC">
      <w:pPr>
        <w:pStyle w:val="26"/>
        <w:tabs>
          <w:tab w:val="right" w:leader="dot" w:pos="8299"/>
          <w:tab w:val="clear" w:pos="8390"/>
        </w:tabs>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sz w:val="32"/>
          <w:szCs w:val="32"/>
        </w:rPr>
        <w:instrText xml:space="preserve"> HYPERLINK \l _Toc4788 </w:instrText>
      </w:r>
      <w:r>
        <w:rPr>
          <w:rFonts w:hint="eastAsia" w:ascii="宋体" w:hAnsi="宋体" w:eastAsia="宋体" w:cs="宋体"/>
          <w:sz w:val="32"/>
          <w:szCs w:val="32"/>
        </w:rPr>
        <w:fldChar w:fldCharType="separate"/>
      </w:r>
      <w:r>
        <w:rPr>
          <w:rFonts w:hint="eastAsia" w:ascii="宋体" w:hAnsi="宋体" w:eastAsia="宋体" w:cs="宋体"/>
          <w:bCs/>
          <w:sz w:val="32"/>
          <w:szCs w:val="32"/>
        </w:rPr>
        <w:t>第三章 竞争性磋商评标办法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_Toc4788 \h </w:instrText>
      </w:r>
      <w:r>
        <w:rPr>
          <w:rFonts w:hint="eastAsia" w:ascii="宋体" w:hAnsi="宋体" w:eastAsia="宋体" w:cs="宋体"/>
          <w:sz w:val="32"/>
          <w:szCs w:val="32"/>
        </w:rPr>
        <w:fldChar w:fldCharType="separate"/>
      </w:r>
      <w:r>
        <w:rPr>
          <w:rFonts w:hint="eastAsia" w:ascii="宋体" w:hAnsi="宋体" w:eastAsia="宋体" w:cs="宋体"/>
          <w:sz w:val="32"/>
          <w:szCs w:val="32"/>
        </w:rPr>
        <w:t>43</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14:paraId="2080E484">
      <w:pPr>
        <w:pStyle w:val="26"/>
        <w:tabs>
          <w:tab w:val="right" w:leader="dot" w:pos="8299"/>
          <w:tab w:val="clear" w:pos="8390"/>
        </w:tabs>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sz w:val="32"/>
          <w:szCs w:val="32"/>
        </w:rPr>
        <w:instrText xml:space="preserve"> HYPERLINK \l _Toc339 </w:instrText>
      </w:r>
      <w:r>
        <w:rPr>
          <w:rFonts w:hint="eastAsia" w:ascii="宋体" w:hAnsi="宋体" w:eastAsia="宋体" w:cs="宋体"/>
          <w:sz w:val="32"/>
          <w:szCs w:val="32"/>
        </w:rPr>
        <w:fldChar w:fldCharType="separate"/>
      </w:r>
      <w:r>
        <w:rPr>
          <w:rFonts w:hint="eastAsia" w:ascii="宋体" w:hAnsi="宋体" w:eastAsia="宋体" w:cs="宋体"/>
          <w:bCs/>
          <w:sz w:val="32"/>
          <w:szCs w:val="32"/>
          <w:highlight w:val="none"/>
          <w:lang w:val="en-US" w:eastAsia="zh-CN"/>
        </w:rPr>
        <w:t>第四章 政府采购合同书</w:t>
      </w:r>
      <w:r>
        <w:rPr>
          <w:rFonts w:hint="eastAsia" w:ascii="宋体" w:hAnsi="宋体" w:eastAsia="宋体" w:cs="宋体"/>
          <w:bCs/>
          <w:sz w:val="32"/>
          <w:szCs w:val="32"/>
          <w:highlight w:val="none"/>
        </w:rPr>
        <w:t>格式及条款</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_Toc339 \h </w:instrText>
      </w:r>
      <w:r>
        <w:rPr>
          <w:rFonts w:hint="eastAsia" w:ascii="宋体" w:hAnsi="宋体" w:eastAsia="宋体" w:cs="宋体"/>
          <w:sz w:val="32"/>
          <w:szCs w:val="32"/>
        </w:rPr>
        <w:fldChar w:fldCharType="separate"/>
      </w:r>
      <w:r>
        <w:rPr>
          <w:rFonts w:hint="eastAsia" w:ascii="宋体" w:hAnsi="宋体" w:eastAsia="宋体" w:cs="宋体"/>
          <w:sz w:val="32"/>
          <w:szCs w:val="32"/>
        </w:rPr>
        <w:t>59</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14:paraId="29C264F7">
      <w:pPr>
        <w:pStyle w:val="26"/>
        <w:tabs>
          <w:tab w:val="right" w:leader="dot" w:pos="8299"/>
          <w:tab w:val="clear" w:pos="8390"/>
        </w:tabs>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sz w:val="32"/>
          <w:szCs w:val="32"/>
        </w:rPr>
        <w:instrText xml:space="preserve"> HYPERLINK \l _Toc13248 </w:instrText>
      </w:r>
      <w:r>
        <w:rPr>
          <w:rFonts w:hint="eastAsia" w:ascii="宋体" w:hAnsi="宋体" w:eastAsia="宋体" w:cs="宋体"/>
          <w:sz w:val="32"/>
          <w:szCs w:val="32"/>
        </w:rPr>
        <w:fldChar w:fldCharType="separate"/>
      </w:r>
      <w:r>
        <w:rPr>
          <w:rFonts w:hint="eastAsia" w:ascii="宋体" w:hAnsi="宋体" w:eastAsia="宋体" w:cs="宋体"/>
          <w:bCs/>
          <w:sz w:val="32"/>
          <w:szCs w:val="32"/>
        </w:rPr>
        <w:t>第五章 项目采购需求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_Toc13248 \h </w:instrText>
      </w:r>
      <w:r>
        <w:rPr>
          <w:rFonts w:hint="eastAsia" w:ascii="宋体" w:hAnsi="宋体" w:eastAsia="宋体" w:cs="宋体"/>
          <w:sz w:val="32"/>
          <w:szCs w:val="32"/>
        </w:rPr>
        <w:fldChar w:fldCharType="separate"/>
      </w:r>
      <w:r>
        <w:rPr>
          <w:rFonts w:hint="eastAsia" w:ascii="宋体" w:hAnsi="宋体" w:eastAsia="宋体" w:cs="宋体"/>
          <w:sz w:val="32"/>
          <w:szCs w:val="32"/>
        </w:rPr>
        <w:t>80</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14:paraId="73106975">
      <w:pPr>
        <w:pStyle w:val="26"/>
        <w:tabs>
          <w:tab w:val="right" w:leader="dot" w:pos="8299"/>
          <w:tab w:val="clear" w:pos="8390"/>
        </w:tabs>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sz w:val="32"/>
          <w:szCs w:val="32"/>
        </w:rPr>
        <w:instrText xml:space="preserve"> HYPERLINK \l _Toc16780 </w:instrText>
      </w:r>
      <w:r>
        <w:rPr>
          <w:rFonts w:hint="eastAsia" w:ascii="宋体" w:hAnsi="宋体" w:eastAsia="宋体" w:cs="宋体"/>
          <w:sz w:val="32"/>
          <w:szCs w:val="32"/>
        </w:rPr>
        <w:fldChar w:fldCharType="separate"/>
      </w:r>
      <w:r>
        <w:rPr>
          <w:rFonts w:hint="eastAsia" w:ascii="宋体" w:hAnsi="宋体" w:eastAsia="宋体" w:cs="宋体"/>
          <w:bCs/>
          <w:sz w:val="32"/>
          <w:szCs w:val="32"/>
        </w:rPr>
        <w:t>第六章</w:t>
      </w:r>
      <w:r>
        <w:rPr>
          <w:rFonts w:hint="eastAsia" w:ascii="宋体" w:hAnsi="宋体" w:eastAsia="宋体" w:cs="宋体"/>
          <w:bCs/>
          <w:sz w:val="32"/>
          <w:szCs w:val="32"/>
          <w:lang w:val="en-US" w:eastAsia="zh-CN"/>
        </w:rPr>
        <w:t xml:space="preserve"> </w:t>
      </w:r>
      <w:r>
        <w:rPr>
          <w:rFonts w:hint="eastAsia" w:ascii="宋体" w:hAnsi="宋体" w:eastAsia="宋体" w:cs="宋体"/>
          <w:bCs/>
          <w:sz w:val="32"/>
          <w:szCs w:val="32"/>
        </w:rPr>
        <w:t>竞争性磋商响应文件格式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_Toc16780 \h </w:instrText>
      </w:r>
      <w:r>
        <w:rPr>
          <w:rFonts w:hint="eastAsia" w:ascii="宋体" w:hAnsi="宋体" w:eastAsia="宋体" w:cs="宋体"/>
          <w:sz w:val="32"/>
          <w:szCs w:val="32"/>
        </w:rPr>
        <w:fldChar w:fldCharType="separate"/>
      </w:r>
      <w:r>
        <w:rPr>
          <w:rFonts w:hint="eastAsia" w:ascii="宋体" w:hAnsi="宋体" w:eastAsia="宋体" w:cs="宋体"/>
          <w:sz w:val="32"/>
          <w:szCs w:val="32"/>
        </w:rPr>
        <w:t>82</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14:paraId="7ACD2A37">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fldChar w:fldCharType="end"/>
      </w:r>
    </w:p>
    <w:p w14:paraId="79CF29EC">
      <w:pPr>
        <w:rPr>
          <w:rFonts w:hint="eastAsia" w:ascii="宋体" w:hAnsi="宋体" w:eastAsia="宋体" w:cs="宋体"/>
          <w:color w:val="000000" w:themeColor="text1"/>
          <w14:textFill>
            <w14:solidFill>
              <w14:schemeClr w14:val="tx1"/>
            </w14:solidFill>
          </w14:textFill>
        </w:rPr>
        <w:sectPr>
          <w:headerReference r:id="rId5" w:type="default"/>
          <w:pgSz w:w="11905" w:h="16838"/>
          <w:pgMar w:top="1440" w:right="1803" w:bottom="1440" w:left="1803" w:header="1140" w:footer="720" w:gutter="0"/>
          <w:cols w:space="0" w:num="1"/>
          <w:docGrid w:type="lines" w:linePitch="317" w:charSpace="0"/>
        </w:sectPr>
      </w:pPr>
    </w:p>
    <w:p w14:paraId="22F3B290">
      <w:pPr>
        <w:pStyle w:val="2"/>
        <w:spacing w:before="0" w:after="0" w:line="360" w:lineRule="auto"/>
        <w:jc w:val="center"/>
        <w:rPr>
          <w:rFonts w:hint="eastAsia" w:ascii="宋体" w:hAnsi="宋体" w:eastAsia="宋体" w:cs="宋体"/>
          <w:b/>
          <w:bCs/>
          <w:color w:val="000000" w:themeColor="text1"/>
          <w:sz w:val="44"/>
          <w:szCs w:val="44"/>
          <w14:textFill>
            <w14:solidFill>
              <w14:schemeClr w14:val="tx1"/>
            </w14:solidFill>
          </w14:textFill>
        </w:rPr>
      </w:pPr>
      <w:bookmarkStart w:id="11" w:name="_Toc9302"/>
      <w:r>
        <w:rPr>
          <w:rFonts w:hint="eastAsia" w:ascii="宋体" w:hAnsi="宋体" w:eastAsia="宋体" w:cs="宋体"/>
          <w:b/>
          <w:bCs/>
          <w:color w:val="000000" w:themeColor="text1"/>
          <w14:textFill>
            <w14:solidFill>
              <w14:schemeClr w14:val="tx1"/>
            </w14:solidFill>
          </w14:textFill>
        </w:rPr>
        <w:t>第一章</w:t>
      </w:r>
      <w:r>
        <w:rPr>
          <w:rFonts w:hint="eastAsia" w:ascii="宋体" w:hAnsi="宋体" w:eastAsia="宋体" w:cs="宋体"/>
          <w:b/>
          <w:bCs/>
          <w:color w:val="000000" w:themeColor="text1"/>
          <w:lang w:val="en-US" w:eastAsia="zh-CN"/>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竞争性磋商公告</w:t>
      </w:r>
      <w:bookmarkEnd w:id="8"/>
      <w:bookmarkEnd w:id="9"/>
      <w:bookmarkEnd w:id="10"/>
      <w:bookmarkEnd w:id="11"/>
    </w:p>
    <w:p w14:paraId="4D814315">
      <w:pPr>
        <w:rPr>
          <w:rFonts w:hint="eastAsia" w:ascii="宋体" w:hAnsi="宋体" w:eastAsia="宋体" w:cs="宋体"/>
          <w:color w:val="000000" w:themeColor="text1"/>
          <w14:textFill>
            <w14:solidFill>
              <w14:schemeClr w14:val="tx1"/>
            </w14:solidFill>
          </w14:textFill>
        </w:rPr>
      </w:pPr>
    </w:p>
    <w:p w14:paraId="4DBD13F1">
      <w:pPr>
        <w:pStyle w:val="81"/>
        <w:pBdr>
          <w:top w:val="single" w:color="auto" w:sz="4" w:space="0"/>
          <w:left w:val="single" w:color="auto" w:sz="4" w:space="0"/>
          <w:bottom w:val="single" w:color="auto" w:sz="4" w:space="0"/>
          <w:right w:val="single" w:color="auto" w:sz="4" w:space="0"/>
        </w:pBdr>
        <w:spacing w:line="500" w:lineRule="exact"/>
        <w:ind w:firstLine="480"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bookmarkStart w:id="12" w:name="_Toc466466374"/>
      <w:bookmarkStart w:id="13" w:name="_Toc466454730"/>
      <w:bookmarkStart w:id="14" w:name="_Toc465257483"/>
      <w:r>
        <w:rPr>
          <w:rFonts w:hint="eastAsia" w:ascii="宋体" w:hAnsi="宋体" w:eastAsia="宋体" w:cs="宋体"/>
          <w:color w:val="000000" w:themeColor="text1"/>
          <w:sz w:val="24"/>
          <w:szCs w:val="24"/>
          <w:highlight w:val="none"/>
          <w14:textFill>
            <w14:solidFill>
              <w14:schemeClr w14:val="tx1"/>
            </w14:solidFill>
          </w14:textFill>
        </w:rPr>
        <w:t>项目概况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u w:val="single"/>
          <w:lang w:val="en-US" w:eastAsia="zh-CN"/>
          <w14:textFill>
            <w14:solidFill>
              <w14:schemeClr w14:val="tx1"/>
            </w14:solidFill>
          </w14:textFill>
        </w:rPr>
        <w:t>延吉市林业局特种车辆采购项目</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的潜在供应商应按照竞争性磋商公告规定获取采购文件，并于</w:t>
      </w:r>
      <w:r>
        <w:rPr>
          <w:rFonts w:hint="eastAsia" w:cs="宋体"/>
          <w:color w:val="000000" w:themeColor="text1"/>
          <w:sz w:val="24"/>
          <w:szCs w:val="24"/>
          <w:highlight w:val="none"/>
          <w:u w:val="single"/>
          <w:lang w:val="en-US" w:eastAsia="zh-CN"/>
          <w14:textFill>
            <w14:solidFill>
              <w14:schemeClr w14:val="tx1"/>
            </w14:solidFill>
          </w14:textFill>
        </w:rPr>
        <w:t>2025年1月8日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，上午</w:t>
      </w:r>
      <w:r>
        <w:rPr>
          <w:rFonts w:hint="eastAsia"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时00分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（北京时间）前递交响应文件。</w:t>
      </w:r>
    </w:p>
    <w:p w14:paraId="0E9541CF">
      <w:pPr>
        <w:numPr>
          <w:ilvl w:val="0"/>
          <w:numId w:val="1"/>
        </w:numPr>
        <w:autoSpaceDE w:val="0"/>
        <w:autoSpaceDN w:val="0"/>
        <w:adjustRightInd w:val="0"/>
        <w:spacing w:line="440" w:lineRule="exact"/>
        <w:jc w:val="left"/>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15" w:name="_Toc23461"/>
      <w:bookmarkStart w:id="16" w:name="_Toc21313"/>
      <w:r>
        <w:rPr>
          <w:rFonts w:hint="eastAsia" w:ascii="宋体" w:hAnsi="宋体" w:eastAsia="宋体" w:cs="宋体"/>
          <w:b/>
          <w:bCs/>
          <w:color w:val="000000" w:themeColor="text1"/>
          <w:sz w:val="24"/>
          <w:szCs w:val="24"/>
          <w:highlight w:val="none"/>
          <w14:textFill>
            <w14:solidFill>
              <w14:schemeClr w14:val="tx1"/>
            </w14:solidFill>
          </w14:textFill>
        </w:rPr>
        <w:t>项目基本情况</w:t>
      </w:r>
      <w:bookmarkEnd w:id="15"/>
      <w:bookmarkEnd w:id="16"/>
    </w:p>
    <w:p w14:paraId="3E6437BB">
      <w:pPr>
        <w:keepNext w:val="0"/>
        <w:keepLines w:val="0"/>
        <w:pageBreakBefore w:val="0"/>
        <w:widowControl w:val="0"/>
        <w:tabs>
          <w:tab w:val="left" w:pos="-3675"/>
        </w:tabs>
        <w:kinsoku/>
        <w:wordWrap/>
        <w:overflowPunct/>
        <w:topLinePunct w:val="0"/>
        <w:autoSpaceDE w:val="0"/>
        <w:autoSpaceDN w:val="0"/>
        <w:bidi w:val="0"/>
        <w:adjustRightInd w:val="0"/>
        <w:snapToGrid/>
        <w:spacing w:line="460" w:lineRule="exact"/>
        <w:ind w:right="97" w:rightChars="46" w:firstLine="480" w:firstLineChars="200"/>
        <w:jc w:val="left"/>
        <w:textAlignment w:val="auto"/>
        <w:rPr>
          <w:rFonts w:hint="eastAsia" w:ascii="宋体" w:hAnsi="宋体" w:eastAsia="宋体" w:cs="宋体"/>
          <w:highlight w:val="none"/>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采购编号：</w:t>
      </w:r>
      <w:r>
        <w:rPr>
          <w:rFonts w:hint="eastAsia" w:ascii="宋体" w:hAnsi="宋体" w:eastAsia="宋体" w:cs="宋体"/>
          <w:color w:val="000000" w:themeColor="text1"/>
          <w:sz w:val="24"/>
          <w:szCs w:val="24"/>
          <w:highlight w:val="none"/>
          <w:lang w:eastAsia="zh-CN"/>
          <w14:textFill>
            <w14:solidFill>
              <w14:schemeClr w14:val="tx1"/>
            </w14:solidFill>
          </w14:textFill>
        </w:rPr>
        <w:t>采购计划</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268</w:t>
      </w:r>
      <w:r>
        <w:rPr>
          <w:rFonts w:hint="eastAsia" w:ascii="宋体" w:hAnsi="宋体" w:eastAsia="宋体" w:cs="宋体"/>
          <w:color w:val="000000" w:themeColor="text1"/>
          <w:sz w:val="24"/>
          <w:szCs w:val="24"/>
          <w:highlight w:val="none"/>
          <w:lang w:eastAsia="zh-CN"/>
          <w14:textFill>
            <w14:solidFill>
              <w14:schemeClr w14:val="tx1"/>
            </w14:solidFill>
          </w14:textFill>
        </w:rPr>
        <w:t>号</w:t>
      </w:r>
    </w:p>
    <w:p w14:paraId="4804D348">
      <w:pPr>
        <w:tabs>
          <w:tab w:val="left" w:pos="-3675"/>
        </w:tabs>
        <w:autoSpaceDE w:val="0"/>
        <w:autoSpaceDN w:val="0"/>
        <w:adjustRightInd w:val="0"/>
        <w:spacing w:line="440" w:lineRule="exact"/>
        <w:ind w:right="97" w:rightChars="46"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延吉市林业局特种车辆采购项目</w:t>
      </w:r>
    </w:p>
    <w:p w14:paraId="16C80E5C">
      <w:pPr>
        <w:tabs>
          <w:tab w:val="left" w:pos="-3675"/>
        </w:tabs>
        <w:autoSpaceDE w:val="0"/>
        <w:autoSpaceDN w:val="0"/>
        <w:adjustRightInd w:val="0"/>
        <w:spacing w:line="440" w:lineRule="exact"/>
        <w:ind w:right="97" w:rightChars="46"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JLCR2024-CG62</w:t>
      </w:r>
    </w:p>
    <w:p w14:paraId="5DB4AF6B">
      <w:pPr>
        <w:tabs>
          <w:tab w:val="left" w:pos="-3675"/>
        </w:tabs>
        <w:autoSpaceDE w:val="0"/>
        <w:autoSpaceDN w:val="0"/>
        <w:adjustRightInd w:val="0"/>
        <w:spacing w:line="440" w:lineRule="exact"/>
        <w:ind w:right="97" w:rightChars="46"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.采购方式</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竞争性磋商</w:t>
      </w:r>
    </w:p>
    <w:p w14:paraId="40B458E7">
      <w:pPr>
        <w:pStyle w:val="14"/>
        <w:ind w:firstLine="496" w:firstLineChars="200"/>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Cs w:val="24"/>
          <w:highlight w:val="none"/>
          <w14:textFill>
            <w14:solidFill>
              <w14:schemeClr w14:val="tx1"/>
            </w14:solidFill>
          </w14:textFill>
        </w:rPr>
        <w:t>.预算金额：</w:t>
      </w:r>
      <w:r>
        <w:rPr>
          <w:rFonts w:hint="eastAsia" w:ascii="宋体" w:hAnsi="宋体" w:eastAsia="宋体" w:cs="宋体"/>
          <w:b w:val="0"/>
          <w:bCs w:val="0"/>
          <w:color w:val="000000" w:themeColor="text1"/>
          <w:kern w:val="0"/>
          <w:szCs w:val="24"/>
          <w:highlight w:val="none"/>
          <w14:textFill>
            <w14:solidFill>
              <w14:schemeClr w14:val="tx1"/>
            </w14:solidFill>
          </w14:textFill>
        </w:rPr>
        <w:t>人民币</w:t>
      </w:r>
      <w:r>
        <w:rPr>
          <w:rFonts w:hint="eastAsia" w:ascii="宋体" w:eastAsia="宋体" w:cs="宋体"/>
          <w:b w:val="0"/>
          <w:bCs w:val="0"/>
          <w:color w:val="000000" w:themeColor="text1"/>
          <w:kern w:val="0"/>
          <w:szCs w:val="24"/>
          <w:highlight w:val="none"/>
          <w:lang w:val="en-US" w:eastAsia="zh-CN"/>
          <w14:textFill>
            <w14:solidFill>
              <w14:schemeClr w14:val="tx1"/>
            </w14:solidFill>
          </w14:textFill>
        </w:rPr>
        <w:t>1,420,000.00</w:t>
      </w:r>
      <w:r>
        <w:rPr>
          <w:rFonts w:hint="eastAsia" w:ascii="宋体" w:hAnsi="宋体" w:eastAsia="宋体" w:cs="宋体"/>
          <w:b w:val="0"/>
          <w:bCs w:val="0"/>
          <w:color w:val="000000" w:themeColor="text1"/>
          <w:kern w:val="0"/>
          <w:szCs w:val="24"/>
          <w:highlight w:val="none"/>
          <w14:textFill>
            <w14:solidFill>
              <w14:schemeClr w14:val="tx1"/>
            </w14:solidFill>
          </w14:textFill>
        </w:rPr>
        <w:t>元</w:t>
      </w:r>
    </w:p>
    <w:p w14:paraId="2E9AD7C1">
      <w:pPr>
        <w:pStyle w:val="14"/>
        <w:ind w:firstLine="496" w:firstLineChars="200"/>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6.最高磋商限价</w:t>
      </w:r>
      <w:r>
        <w:rPr>
          <w:rFonts w:hint="eastAsia" w:ascii="宋体" w:hAnsi="宋体" w:eastAsia="宋体" w:cs="宋体"/>
          <w:b w:val="0"/>
          <w:bCs/>
          <w:color w:val="000000" w:themeColor="text1"/>
          <w:sz w:val="24"/>
          <w:szCs w:val="24"/>
          <w:highlight w:val="none"/>
          <w:u w:val="none"/>
          <w:lang w:val="zh-CN" w:eastAsia="zh-CN"/>
          <w14:textFill>
            <w14:solidFill>
              <w14:schemeClr w14:val="tx1"/>
            </w14:solidFill>
          </w14:textFill>
        </w:rPr>
        <w:t>：</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人民币</w:t>
      </w:r>
      <w:r>
        <w:rPr>
          <w:rFonts w:hint="eastAsia" w:ascii="宋体" w:eastAsia="宋体" w:cs="宋体"/>
          <w:b w:val="0"/>
          <w:bCs/>
          <w:color w:val="000000" w:themeColor="text1"/>
          <w:sz w:val="24"/>
          <w:szCs w:val="24"/>
          <w:highlight w:val="none"/>
          <w:u w:val="none"/>
          <w:lang w:val="en-US" w:eastAsia="zh-CN"/>
          <w14:textFill>
            <w14:solidFill>
              <w14:schemeClr w14:val="tx1"/>
            </w14:solidFill>
          </w14:textFill>
        </w:rPr>
        <w:t>1,420,000.00</w:t>
      </w: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元</w:t>
      </w:r>
    </w:p>
    <w:p w14:paraId="46390870">
      <w:pPr>
        <w:pStyle w:val="14"/>
        <w:ind w:firstLine="496"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.采购内容：详见项目采购需求。</w:t>
      </w:r>
    </w:p>
    <w:p w14:paraId="191F04C8">
      <w:pPr>
        <w:tabs>
          <w:tab w:val="left" w:pos="-3675"/>
        </w:tabs>
        <w:autoSpaceDE w:val="0"/>
        <w:autoSpaceDN w:val="0"/>
        <w:adjustRightInd w:val="0"/>
        <w:spacing w:line="440" w:lineRule="exact"/>
        <w:ind w:right="97" w:rightChars="46"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合同履行期限：自签订合同之日起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天</w:t>
      </w:r>
      <w:r>
        <w:rPr>
          <w:rFonts w:hint="eastAsia" w:ascii="宋体" w:hAnsi="宋体" w:eastAsia="宋体" w:cs="宋体"/>
          <w:color w:val="000000" w:themeColor="text1"/>
          <w:sz w:val="24"/>
          <w:szCs w:val="24"/>
          <w:highlight w:val="none"/>
          <w14:textFill>
            <w14:solidFill>
              <w14:schemeClr w14:val="tx1"/>
            </w14:solidFill>
          </w14:textFill>
        </w:rPr>
        <w:t>内完成</w:t>
      </w:r>
      <w:r>
        <w:rPr>
          <w:rFonts w:hint="eastAsia" w:ascii="宋体" w:hAnsi="宋体" w:cs="宋体"/>
          <w:color w:val="000000" w:themeColor="text1"/>
          <w:sz w:val="24"/>
          <w:szCs w:val="24"/>
          <w:highlight w:val="none"/>
          <w:lang w:eastAsia="zh-CN"/>
          <w14:textFill>
            <w14:solidFill>
              <w14:schemeClr w14:val="tx1"/>
            </w14:solidFill>
          </w14:textFill>
        </w:rPr>
        <w:t>。</w:t>
      </w:r>
    </w:p>
    <w:p w14:paraId="2740A57D">
      <w:pPr>
        <w:tabs>
          <w:tab w:val="left" w:pos="-3675"/>
        </w:tabs>
        <w:autoSpaceDE w:val="0"/>
        <w:autoSpaceDN w:val="0"/>
        <w:adjustRightInd w:val="0"/>
        <w:spacing w:line="440" w:lineRule="exact"/>
        <w:ind w:right="97" w:rightChars="46"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.质量要求：符合国家质量验收合格标准。</w:t>
      </w:r>
    </w:p>
    <w:p w14:paraId="373F4396">
      <w:pPr>
        <w:tabs>
          <w:tab w:val="left" w:pos="-3675"/>
        </w:tabs>
        <w:autoSpaceDE w:val="0"/>
        <w:autoSpaceDN w:val="0"/>
        <w:adjustRightInd w:val="0"/>
        <w:spacing w:line="440" w:lineRule="exact"/>
        <w:ind w:right="97" w:rightChars="46"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本项目</w:t>
      </w:r>
      <w:r>
        <w:rPr>
          <w:rFonts w:hint="eastAsia" w:ascii="宋体" w:hAnsi="宋体" w:eastAsia="宋体" w:cs="宋体"/>
          <w:b/>
          <w:bCs/>
          <w:color w:val="000000" w:themeColor="text1"/>
          <w:sz w:val="24"/>
          <w:szCs w:val="24"/>
          <w:highlight w:val="none"/>
          <w:lang w:val="zh-CN"/>
          <w14:textFill>
            <w14:solidFill>
              <w14:schemeClr w14:val="tx1"/>
            </w14:solidFill>
          </w14:textFill>
        </w:rPr>
        <w:t>不接受</w:t>
      </w:r>
      <w:r>
        <w:rPr>
          <w:rFonts w:hint="eastAsia" w:ascii="宋体" w:hAnsi="宋体" w:eastAsia="宋体" w:cs="宋体"/>
          <w:color w:val="000000" w:themeColor="text1"/>
          <w:sz w:val="24"/>
          <w:szCs w:val="24"/>
          <w:highlight w:val="none"/>
          <w:lang w:val="zh-CN"/>
          <w14:textFill>
            <w14:solidFill>
              <w14:schemeClr w14:val="tx1"/>
            </w14:solidFill>
          </w14:textFill>
        </w:rPr>
        <w:t>联合体。</w:t>
      </w:r>
    </w:p>
    <w:p w14:paraId="468E4267">
      <w:pPr>
        <w:autoSpaceDE w:val="0"/>
        <w:autoSpaceDN w:val="0"/>
        <w:adjustRightInd w:val="0"/>
        <w:spacing w:line="500" w:lineRule="exact"/>
        <w:jc w:val="left"/>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7" w:name="_Toc10225"/>
      <w:r>
        <w:rPr>
          <w:rFonts w:hint="eastAsia" w:ascii="宋体" w:hAnsi="宋体" w:eastAsia="宋体" w:cs="宋体"/>
          <w:b/>
          <w:bCs/>
          <w:color w:val="000000" w:themeColor="text1"/>
          <w:sz w:val="24"/>
          <w:szCs w:val="24"/>
          <w:highlight w:val="none"/>
          <w:lang w:val="zh-CN"/>
          <w14:textFill>
            <w14:solidFill>
              <w14:schemeClr w14:val="tx1"/>
            </w14:solidFill>
          </w14:textFill>
        </w:rPr>
        <w:t>二、申请人的资格要求</w:t>
      </w:r>
      <w:bookmarkEnd w:id="17"/>
    </w:p>
    <w:p w14:paraId="0D3E65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1.满足《中华人民共和国政府采购法》第二十二条的规定；</w:t>
      </w:r>
    </w:p>
    <w:p w14:paraId="7F226C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2.落实政府采购政策需满足的资格要求：</w:t>
      </w:r>
    </w:p>
    <w:p w14:paraId="6BDBC41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《政府采购促进中小企业发展管理办法》(财库[2020]46号)；</w:t>
      </w:r>
    </w:p>
    <w:p w14:paraId="71D71C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《关于进一步加大政府采购支持中小企业力度的通知》(财库[2022]19号)；</w:t>
      </w:r>
    </w:p>
    <w:p w14:paraId="50EC5D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sz w:val="24"/>
          <w:highlight w:val="none"/>
        </w:rPr>
        <w:t>关于印发《吉林省强化政府采购政策支持中小企业发展落实举措》的通知(吉财采购[2022]478号)</w:t>
      </w:r>
      <w:r>
        <w:rPr>
          <w:rFonts w:hint="eastAsia" w:ascii="宋体" w:hAnsi="宋体" w:cs="宋体"/>
          <w:color w:val="000000" w:themeColor="text1"/>
          <w:sz w:val="24"/>
          <w:szCs w:val="24"/>
          <w:highlight w:val="none"/>
          <w:lang w:val="zh-CN"/>
          <w14:textFill>
            <w14:solidFill>
              <w14:schemeClr w14:val="tx1"/>
            </w14:solidFill>
          </w14:textFill>
        </w:rPr>
        <w:t>；</w:t>
      </w:r>
    </w:p>
    <w:p w14:paraId="65555A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3.本项目的特定资格要求：</w:t>
      </w:r>
    </w:p>
    <w:p w14:paraId="3EF1C4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（1）具有独立承担民事责任的能力：供应商必须是具有独立承担民事责任能力的在中华人民共和国境内注册的法人或其他组织，投标时提交有效的</w:t>
      </w:r>
      <w:r>
        <w:rPr>
          <w:rFonts w:hint="eastAsia" w:ascii="宋体" w:hAnsi="宋体" w:eastAsia="宋体" w:cs="宋体"/>
          <w:b/>
          <w:bCs/>
          <w:color w:val="000000" w:themeColor="text1"/>
          <w:sz w:val="24"/>
          <w:szCs w:val="24"/>
          <w14:textFill>
            <w14:solidFill>
              <w14:schemeClr w14:val="tx1"/>
            </w14:solidFill>
          </w14:textFill>
        </w:rPr>
        <w:t>营业执照副本</w:t>
      </w:r>
      <w:r>
        <w:rPr>
          <w:rFonts w:hint="eastAsia" w:ascii="宋体" w:hAnsi="宋体" w:eastAsia="宋体" w:cs="宋体"/>
          <w:color w:val="000000" w:themeColor="text1"/>
          <w:sz w:val="24"/>
          <w:szCs w:val="24"/>
          <w14:textFill>
            <w14:solidFill>
              <w14:schemeClr w14:val="tx1"/>
            </w14:solidFill>
          </w14:textFill>
        </w:rPr>
        <w:t>，并要求本项目相适应的</w:t>
      </w:r>
      <w:r>
        <w:rPr>
          <w:rFonts w:hint="eastAsia" w:ascii="宋体" w:hAnsi="宋体" w:eastAsia="宋体" w:cs="宋体"/>
          <w:b/>
          <w:bCs/>
          <w:color w:val="000000" w:themeColor="text1"/>
          <w:sz w:val="24"/>
          <w:szCs w:val="24"/>
          <w14:textFill>
            <w14:solidFill>
              <w14:schemeClr w14:val="tx1"/>
            </w14:solidFill>
          </w14:textFill>
        </w:rPr>
        <w:t>相关经营范围，具有相应的人员、运输、资金等方面的能力；</w:t>
      </w:r>
    </w:p>
    <w:p w14:paraId="314514F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（2）具有良好的商业信誉和健全的财务会计制度：</w:t>
      </w:r>
      <w:r>
        <w:rPr>
          <w:rFonts w:hint="eastAsia" w:ascii="宋体" w:hAnsi="宋体" w:cs="宋体"/>
          <w:color w:val="000000" w:themeColor="text1"/>
          <w:sz w:val="24"/>
          <w:szCs w:val="24"/>
          <w:lang w:eastAsia="zh-CN"/>
          <w14:textFill>
            <w14:solidFill>
              <w14:schemeClr w14:val="tx1"/>
            </w14:solidFill>
          </w14:textFill>
        </w:rPr>
        <w:t>未被工商行政管理机关在全国企业信用信息公示系统</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bidi="en-US"/>
          <w14:textFill>
            <w14:solidFill>
              <w14:schemeClr w14:val="tx1"/>
            </w14:solidFill>
          </w14:textFill>
        </w:rPr>
        <w:t>http：//www.gsxt.gov.cn/）</w:t>
      </w:r>
      <w:r>
        <w:rPr>
          <w:rFonts w:hint="eastAsia" w:ascii="宋体" w:hAnsi="宋体" w:eastAsia="宋体" w:cs="宋体"/>
          <w:color w:val="000000" w:themeColor="text1"/>
          <w:sz w:val="24"/>
          <w:szCs w:val="24"/>
          <w14:textFill>
            <w14:solidFill>
              <w14:schemeClr w14:val="tx1"/>
            </w14:solidFill>
          </w14:textFill>
        </w:rPr>
        <w:t>中列入严重违法失信企业名单；（须提供网络截图加盖公章）、供应商未被列入</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信用</w:t>
      </w:r>
      <w:r>
        <w:rPr>
          <w:rFonts w:hint="eastAsia" w:ascii="宋体" w:hAnsi="宋体" w:eastAsia="宋体" w:cs="宋体"/>
          <w:color w:val="000000" w:themeColor="text1"/>
          <w:sz w:val="24"/>
          <w:szCs w:val="24"/>
          <w:lang w:val="zh-CN" w:bidi="zh-CN"/>
          <w14:textFill>
            <w14:solidFill>
              <w14:schemeClr w14:val="tx1"/>
            </w14:solidFill>
          </w14:textFill>
        </w:rPr>
        <w:t>中国”</w:t>
      </w:r>
      <w:r>
        <w:rPr>
          <w:rFonts w:hint="eastAsia" w:ascii="宋体" w:hAnsi="宋体" w:eastAsia="宋体" w:cs="宋体"/>
          <w:color w:val="000000" w:themeColor="text1"/>
          <w:sz w:val="24"/>
          <w:szCs w:val="24"/>
          <w14:textFill>
            <w14:solidFill>
              <w14:schemeClr w14:val="tx1"/>
            </w14:solidFill>
          </w14:textFill>
        </w:rPr>
        <w:t>网站</w:t>
      </w:r>
      <w:r>
        <w:rPr>
          <w:rFonts w:hint="eastAsia" w:ascii="宋体" w:hAnsi="宋体" w:eastAsia="宋体" w:cs="宋体"/>
          <w:color w:val="000000" w:themeColor="text1"/>
          <w:sz w:val="24"/>
          <w:szCs w:val="24"/>
          <w:lang w:bidi="en-US"/>
          <w14:textFill>
            <w14:solidFill>
              <w14:schemeClr w14:val="tx1"/>
            </w14:solidFill>
          </w14:textFill>
        </w:rPr>
        <w:t>（www.creditchina.gov.cn）</w:t>
      </w:r>
      <w:r>
        <w:rPr>
          <w:rFonts w:hint="eastAsia" w:ascii="宋体" w:hAnsi="宋体" w:eastAsia="宋体" w:cs="宋体"/>
          <w:color w:val="000000" w:themeColor="text1"/>
          <w:sz w:val="24"/>
          <w:szCs w:val="24"/>
          <w14:textFill>
            <w14:solidFill>
              <w14:schemeClr w14:val="tx1"/>
            </w14:solidFill>
          </w14:textFill>
        </w:rPr>
        <w:t>、中国政府采购网</w:t>
      </w:r>
      <w:r>
        <w:rPr>
          <w:rFonts w:hint="eastAsia" w:ascii="宋体" w:hAnsi="宋体" w:eastAsia="宋体" w:cs="宋体"/>
          <w:color w:val="000000" w:themeColor="text1"/>
          <w:sz w:val="24"/>
          <w:szCs w:val="24"/>
          <w:lang w:bidi="en-US"/>
          <w14:textFill>
            <w14:solidFill>
              <w14:schemeClr w14:val="tx1"/>
            </w14:solidFill>
          </w14:textFill>
        </w:rPr>
        <w:t>（www.ccgp.gov.cn）</w:t>
      </w:r>
      <w:r>
        <w:rPr>
          <w:rFonts w:hint="eastAsia" w:ascii="宋体" w:hAnsi="宋体" w:eastAsia="宋体" w:cs="宋体"/>
          <w:color w:val="000000" w:themeColor="text1"/>
          <w:sz w:val="24"/>
          <w:szCs w:val="24"/>
          <w14:textFill>
            <w14:solidFill>
              <w14:schemeClr w14:val="tx1"/>
            </w14:solidFill>
          </w14:textFill>
        </w:rPr>
        <w:t>等渠道信用记录失信被执行人、重大税收违法案件当事人名单、政府采购严重违法失信行为记录名单（须提供网络截图加盖公章）；</w:t>
      </w:r>
      <w:r>
        <w:rPr>
          <w:rFonts w:hint="eastAsia" w:ascii="宋体" w:hAnsi="宋体" w:eastAsia="宋体" w:cs="宋体"/>
          <w:color w:val="000000" w:themeColor="text1"/>
          <w:sz w:val="24"/>
          <w:szCs w:val="24"/>
          <w:lang w:val="zh-CN"/>
          <w14:textFill>
            <w14:solidFill>
              <w14:schemeClr w14:val="tx1"/>
            </w14:solidFill>
          </w14:textFill>
        </w:rPr>
        <w:t>近年</w:t>
      </w:r>
      <w:r>
        <w:rPr>
          <w:rFonts w:hint="eastAsia" w:ascii="宋体" w:hAnsi="宋体" w:eastAsia="宋体" w:cs="宋体"/>
          <w:b w:val="0"/>
          <w:bCs w:val="0"/>
          <w:color w:val="000000" w:themeColor="text1"/>
          <w:sz w:val="24"/>
          <w:szCs w:val="24"/>
          <w:lang w:val="zh-CN"/>
          <w14:textFill>
            <w14:solidFill>
              <w14:schemeClr w14:val="tx1"/>
            </w14:solidFill>
          </w14:textFill>
        </w:rPr>
        <w:t>（202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val="zh-CN"/>
          <w14:textFill>
            <w14:solidFill>
              <w14:schemeClr w14:val="tx1"/>
            </w14:solidFill>
          </w14:textFill>
        </w:rPr>
        <w:t>年度）</w:t>
      </w:r>
      <w:r>
        <w:rPr>
          <w:rFonts w:hint="eastAsia" w:ascii="宋体" w:hAnsi="宋体" w:eastAsia="宋体" w:cs="宋体"/>
          <w:color w:val="000000" w:themeColor="text1"/>
          <w:sz w:val="24"/>
          <w:szCs w:val="24"/>
          <w:lang w:val="zh-CN"/>
          <w14:textFill>
            <w14:solidFill>
              <w14:schemeClr w14:val="tx1"/>
            </w14:solidFill>
          </w14:textFill>
        </w:rPr>
        <w:t>财务审计报告或财务报表（含资产负债表、现金流量表、利润表），新成立企业提供当年验资报告或银行出具的供应商资信证明；</w:t>
      </w:r>
    </w:p>
    <w:p w14:paraId="5612CB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（3）具有履行合同所必需的设备和专业技术能力：</w:t>
      </w:r>
      <w:r>
        <w:rPr>
          <w:rFonts w:hint="eastAsia" w:ascii="宋体" w:hAnsi="宋体" w:eastAsia="宋体" w:cs="宋体"/>
          <w:b/>
          <w:bCs/>
          <w:color w:val="000000" w:themeColor="text1"/>
          <w:sz w:val="24"/>
          <w:szCs w:val="24"/>
          <w14:textFill>
            <w14:solidFill>
              <w14:schemeClr w14:val="tx1"/>
            </w14:solidFill>
          </w14:textFill>
        </w:rPr>
        <w:t>供应商须具有保证服务顺利实施完成的人员和专业技术能力条件</w:t>
      </w:r>
      <w:r>
        <w:rPr>
          <w:rFonts w:hint="eastAsia" w:ascii="宋体" w:hAnsi="宋体" w:eastAsia="宋体" w:cs="宋体"/>
          <w:color w:val="000000" w:themeColor="text1"/>
          <w:sz w:val="24"/>
          <w:szCs w:val="24"/>
          <w14:textFill>
            <w14:solidFill>
              <w14:schemeClr w14:val="tx1"/>
            </w14:solidFill>
          </w14:textFill>
        </w:rPr>
        <w:t>；</w:t>
      </w:r>
    </w:p>
    <w:p w14:paraId="0B1E7E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）有依法缴纳税收和社会保障资金的良好记录：</w:t>
      </w:r>
      <w:r>
        <w:rPr>
          <w:rFonts w:hint="eastAsia" w:ascii="宋体" w:hAnsi="宋体" w:eastAsia="宋体" w:cs="宋体"/>
          <w:color w:val="000000" w:themeColor="text1"/>
          <w:sz w:val="24"/>
          <w:szCs w:val="24"/>
          <w14:textFill>
            <w14:solidFill>
              <w14:schemeClr w14:val="tx1"/>
            </w14:solidFill>
          </w14:textFill>
        </w:rPr>
        <w:t>供应商须提供投标截止日期前六个月内任意一个月的依法缴纳税收和社会保障资金相关证明材料</w:t>
      </w:r>
      <w:r>
        <w:rPr>
          <w:rFonts w:hint="eastAsia" w:ascii="宋体" w:hAnsi="宋体" w:eastAsia="宋体" w:cs="宋体"/>
          <w:color w:val="000000" w:themeColor="text1"/>
          <w:sz w:val="24"/>
          <w:szCs w:val="24"/>
          <w:lang w:val="zh-CN"/>
          <w14:textFill>
            <w14:solidFill>
              <w14:schemeClr w14:val="tx1"/>
            </w14:solidFill>
          </w14:textFill>
        </w:rPr>
        <w:t>；</w:t>
      </w:r>
    </w:p>
    <w:p w14:paraId="3A937E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（5）参加政府采购活动前三年内，在经营活动中没有重大违法记录；</w:t>
      </w:r>
    </w:p>
    <w:p w14:paraId="4E41F2C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）拒绝列入政府取消投标资格记录期间的企业或个人投标</w:t>
      </w:r>
      <w:r>
        <w:rPr>
          <w:rFonts w:hint="eastAsia" w:ascii="宋体" w:hAnsi="宋体" w:eastAsia="宋体" w:cs="宋体"/>
          <w:color w:val="000000" w:themeColor="text1"/>
          <w:sz w:val="24"/>
          <w:szCs w:val="24"/>
          <w14:textFill>
            <w14:solidFill>
              <w14:schemeClr w14:val="tx1"/>
            </w14:solidFill>
          </w14:textFill>
        </w:rPr>
        <w:t>；</w:t>
      </w:r>
    </w:p>
    <w:p w14:paraId="2AF193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8" w:name="bookmark26"/>
      <w:r>
        <w:rPr>
          <w:rFonts w:hint="eastAsia" w:ascii="宋体" w:hAnsi="宋体" w:eastAsia="宋体" w:cs="宋体"/>
          <w:color w:val="000000" w:themeColor="text1"/>
          <w:sz w:val="24"/>
          <w:szCs w:val="24"/>
          <w14:textFill>
            <w14:solidFill>
              <w14:schemeClr w14:val="tx1"/>
            </w14:solidFill>
          </w14:textFill>
        </w:rPr>
        <w:t>（</w:t>
      </w:r>
      <w:bookmarkEnd w:id="18"/>
      <w:r>
        <w:rPr>
          <w:rFonts w:hint="eastAsia" w:ascii="宋体" w:hAnsi="宋体" w:eastAsia="宋体" w:cs="宋体"/>
          <w:color w:val="000000" w:themeColor="text1"/>
          <w:sz w:val="24"/>
          <w:szCs w:val="24"/>
          <w14:textFill>
            <w14:solidFill>
              <w14:schemeClr w14:val="tx1"/>
            </w14:solidFill>
          </w14:textFill>
        </w:rPr>
        <w:t>7）本项目中标人不允许转包、拆包；</w:t>
      </w:r>
    </w:p>
    <w:p w14:paraId="3F0AE4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9" w:name="bookmark27"/>
      <w:r>
        <w:rPr>
          <w:rFonts w:hint="eastAsia" w:ascii="宋体" w:hAnsi="宋体" w:eastAsia="宋体" w:cs="宋体"/>
          <w:color w:val="000000" w:themeColor="text1"/>
          <w:sz w:val="24"/>
          <w:szCs w:val="24"/>
          <w14:textFill>
            <w14:solidFill>
              <w14:schemeClr w14:val="tx1"/>
            </w14:solidFill>
          </w14:textFill>
        </w:rPr>
        <w:t>（</w:t>
      </w:r>
      <w:bookmarkEnd w:id="19"/>
      <w:r>
        <w:rPr>
          <w:rFonts w:hint="eastAsia" w:ascii="宋体" w:hAnsi="宋体" w:eastAsia="宋体" w:cs="宋体"/>
          <w:color w:val="000000" w:themeColor="text1"/>
          <w:sz w:val="24"/>
          <w:szCs w:val="24"/>
          <w14:textFill>
            <w14:solidFill>
              <w14:schemeClr w14:val="tx1"/>
            </w14:solidFill>
          </w14:textFill>
        </w:rPr>
        <w:t>8）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p>
    <w:p w14:paraId="1B703076">
      <w:pPr>
        <w:pStyle w:val="17"/>
        <w:keepNext w:val="0"/>
        <w:keepLines w:val="0"/>
        <w:pageBreakBefore w:val="0"/>
        <w:widowControl w:val="0"/>
        <w:kinsoku/>
        <w:wordWrap/>
        <w:overflowPunct/>
        <w:topLinePunct w:val="0"/>
        <w:autoSpaceDE/>
        <w:autoSpaceDN/>
        <w:bidi w:val="0"/>
        <w:adjustRightInd/>
        <w:snapToGrid/>
        <w:spacing w:after="0" w:line="480" w:lineRule="exact"/>
        <w:ind w:left="0" w:leftChars="0" w:right="-101" w:rightChars="-48"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（9）法律、行政法规规定的其他条件。</w:t>
      </w:r>
    </w:p>
    <w:p w14:paraId="1A73A502">
      <w:pPr>
        <w:autoSpaceDE w:val="0"/>
        <w:autoSpaceDN w:val="0"/>
        <w:adjustRightInd w:val="0"/>
        <w:spacing w:line="500" w:lineRule="exact"/>
        <w:jc w:val="left"/>
        <w:outlineLvl w:val="1"/>
        <w:rPr>
          <w:rFonts w:hint="eastAsia" w:ascii="宋体" w:hAnsi="宋体" w:eastAsia="宋体" w:cs="宋体"/>
          <w:color w:val="000000" w:themeColor="text1"/>
          <w:sz w:val="24"/>
          <w:szCs w:val="24"/>
          <w:lang w:val="zh-CN"/>
          <w14:textFill>
            <w14:solidFill>
              <w14:schemeClr w14:val="tx1"/>
            </w14:solidFill>
          </w14:textFill>
        </w:rPr>
      </w:pPr>
      <w:bookmarkStart w:id="20" w:name="_Toc16214"/>
      <w:r>
        <w:rPr>
          <w:rFonts w:hint="eastAsia" w:ascii="宋体" w:hAnsi="宋体" w:eastAsia="宋体" w:cs="宋体"/>
          <w:b/>
          <w:bCs/>
          <w:color w:val="000000" w:themeColor="text1"/>
          <w:sz w:val="24"/>
          <w:szCs w:val="24"/>
          <w:lang w:val="zh-CN"/>
          <w14:textFill>
            <w14:solidFill>
              <w14:schemeClr w14:val="tx1"/>
            </w14:solidFill>
          </w14:textFill>
        </w:rPr>
        <w:t>三、获取采购文件</w:t>
      </w:r>
      <w:bookmarkEnd w:id="20"/>
    </w:p>
    <w:p w14:paraId="5D36F4D7">
      <w:pPr>
        <w:tabs>
          <w:tab w:val="left" w:pos="-3675"/>
        </w:tabs>
        <w:autoSpaceDE w:val="0"/>
        <w:autoSpaceDN w:val="0"/>
        <w:adjustRightInd w:val="0"/>
        <w:spacing w:line="500" w:lineRule="exact"/>
        <w:ind w:right="97" w:rightChars="46" w:firstLine="501" w:firstLineChars="209"/>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1.时间：</w:t>
      </w:r>
      <w:r>
        <w:rPr>
          <w:rFonts w:hint="eastAsia" w:ascii="宋体" w:hAnsi="宋体" w:eastAsia="宋体" w:cs="宋体"/>
          <w:color w:val="000000" w:themeColor="text1"/>
          <w:sz w:val="24"/>
          <w:szCs w:val="24"/>
          <w:highlight w:val="none"/>
          <w:lang w:val="zh-CN"/>
          <w14:textFill>
            <w14:solidFill>
              <w14:schemeClr w14:val="tx1"/>
            </w14:solidFill>
          </w14:textFill>
        </w:rPr>
        <w:t>202</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zh-CN"/>
          <w14:textFill>
            <w14:solidFill>
              <w14:schemeClr w14:val="tx1"/>
            </w14:solidFill>
          </w14:textFill>
        </w:rPr>
        <w:t>日至202</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lang w:val="zh-CN"/>
          <w14:textFill>
            <w14:solidFill>
              <w14:schemeClr w14:val="tx1"/>
            </w14:solidFill>
          </w14:textFill>
        </w:rPr>
        <w:t>，每日上午</w:t>
      </w: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00</w:t>
      </w:r>
      <w:r>
        <w:rPr>
          <w:rFonts w:hint="eastAsia" w:ascii="宋体" w:hAnsi="宋体" w:eastAsia="宋体" w:cs="宋体"/>
          <w:color w:val="000000" w:themeColor="text1"/>
          <w:sz w:val="24"/>
          <w:szCs w:val="24"/>
          <w:lang w:val="zh-CN"/>
          <w14:textFill>
            <w14:solidFill>
              <w14:schemeClr w14:val="tx1"/>
            </w14:solidFill>
          </w14:textFill>
        </w:rPr>
        <w:t>至11：</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0，下午13：30至16：00(法定公休日、法定节假日除外)(北京时间)。</w:t>
      </w:r>
    </w:p>
    <w:p w14:paraId="1A39E661">
      <w:pPr>
        <w:keepNext w:val="0"/>
        <w:keepLines w:val="0"/>
        <w:pageBreakBefore w:val="0"/>
        <w:widowControl w:val="0"/>
        <w:tabs>
          <w:tab w:val="left" w:pos="-3675"/>
        </w:tabs>
        <w:kinsoku/>
        <w:wordWrap/>
        <w:overflowPunct/>
        <w:topLinePunct w:val="0"/>
        <w:autoSpaceDE w:val="0"/>
        <w:autoSpaceDN w:val="0"/>
        <w:bidi w:val="0"/>
        <w:adjustRightInd w:val="0"/>
        <w:snapToGrid/>
        <w:spacing w:line="500" w:lineRule="exact"/>
        <w:ind w:left="0" w:leftChars="0" w:right="0" w:rightChars="0" w:firstLine="501" w:firstLineChars="209"/>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2.地点：</w:t>
      </w:r>
      <w:r>
        <w:rPr>
          <w:rFonts w:hint="eastAsia" w:ascii="宋体" w:hAnsi="宋体" w:eastAsia="宋体" w:cs="宋体"/>
          <w:b w:val="0"/>
          <w:bCs w:val="0"/>
          <w:color w:val="auto"/>
          <w:sz w:val="24"/>
          <w:szCs w:val="24"/>
          <w:highlight w:val="none"/>
          <w:lang w:val="en-US" w:eastAsia="zh-CN"/>
        </w:rPr>
        <w:t>在“政采云”平台（http:// www.zcygov.cn）自行下载</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en-US" w:eastAsia="zh-CN"/>
        </w:rPr>
        <w:t>文件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75AC5EB7">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left="0" w:leftChars="0" w:right="97" w:rightChars="46" w:firstLine="501" w:firstLineChars="209"/>
        <w:jc w:val="left"/>
        <w:textAlignment w:val="auto"/>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3.方式：</w:t>
      </w:r>
      <w:r>
        <w:rPr>
          <w:rFonts w:hint="eastAsia" w:ascii="宋体" w:hAnsi="宋体" w:eastAsia="宋体" w:cs="宋体"/>
          <w:b w:val="0"/>
          <w:bCs w:val="0"/>
          <w:color w:val="auto"/>
          <w:sz w:val="24"/>
          <w:szCs w:val="24"/>
          <w:highlight w:val="none"/>
          <w:lang w:val="en-US" w:eastAsia="zh-CN"/>
        </w:rPr>
        <w:t>凡有意投标者，应当注册成为“政采云”平台供应商。凡已注册的供应商，按照授予的操作权限自行在“政采云”平台（http：//www.zcygov.cn）（操作路径：登录“政采云”平台-进入我的工作台-项目采购-获取采购文件-右上角搜索找到本项目-点击“申请获取采购文件”）按采购包下载采购文件并点击下载确认参加本项目采购招标。具体注册及下载采购文件方法请访问“政采云”平台查询相关信息。未进行网上注册的供应商将无法参加本次招标。</w:t>
      </w:r>
    </w:p>
    <w:p w14:paraId="0CEC337A">
      <w:pPr>
        <w:tabs>
          <w:tab w:val="left" w:pos="-3675"/>
        </w:tabs>
        <w:autoSpaceDE w:val="0"/>
        <w:autoSpaceDN w:val="0"/>
        <w:adjustRightInd w:val="0"/>
        <w:spacing w:line="500" w:lineRule="exact"/>
        <w:ind w:right="97" w:rightChars="46" w:firstLine="501" w:firstLineChars="209"/>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售价：免费</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0063D80A">
      <w:pPr>
        <w:autoSpaceDE w:val="0"/>
        <w:autoSpaceDN w:val="0"/>
        <w:adjustRightInd w:val="0"/>
        <w:spacing w:line="500" w:lineRule="exact"/>
        <w:jc w:val="left"/>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21" w:name="_Toc19325"/>
      <w:r>
        <w:rPr>
          <w:rFonts w:hint="eastAsia" w:ascii="宋体" w:hAnsi="宋体" w:eastAsia="宋体" w:cs="宋体"/>
          <w:b/>
          <w:bCs/>
          <w:color w:val="000000" w:themeColor="text1"/>
          <w:sz w:val="24"/>
          <w:szCs w:val="24"/>
          <w:lang w:val="zh-CN"/>
          <w14:textFill>
            <w14:solidFill>
              <w14:schemeClr w14:val="tx1"/>
            </w14:solidFill>
          </w14:textFill>
        </w:rPr>
        <w:t>四、响应文件提</w:t>
      </w:r>
      <w:r>
        <w:rPr>
          <w:rFonts w:hint="eastAsia" w:ascii="宋体" w:hAnsi="宋体" w:eastAsia="宋体" w:cs="宋体"/>
          <w:b/>
          <w:bCs/>
          <w:color w:val="000000" w:themeColor="text1"/>
          <w:sz w:val="24"/>
          <w:szCs w:val="24"/>
          <w:highlight w:val="none"/>
          <w:lang w:val="zh-CN"/>
          <w14:textFill>
            <w14:solidFill>
              <w14:schemeClr w14:val="tx1"/>
            </w14:solidFill>
          </w14:textFill>
        </w:rPr>
        <w:t>交</w:t>
      </w:r>
      <w:bookmarkEnd w:id="21"/>
    </w:p>
    <w:p w14:paraId="6E5F03D8">
      <w:pPr>
        <w:tabs>
          <w:tab w:val="left" w:pos="-3675"/>
        </w:tabs>
        <w:autoSpaceDE w:val="0"/>
        <w:autoSpaceDN w:val="0"/>
        <w:adjustRightInd w:val="0"/>
        <w:spacing w:line="500" w:lineRule="exact"/>
        <w:ind w:right="97" w:rightChars="46" w:firstLine="501" w:firstLineChars="209"/>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1.截止时间：</w:t>
      </w:r>
      <w:r>
        <w:rPr>
          <w:rFonts w:hint="eastAsia" w:ascii="宋体" w:hAnsi="宋体" w:cs="宋体"/>
          <w:color w:val="000000" w:themeColor="text1"/>
          <w:sz w:val="24"/>
          <w:szCs w:val="24"/>
          <w:highlight w:val="none"/>
          <w:lang w:val="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lang w:val="zh-CN"/>
          <w14:textFill>
            <w14:solidFill>
              <w14:schemeClr w14:val="tx1"/>
            </w14:solidFill>
          </w14:textFill>
        </w:rPr>
        <w:t>，上午</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zh-CN"/>
          <w14:textFill>
            <w14:solidFill>
              <w14:schemeClr w14:val="tx1"/>
            </w14:solidFill>
          </w14:textFill>
        </w:rPr>
        <w:t>时00分（北京时间）。</w:t>
      </w:r>
    </w:p>
    <w:p w14:paraId="48F48D2B">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：本项目为全流程电子化项目，通过“政采云”平台（http：//www.zcygov.cn）实行在线电子投标，</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文件应加密并在提交截止时间前通过政府采购云平台在线提交</w:t>
      </w:r>
      <w:r>
        <w:rPr>
          <w:rFonts w:hint="eastAsia" w:ascii="宋体" w:hAnsi="宋体" w:eastAsia="宋体" w:cs="宋体"/>
          <w:color w:val="auto"/>
          <w:sz w:val="24"/>
          <w:szCs w:val="24"/>
          <w:highlight w:val="none"/>
          <w:lang w:val="en-US" w:eastAsia="zh-CN"/>
        </w:rPr>
        <w:t>。</w:t>
      </w:r>
    </w:p>
    <w:p w14:paraId="7068D85B">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b w:val="0"/>
          <w:bCs w:val="0"/>
          <w:color w:val="auto"/>
          <w:spacing w:val="0"/>
          <w:kern w:val="2"/>
          <w:sz w:val="24"/>
          <w:szCs w:val="24"/>
          <w:highlight w:val="none"/>
          <w:lang w:val="en-US" w:eastAsia="zh-CN" w:bidi="ar-SA"/>
        </w:rPr>
        <w:t>操作步骤：</w:t>
      </w:r>
    </w:p>
    <w:p w14:paraId="59A8965A">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b w:val="0"/>
          <w:bCs w:val="0"/>
          <w:color w:val="auto"/>
          <w:spacing w:val="0"/>
          <w:kern w:val="2"/>
          <w:sz w:val="24"/>
          <w:szCs w:val="24"/>
          <w:highlight w:val="none"/>
          <w:lang w:val="en-US" w:eastAsia="zh-CN" w:bidi="ar-SA"/>
        </w:rPr>
        <w:t>（1）未进行政采云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p>
    <w:p w14:paraId="5A7D2763">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b w:val="0"/>
          <w:bCs w:val="0"/>
          <w:color w:val="auto"/>
          <w:spacing w:val="0"/>
          <w:kern w:val="2"/>
          <w:sz w:val="24"/>
          <w:szCs w:val="24"/>
          <w:highlight w:val="none"/>
          <w:lang w:val="en-US" w:eastAsia="zh-CN" w:bidi="ar-SA"/>
        </w:rPr>
        <w:t>（2）为确保网上操作合法、有效和安全，请供应商确保在电子响应过程中能够对相关数据电文进行加密和使用电子签章，妥善保管CA数字证书并使用有效的CA数字证书参与整个采购活动。</w:t>
      </w:r>
    </w:p>
    <w:p w14:paraId="6290B593">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b w:val="0"/>
          <w:bCs w:val="0"/>
          <w:color w:val="auto"/>
          <w:spacing w:val="0"/>
          <w:kern w:val="2"/>
          <w:sz w:val="24"/>
          <w:szCs w:val="24"/>
          <w:highlight w:val="none"/>
          <w:lang w:val="en-US" w:eastAsia="zh-CN" w:bidi="ar-SA"/>
        </w:rPr>
        <w:t>（3）若对项目采购电子交易系统操作有疑问，可登录政采云平台，点击右侧咨询小采获取采小蜜智能服务管家帮助或点击右侧帮助文档查看供应商指南或拨打政采云服务热线95763获取热线服务帮助。</w:t>
      </w:r>
    </w:p>
    <w:p w14:paraId="6EF66642">
      <w:pPr>
        <w:tabs>
          <w:tab w:val="left" w:pos="-3675"/>
        </w:tabs>
        <w:autoSpaceDE w:val="0"/>
        <w:autoSpaceDN w:val="0"/>
        <w:adjustRightInd w:val="0"/>
        <w:spacing w:line="500" w:lineRule="exact"/>
        <w:ind w:right="97" w:rightChars="46"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val="0"/>
          <w:bCs w:val="0"/>
          <w:color w:val="auto"/>
          <w:spacing w:val="0"/>
          <w:kern w:val="2"/>
          <w:sz w:val="24"/>
          <w:szCs w:val="24"/>
          <w:highlight w:val="none"/>
          <w:lang w:val="en-US" w:eastAsia="zh-CN" w:bidi="ar-SA"/>
        </w:rPr>
        <w:t>（4）各供应商在投标截止前应确保成为政采云平台正式注册入库供应商，并完成CA 数字证书申领。因未注册入库、未办理CA数字证书等原因造成无法投标或投标失败等后果由供应商自行承担。</w:t>
      </w:r>
    </w:p>
    <w:p w14:paraId="74C58D9F">
      <w:pPr>
        <w:autoSpaceDE w:val="0"/>
        <w:autoSpaceDN w:val="0"/>
        <w:adjustRightInd w:val="0"/>
        <w:spacing w:line="500" w:lineRule="exact"/>
        <w:jc w:val="left"/>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22" w:name="_Toc6769"/>
      <w:r>
        <w:rPr>
          <w:rFonts w:hint="eastAsia" w:ascii="宋体" w:hAnsi="宋体" w:eastAsia="宋体" w:cs="宋体"/>
          <w:b/>
          <w:bCs/>
          <w:color w:val="000000" w:themeColor="text1"/>
          <w:sz w:val="24"/>
          <w:szCs w:val="24"/>
          <w:highlight w:val="none"/>
          <w:lang w:val="zh-CN"/>
          <w14:textFill>
            <w14:solidFill>
              <w14:schemeClr w14:val="tx1"/>
            </w14:solidFill>
          </w14:textFill>
        </w:rPr>
        <w:t>五、开启</w:t>
      </w:r>
      <w:bookmarkEnd w:id="22"/>
    </w:p>
    <w:p w14:paraId="0D6B32C4">
      <w:pPr>
        <w:tabs>
          <w:tab w:val="left" w:pos="-3675"/>
        </w:tabs>
        <w:autoSpaceDE w:val="0"/>
        <w:autoSpaceDN w:val="0"/>
        <w:adjustRightInd w:val="0"/>
        <w:spacing w:line="500" w:lineRule="exact"/>
        <w:ind w:right="97" w:rightChars="46"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1.时间：</w:t>
      </w: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上午</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时00分（北京时间）</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6183D03D">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color w:val="auto"/>
          <w:sz w:val="24"/>
          <w:szCs w:val="24"/>
          <w:highlight w:val="none"/>
        </w:rPr>
      </w:pPr>
      <w:bookmarkStart w:id="23" w:name="_Toc21517"/>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.开启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解密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zh-CN" w:eastAsia="zh-CN"/>
        </w:rPr>
        <w:t>电子响应文件解密期限及方式：开启时间后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0分钟内，由供应商持制作该电子响应文件的同一数字证书（CA锁）及电脑进行远程解密（各投标人开标前及网上开评标系统公布投标人名单前，不要提前进行远程解密），没有在规定时间内解密成功的，视为无效响应</w:t>
      </w:r>
      <w:r>
        <w:rPr>
          <w:rFonts w:hint="eastAsia" w:ascii="宋体" w:hAnsi="宋体" w:eastAsia="宋体" w:cs="宋体"/>
          <w:color w:val="auto"/>
          <w:sz w:val="24"/>
          <w:szCs w:val="24"/>
          <w:highlight w:val="none"/>
        </w:rPr>
        <w:t>。</w:t>
      </w:r>
    </w:p>
    <w:p w14:paraId="041AE07D">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解密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日，上午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rPr>
        <w:t>（北京时间）。</w:t>
      </w:r>
    </w:p>
    <w:p w14:paraId="03104C57">
      <w:pPr>
        <w:autoSpaceDE w:val="0"/>
        <w:autoSpaceDN w:val="0"/>
        <w:adjustRightInd w:val="0"/>
        <w:spacing w:line="500" w:lineRule="exact"/>
        <w:ind w:firstLine="480" w:firstLineChars="200"/>
        <w:jc w:val="left"/>
        <w:outlineLvl w:val="9"/>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延吉市</w:t>
      </w:r>
      <w:r>
        <w:rPr>
          <w:rFonts w:hint="eastAsia" w:ascii="宋体" w:hAnsi="宋体" w:eastAsia="宋体" w:cs="宋体"/>
          <w:color w:val="000000" w:themeColor="text1"/>
          <w:sz w:val="24"/>
          <w:szCs w:val="24"/>
          <w:highlight w:val="none"/>
          <w:lang w:val="zh-CN" w:eastAsia="zh-CN"/>
          <w14:textFill>
            <w14:solidFill>
              <w14:schemeClr w14:val="tx1"/>
            </w14:solidFill>
          </w14:textFill>
        </w:rPr>
        <w:t>公共资源交易中心（延吉市政务大厅6楼开标二室</w:t>
      </w:r>
      <w:r>
        <w:rPr>
          <w:rFonts w:hint="eastAsia" w:ascii="宋体" w:hAnsi="宋体" w:eastAsia="宋体" w:cs="宋体"/>
          <w:color w:val="000000" w:themeColor="text1"/>
          <w:sz w:val="24"/>
          <w:szCs w:val="24"/>
          <w:highlight w:val="none"/>
          <w:lang w:val="zh-CN" w:eastAsia="zh-CN"/>
          <w14:textFill>
            <w14:solidFill>
              <w14:schemeClr w14:val="tx1"/>
            </w14:solidFill>
          </w14:textFill>
        </w:rPr>
        <w:t>）。地址：延吉市光华路166－1号。</w:t>
      </w:r>
    </w:p>
    <w:p w14:paraId="2FB9428D">
      <w:pPr>
        <w:autoSpaceDE w:val="0"/>
        <w:autoSpaceDN w:val="0"/>
        <w:adjustRightInd w:val="0"/>
        <w:spacing w:line="500" w:lineRule="exact"/>
        <w:jc w:val="left"/>
        <w:outlineLvl w:val="1"/>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六、公告期限</w:t>
      </w:r>
      <w:bookmarkEnd w:id="23"/>
    </w:p>
    <w:p w14:paraId="6775AACA">
      <w:pPr>
        <w:autoSpaceDE w:val="0"/>
        <w:autoSpaceDN w:val="0"/>
        <w:adjustRightInd w:val="0"/>
        <w:spacing w:line="500" w:lineRule="exact"/>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自本公告发出之日起5个工作日。</w:t>
      </w:r>
    </w:p>
    <w:p w14:paraId="3030AAD5">
      <w:pPr>
        <w:autoSpaceDE w:val="0"/>
        <w:autoSpaceDN w:val="0"/>
        <w:adjustRightInd w:val="0"/>
        <w:spacing w:line="500" w:lineRule="exact"/>
        <w:jc w:val="left"/>
        <w:outlineLvl w:val="1"/>
        <w:rPr>
          <w:rFonts w:hint="eastAsia" w:ascii="宋体" w:hAnsi="宋体" w:eastAsia="宋体" w:cs="宋体"/>
          <w:b/>
          <w:bCs/>
          <w:color w:val="000000" w:themeColor="text1"/>
          <w:sz w:val="24"/>
          <w:szCs w:val="24"/>
          <w:lang w:val="zh-CN"/>
          <w14:textFill>
            <w14:solidFill>
              <w14:schemeClr w14:val="tx1"/>
            </w14:solidFill>
          </w14:textFill>
        </w:rPr>
      </w:pPr>
      <w:bookmarkStart w:id="24" w:name="_Toc16175"/>
      <w:r>
        <w:rPr>
          <w:rFonts w:hint="eastAsia" w:ascii="宋体" w:hAnsi="宋体" w:eastAsia="宋体" w:cs="宋体"/>
          <w:b/>
          <w:bCs/>
          <w:color w:val="000000" w:themeColor="text1"/>
          <w:sz w:val="24"/>
          <w:szCs w:val="24"/>
          <w:lang w:val="zh-CN"/>
          <w14:textFill>
            <w14:solidFill>
              <w14:schemeClr w14:val="tx1"/>
            </w14:solidFill>
          </w14:textFill>
        </w:rPr>
        <w:t>七、其他补充事宜</w:t>
      </w:r>
      <w:bookmarkEnd w:id="24"/>
    </w:p>
    <w:p w14:paraId="7E2D343F">
      <w:pPr>
        <w:keepNext w:val="0"/>
        <w:keepLines w:val="0"/>
        <w:pageBreakBefore w:val="0"/>
        <w:widowControl w:val="0"/>
        <w:kinsoku/>
        <w:wordWrap/>
        <w:overflowPunct/>
        <w:topLinePunct w:val="0"/>
        <w:autoSpaceDE w:val="0"/>
        <w:autoSpaceDN w:val="0"/>
        <w:bidi w:val="0"/>
        <w:adjustRightInd w:val="0"/>
        <w:snapToGrid/>
        <w:spacing w:line="360" w:lineRule="auto"/>
        <w:ind w:right="97" w:rightChars="46" w:firstLine="480" w:firstLineChars="20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eastAsia="zh-CN" w:bidi="ar"/>
        </w:rPr>
        <w:t>1、</w:t>
      </w:r>
      <w:r>
        <w:rPr>
          <w:rFonts w:hint="eastAsia" w:ascii="宋体" w:hAnsi="宋体" w:eastAsia="宋体" w:cs="宋体"/>
          <w:color w:val="000000"/>
          <w:sz w:val="24"/>
          <w:szCs w:val="24"/>
          <w:lang w:bidi="ar"/>
        </w:rPr>
        <w:t>CA 办理方式：</w:t>
      </w:r>
    </w:p>
    <w:p w14:paraId="46B33A73">
      <w:pPr>
        <w:keepNext w:val="0"/>
        <w:keepLines w:val="0"/>
        <w:pageBreakBefore w:val="0"/>
        <w:widowControl w:val="0"/>
        <w:kinsoku/>
        <w:wordWrap/>
        <w:overflowPunct/>
        <w:topLinePunct w:val="0"/>
        <w:autoSpaceDE w:val="0"/>
        <w:autoSpaceDN w:val="0"/>
        <w:bidi w:val="0"/>
        <w:adjustRightInd w:val="0"/>
        <w:snapToGrid/>
        <w:spacing w:line="360" w:lineRule="auto"/>
        <w:ind w:right="97" w:rightChars="46" w:firstLine="480" w:firstLineChars="20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（1）准备材料：①企业营业执照；② 法定代表人身份证；③经办人身份证；④数字证书申请表 (在获取响应文件附件处下载模板)；⑤授权委托书 (在获取响应文件附件处下载模板) 。</w:t>
      </w:r>
    </w:p>
    <w:p w14:paraId="0C69E837">
      <w:pPr>
        <w:keepNext w:val="0"/>
        <w:keepLines w:val="0"/>
        <w:pageBreakBefore w:val="0"/>
        <w:widowControl w:val="0"/>
        <w:kinsoku/>
        <w:wordWrap/>
        <w:overflowPunct/>
        <w:topLinePunct w:val="0"/>
        <w:autoSpaceDE w:val="0"/>
        <w:autoSpaceDN w:val="0"/>
        <w:bidi w:val="0"/>
        <w:adjustRightInd w:val="0"/>
        <w:snapToGrid/>
        <w:spacing w:line="360" w:lineRule="auto"/>
        <w:ind w:right="97" w:rightChars="46" w:firstLine="480" w:firstLineChars="20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（2）办理流程：第一步：吉林省公共资源交易平台主体库注册：请先在主体库中注册、完善企业基本信息并上传企业相关资料 ，请进入以下链接进入供应商注册界面。http://139.215.214.77/PSPBidder/memberLogin；第二步：完成主体库注册的用户持以上材料联系软件公司现场或邮寄办理 CA 锁。</w:t>
      </w:r>
    </w:p>
    <w:p w14:paraId="1C280789">
      <w:pPr>
        <w:keepNext w:val="0"/>
        <w:keepLines w:val="0"/>
        <w:pageBreakBefore w:val="0"/>
        <w:widowControl w:val="0"/>
        <w:kinsoku/>
        <w:wordWrap/>
        <w:overflowPunct/>
        <w:topLinePunct w:val="0"/>
        <w:autoSpaceDE w:val="0"/>
        <w:autoSpaceDN w:val="0"/>
        <w:bidi w:val="0"/>
        <w:adjustRightInd w:val="0"/>
        <w:snapToGrid/>
        <w:spacing w:line="360" w:lineRule="auto"/>
        <w:ind w:right="97" w:rightChars="46" w:firstLine="480" w:firstLineChars="20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（3）软件公司联系方式：安信CA 联系电话：0431-85177688；翔晟CA咨询电话：</w:t>
      </w:r>
      <w:r>
        <w:rPr>
          <w:rFonts w:hint="eastAsia" w:ascii="宋体" w:hAnsi="宋体" w:eastAsia="宋体" w:cs="宋体"/>
          <w:color w:val="000000"/>
          <w:sz w:val="24"/>
          <w:szCs w:val="24"/>
          <w:lang w:val="zh-CN"/>
        </w:rPr>
        <w:t>0431-88779428（长春）、15604331467（延边）</w:t>
      </w:r>
      <w:r>
        <w:rPr>
          <w:rFonts w:hint="eastAsia" w:ascii="宋体" w:hAnsi="宋体" w:eastAsia="宋体" w:cs="宋体"/>
          <w:color w:val="000000"/>
          <w:sz w:val="24"/>
          <w:szCs w:val="24"/>
          <w:lang w:bidi="ar"/>
        </w:rPr>
        <w:t>。</w:t>
      </w:r>
    </w:p>
    <w:p w14:paraId="7628E9CF">
      <w:pPr>
        <w:keepNext w:val="0"/>
        <w:keepLines w:val="0"/>
        <w:pageBreakBefore w:val="0"/>
        <w:widowControl w:val="0"/>
        <w:kinsoku/>
        <w:wordWrap/>
        <w:overflowPunct/>
        <w:topLinePunct w:val="0"/>
        <w:autoSpaceDE w:val="0"/>
        <w:autoSpaceDN w:val="0"/>
        <w:bidi w:val="0"/>
        <w:adjustRightInd w:val="0"/>
        <w:snapToGrid/>
        <w:spacing w:line="360" w:lineRule="auto"/>
        <w:ind w:right="97" w:rightChars="46" w:firstLine="480" w:firstLineChars="20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（4）收到 CA 以后在“政采云”登陆界面，点击 CA 登录-CA 驱动下载-下载并安装政采云投标客户端和安信CA 驱动，账号绑定 CA 后才能进行响应文件制作。</w:t>
      </w:r>
    </w:p>
    <w:p w14:paraId="2E84DC81">
      <w:pPr>
        <w:keepNext w:val="0"/>
        <w:keepLines w:val="0"/>
        <w:pageBreakBefore w:val="0"/>
        <w:widowControl w:val="0"/>
        <w:kinsoku/>
        <w:wordWrap/>
        <w:overflowPunct/>
        <w:topLinePunct w:val="0"/>
        <w:autoSpaceDE w:val="0"/>
        <w:autoSpaceDN w:val="0"/>
        <w:bidi w:val="0"/>
        <w:adjustRightInd w:val="0"/>
        <w:snapToGrid/>
        <w:spacing w:line="360" w:lineRule="auto"/>
        <w:ind w:right="97" w:rightChars="46" w:firstLine="480" w:firstLineChars="20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（5）未进行网上注册并办理 CA 认证的供应商将无法参与本次采购活动。数字证书办理时限为3-5个工作日，供应商须自行考虑办理时间，由于供应商自身原因在开启前无法完成办理，后果自负。</w:t>
      </w:r>
    </w:p>
    <w:p w14:paraId="0017CD9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bidi="ar"/>
        </w:rPr>
        <w:t>2.有效供应商不足法定数量时，征集人另行组织征集</w:t>
      </w:r>
    </w:p>
    <w:p w14:paraId="2E1D2AF1">
      <w:pPr>
        <w:tabs>
          <w:tab w:val="left" w:pos="-3675"/>
        </w:tabs>
        <w:autoSpaceDE w:val="0"/>
        <w:autoSpaceDN w:val="0"/>
        <w:adjustRightInd w:val="0"/>
        <w:spacing w:line="500" w:lineRule="exact"/>
        <w:ind w:right="97" w:rightChars="46"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sz w:val="24"/>
          <w:szCs w:val="24"/>
          <w:lang w:val="en-US" w:eastAsia="zh-CN" w:bidi="ar"/>
        </w:rPr>
        <w:t>3.本次招标公告同时在“政采云”平台（http:// www.zcygov.cn）、同步推送到吉林省政府采购网（http://www.ccgp-jilin.gov.cn/），并同时在《中国政府采购网》上发布</w:t>
      </w:r>
      <w:r>
        <w:rPr>
          <w:rFonts w:hint="eastAsia" w:ascii="宋体" w:hAnsi="宋体" w:eastAsia="宋体" w:cs="宋体"/>
          <w:color w:val="auto"/>
          <w:sz w:val="24"/>
          <w:szCs w:val="24"/>
          <w:highlight w:val="none"/>
          <w:lang w:val="zh-CN" w:eastAsia="zh-CN"/>
        </w:rPr>
        <w:t>。</w:t>
      </w:r>
    </w:p>
    <w:p w14:paraId="4C46C603">
      <w:pPr>
        <w:autoSpaceDE w:val="0"/>
        <w:autoSpaceDN w:val="0"/>
        <w:adjustRightInd w:val="0"/>
        <w:spacing w:line="500" w:lineRule="exact"/>
        <w:jc w:val="left"/>
        <w:outlineLvl w:val="1"/>
        <w:rPr>
          <w:rFonts w:hint="eastAsia" w:ascii="宋体" w:hAnsi="宋体" w:eastAsia="宋体" w:cs="宋体"/>
          <w:b/>
          <w:bCs/>
          <w:color w:val="000000" w:themeColor="text1"/>
          <w:sz w:val="24"/>
          <w:szCs w:val="24"/>
          <w:lang w:val="zh-CN"/>
          <w14:textFill>
            <w14:solidFill>
              <w14:schemeClr w14:val="tx1"/>
            </w14:solidFill>
          </w14:textFill>
        </w:rPr>
      </w:pPr>
      <w:bookmarkStart w:id="25" w:name="_Toc4278"/>
      <w:bookmarkStart w:id="26" w:name="_Toc16390"/>
      <w:bookmarkStart w:id="27" w:name="_Toc26109"/>
      <w:bookmarkStart w:id="28" w:name="_Toc9842"/>
      <w:bookmarkStart w:id="29" w:name="_Toc7416"/>
      <w:r>
        <w:rPr>
          <w:rFonts w:hint="eastAsia" w:ascii="宋体" w:hAnsi="宋体" w:eastAsia="宋体" w:cs="宋体"/>
          <w:b/>
          <w:bCs/>
          <w:color w:val="000000" w:themeColor="text1"/>
          <w:sz w:val="24"/>
          <w:szCs w:val="24"/>
          <w:lang w:val="zh-CN"/>
          <w14:textFill>
            <w14:solidFill>
              <w14:schemeClr w14:val="tx1"/>
            </w14:solidFill>
          </w14:textFill>
        </w:rPr>
        <w:t>八、凡对本次采购提出询问，请按以下方式联系。</w:t>
      </w:r>
      <w:bookmarkEnd w:id="25"/>
    </w:p>
    <w:p w14:paraId="165348C1">
      <w:pPr>
        <w:spacing w:line="500" w:lineRule="exact"/>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.采购人信息</w:t>
      </w:r>
    </w:p>
    <w:p w14:paraId="201F7AC3">
      <w:pPr>
        <w:spacing w:line="500" w:lineRule="exact"/>
        <w:ind w:firstLine="720" w:firstLineChars="3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cs="宋体"/>
          <w:color w:val="000000" w:themeColor="text1"/>
          <w:sz w:val="24"/>
          <w:szCs w:val="24"/>
          <w:lang w:eastAsia="zh-CN"/>
          <w14:textFill>
            <w14:solidFill>
              <w14:schemeClr w14:val="tx1"/>
            </w14:solidFill>
          </w14:textFill>
        </w:rPr>
        <w:t>延吉市林业局</w:t>
      </w:r>
    </w:p>
    <w:p w14:paraId="34596676">
      <w:pPr>
        <w:spacing w:line="5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lang w:eastAsia="zh-CN"/>
          <w14:textFill>
            <w14:solidFill>
              <w14:schemeClr w14:val="tx1"/>
            </w14:solidFill>
          </w14:textFill>
        </w:rPr>
        <w:t>延吉市朝阳街1222号</w:t>
      </w:r>
    </w:p>
    <w:p w14:paraId="3CAAA19A">
      <w:pPr>
        <w:spacing w:line="500" w:lineRule="exact"/>
        <w:ind w:firstLine="720" w:firstLineChars="3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 系 人：</w:t>
      </w:r>
      <w:r>
        <w:rPr>
          <w:rFonts w:hint="eastAsia" w:ascii="宋体" w:hAnsi="宋体" w:cs="宋体"/>
          <w:color w:val="000000" w:themeColor="text1"/>
          <w:sz w:val="24"/>
          <w:szCs w:val="24"/>
          <w:highlight w:val="none"/>
          <w:lang w:eastAsia="zh-CN"/>
          <w14:textFill>
            <w14:solidFill>
              <w14:schemeClr w14:val="tx1"/>
            </w14:solidFill>
          </w14:textFill>
        </w:rPr>
        <w:t>张晓旭</w:t>
      </w:r>
    </w:p>
    <w:p w14:paraId="34C44F94">
      <w:pPr>
        <w:spacing w:line="500" w:lineRule="exact"/>
        <w:ind w:firstLine="720" w:firstLineChars="3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宋体" w:hAnsi="宋体" w:cs="宋体"/>
          <w:color w:val="000000" w:themeColor="text1"/>
          <w:sz w:val="24"/>
          <w:szCs w:val="24"/>
          <w:highlight w:val="none"/>
          <w:lang w:val="en-US" w:eastAsia="zh-CN"/>
          <w14:textFill>
            <w14:solidFill>
              <w14:schemeClr w14:val="tx1"/>
            </w14:solidFill>
          </w14:textFill>
        </w:rPr>
        <w:t>0433-2360116</w:t>
      </w:r>
    </w:p>
    <w:p w14:paraId="4CA0E44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w:t>
      </w:r>
    </w:p>
    <w:p w14:paraId="292D0C3A">
      <w:pPr>
        <w:spacing w:line="50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称：吉林省长润工程咨询有限公司</w:t>
      </w:r>
    </w:p>
    <w:p w14:paraId="012D45DE">
      <w:pPr>
        <w:spacing w:line="50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址：延吉市人民路1977号</w:t>
      </w:r>
    </w:p>
    <w:p w14:paraId="135B09D1">
      <w:pPr>
        <w:spacing w:line="50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联系方式：0433-2099999</w:t>
      </w:r>
    </w:p>
    <w:p w14:paraId="5C7BD41F">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3.项目联系方式</w:t>
      </w:r>
    </w:p>
    <w:p w14:paraId="4A77EB03">
      <w:pPr>
        <w:spacing w:line="500" w:lineRule="exact"/>
        <w:ind w:firstLine="720" w:firstLineChars="3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项目联系人：</w:t>
      </w:r>
      <w:r>
        <w:rPr>
          <w:rFonts w:hint="eastAsia" w:ascii="宋体" w:hAnsi="宋体" w:eastAsia="宋体" w:cs="宋体"/>
          <w:color w:val="000000" w:themeColor="text1"/>
          <w:sz w:val="24"/>
          <w:szCs w:val="24"/>
          <w14:textFill>
            <w14:solidFill>
              <w14:schemeClr w14:val="tx1"/>
            </w14:solidFill>
          </w14:textFill>
        </w:rPr>
        <w:t>孙明峰</w:t>
      </w:r>
    </w:p>
    <w:p w14:paraId="761BFDA7">
      <w:pPr>
        <w:spacing w:line="50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18843339002</w:t>
      </w:r>
    </w:p>
    <w:p w14:paraId="030E6B8A">
      <w:pPr>
        <w:pStyle w:val="14"/>
        <w:ind w:firstLine="496" w:firstLineChars="200"/>
        <w:rPr>
          <w:rFonts w:hint="eastAsia"/>
        </w:rPr>
      </w:pPr>
      <w:r>
        <w:rPr>
          <w:rFonts w:hint="eastAsia" w:ascii="宋体" w:hAnsi="宋体" w:eastAsia="宋体" w:cs="宋体"/>
          <w:b w:val="0"/>
          <w:bCs w:val="0"/>
          <w:color w:val="000000" w:themeColor="text1"/>
          <w:sz w:val="24"/>
          <w:szCs w:val="24"/>
          <w:highlight w:val="none"/>
          <w14:textFill>
            <w14:solidFill>
              <w14:schemeClr w14:val="tx1"/>
            </w14:solidFill>
          </w14:textFill>
        </w:rPr>
        <w:t>监督管理部门：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延吉市财政局政府采购管理工作办公室</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5BCF91B">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760A4E67">
      <w:pPr>
        <w:autoSpaceDE w:val="0"/>
        <w:autoSpaceDN w:val="0"/>
        <w:adjustRightInd w:val="0"/>
        <w:spacing w:beforeLines="50" w:afterLines="50" w:line="500" w:lineRule="exact"/>
        <w:ind w:firstLine="3600" w:firstLineChars="1500"/>
        <w:jc w:val="righ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吉林省长润工程咨询有限公司</w:t>
      </w:r>
    </w:p>
    <w:p w14:paraId="410DD7E7">
      <w:pPr>
        <w:spacing w:line="500" w:lineRule="exact"/>
        <w:jc w:val="right"/>
        <w:rPr>
          <w:rFonts w:hint="eastAsia" w:ascii="宋体" w:hAnsi="宋体" w:eastAsia="宋体" w:cs="宋体"/>
          <w:color w:val="000000" w:themeColor="text1"/>
          <w:sz w:val="24"/>
          <w:szCs w:val="24"/>
          <w:highlight w:val="none"/>
          <w14:textFill>
            <w14:solidFill>
              <w14:schemeClr w14:val="tx1"/>
            </w14:solidFill>
          </w14:textFill>
        </w:rPr>
      </w:pPr>
      <w:bookmarkStart w:id="30" w:name="_Toc32728"/>
      <w:bookmarkEnd w:id="30"/>
      <w:bookmarkStart w:id="31" w:name="_Toc26736"/>
      <w:bookmarkEnd w:id="31"/>
      <w:r>
        <w:rPr>
          <w:rFonts w:hint="eastAsia" w:ascii="宋体" w:hAnsi="宋体" w:eastAsia="宋体" w:cs="宋体"/>
          <w:color w:val="000000" w:themeColor="text1"/>
          <w:sz w:val="24"/>
          <w:szCs w:val="24"/>
          <w:highlight w:val="none"/>
          <w:lang w:val="zh-CN"/>
          <w14:textFill>
            <w14:solidFill>
              <w14:schemeClr w14:val="tx1"/>
            </w14:solidFill>
          </w14:textFill>
        </w:rPr>
        <w:t>202</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日</w:t>
      </w:r>
    </w:p>
    <w:p w14:paraId="371B05B0">
      <w:pPr>
        <w:pStyle w:val="17"/>
        <w:ind w:left="1470" w:right="1470"/>
        <w:rPr>
          <w:rFonts w:hint="eastAsia" w:ascii="宋体" w:hAnsi="宋体" w:eastAsia="宋体" w:cs="宋体"/>
          <w:color w:val="000000" w:themeColor="text1"/>
          <w:sz w:val="24"/>
          <w:szCs w:val="24"/>
          <w14:textFill>
            <w14:solidFill>
              <w14:schemeClr w14:val="tx1"/>
            </w14:solidFill>
          </w14:textFill>
        </w:rPr>
      </w:pPr>
    </w:p>
    <w:p w14:paraId="063F6C45">
      <w:pPr>
        <w:pStyle w:val="17"/>
        <w:ind w:left="1470" w:right="1470"/>
        <w:rPr>
          <w:rFonts w:hint="eastAsia" w:ascii="宋体" w:hAnsi="宋体" w:eastAsia="宋体" w:cs="宋体"/>
          <w:color w:val="000000" w:themeColor="text1"/>
          <w:sz w:val="24"/>
          <w:szCs w:val="24"/>
          <w14:textFill>
            <w14:solidFill>
              <w14:schemeClr w14:val="tx1"/>
            </w14:solidFill>
          </w14:textFill>
        </w:rPr>
      </w:pPr>
    </w:p>
    <w:p w14:paraId="40066A69">
      <w:pPr>
        <w:pStyle w:val="17"/>
        <w:ind w:left="1470" w:right="1470"/>
        <w:rPr>
          <w:rFonts w:hint="eastAsia" w:ascii="宋体" w:hAnsi="宋体" w:eastAsia="宋体" w:cs="宋体"/>
          <w:color w:val="000000" w:themeColor="text1"/>
          <w:sz w:val="24"/>
          <w:szCs w:val="24"/>
          <w14:textFill>
            <w14:solidFill>
              <w14:schemeClr w14:val="tx1"/>
            </w14:solidFill>
          </w14:textFill>
        </w:rPr>
      </w:pPr>
    </w:p>
    <w:p w14:paraId="3239ECE7">
      <w:pPr>
        <w:pStyle w:val="17"/>
        <w:ind w:left="0" w:leftChars="0" w:right="1470"/>
        <w:rPr>
          <w:rFonts w:hint="eastAsia" w:ascii="宋体" w:hAnsi="宋体" w:eastAsia="宋体" w:cs="宋体"/>
          <w:color w:val="000000" w:themeColor="text1"/>
          <w:sz w:val="24"/>
          <w:szCs w:val="24"/>
          <w14:textFill>
            <w14:solidFill>
              <w14:schemeClr w14:val="tx1"/>
            </w14:solidFill>
          </w14:textFill>
        </w:rPr>
      </w:pPr>
    </w:p>
    <w:p w14:paraId="72CF397D">
      <w:pPr>
        <w:pStyle w:val="17"/>
        <w:ind w:left="0" w:leftChars="0" w:right="1470"/>
        <w:rPr>
          <w:rFonts w:hint="eastAsia" w:ascii="宋体" w:hAnsi="宋体" w:eastAsia="宋体" w:cs="宋体"/>
          <w:color w:val="000000" w:themeColor="text1"/>
          <w:sz w:val="24"/>
          <w:szCs w:val="24"/>
          <w14:textFill>
            <w14:solidFill>
              <w14:schemeClr w14:val="tx1"/>
            </w14:solidFill>
          </w14:textFill>
        </w:rPr>
      </w:pPr>
    </w:p>
    <w:p w14:paraId="0CD6287C">
      <w:pPr>
        <w:pStyle w:val="17"/>
        <w:ind w:left="0" w:leftChars="0" w:right="1470"/>
        <w:rPr>
          <w:rFonts w:hint="eastAsia" w:ascii="宋体" w:hAnsi="宋体" w:eastAsia="宋体" w:cs="宋体"/>
          <w:color w:val="000000" w:themeColor="text1"/>
          <w:sz w:val="24"/>
          <w:szCs w:val="24"/>
          <w14:textFill>
            <w14:solidFill>
              <w14:schemeClr w14:val="tx1"/>
            </w14:solidFill>
          </w14:textFill>
        </w:rPr>
      </w:pPr>
    </w:p>
    <w:p w14:paraId="6D2131FD">
      <w:pPr>
        <w:spacing w:line="360" w:lineRule="auto"/>
        <w:jc w:val="left"/>
        <w:rPr>
          <w:rFonts w:hint="eastAsia" w:ascii="宋体" w:hAnsi="宋体" w:eastAsia="宋体" w:cs="宋体"/>
          <w:color w:val="000000" w:themeColor="text1"/>
          <w:kern w:val="0"/>
          <w:sz w:val="24"/>
          <w:szCs w:val="24"/>
          <w:highlight w:val="none"/>
          <w:shd w:val="clear" w:color="auto" w:fill="FFFFFF"/>
          <w:lang w:bidi="ar"/>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lang w:bidi="ar"/>
          <w14:textFill>
            <w14:solidFill>
              <w14:schemeClr w14:val="tx1"/>
            </w14:solidFill>
          </w14:textFill>
        </w:rPr>
        <w:br w:type="page"/>
      </w:r>
      <w:r>
        <w:rPr>
          <w:rFonts w:hint="eastAsia" w:ascii="宋体" w:hAnsi="宋体" w:eastAsia="宋体" w:cs="宋体"/>
          <w:color w:val="000000" w:themeColor="text1"/>
          <w:kern w:val="0"/>
          <w:sz w:val="24"/>
          <w:szCs w:val="24"/>
          <w:highlight w:val="none"/>
          <w:shd w:val="clear" w:color="auto" w:fill="FFFFFF"/>
          <w:lang w:bidi="ar"/>
          <w14:textFill>
            <w14:solidFill>
              <w14:schemeClr w14:val="tx1"/>
            </w14:solidFill>
          </w14:textFill>
        </w:rPr>
        <w:t xml:space="preserve">附件：     </w:t>
      </w:r>
    </w:p>
    <w:p w14:paraId="5AC7296E">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（一）法定代表人身份证明</w:t>
      </w:r>
    </w:p>
    <w:p w14:paraId="6D0C15D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144DC1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单位性质：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47AE4C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149E8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成立时间：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296F494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DE2029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BFC53B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（供应商名称）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的法定代表人（负责人）</w:t>
      </w:r>
    </w:p>
    <w:p w14:paraId="643BEB2F">
      <w:pPr>
        <w:spacing w:line="360" w:lineRule="auto"/>
        <w:ind w:firstLine="960" w:firstLineChars="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特此证明。</w:t>
      </w:r>
    </w:p>
    <w:tbl>
      <w:tblPr>
        <w:tblStyle w:val="37"/>
        <w:tblpPr w:leftFromText="180" w:rightFromText="180" w:vertAnchor="text" w:horzAnchor="page" w:tblpX="3178"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14:paraId="24C9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800" w:type="dxa"/>
            <w:vAlign w:val="center"/>
          </w:tcPr>
          <w:p w14:paraId="312061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法定代表人（负责人）身份证</w:t>
            </w:r>
            <w:r>
              <w:rPr>
                <w:rFonts w:hint="eastAsia" w:ascii="宋体" w:hAnsi="宋体" w:eastAsia="宋体" w:cs="宋体"/>
                <w:color w:val="000000" w:themeColor="text1"/>
                <w:sz w:val="24"/>
                <w:szCs w:val="24"/>
                <w:highlight w:val="none"/>
                <w:lang w:eastAsia="zh-CN"/>
                <w14:textFill>
                  <w14:solidFill>
                    <w14:schemeClr w14:val="tx1"/>
                  </w14:solidFill>
                </w14:textFill>
              </w:rPr>
              <w:t>正、反</w:t>
            </w:r>
            <w:r>
              <w:rPr>
                <w:rFonts w:hint="eastAsia" w:ascii="宋体" w:hAnsi="宋体" w:eastAsia="宋体" w:cs="宋体"/>
                <w:color w:val="000000" w:themeColor="text1"/>
                <w:sz w:val="24"/>
                <w:szCs w:val="24"/>
                <w:highlight w:val="none"/>
                <w14:textFill>
                  <w14:solidFill>
                    <w14:schemeClr w14:val="tx1"/>
                  </w14:solidFill>
                </w14:textFill>
              </w:rPr>
              <w:t>复印件</w:t>
            </w:r>
          </w:p>
        </w:tc>
      </w:tr>
    </w:tbl>
    <w:p w14:paraId="594B05C2">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64FE71C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3EA702F2">
      <w:pPr>
        <w:spacing w:line="360" w:lineRule="auto"/>
        <w:rPr>
          <w:rFonts w:hint="eastAsia" w:ascii="宋体" w:hAnsi="宋体" w:eastAsia="宋体" w:cs="宋体"/>
          <w:color w:val="000000" w:themeColor="text1"/>
          <w:highlight w:val="none"/>
          <w14:textFill>
            <w14:solidFill>
              <w14:schemeClr w14:val="tx1"/>
            </w14:solidFill>
          </w14:textFill>
        </w:rPr>
      </w:pPr>
    </w:p>
    <w:p w14:paraId="470E48D0">
      <w:pPr>
        <w:pStyle w:val="35"/>
        <w:rPr>
          <w:rFonts w:hint="eastAsia" w:ascii="宋体" w:hAnsi="宋体" w:eastAsia="宋体" w:cs="宋体"/>
          <w:color w:val="000000" w:themeColor="text1"/>
          <w:highlight w:val="none"/>
          <w14:textFill>
            <w14:solidFill>
              <w14:schemeClr w14:val="tx1"/>
            </w14:solidFill>
          </w14:textFill>
        </w:rPr>
      </w:pPr>
    </w:p>
    <w:p w14:paraId="06D93AE7">
      <w:pPr>
        <w:spacing w:line="360" w:lineRule="auto"/>
        <w:jc w:val="right"/>
        <w:rPr>
          <w:rFonts w:hint="eastAsia" w:ascii="宋体" w:hAnsi="宋体" w:eastAsia="宋体" w:cs="宋体"/>
          <w:color w:val="000000" w:themeColor="text1"/>
          <w:sz w:val="24"/>
          <w:szCs w:val="24"/>
          <w:highlight w:val="none"/>
          <w14:textFill>
            <w14:solidFill>
              <w14:schemeClr w14:val="tx1"/>
            </w14:solidFill>
          </w14:textFill>
        </w:rPr>
      </w:pPr>
    </w:p>
    <w:p w14:paraId="5BE1007D">
      <w:pPr>
        <w:spacing w:line="360" w:lineRule="auto"/>
        <w:jc w:val="right"/>
        <w:rPr>
          <w:rFonts w:hint="eastAsia" w:ascii="宋体" w:hAnsi="宋体" w:eastAsia="宋体" w:cs="宋体"/>
          <w:color w:val="000000" w:themeColor="text1"/>
          <w:sz w:val="24"/>
          <w:szCs w:val="24"/>
          <w:highlight w:val="none"/>
          <w14:textFill>
            <w14:solidFill>
              <w14:schemeClr w14:val="tx1"/>
            </w14:solidFill>
          </w14:textFill>
        </w:rPr>
      </w:pPr>
    </w:p>
    <w:p w14:paraId="4C73F1A2">
      <w:pPr>
        <w:spacing w:line="360" w:lineRule="auto"/>
        <w:jc w:val="right"/>
        <w:rPr>
          <w:rFonts w:hint="eastAsia" w:ascii="宋体" w:hAnsi="宋体" w:eastAsia="宋体" w:cs="宋体"/>
          <w:color w:val="000000" w:themeColor="text1"/>
          <w:sz w:val="24"/>
          <w:szCs w:val="24"/>
          <w:highlight w:val="none"/>
          <w14:textFill>
            <w14:solidFill>
              <w14:schemeClr w14:val="tx1"/>
            </w14:solidFill>
          </w14:textFill>
        </w:rPr>
      </w:pPr>
    </w:p>
    <w:p w14:paraId="276BA639">
      <w:pPr>
        <w:spacing w:line="360" w:lineRule="auto"/>
        <w:jc w:val="right"/>
        <w:rPr>
          <w:rFonts w:hint="eastAsia" w:ascii="宋体" w:hAnsi="宋体" w:eastAsia="宋体" w:cs="宋体"/>
          <w:color w:val="000000" w:themeColor="text1"/>
          <w:sz w:val="24"/>
          <w:szCs w:val="24"/>
          <w:highlight w:val="none"/>
          <w14:textFill>
            <w14:solidFill>
              <w14:schemeClr w14:val="tx1"/>
            </w14:solidFill>
          </w14:textFill>
        </w:rPr>
      </w:pPr>
    </w:p>
    <w:p w14:paraId="639DFFB5">
      <w:pPr>
        <w:spacing w:line="360"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00AB98B4">
      <w:pPr>
        <w:spacing w:line="360" w:lineRule="auto"/>
        <w:ind w:firstLine="5160" w:firstLineChars="2150"/>
        <w:rPr>
          <w:rFonts w:hint="eastAsia" w:ascii="宋体" w:hAnsi="宋体" w:eastAsia="宋体" w:cs="宋体"/>
          <w:color w:val="000000" w:themeColor="text1"/>
          <w:sz w:val="24"/>
          <w:szCs w:val="24"/>
          <w:highlight w:val="none"/>
          <w:u w:val="single"/>
          <w14:textFill>
            <w14:solidFill>
              <w14:schemeClr w14:val="tx1"/>
            </w14:solidFill>
          </w14:textFill>
        </w:rPr>
      </w:pPr>
    </w:p>
    <w:p w14:paraId="44892293">
      <w:pPr>
        <w:pStyle w:val="20"/>
        <w:spacing w:line="360" w:lineRule="auto"/>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483DEBEE">
      <w:pPr>
        <w:pStyle w:val="20"/>
        <w:spacing w:line="360" w:lineRule="auto"/>
        <w:ind w:firstLine="562" w:firstLineChars="200"/>
        <w:jc w:val="center"/>
        <w:rPr>
          <w:rFonts w:hint="eastAsia" w:ascii="宋体" w:hAnsi="宋体" w:eastAsia="宋体" w:cs="宋体"/>
          <w:b/>
          <w:color w:val="000000" w:themeColor="text1"/>
          <w:sz w:val="28"/>
          <w:szCs w:val="28"/>
          <w14:textFill>
            <w14:solidFill>
              <w14:schemeClr w14:val="tx1"/>
            </w14:solidFill>
          </w14:textFill>
        </w:rPr>
      </w:pPr>
    </w:p>
    <w:p w14:paraId="4FE7EA90">
      <w:pPr>
        <w:pStyle w:val="20"/>
        <w:spacing w:line="360" w:lineRule="auto"/>
        <w:ind w:firstLine="562" w:firstLineChars="200"/>
        <w:jc w:val="center"/>
        <w:rPr>
          <w:rFonts w:hint="eastAsia" w:ascii="宋体" w:hAnsi="宋体" w:eastAsia="宋体" w:cs="宋体"/>
          <w:b/>
          <w:color w:val="000000" w:themeColor="text1"/>
          <w:sz w:val="28"/>
          <w:szCs w:val="28"/>
          <w14:textFill>
            <w14:solidFill>
              <w14:schemeClr w14:val="tx1"/>
            </w14:solidFill>
          </w14:textFill>
        </w:rPr>
      </w:pPr>
    </w:p>
    <w:p w14:paraId="738357D6">
      <w:pPr>
        <w:pStyle w:val="20"/>
        <w:spacing w:line="360" w:lineRule="auto"/>
        <w:ind w:firstLine="562" w:firstLineChars="200"/>
        <w:jc w:val="center"/>
        <w:rPr>
          <w:rFonts w:hint="eastAsia" w:ascii="宋体" w:hAnsi="宋体" w:eastAsia="宋体" w:cs="宋体"/>
          <w:b/>
          <w:color w:val="000000" w:themeColor="text1"/>
          <w:sz w:val="28"/>
          <w:szCs w:val="28"/>
          <w14:textFill>
            <w14:solidFill>
              <w14:schemeClr w14:val="tx1"/>
            </w14:solidFill>
          </w14:textFill>
        </w:rPr>
      </w:pPr>
    </w:p>
    <w:p w14:paraId="3B4DF7E7">
      <w:pPr>
        <w:rPr>
          <w:rFonts w:hint="eastAsia" w:ascii="宋体" w:hAnsi="宋体" w:eastAsia="宋体" w:cs="宋体"/>
          <w:b/>
          <w:color w:val="000000" w:themeColor="text1"/>
          <w:sz w:val="28"/>
          <w:szCs w:val="28"/>
          <w14:textFill>
            <w14:solidFill>
              <w14:schemeClr w14:val="tx1"/>
            </w14:solidFill>
          </w14:textFill>
        </w:rPr>
      </w:pPr>
    </w:p>
    <w:p w14:paraId="7F9727A8">
      <w:pPr>
        <w:pStyle w:val="14"/>
        <w:rPr>
          <w:rFonts w:hint="eastAsia" w:ascii="宋体" w:hAnsi="宋体" w:eastAsia="宋体" w:cs="宋体"/>
          <w:color w:val="000000" w:themeColor="text1"/>
          <w14:textFill>
            <w14:solidFill>
              <w14:schemeClr w14:val="tx1"/>
            </w14:solidFill>
          </w14:textFill>
        </w:rPr>
      </w:pPr>
    </w:p>
    <w:p w14:paraId="0F3186E6">
      <w:pPr>
        <w:pStyle w:val="20"/>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 xml:space="preserve">（二） </w:t>
      </w:r>
      <w:r>
        <w:rPr>
          <w:rFonts w:hint="eastAsia" w:ascii="宋体" w:hAnsi="宋体" w:eastAsia="宋体" w:cs="宋体"/>
          <w:b/>
          <w:color w:val="000000" w:themeColor="text1"/>
          <w:sz w:val="32"/>
          <w:szCs w:val="32"/>
          <w:highlight w:val="none"/>
          <w14:textFill>
            <w14:solidFill>
              <w14:schemeClr w14:val="tx1"/>
            </w14:solidFill>
          </w14:textFill>
        </w:rPr>
        <w:t>授权委托书</w:t>
      </w:r>
    </w:p>
    <w:p w14:paraId="2741967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AC4B4B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（姓名）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（供应商名称）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的法定代表人，现委托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（姓名）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为我方代理人。代理人根据授权，以我方名义签署、澄清、说明、补正、递交、撤回、修改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szCs w:val="24"/>
          <w:highlight w:val="none"/>
          <w14:textFill>
            <w14:solidFill>
              <w14:schemeClr w14:val="tx1"/>
            </w14:solidFill>
          </w14:textFill>
        </w:rPr>
        <w:t>响应文件、签订合同和处理有关事宜，其法律后果由我方承担。</w:t>
      </w:r>
    </w:p>
    <w:p w14:paraId="2BAA9E0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449946E">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代理人无转委托权。</w:t>
      </w:r>
    </w:p>
    <w:tbl>
      <w:tblPr>
        <w:tblStyle w:val="37"/>
        <w:tblpPr w:leftFromText="180" w:rightFromText="180" w:vertAnchor="text" w:horzAnchor="page" w:tblpX="3166" w:tblpY="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14:paraId="4958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800" w:type="dxa"/>
            <w:vAlign w:val="center"/>
          </w:tcPr>
          <w:p w14:paraId="6BC91E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法定代表人（负责人）身份证</w:t>
            </w:r>
            <w:r>
              <w:rPr>
                <w:rFonts w:hint="eastAsia" w:ascii="宋体" w:hAnsi="宋体" w:eastAsia="宋体" w:cs="宋体"/>
                <w:b/>
                <w:bCs/>
                <w:color w:val="000000" w:themeColor="text1"/>
                <w:sz w:val="24"/>
                <w:szCs w:val="24"/>
                <w:highlight w:val="none"/>
                <w:lang w:eastAsia="zh-CN"/>
                <w14:textFill>
                  <w14:solidFill>
                    <w14:schemeClr w14:val="tx1"/>
                  </w14:solidFill>
                </w14:textFill>
              </w:rPr>
              <w:t>正、反</w:t>
            </w:r>
            <w:r>
              <w:rPr>
                <w:rFonts w:hint="eastAsia" w:ascii="宋体" w:hAnsi="宋体" w:eastAsia="宋体" w:cs="宋体"/>
                <w:b/>
                <w:bCs/>
                <w:color w:val="000000" w:themeColor="text1"/>
                <w:sz w:val="24"/>
                <w:szCs w:val="24"/>
                <w:highlight w:val="none"/>
                <w14:textFill>
                  <w14:solidFill>
                    <w14:schemeClr w14:val="tx1"/>
                  </w14:solidFill>
                </w14:textFill>
              </w:rPr>
              <w:t>复印件</w:t>
            </w:r>
          </w:p>
        </w:tc>
      </w:tr>
    </w:tbl>
    <w:p w14:paraId="27977CF7">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398FCE0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257CC6F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2949113B">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74E967C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55303A2E">
      <w:pPr>
        <w:spacing w:line="360" w:lineRule="auto"/>
        <w:ind w:right="-13" w:rightChars="-6"/>
        <w:jc w:val="right"/>
        <w:rPr>
          <w:rFonts w:hint="eastAsia" w:ascii="宋体" w:hAnsi="宋体" w:eastAsia="宋体" w:cs="宋体"/>
          <w:color w:val="000000" w:themeColor="text1"/>
          <w:highlight w:val="none"/>
          <w14:textFill>
            <w14:solidFill>
              <w14:schemeClr w14:val="tx1"/>
            </w14:solidFill>
          </w14:textFill>
        </w:rPr>
      </w:pPr>
    </w:p>
    <w:p w14:paraId="34318484">
      <w:pPr>
        <w:spacing w:line="480" w:lineRule="auto"/>
        <w:ind w:right="-13" w:rightChars="-6" w:firstLine="2160" w:firstLineChars="90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222F2D1D">
      <w:pPr>
        <w:spacing w:line="480" w:lineRule="auto"/>
        <w:ind w:right="-13" w:rightChars="-6" w:firstLine="2160" w:firstLineChars="9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字）</w:t>
      </w:r>
    </w:p>
    <w:tbl>
      <w:tblPr>
        <w:tblStyle w:val="37"/>
        <w:tblpPr w:leftFromText="180" w:rightFromText="180" w:vertAnchor="text" w:horzAnchor="page" w:tblpX="3178"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14:paraId="1C8F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767" w:type="dxa"/>
            <w:vAlign w:val="center"/>
          </w:tcPr>
          <w:p w14:paraId="134670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委托代理人</w:t>
            </w:r>
            <w:r>
              <w:rPr>
                <w:rFonts w:hint="eastAsia" w:ascii="宋体" w:hAnsi="宋体" w:eastAsia="宋体" w:cs="宋体"/>
                <w:b/>
                <w:bCs/>
                <w:color w:val="000000" w:themeColor="text1"/>
                <w:sz w:val="24"/>
                <w:szCs w:val="24"/>
                <w:highlight w:val="none"/>
                <w14:textFill>
                  <w14:solidFill>
                    <w14:schemeClr w14:val="tx1"/>
                  </w14:solidFill>
                </w14:textFill>
              </w:rPr>
              <w:t>身份证</w:t>
            </w:r>
            <w:r>
              <w:rPr>
                <w:rFonts w:hint="eastAsia" w:ascii="宋体" w:hAnsi="宋体" w:eastAsia="宋体" w:cs="宋体"/>
                <w:b/>
                <w:bCs/>
                <w:color w:val="000000" w:themeColor="text1"/>
                <w:sz w:val="24"/>
                <w:szCs w:val="24"/>
                <w:highlight w:val="none"/>
                <w:lang w:eastAsia="zh-CN"/>
                <w14:textFill>
                  <w14:solidFill>
                    <w14:schemeClr w14:val="tx1"/>
                  </w14:solidFill>
                </w14:textFill>
              </w:rPr>
              <w:t>正、反</w:t>
            </w:r>
            <w:r>
              <w:rPr>
                <w:rFonts w:hint="eastAsia" w:ascii="宋体" w:hAnsi="宋体" w:eastAsia="宋体" w:cs="宋体"/>
                <w:b/>
                <w:bCs/>
                <w:color w:val="000000" w:themeColor="text1"/>
                <w:sz w:val="24"/>
                <w:szCs w:val="24"/>
                <w:highlight w:val="none"/>
                <w14:textFill>
                  <w14:solidFill>
                    <w14:schemeClr w14:val="tx1"/>
                  </w14:solidFill>
                </w14:textFill>
              </w:rPr>
              <w:t>复印件</w:t>
            </w:r>
          </w:p>
        </w:tc>
      </w:tr>
    </w:tbl>
    <w:p w14:paraId="16CBB723">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6F892512">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6F2A14B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7C02A5A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57E1203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11863031">
      <w:pPr>
        <w:wordWrap w:val="0"/>
        <w:spacing w:line="360" w:lineRule="auto"/>
        <w:ind w:right="-13" w:rightChars="-6"/>
        <w:jc w:val="right"/>
        <w:rPr>
          <w:rFonts w:hint="eastAsia" w:ascii="宋体" w:hAnsi="宋体" w:eastAsia="宋体" w:cs="宋体"/>
          <w:color w:val="000000" w:themeColor="text1"/>
          <w:sz w:val="24"/>
          <w:szCs w:val="24"/>
          <w:highlight w:val="none"/>
          <w14:textFill>
            <w14:solidFill>
              <w14:schemeClr w14:val="tx1"/>
            </w14:solidFill>
          </w14:textFill>
        </w:rPr>
      </w:pPr>
    </w:p>
    <w:p w14:paraId="369D513C">
      <w:pPr>
        <w:wordWrap w:val="0"/>
        <w:spacing w:line="480" w:lineRule="auto"/>
        <w:ind w:right="-13" w:rightChars="-6" w:firstLine="2640" w:firstLineChars="11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（签字）性 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DC45655">
      <w:pPr>
        <w:wordWrap w:val="0"/>
        <w:spacing w:line="480" w:lineRule="auto"/>
        <w:ind w:right="-13" w:rightChars="-6" w:firstLine="3360" w:firstLineChars="1400"/>
        <w:jc w:val="both"/>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 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97BF687">
      <w:pPr>
        <w:spacing w:line="360" w:lineRule="auto"/>
        <w:ind w:firstLine="1200" w:firstLineChars="500"/>
        <w:jc w:val="right"/>
        <w:rPr>
          <w:rFonts w:hint="eastAsia" w:ascii="宋体" w:hAnsi="宋体" w:eastAsia="宋体" w:cs="宋体"/>
          <w:color w:val="000000" w:themeColor="text1"/>
          <w:sz w:val="24"/>
          <w:szCs w:val="24"/>
          <w:highlight w:val="none"/>
          <w:u w:val="single"/>
          <w14:textFill>
            <w14:solidFill>
              <w14:schemeClr w14:val="tx1"/>
            </w14:solidFill>
          </w14:textFill>
        </w:rPr>
      </w:pPr>
    </w:p>
    <w:p w14:paraId="36EC95F2">
      <w:pPr>
        <w:jc w:val="right"/>
        <w:rPr>
          <w:rFonts w:hint="eastAsia" w:ascii="宋体" w:hAnsi="宋体" w:eastAsia="宋体" w:cs="宋体"/>
          <w:color w:val="000000" w:themeColor="text1"/>
          <w:highlight w:val="none"/>
          <w:lang w:val="zh-CN"/>
          <w14:textFill>
            <w14:solidFill>
              <w14:schemeClr w14:val="tx1"/>
            </w14:solidFill>
          </w14:textFill>
        </w:rPr>
        <w:sectPr>
          <w:headerReference r:id="rId6" w:type="default"/>
          <w:footerReference r:id="rId7" w:type="default"/>
          <w:pgSz w:w="11905" w:h="16838"/>
          <w:pgMar w:top="1440" w:right="1803" w:bottom="1440" w:left="1803" w:header="1140" w:footer="720" w:gutter="0"/>
          <w:pgNumType w:fmt="decimal" w:start="1"/>
          <w:cols w:space="0" w:num="1"/>
          <w:rtlGutter w:val="0"/>
          <w:docGrid w:type="lines" w:linePitch="317" w:charSpace="0"/>
        </w:sectPr>
      </w:pP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日</w:t>
      </w:r>
    </w:p>
    <w:p w14:paraId="7DA5D277">
      <w:pPr>
        <w:pStyle w:val="2"/>
        <w:spacing w:before="0" w:after="0" w:line="360"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第二章</w:t>
      </w:r>
      <w:r>
        <w:rPr>
          <w:rFonts w:hint="eastAsia" w:ascii="宋体" w:hAnsi="宋体" w:eastAsia="宋体" w:cs="宋体"/>
          <w:b/>
          <w:bCs/>
          <w:color w:val="000000" w:themeColor="text1"/>
          <w:lang w:val="en-US" w:eastAsia="zh-CN"/>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供应商须知</w:t>
      </w:r>
      <w:bookmarkEnd w:id="12"/>
      <w:bookmarkEnd w:id="13"/>
      <w:bookmarkEnd w:id="14"/>
      <w:bookmarkEnd w:id="26"/>
      <w:bookmarkEnd w:id="27"/>
      <w:bookmarkEnd w:id="28"/>
      <w:bookmarkEnd w:id="29"/>
    </w:p>
    <w:p w14:paraId="29941735">
      <w:pPr>
        <w:pStyle w:val="82"/>
        <w:keepNext/>
        <w:keepLines/>
        <w:outlineLvl w:val="1"/>
        <w:rPr>
          <w:rFonts w:hint="eastAsia" w:ascii="宋体" w:hAnsi="宋体" w:eastAsia="宋体" w:cs="宋体"/>
          <w:color w:val="000000" w:themeColor="text1"/>
          <w:sz w:val="32"/>
          <w:szCs w:val="32"/>
          <w14:textFill>
            <w14:solidFill>
              <w14:schemeClr w14:val="tx1"/>
            </w14:solidFill>
          </w14:textFill>
        </w:rPr>
      </w:pPr>
      <w:bookmarkStart w:id="32" w:name="bookmark62"/>
      <w:bookmarkStart w:id="33" w:name="_Toc24377"/>
      <w:bookmarkStart w:id="34" w:name="bookmark60"/>
      <w:bookmarkStart w:id="35" w:name="bookmark61"/>
      <w:r>
        <w:rPr>
          <w:rFonts w:hint="eastAsia" w:ascii="宋体" w:hAnsi="宋体" w:eastAsia="宋体" w:cs="宋体"/>
          <w:color w:val="000000" w:themeColor="text1"/>
          <w:sz w:val="32"/>
          <w:szCs w:val="32"/>
          <w:lang w:eastAsia="zh-CN"/>
          <w14:textFill>
            <w14:solidFill>
              <w14:schemeClr w14:val="tx1"/>
            </w14:solidFill>
          </w14:textFill>
        </w:rPr>
        <w:t>一、</w:t>
      </w:r>
      <w:r>
        <w:rPr>
          <w:rFonts w:hint="eastAsia" w:ascii="宋体" w:hAnsi="宋体" w:eastAsia="宋体" w:cs="宋体"/>
          <w:color w:val="000000" w:themeColor="text1"/>
          <w:sz w:val="32"/>
          <w:szCs w:val="32"/>
          <w14:textFill>
            <w14:solidFill>
              <w14:schemeClr w14:val="tx1"/>
            </w14:solidFill>
          </w14:textFill>
        </w:rPr>
        <w:t>供应商须知前附表</w:t>
      </w:r>
      <w:bookmarkEnd w:id="32"/>
      <w:bookmarkEnd w:id="33"/>
      <w:bookmarkEnd w:id="34"/>
      <w:bookmarkEnd w:id="35"/>
    </w:p>
    <w:tbl>
      <w:tblPr>
        <w:tblStyle w:val="36"/>
        <w:tblW w:w="8277" w:type="dxa"/>
        <w:jc w:val="center"/>
        <w:tblLayout w:type="fixed"/>
        <w:tblCellMar>
          <w:top w:w="0" w:type="dxa"/>
          <w:left w:w="10" w:type="dxa"/>
          <w:bottom w:w="0" w:type="dxa"/>
          <w:right w:w="10" w:type="dxa"/>
        </w:tblCellMar>
      </w:tblPr>
      <w:tblGrid>
        <w:gridCol w:w="975"/>
        <w:gridCol w:w="1998"/>
        <w:gridCol w:w="5304"/>
      </w:tblGrid>
      <w:tr w14:paraId="68A01BBC">
        <w:tblPrEx>
          <w:tblCellMar>
            <w:top w:w="0" w:type="dxa"/>
            <w:left w:w="10" w:type="dxa"/>
            <w:bottom w:w="0" w:type="dxa"/>
            <w:right w:w="10" w:type="dxa"/>
          </w:tblCellMar>
        </w:tblPrEx>
        <w:trPr>
          <w:trHeight w:val="509" w:hRule="exact"/>
          <w:jc w:val="center"/>
        </w:trPr>
        <w:tc>
          <w:tcPr>
            <w:tcW w:w="975" w:type="dxa"/>
            <w:tcBorders>
              <w:top w:val="single" w:color="auto" w:sz="4" w:space="0"/>
              <w:left w:val="single" w:color="auto" w:sz="4" w:space="0"/>
            </w:tcBorders>
            <w:shd w:val="clear" w:color="auto" w:fill="FFFFFF"/>
            <w:vAlign w:val="center"/>
          </w:tcPr>
          <w:p w14:paraId="3FA8927D">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1998" w:type="dxa"/>
            <w:tcBorders>
              <w:top w:val="single" w:color="auto" w:sz="4" w:space="0"/>
              <w:left w:val="single" w:color="auto" w:sz="4" w:space="0"/>
            </w:tcBorders>
            <w:shd w:val="clear" w:color="auto" w:fill="FFFFFF"/>
            <w:vAlign w:val="center"/>
          </w:tcPr>
          <w:p w14:paraId="56F2CDFB">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条款名称</w:t>
            </w:r>
          </w:p>
        </w:tc>
        <w:tc>
          <w:tcPr>
            <w:tcW w:w="5304" w:type="dxa"/>
            <w:tcBorders>
              <w:top w:val="single" w:color="auto" w:sz="4" w:space="0"/>
              <w:left w:val="single" w:color="auto" w:sz="4" w:space="0"/>
              <w:right w:val="single" w:color="auto" w:sz="4" w:space="0"/>
            </w:tcBorders>
            <w:shd w:val="clear" w:color="auto" w:fill="FFFFFF"/>
            <w:vAlign w:val="center"/>
          </w:tcPr>
          <w:p w14:paraId="3FAB6E48">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编列内容</w:t>
            </w:r>
          </w:p>
        </w:tc>
      </w:tr>
      <w:tr w14:paraId="242AD17A">
        <w:tblPrEx>
          <w:tblCellMar>
            <w:top w:w="0" w:type="dxa"/>
            <w:left w:w="10" w:type="dxa"/>
            <w:bottom w:w="0" w:type="dxa"/>
            <w:right w:w="10" w:type="dxa"/>
          </w:tblCellMar>
        </w:tblPrEx>
        <w:trPr>
          <w:trHeight w:val="1763" w:hRule="exact"/>
          <w:jc w:val="center"/>
        </w:trPr>
        <w:tc>
          <w:tcPr>
            <w:tcW w:w="975" w:type="dxa"/>
            <w:tcBorders>
              <w:top w:val="single" w:color="auto" w:sz="4" w:space="0"/>
              <w:left w:val="single" w:color="auto" w:sz="4" w:space="0"/>
            </w:tcBorders>
            <w:shd w:val="clear" w:color="auto" w:fill="FFFFFF"/>
            <w:vAlign w:val="center"/>
          </w:tcPr>
          <w:p w14:paraId="1DD138EF">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998" w:type="dxa"/>
            <w:tcBorders>
              <w:top w:val="single" w:color="auto" w:sz="4" w:space="0"/>
              <w:left w:val="single" w:color="auto" w:sz="4" w:space="0"/>
            </w:tcBorders>
            <w:shd w:val="clear" w:color="auto" w:fill="FFFFFF"/>
            <w:vAlign w:val="center"/>
          </w:tcPr>
          <w:p w14:paraId="312850E4">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5304" w:type="dxa"/>
            <w:tcBorders>
              <w:top w:val="single" w:color="auto" w:sz="4" w:space="0"/>
              <w:left w:val="single" w:color="auto" w:sz="4" w:space="0"/>
              <w:right w:val="single" w:color="auto" w:sz="4" w:space="0"/>
            </w:tcBorders>
            <w:shd w:val="clear" w:color="auto" w:fill="FFFFFF"/>
            <w:vAlign w:val="center"/>
          </w:tcPr>
          <w:p w14:paraId="15B63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名</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称：</w:t>
            </w:r>
            <w:r>
              <w:rPr>
                <w:rFonts w:hint="eastAsia" w:ascii="宋体" w:hAnsi="宋体" w:cs="宋体"/>
                <w:color w:val="000000" w:themeColor="text1"/>
                <w:sz w:val="24"/>
                <w:szCs w:val="24"/>
                <w:lang w:eastAsia="zh-CN"/>
                <w14:textFill>
                  <w14:solidFill>
                    <w14:schemeClr w14:val="tx1"/>
                  </w14:solidFill>
                </w14:textFill>
              </w:rPr>
              <w:t>延吉市林业局</w:t>
            </w:r>
          </w:p>
          <w:p w14:paraId="622212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地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址：</w:t>
            </w:r>
            <w:r>
              <w:rPr>
                <w:rFonts w:hint="eastAsia" w:ascii="宋体" w:hAnsi="宋体" w:cs="宋体"/>
                <w:color w:val="000000" w:themeColor="text1"/>
                <w:sz w:val="24"/>
                <w:szCs w:val="24"/>
                <w:lang w:eastAsia="zh-CN"/>
                <w14:textFill>
                  <w14:solidFill>
                    <w14:schemeClr w14:val="tx1"/>
                  </w14:solidFill>
                </w14:textFill>
              </w:rPr>
              <w:t>延吉市朝阳街1222号</w:t>
            </w:r>
            <w:r>
              <w:rPr>
                <w:rFonts w:hint="eastAsia" w:ascii="宋体" w:hAnsi="宋体" w:eastAsia="宋体" w:cs="宋体"/>
                <w:color w:val="000000" w:themeColor="text1"/>
                <w:sz w:val="24"/>
                <w:szCs w:val="24"/>
                <w14:textFill>
                  <w14:solidFill>
                    <w14:schemeClr w14:val="tx1"/>
                  </w14:solidFill>
                </w14:textFill>
              </w:rPr>
              <w:t> </w:t>
            </w:r>
          </w:p>
          <w:p w14:paraId="187D64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系</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人：</w:t>
            </w:r>
            <w:r>
              <w:rPr>
                <w:rFonts w:hint="eastAsia" w:ascii="宋体" w:hAnsi="宋体" w:cs="宋体"/>
                <w:color w:val="000000" w:themeColor="text1"/>
                <w:sz w:val="24"/>
                <w:szCs w:val="24"/>
                <w:highlight w:val="none"/>
                <w:lang w:val="zh-CN"/>
                <w14:textFill>
                  <w14:solidFill>
                    <w14:schemeClr w14:val="tx1"/>
                  </w14:solidFill>
                </w14:textFill>
              </w:rPr>
              <w:t>张晓旭</w:t>
            </w:r>
          </w:p>
          <w:p w14:paraId="7D286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联系方式：</w:t>
            </w:r>
            <w:r>
              <w:rPr>
                <w:rFonts w:hint="eastAsia" w:ascii="宋体" w:hAnsi="宋体" w:cs="宋体"/>
                <w:color w:val="000000" w:themeColor="text1"/>
                <w:sz w:val="24"/>
                <w:szCs w:val="24"/>
                <w:highlight w:val="none"/>
                <w:lang w:val="en-US" w:eastAsia="zh-CN"/>
                <w14:textFill>
                  <w14:solidFill>
                    <w14:schemeClr w14:val="tx1"/>
                  </w14:solidFill>
                </w14:textFill>
              </w:rPr>
              <w:t>0433-2360116</w:t>
            </w:r>
          </w:p>
        </w:tc>
      </w:tr>
      <w:tr w14:paraId="5DEFB5BD">
        <w:tblPrEx>
          <w:tblCellMar>
            <w:top w:w="0" w:type="dxa"/>
            <w:left w:w="10" w:type="dxa"/>
            <w:bottom w:w="0" w:type="dxa"/>
            <w:right w:w="10" w:type="dxa"/>
          </w:tblCellMar>
        </w:tblPrEx>
        <w:trPr>
          <w:trHeight w:val="2075" w:hRule="exact"/>
          <w:jc w:val="center"/>
        </w:trPr>
        <w:tc>
          <w:tcPr>
            <w:tcW w:w="975" w:type="dxa"/>
            <w:tcBorders>
              <w:top w:val="single" w:color="auto" w:sz="4" w:space="0"/>
              <w:left w:val="single" w:color="auto" w:sz="4" w:space="0"/>
            </w:tcBorders>
            <w:shd w:val="clear" w:color="auto" w:fill="FFFFFF"/>
            <w:vAlign w:val="center"/>
          </w:tcPr>
          <w:p w14:paraId="6A618417">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998" w:type="dxa"/>
            <w:tcBorders>
              <w:top w:val="single" w:color="auto" w:sz="4" w:space="0"/>
              <w:left w:val="single" w:color="auto" w:sz="4" w:space="0"/>
            </w:tcBorders>
            <w:shd w:val="clear" w:color="auto" w:fill="FFFFFF"/>
            <w:vAlign w:val="center"/>
          </w:tcPr>
          <w:p w14:paraId="1041AEC8">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w:t>
            </w:r>
          </w:p>
        </w:tc>
        <w:tc>
          <w:tcPr>
            <w:tcW w:w="5304" w:type="dxa"/>
            <w:tcBorders>
              <w:top w:val="single" w:color="auto" w:sz="4" w:space="0"/>
              <w:left w:val="single" w:color="auto" w:sz="4" w:space="0"/>
              <w:right w:val="single" w:color="auto" w:sz="4" w:space="0"/>
            </w:tcBorders>
            <w:shd w:val="clear" w:color="auto" w:fill="FFFFFF"/>
            <w:vAlign w:val="center"/>
          </w:tcPr>
          <w:p w14:paraId="2F0A0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称：</w:t>
            </w:r>
            <w:r>
              <w:rPr>
                <w:rFonts w:hint="eastAsia" w:ascii="宋体" w:hAnsi="宋体" w:eastAsia="宋体" w:cs="宋体"/>
                <w:color w:val="000000" w:themeColor="text1"/>
                <w:sz w:val="24"/>
                <w:szCs w:val="24"/>
                <w:highlight w:val="none"/>
                <w:lang w:val="en-US" w:eastAsia="zh-CN"/>
                <w14:textFill>
                  <w14:solidFill>
                    <w14:schemeClr w14:val="tx1"/>
                  </w14:solidFill>
                </w14:textFill>
              </w:rPr>
              <w:t>吉林省长润工程咨询有限公司</w:t>
            </w:r>
          </w:p>
          <w:p w14:paraId="3EE44D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lang w:val="zh-CN"/>
                <w14:textFill>
                  <w14:solidFill>
                    <w14:schemeClr w14:val="tx1"/>
                  </w14:solidFill>
                </w14:textFill>
              </w:rPr>
              <w:t>延吉市人民路1977号</w:t>
            </w:r>
          </w:p>
          <w:p w14:paraId="49F476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color w:val="000000" w:themeColor="text1"/>
                <w:sz w:val="24"/>
                <w:szCs w:val="24"/>
                <w14:textFill>
                  <w14:solidFill>
                    <w14:schemeClr w14:val="tx1"/>
                  </w14:solidFill>
                </w14:textFill>
              </w:rPr>
              <w:t>孙明峰</w:t>
            </w:r>
          </w:p>
          <w:p w14:paraId="5833F9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18843339002</w:t>
            </w:r>
          </w:p>
          <w:p w14:paraId="47D41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电子邮箱：</w:t>
            </w:r>
            <w:r>
              <w:rPr>
                <w:rFonts w:hint="eastAsia" w:ascii="宋体" w:hAnsi="宋体" w:eastAsia="宋体" w:cs="宋体"/>
                <w:color w:val="000000" w:themeColor="text1"/>
                <w:sz w:val="24"/>
                <w:szCs w:val="24"/>
                <w:highlight w:val="none"/>
                <w:lang w:val="en-US" w:eastAsia="zh-CN"/>
                <w14:textFill>
                  <w14:solidFill>
                    <w14:schemeClr w14:val="tx1"/>
                  </w14:solidFill>
                </w14:textFill>
              </w:rPr>
              <w:t>jlcr9999</w:t>
            </w:r>
            <w:r>
              <w:rPr>
                <w:rFonts w:hint="eastAsia" w:ascii="宋体" w:hAnsi="宋体" w:eastAsia="宋体" w:cs="宋体"/>
                <w:color w:val="000000" w:themeColor="text1"/>
                <w:sz w:val="24"/>
                <w:szCs w:val="24"/>
                <w:highlight w:val="none"/>
                <w14:textFill>
                  <w14:solidFill>
                    <w14:schemeClr w14:val="tx1"/>
                  </w14:solidFill>
                </w14:textFill>
              </w:rPr>
              <w:t>@163.com</w:t>
            </w:r>
          </w:p>
        </w:tc>
      </w:tr>
      <w:tr w14:paraId="7D11FFB4">
        <w:tblPrEx>
          <w:tblCellMar>
            <w:top w:w="0" w:type="dxa"/>
            <w:left w:w="10" w:type="dxa"/>
            <w:bottom w:w="0" w:type="dxa"/>
            <w:right w:w="10" w:type="dxa"/>
          </w:tblCellMar>
        </w:tblPrEx>
        <w:trPr>
          <w:trHeight w:val="565" w:hRule="exact"/>
          <w:jc w:val="center"/>
        </w:trPr>
        <w:tc>
          <w:tcPr>
            <w:tcW w:w="975" w:type="dxa"/>
            <w:vMerge w:val="restart"/>
            <w:tcBorders>
              <w:top w:val="single" w:color="auto" w:sz="4" w:space="0"/>
              <w:left w:val="single" w:color="auto" w:sz="4" w:space="0"/>
            </w:tcBorders>
            <w:shd w:val="clear" w:color="auto" w:fill="FFFFFF"/>
            <w:vAlign w:val="center"/>
          </w:tcPr>
          <w:p w14:paraId="2610A45E">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lang w:val="en-US"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p w14:paraId="4AAA6980">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98" w:type="dxa"/>
            <w:tcBorders>
              <w:top w:val="single" w:color="auto" w:sz="4" w:space="0"/>
              <w:left w:val="single" w:color="auto" w:sz="4" w:space="0"/>
            </w:tcBorders>
            <w:shd w:val="clear" w:color="auto" w:fill="FFFFFF"/>
            <w:vAlign w:val="center"/>
          </w:tcPr>
          <w:p w14:paraId="735BDAE7">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5304" w:type="dxa"/>
            <w:tcBorders>
              <w:top w:val="single" w:color="auto" w:sz="4" w:space="0"/>
              <w:left w:val="single" w:color="auto" w:sz="4" w:space="0"/>
              <w:right w:val="single" w:color="auto" w:sz="4" w:space="0"/>
            </w:tcBorders>
            <w:shd w:val="clear" w:color="auto" w:fill="FFFFFF"/>
            <w:vAlign w:val="center"/>
          </w:tcPr>
          <w:p w14:paraId="13CA329E">
            <w:pPr>
              <w:keepNext w:val="0"/>
              <w:keepLines w:val="0"/>
              <w:suppressLineNumbers w:val="0"/>
              <w:bidi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延吉市林业局特种车辆采购项目</w:t>
            </w:r>
          </w:p>
        </w:tc>
      </w:tr>
      <w:tr w14:paraId="14B01673">
        <w:tblPrEx>
          <w:tblCellMar>
            <w:top w:w="0" w:type="dxa"/>
            <w:left w:w="10" w:type="dxa"/>
            <w:bottom w:w="0" w:type="dxa"/>
            <w:right w:w="10" w:type="dxa"/>
          </w:tblCellMar>
        </w:tblPrEx>
        <w:trPr>
          <w:trHeight w:val="568" w:hRule="exact"/>
          <w:jc w:val="center"/>
        </w:trPr>
        <w:tc>
          <w:tcPr>
            <w:tcW w:w="975" w:type="dxa"/>
            <w:vMerge w:val="continue"/>
            <w:tcBorders>
              <w:left w:val="single" w:color="auto" w:sz="4" w:space="0"/>
            </w:tcBorders>
            <w:shd w:val="clear" w:color="auto" w:fill="FFFFFF"/>
            <w:vAlign w:val="center"/>
          </w:tcPr>
          <w:p w14:paraId="76C3FF74">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98" w:type="dxa"/>
            <w:tcBorders>
              <w:top w:val="single" w:color="auto" w:sz="4" w:space="0"/>
              <w:left w:val="single" w:color="auto" w:sz="4" w:space="0"/>
              <w:bottom w:val="single" w:color="auto" w:sz="4" w:space="0"/>
            </w:tcBorders>
            <w:shd w:val="clear" w:color="auto" w:fill="FFFFFF"/>
            <w:vAlign w:val="center"/>
          </w:tcPr>
          <w:p w14:paraId="510A630D">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地点</w:t>
            </w:r>
          </w:p>
        </w:tc>
        <w:tc>
          <w:tcPr>
            <w:tcW w:w="5304" w:type="dxa"/>
            <w:tcBorders>
              <w:top w:val="single" w:color="auto" w:sz="4" w:space="0"/>
              <w:left w:val="single" w:color="auto" w:sz="4" w:space="0"/>
              <w:bottom w:val="single" w:color="auto" w:sz="4" w:space="0"/>
              <w:right w:val="single" w:color="auto" w:sz="4" w:space="0"/>
            </w:tcBorders>
            <w:shd w:val="clear" w:color="auto" w:fill="FFFFFF"/>
            <w:vAlign w:val="center"/>
          </w:tcPr>
          <w:p w14:paraId="44DB7026">
            <w:pPr>
              <w:keepNext w:val="0"/>
              <w:keepLines w:val="0"/>
              <w:suppressLineNumbers w:val="0"/>
              <w:bidi w:val="0"/>
              <w:spacing w:before="0" w:beforeAutospacing="0" w:after="0" w:afterAutospacing="0"/>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采购人指定地点</w:t>
            </w:r>
          </w:p>
        </w:tc>
      </w:tr>
      <w:tr w14:paraId="485C471B">
        <w:tblPrEx>
          <w:tblCellMar>
            <w:top w:w="0" w:type="dxa"/>
            <w:left w:w="10" w:type="dxa"/>
            <w:bottom w:w="0" w:type="dxa"/>
            <w:right w:w="10" w:type="dxa"/>
          </w:tblCellMar>
        </w:tblPrEx>
        <w:trPr>
          <w:trHeight w:val="692" w:hRule="exact"/>
          <w:jc w:val="center"/>
        </w:trPr>
        <w:tc>
          <w:tcPr>
            <w:tcW w:w="975" w:type="dxa"/>
            <w:vMerge w:val="continue"/>
            <w:tcBorders>
              <w:left w:val="single" w:color="auto" w:sz="4" w:space="0"/>
            </w:tcBorders>
            <w:shd w:val="clear" w:color="auto" w:fill="FFFFFF"/>
            <w:vAlign w:val="center"/>
          </w:tcPr>
          <w:p w14:paraId="1BD4C89B">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98" w:type="dxa"/>
            <w:tcBorders>
              <w:top w:val="single" w:color="auto" w:sz="4" w:space="0"/>
              <w:left w:val="single" w:color="auto" w:sz="4" w:space="0"/>
            </w:tcBorders>
            <w:shd w:val="clear" w:color="auto" w:fill="FFFFFF"/>
            <w:vAlign w:val="center"/>
          </w:tcPr>
          <w:p w14:paraId="2F172E6C">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合同履行期限</w:t>
            </w:r>
          </w:p>
        </w:tc>
        <w:tc>
          <w:tcPr>
            <w:tcW w:w="5304" w:type="dxa"/>
            <w:tcBorders>
              <w:top w:val="single" w:color="auto" w:sz="4" w:space="0"/>
              <w:left w:val="single" w:color="auto" w:sz="4" w:space="0"/>
              <w:right w:val="single" w:color="auto" w:sz="4" w:space="0"/>
            </w:tcBorders>
            <w:shd w:val="clear" w:color="auto" w:fill="FFFFFF"/>
            <w:vAlign w:val="center"/>
          </w:tcPr>
          <w:p w14:paraId="51597A39">
            <w:pPr>
              <w:keepNext w:val="0"/>
              <w:keepLines w:val="0"/>
              <w:suppressLineNumbers w:val="0"/>
              <w:bidi w:val="0"/>
              <w:spacing w:before="0" w:beforeAutospacing="0" w:after="0" w:afterAutospacing="0"/>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自签订合同之日起至</w:t>
            </w:r>
            <w:r>
              <w:rPr>
                <w:rFonts w:hint="eastAsia" w:ascii="宋体" w:hAnsi="宋体" w:eastAsia="宋体" w:cs="宋体"/>
                <w:color w:val="000000" w:themeColor="text1"/>
                <w:sz w:val="24"/>
                <w:szCs w:val="24"/>
                <w:highlight w:val="none"/>
                <w:u w:val="single"/>
                <w:lang w:val="zh-CN"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天</w:t>
            </w:r>
            <w:r>
              <w:rPr>
                <w:rFonts w:hint="eastAsia" w:ascii="宋体" w:hAnsi="宋体" w:eastAsia="宋体" w:cs="宋体"/>
                <w:color w:val="000000" w:themeColor="text1"/>
                <w:sz w:val="24"/>
                <w:szCs w:val="24"/>
                <w:highlight w:val="none"/>
                <w:lang w:val="zh-CN" w:eastAsia="zh-CN"/>
                <w14:textFill>
                  <w14:solidFill>
                    <w14:schemeClr w14:val="tx1"/>
                  </w14:solidFill>
                </w14:textFill>
              </w:rPr>
              <w:t>内完成</w:t>
            </w:r>
          </w:p>
        </w:tc>
      </w:tr>
      <w:tr w14:paraId="65F280DF">
        <w:tblPrEx>
          <w:tblCellMar>
            <w:top w:w="0" w:type="dxa"/>
            <w:left w:w="10" w:type="dxa"/>
            <w:bottom w:w="0" w:type="dxa"/>
            <w:right w:w="10" w:type="dxa"/>
          </w:tblCellMar>
        </w:tblPrEx>
        <w:trPr>
          <w:trHeight w:val="508" w:hRule="exact"/>
          <w:jc w:val="center"/>
        </w:trPr>
        <w:tc>
          <w:tcPr>
            <w:tcW w:w="975" w:type="dxa"/>
            <w:tcBorders>
              <w:top w:val="single" w:color="auto" w:sz="4" w:space="0"/>
              <w:left w:val="single" w:color="auto" w:sz="4" w:space="0"/>
            </w:tcBorders>
            <w:shd w:val="clear" w:color="auto" w:fill="FFFFFF"/>
            <w:vAlign w:val="center"/>
          </w:tcPr>
          <w:p w14:paraId="777F70D5">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998" w:type="dxa"/>
            <w:tcBorders>
              <w:top w:val="single" w:color="auto" w:sz="4" w:space="0"/>
              <w:left w:val="single" w:color="auto" w:sz="4" w:space="0"/>
            </w:tcBorders>
            <w:shd w:val="clear" w:color="auto" w:fill="FFFFFF"/>
            <w:vAlign w:val="center"/>
          </w:tcPr>
          <w:p w14:paraId="73A2C3EF">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w:t>
            </w:r>
            <w:r>
              <w:rPr>
                <w:rFonts w:hint="eastAsia" w:ascii="宋体" w:hAnsi="宋体" w:eastAsia="宋体" w:cs="宋体"/>
                <w:color w:val="000000" w:themeColor="text1"/>
                <w:sz w:val="24"/>
                <w:szCs w:val="24"/>
                <w:highlight w:val="none"/>
                <w:lang w:eastAsia="zh-CN"/>
                <w14:textFill>
                  <w14:solidFill>
                    <w14:schemeClr w14:val="tx1"/>
                  </w14:solidFill>
                </w14:textFill>
              </w:rPr>
              <w:t>金额</w:t>
            </w:r>
          </w:p>
        </w:tc>
        <w:tc>
          <w:tcPr>
            <w:tcW w:w="5304" w:type="dxa"/>
            <w:tcBorders>
              <w:top w:val="single" w:color="auto" w:sz="4" w:space="0"/>
              <w:left w:val="single" w:color="auto" w:sz="4" w:space="0"/>
              <w:right w:val="single" w:color="auto" w:sz="4" w:space="0"/>
            </w:tcBorders>
            <w:shd w:val="clear" w:color="auto" w:fill="FFFFFF"/>
            <w:vAlign w:val="center"/>
          </w:tcPr>
          <w:p w14:paraId="5DF962AF">
            <w:pPr>
              <w:keepNext w:val="0"/>
              <w:keepLines w:val="0"/>
              <w:suppressLineNumbers w:val="0"/>
              <w:bidi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人民币</w:t>
            </w:r>
            <w:r>
              <w:rPr>
                <w:rFonts w:hint="eastAsia" w:ascii="宋体" w:hAnsi="宋体" w:cs="宋体"/>
                <w:color w:val="000000" w:themeColor="text1"/>
                <w:sz w:val="24"/>
                <w:szCs w:val="24"/>
                <w:highlight w:val="none"/>
                <w:u w:val="none"/>
                <w:lang w:val="en-US" w:eastAsia="zh-CN"/>
                <w14:textFill>
                  <w14:solidFill>
                    <w14:schemeClr w14:val="tx1"/>
                  </w14:solidFill>
                </w14:textFill>
              </w:rPr>
              <w:t>1,420,000.00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w:t>
            </w:r>
          </w:p>
        </w:tc>
      </w:tr>
      <w:tr w14:paraId="18CFEF95">
        <w:tblPrEx>
          <w:tblCellMar>
            <w:top w:w="0" w:type="dxa"/>
            <w:left w:w="10" w:type="dxa"/>
            <w:bottom w:w="0" w:type="dxa"/>
            <w:right w:w="10" w:type="dxa"/>
          </w:tblCellMar>
        </w:tblPrEx>
        <w:trPr>
          <w:trHeight w:val="547" w:hRule="exact"/>
          <w:jc w:val="center"/>
        </w:trPr>
        <w:tc>
          <w:tcPr>
            <w:tcW w:w="975" w:type="dxa"/>
            <w:vMerge w:val="restart"/>
            <w:tcBorders>
              <w:top w:val="single" w:color="auto" w:sz="4" w:space="0"/>
              <w:left w:val="single" w:color="auto" w:sz="4" w:space="0"/>
            </w:tcBorders>
            <w:shd w:val="clear" w:color="auto" w:fill="FFFFFF"/>
            <w:vAlign w:val="center"/>
          </w:tcPr>
          <w:p w14:paraId="14A44DDA">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998" w:type="dxa"/>
            <w:tcBorders>
              <w:top w:val="single" w:color="auto" w:sz="4" w:space="0"/>
              <w:left w:val="single" w:color="auto" w:sz="4" w:space="0"/>
              <w:bottom w:val="single" w:color="auto" w:sz="4" w:space="0"/>
            </w:tcBorders>
            <w:shd w:val="clear" w:color="auto" w:fill="FFFFFF"/>
            <w:vAlign w:val="center"/>
          </w:tcPr>
          <w:p w14:paraId="7C885FAF">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品目名称</w:t>
            </w:r>
          </w:p>
        </w:tc>
        <w:tc>
          <w:tcPr>
            <w:tcW w:w="5304" w:type="dxa"/>
            <w:tcBorders>
              <w:top w:val="single" w:color="auto" w:sz="4" w:space="0"/>
              <w:left w:val="single" w:color="auto" w:sz="4" w:space="0"/>
              <w:bottom w:val="single" w:color="auto" w:sz="4" w:space="0"/>
              <w:right w:val="single" w:color="auto" w:sz="4" w:space="0"/>
            </w:tcBorders>
            <w:shd w:val="clear" w:color="auto" w:fill="FFFFFF"/>
            <w:vAlign w:val="center"/>
          </w:tcPr>
          <w:p w14:paraId="13CC84DA">
            <w:pPr>
              <w:keepNext w:val="0"/>
              <w:keepLines w:val="0"/>
              <w:suppressLineNumbers w:val="0"/>
              <w:bidi w:val="0"/>
              <w:spacing w:before="0" w:beforeAutospacing="0" w:after="0" w:afterAutospacing="0"/>
              <w:ind w:left="0" w:right="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特种车辆</w:t>
            </w:r>
          </w:p>
        </w:tc>
      </w:tr>
      <w:tr w14:paraId="4B018BAB">
        <w:tblPrEx>
          <w:tblCellMar>
            <w:top w:w="0" w:type="dxa"/>
            <w:left w:w="10" w:type="dxa"/>
            <w:bottom w:w="0" w:type="dxa"/>
            <w:right w:w="10" w:type="dxa"/>
          </w:tblCellMar>
        </w:tblPrEx>
        <w:trPr>
          <w:trHeight w:val="556" w:hRule="exact"/>
          <w:jc w:val="center"/>
        </w:trPr>
        <w:tc>
          <w:tcPr>
            <w:tcW w:w="975" w:type="dxa"/>
            <w:vMerge w:val="continue"/>
            <w:tcBorders>
              <w:left w:val="single" w:color="auto" w:sz="4" w:space="0"/>
            </w:tcBorders>
            <w:shd w:val="clear" w:color="auto" w:fill="FFFFFF"/>
            <w:vAlign w:val="center"/>
          </w:tcPr>
          <w:p w14:paraId="1746E832">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98" w:type="dxa"/>
            <w:tcBorders>
              <w:top w:val="single" w:color="auto" w:sz="4" w:space="0"/>
              <w:left w:val="single" w:color="auto" w:sz="4" w:space="0"/>
            </w:tcBorders>
            <w:shd w:val="clear" w:color="auto" w:fill="FFFFFF"/>
            <w:vAlign w:val="center"/>
          </w:tcPr>
          <w:p w14:paraId="65C007B1">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标段划分</w:t>
            </w:r>
          </w:p>
        </w:tc>
        <w:tc>
          <w:tcPr>
            <w:tcW w:w="5304" w:type="dxa"/>
            <w:tcBorders>
              <w:top w:val="single" w:color="auto" w:sz="4" w:space="0"/>
              <w:left w:val="single" w:color="auto" w:sz="4" w:space="0"/>
              <w:right w:val="single" w:color="auto" w:sz="4" w:space="0"/>
            </w:tcBorders>
            <w:shd w:val="clear" w:color="auto" w:fill="FFFFFF"/>
            <w:vAlign w:val="center"/>
          </w:tcPr>
          <w:p w14:paraId="5805E7FC">
            <w:pPr>
              <w:keepNext w:val="0"/>
              <w:keepLines w:val="0"/>
              <w:suppressLineNumbers w:val="0"/>
              <w:bidi w:val="0"/>
              <w:spacing w:before="0" w:beforeAutospacing="0" w:after="0" w:afterAutospacing="0"/>
              <w:ind w:left="0" w:leftChars="0" w:right="0" w:righ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个</w:t>
            </w:r>
          </w:p>
        </w:tc>
      </w:tr>
      <w:tr w14:paraId="1F5F5A0D">
        <w:tblPrEx>
          <w:tblCellMar>
            <w:top w:w="0" w:type="dxa"/>
            <w:left w:w="10" w:type="dxa"/>
            <w:bottom w:w="0" w:type="dxa"/>
            <w:right w:w="10" w:type="dxa"/>
          </w:tblCellMar>
        </w:tblPrEx>
        <w:trPr>
          <w:trHeight w:val="523" w:hRule="exact"/>
          <w:jc w:val="center"/>
        </w:trPr>
        <w:tc>
          <w:tcPr>
            <w:tcW w:w="975" w:type="dxa"/>
            <w:tcBorders>
              <w:top w:val="single" w:color="auto" w:sz="4" w:space="0"/>
              <w:left w:val="single" w:color="auto" w:sz="4" w:space="0"/>
            </w:tcBorders>
            <w:shd w:val="clear" w:color="auto" w:fill="FFFFFF"/>
            <w:vAlign w:val="center"/>
          </w:tcPr>
          <w:p w14:paraId="437A6D6B">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w:t>
            </w:r>
          </w:p>
        </w:tc>
        <w:tc>
          <w:tcPr>
            <w:tcW w:w="1998" w:type="dxa"/>
            <w:tcBorders>
              <w:top w:val="single" w:color="auto" w:sz="4" w:space="0"/>
              <w:left w:val="single" w:color="auto" w:sz="4" w:space="0"/>
            </w:tcBorders>
            <w:shd w:val="clear" w:color="auto" w:fill="FFFFFF"/>
            <w:vAlign w:val="center"/>
          </w:tcPr>
          <w:p w14:paraId="0399A151">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p>
        </w:tc>
        <w:tc>
          <w:tcPr>
            <w:tcW w:w="5304" w:type="dxa"/>
            <w:tcBorders>
              <w:top w:val="single" w:color="auto" w:sz="4" w:space="0"/>
              <w:left w:val="single" w:color="auto" w:sz="4" w:space="0"/>
              <w:right w:val="single" w:color="auto" w:sz="4" w:space="0"/>
            </w:tcBorders>
            <w:shd w:val="clear" w:color="auto" w:fill="FFFFFF"/>
            <w:vAlign w:val="center"/>
          </w:tcPr>
          <w:p w14:paraId="07CAC853">
            <w:pPr>
              <w:keepNext w:val="0"/>
              <w:keepLines w:val="0"/>
              <w:suppressLineNumbers w:val="0"/>
              <w:bidi w:val="0"/>
              <w:spacing w:before="0" w:beforeAutospacing="0" w:after="0" w:afterAutospacing="0"/>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其他财政性资金</w:t>
            </w:r>
          </w:p>
        </w:tc>
      </w:tr>
      <w:tr w14:paraId="3259D9FB">
        <w:tblPrEx>
          <w:tblCellMar>
            <w:top w:w="0" w:type="dxa"/>
            <w:left w:w="10" w:type="dxa"/>
            <w:bottom w:w="0" w:type="dxa"/>
            <w:right w:w="10" w:type="dxa"/>
          </w:tblCellMar>
        </w:tblPrEx>
        <w:trPr>
          <w:trHeight w:val="523" w:hRule="exact"/>
          <w:jc w:val="center"/>
        </w:trPr>
        <w:tc>
          <w:tcPr>
            <w:tcW w:w="975" w:type="dxa"/>
            <w:tcBorders>
              <w:top w:val="single" w:color="auto" w:sz="4" w:space="0"/>
              <w:left w:val="single" w:color="auto" w:sz="4" w:space="0"/>
            </w:tcBorders>
            <w:shd w:val="clear" w:color="auto" w:fill="FFFFFF"/>
            <w:vAlign w:val="center"/>
          </w:tcPr>
          <w:p w14:paraId="24A5ED5C">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w:t>
            </w:r>
          </w:p>
        </w:tc>
        <w:tc>
          <w:tcPr>
            <w:tcW w:w="1998" w:type="dxa"/>
            <w:tcBorders>
              <w:top w:val="single" w:color="auto" w:sz="4" w:space="0"/>
              <w:left w:val="single" w:color="auto" w:sz="4" w:space="0"/>
            </w:tcBorders>
            <w:shd w:val="clear" w:color="auto" w:fill="FFFFFF"/>
            <w:vAlign w:val="center"/>
          </w:tcPr>
          <w:p w14:paraId="18C9BE1B">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岀资比例</w:t>
            </w:r>
          </w:p>
        </w:tc>
        <w:tc>
          <w:tcPr>
            <w:tcW w:w="5304" w:type="dxa"/>
            <w:tcBorders>
              <w:top w:val="single" w:color="auto" w:sz="4" w:space="0"/>
              <w:left w:val="single" w:color="auto" w:sz="4" w:space="0"/>
              <w:right w:val="single" w:color="auto" w:sz="4" w:space="0"/>
            </w:tcBorders>
            <w:shd w:val="clear" w:color="auto" w:fill="FFFFFF"/>
            <w:vAlign w:val="center"/>
          </w:tcPr>
          <w:p w14:paraId="01D9A964">
            <w:pPr>
              <w:keepNext w:val="0"/>
              <w:keepLines w:val="0"/>
              <w:suppressLineNumbers w:val="0"/>
              <w:bidi w:val="0"/>
              <w:spacing w:before="0" w:beforeAutospacing="0" w:after="0" w:afterAutospacing="0"/>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100%</w:t>
            </w:r>
          </w:p>
        </w:tc>
      </w:tr>
      <w:tr w14:paraId="7AC05B2A">
        <w:tblPrEx>
          <w:tblCellMar>
            <w:top w:w="0" w:type="dxa"/>
            <w:left w:w="10" w:type="dxa"/>
            <w:bottom w:w="0" w:type="dxa"/>
            <w:right w:w="10" w:type="dxa"/>
          </w:tblCellMar>
        </w:tblPrEx>
        <w:trPr>
          <w:trHeight w:val="523" w:hRule="exact"/>
          <w:jc w:val="center"/>
        </w:trPr>
        <w:tc>
          <w:tcPr>
            <w:tcW w:w="975" w:type="dxa"/>
            <w:tcBorders>
              <w:top w:val="single" w:color="auto" w:sz="4" w:space="0"/>
              <w:left w:val="single" w:color="auto" w:sz="4" w:space="0"/>
            </w:tcBorders>
            <w:shd w:val="clear" w:color="auto" w:fill="FFFFFF"/>
            <w:vAlign w:val="center"/>
          </w:tcPr>
          <w:p w14:paraId="7D1F327E">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w:t>
            </w:r>
          </w:p>
        </w:tc>
        <w:tc>
          <w:tcPr>
            <w:tcW w:w="1998" w:type="dxa"/>
            <w:tcBorders>
              <w:top w:val="single" w:color="auto" w:sz="4" w:space="0"/>
              <w:left w:val="single" w:color="auto" w:sz="4" w:space="0"/>
            </w:tcBorders>
            <w:shd w:val="clear" w:color="auto" w:fill="FFFFFF"/>
            <w:vAlign w:val="center"/>
          </w:tcPr>
          <w:p w14:paraId="24974116">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资金落实情况</w:t>
            </w:r>
          </w:p>
        </w:tc>
        <w:tc>
          <w:tcPr>
            <w:tcW w:w="5304" w:type="dxa"/>
            <w:tcBorders>
              <w:top w:val="single" w:color="auto" w:sz="4" w:space="0"/>
              <w:left w:val="single" w:color="auto" w:sz="4" w:space="0"/>
              <w:right w:val="single" w:color="auto" w:sz="4" w:space="0"/>
            </w:tcBorders>
            <w:shd w:val="clear" w:color="auto" w:fill="FFFFFF"/>
            <w:vAlign w:val="center"/>
          </w:tcPr>
          <w:p w14:paraId="6CCA5B52">
            <w:pPr>
              <w:keepNext w:val="0"/>
              <w:keepLines w:val="0"/>
              <w:suppressLineNumbers w:val="0"/>
              <w:bidi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已落实</w:t>
            </w:r>
          </w:p>
        </w:tc>
      </w:tr>
      <w:tr w14:paraId="619E3648">
        <w:tblPrEx>
          <w:tblCellMar>
            <w:top w:w="0" w:type="dxa"/>
            <w:left w:w="10" w:type="dxa"/>
            <w:bottom w:w="0" w:type="dxa"/>
            <w:right w:w="10" w:type="dxa"/>
          </w:tblCellMar>
        </w:tblPrEx>
        <w:trPr>
          <w:trHeight w:val="907" w:hRule="exact"/>
          <w:jc w:val="center"/>
        </w:trPr>
        <w:tc>
          <w:tcPr>
            <w:tcW w:w="975" w:type="dxa"/>
            <w:tcBorders>
              <w:top w:val="single" w:color="auto" w:sz="4" w:space="0"/>
              <w:left w:val="single" w:color="auto" w:sz="4" w:space="0"/>
            </w:tcBorders>
            <w:shd w:val="clear" w:color="auto" w:fill="FFFFFF"/>
            <w:vAlign w:val="center"/>
          </w:tcPr>
          <w:p w14:paraId="33D40D70">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w:t>
            </w:r>
          </w:p>
        </w:tc>
        <w:tc>
          <w:tcPr>
            <w:tcW w:w="1998" w:type="dxa"/>
            <w:tcBorders>
              <w:top w:val="single" w:color="auto" w:sz="4" w:space="0"/>
              <w:left w:val="single" w:color="auto" w:sz="4" w:space="0"/>
            </w:tcBorders>
            <w:shd w:val="clear" w:color="auto" w:fill="FFFFFF"/>
            <w:vAlign w:val="center"/>
          </w:tcPr>
          <w:p w14:paraId="5FBC5586">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采购范围</w:t>
            </w:r>
          </w:p>
        </w:tc>
        <w:tc>
          <w:tcPr>
            <w:tcW w:w="5304" w:type="dxa"/>
            <w:tcBorders>
              <w:top w:val="single" w:color="auto" w:sz="4" w:space="0"/>
              <w:left w:val="single" w:color="auto" w:sz="4" w:space="0"/>
              <w:right w:val="single" w:color="auto" w:sz="4" w:space="0"/>
            </w:tcBorders>
            <w:shd w:val="clear" w:color="auto" w:fill="FFFFFF"/>
            <w:vAlign w:val="center"/>
          </w:tcPr>
          <w:p w14:paraId="5CF096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特种车辆采购</w:t>
            </w:r>
          </w:p>
        </w:tc>
      </w:tr>
      <w:tr w14:paraId="21D68FDD">
        <w:tblPrEx>
          <w:tblCellMar>
            <w:top w:w="0" w:type="dxa"/>
            <w:left w:w="10" w:type="dxa"/>
            <w:bottom w:w="0" w:type="dxa"/>
            <w:right w:w="10" w:type="dxa"/>
          </w:tblCellMar>
        </w:tblPrEx>
        <w:trPr>
          <w:trHeight w:val="573" w:hRule="exact"/>
          <w:jc w:val="center"/>
        </w:trPr>
        <w:tc>
          <w:tcPr>
            <w:tcW w:w="975" w:type="dxa"/>
            <w:tcBorders>
              <w:top w:val="single" w:color="auto" w:sz="4" w:space="0"/>
              <w:left w:val="single" w:color="auto" w:sz="4" w:space="0"/>
              <w:bottom w:val="single" w:color="auto" w:sz="4" w:space="0"/>
            </w:tcBorders>
            <w:shd w:val="clear" w:color="auto" w:fill="FFFFFF"/>
            <w:vAlign w:val="center"/>
          </w:tcPr>
          <w:p w14:paraId="471BC6E5">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998" w:type="dxa"/>
            <w:tcBorders>
              <w:top w:val="single" w:color="auto" w:sz="4" w:space="0"/>
              <w:left w:val="single" w:color="auto" w:sz="4" w:space="0"/>
              <w:bottom w:val="single" w:color="auto" w:sz="4" w:space="0"/>
            </w:tcBorders>
            <w:shd w:val="clear" w:color="auto" w:fill="FFFFFF"/>
            <w:vAlign w:val="center"/>
          </w:tcPr>
          <w:p w14:paraId="4C9B07BC">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质量要求</w:t>
            </w:r>
          </w:p>
        </w:tc>
        <w:tc>
          <w:tcPr>
            <w:tcW w:w="5304" w:type="dxa"/>
            <w:tcBorders>
              <w:top w:val="single" w:color="auto" w:sz="4" w:space="0"/>
              <w:left w:val="single" w:color="auto" w:sz="4" w:space="0"/>
              <w:bottom w:val="single" w:color="auto" w:sz="4" w:space="0"/>
              <w:right w:val="single" w:color="auto" w:sz="4" w:space="0"/>
            </w:tcBorders>
            <w:shd w:val="clear" w:color="auto" w:fill="FFFFFF"/>
            <w:vAlign w:val="center"/>
          </w:tcPr>
          <w:p w14:paraId="004E93E3">
            <w:pPr>
              <w:keepNext w:val="0"/>
              <w:keepLines w:val="0"/>
              <w:suppressLineNumbers w:val="0"/>
              <w:bidi w:val="0"/>
              <w:spacing w:before="0" w:beforeAutospacing="0" w:after="0" w:afterAutospacing="0"/>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符合国家质量验收合格标准。</w:t>
            </w:r>
          </w:p>
        </w:tc>
      </w:tr>
    </w:tbl>
    <w:p w14:paraId="481F2F25">
      <w:pPr>
        <w:spacing w:line="1" w:lineRule="exact"/>
        <w:rPr>
          <w:rFonts w:hint="eastAsia" w:ascii="宋体" w:hAnsi="宋体" w:eastAsia="宋体" w:cs="宋体"/>
          <w:color w:val="000000" w:themeColor="text1"/>
          <w:sz w:val="2"/>
          <w:szCs w:val="2"/>
          <w14:textFill>
            <w14:solidFill>
              <w14:schemeClr w14:val="tx1"/>
            </w14:solidFill>
          </w14:textFill>
        </w:rPr>
      </w:pPr>
    </w:p>
    <w:tbl>
      <w:tblPr>
        <w:tblStyle w:val="36"/>
        <w:tblW w:w="8341" w:type="dxa"/>
        <w:jc w:val="center"/>
        <w:tblLayout w:type="fixed"/>
        <w:tblCellMar>
          <w:top w:w="0" w:type="dxa"/>
          <w:left w:w="10" w:type="dxa"/>
          <w:bottom w:w="0" w:type="dxa"/>
          <w:right w:w="10" w:type="dxa"/>
        </w:tblCellMar>
      </w:tblPr>
      <w:tblGrid>
        <w:gridCol w:w="893"/>
        <w:gridCol w:w="2170"/>
        <w:gridCol w:w="5278"/>
      </w:tblGrid>
      <w:tr w14:paraId="581461DC">
        <w:tblPrEx>
          <w:tblCellMar>
            <w:top w:w="0" w:type="dxa"/>
            <w:left w:w="10" w:type="dxa"/>
            <w:bottom w:w="0" w:type="dxa"/>
            <w:right w:w="10" w:type="dxa"/>
          </w:tblCellMar>
        </w:tblPrEx>
        <w:trPr>
          <w:trHeight w:val="13766"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6E1A9C3E">
            <w:pPr>
              <w:pStyle w:val="83"/>
              <w:spacing w:after="0"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en-US" w:bidi="en-US"/>
                <w14:textFill>
                  <w14:solidFill>
                    <w14:schemeClr w14:val="tx1"/>
                  </w14:solidFill>
                </w14:textFill>
              </w:rPr>
              <w:t>1.4.</w:t>
            </w:r>
            <w:r>
              <w:rPr>
                <w:rFonts w:hint="eastAsia" w:ascii="宋体" w:hAnsi="宋体" w:eastAsia="宋体" w:cs="宋体"/>
                <w:b w:val="0"/>
                <w:bCs w:val="0"/>
                <w:color w:val="000000" w:themeColor="text1"/>
                <w:sz w:val="24"/>
                <w:szCs w:val="24"/>
                <w:highlight w:val="none"/>
                <w:lang w:val="zh-CN" w:eastAsia="zh-CN" w:bidi="zh-CN"/>
                <w14:textFill>
                  <w14:solidFill>
                    <w14:schemeClr w14:val="tx1"/>
                  </w14:solidFill>
                </w14:textFill>
              </w:rPr>
              <w:t>1</w:t>
            </w:r>
          </w:p>
        </w:tc>
        <w:tc>
          <w:tcPr>
            <w:tcW w:w="2170" w:type="dxa"/>
            <w:tcBorders>
              <w:top w:val="single" w:color="auto" w:sz="4" w:space="0"/>
              <w:left w:val="single" w:color="auto" w:sz="4" w:space="0"/>
              <w:bottom w:val="single" w:color="auto" w:sz="4" w:space="0"/>
            </w:tcBorders>
            <w:shd w:val="clear" w:color="auto" w:fill="FFFFFF"/>
            <w:vAlign w:val="center"/>
          </w:tcPr>
          <w:p w14:paraId="125A8AB7">
            <w:pPr>
              <w:pStyle w:val="83"/>
              <w:spacing w:after="0" w:line="278"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供应商资质条件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财务</w:t>
            </w:r>
            <w:r>
              <w:rPr>
                <w:rFonts w:hint="eastAsia" w:ascii="宋体" w:hAnsi="宋体" w:eastAsia="宋体" w:cs="宋体"/>
                <w:b w:val="0"/>
                <w:bCs w:val="0"/>
                <w:color w:val="000000" w:themeColor="text1"/>
                <w:sz w:val="24"/>
                <w:szCs w:val="24"/>
                <w:highlight w:val="none"/>
                <w14:textFill>
                  <w14:solidFill>
                    <w14:schemeClr w14:val="tx1"/>
                  </w14:solidFill>
                </w14:textFill>
              </w:rPr>
              <w:t>和信誉</w:t>
            </w:r>
          </w:p>
        </w:tc>
        <w:tc>
          <w:tcPr>
            <w:tcW w:w="5278" w:type="dxa"/>
            <w:tcBorders>
              <w:top w:val="single" w:color="auto" w:sz="4" w:space="0"/>
              <w:left w:val="single" w:color="auto" w:sz="4" w:space="0"/>
              <w:bottom w:val="single" w:color="auto" w:sz="4" w:space="0"/>
              <w:right w:val="single" w:color="auto" w:sz="4" w:space="0"/>
            </w:tcBorders>
            <w:shd w:val="clear" w:color="auto" w:fill="FFFFFF"/>
          </w:tcPr>
          <w:p w14:paraId="5214D942">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资质条件：</w:t>
            </w:r>
          </w:p>
          <w:p w14:paraId="544FC9AC">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须符合《中华人民共和国政府采购法》第二十二条的规定，在中华人民共和国境内注册，能够独立承担民事责任、具有良好的商业信誉和健全的财务会计制度；具有履行合同所必须的设备和专业技术能力；依法缴纳税收和良好的社会保障资金；</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参加政府活动采购活动前三年内，</w:t>
            </w:r>
            <w:r>
              <w:rPr>
                <w:rFonts w:hint="eastAsia" w:ascii="宋体" w:hAnsi="宋体" w:eastAsia="宋体" w:cs="宋体"/>
                <w:b w:val="0"/>
                <w:bCs w:val="0"/>
                <w:color w:val="000000" w:themeColor="text1"/>
                <w:sz w:val="24"/>
                <w:szCs w:val="24"/>
                <w:highlight w:val="none"/>
                <w14:textFill>
                  <w14:solidFill>
                    <w14:schemeClr w14:val="tx1"/>
                  </w14:solidFill>
                </w14:textFill>
              </w:rPr>
              <w:t>在经营活动中没有重大违法记录；法律、行政法规规定的其他条件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3188D0F1">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）供应商必须是具有独立承担民事责任能力的在中华人民共和国境内注册的法人或其他组织，投标时提交有效的营业执照副本，并要求本项目</w:t>
            </w:r>
            <w:r>
              <w:rPr>
                <w:rFonts w:hint="eastAsia" w:ascii="宋体" w:hAnsi="宋体" w:eastAsia="宋体" w:cs="宋体"/>
                <w:b/>
                <w:bCs/>
                <w:color w:val="000000" w:themeColor="text1"/>
                <w:sz w:val="24"/>
                <w:szCs w:val="24"/>
                <w:highlight w:val="none"/>
                <w:lang w:eastAsia="zh-CN"/>
                <w14:textFill>
                  <w14:solidFill>
                    <w14:schemeClr w14:val="tx1"/>
                  </w14:solidFill>
                </w14:textFill>
              </w:rPr>
              <w:t>相适应的相关经营范围</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，具有相应的人员、运输、资金等方面的能力。</w:t>
            </w:r>
          </w:p>
          <w:p w14:paraId="5634A281">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财务要求：</w:t>
            </w:r>
          </w:p>
          <w:p w14:paraId="4A93A0C4">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14:textFill>
                  <w14:solidFill>
                    <w14:schemeClr w14:val="tx1"/>
                  </w14:solidFill>
                </w14:textFill>
              </w:rPr>
              <w:t>近年（202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年度）财务审计报告或财务报表（含资产负债表、现金流量表、利润表），新成立企业提供当年验资报告或银行出具的供应商资信证明</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5E7899A6">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信誉要求：</w:t>
            </w:r>
          </w:p>
          <w:p w14:paraId="10C24CE0">
            <w:pPr>
              <w:pStyle w:val="83"/>
              <w:keepNext w:val="0"/>
              <w:keepLines w:val="0"/>
              <w:pageBreakBefore w:val="0"/>
              <w:widowControl w:val="0"/>
              <w:tabs>
                <w:tab w:val="left" w:pos="422"/>
              </w:tabs>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（1）拒绝列入政府取消投标资格记录期间的企业或个人投标（提供由法定代表人或其委托代理人签字并加盖单位公章的承诺书）</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438B74F8">
            <w:pPr>
              <w:pStyle w:val="83"/>
              <w:keepNext w:val="0"/>
              <w:keepLines w:val="0"/>
              <w:pageBreakBefore w:val="0"/>
              <w:widowControl w:val="0"/>
              <w:tabs>
                <w:tab w:val="left" w:pos="528"/>
              </w:tabs>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）供应商须对供应商、法定代表人、拟委任的项目经理进行行贿犯罪档案查询</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[登录中国裁判文书网自行查询，查询时间范围必须包括：本项目信息公告发布之日起（含公告发布当日）前三年]</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须提供网络截图加盖公章</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14:paraId="6C06EAE2">
            <w:pPr>
              <w:pStyle w:val="83"/>
              <w:keepNext w:val="0"/>
              <w:keepLines w:val="0"/>
              <w:pageBreakBefore w:val="0"/>
              <w:widowControl w:val="0"/>
              <w:tabs>
                <w:tab w:val="left" w:pos="427"/>
              </w:tabs>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cs="宋体"/>
                <w:b w:val="0"/>
                <w:bCs w:val="0"/>
                <w:color w:val="000000" w:themeColor="text1"/>
                <w:sz w:val="24"/>
                <w:szCs w:val="24"/>
                <w:lang w:eastAsia="zh-CN"/>
                <w14:textFill>
                  <w14:solidFill>
                    <w14:schemeClr w14:val="tx1"/>
                  </w14:solidFill>
                </w14:textFill>
              </w:rPr>
              <w:t>未被工商行政管理机关在全国企业信用信息公示系统</w:t>
            </w:r>
            <w:r>
              <w:rPr>
                <w:rFonts w:hint="eastAsia" w:ascii="宋体" w:hAnsi="宋体" w:eastAsia="宋体" w:cs="宋体"/>
                <w:b w:val="0"/>
                <w:bCs w:val="0"/>
                <w:color w:val="000000" w:themeColor="text1"/>
                <w:sz w:val="24"/>
                <w:szCs w:val="24"/>
                <w:highlight w:val="none"/>
                <w:lang w:val="en-US" w:eastAsia="zh-CN" w:bidi="en-US"/>
                <w14:textFill>
                  <w14:solidFill>
                    <w14:schemeClr w14:val="tx1"/>
                  </w14:solidFill>
                </w14:textFill>
              </w:rPr>
              <w:t>（http：//www.gsxt.gov.cn/）</w:t>
            </w:r>
            <w:r>
              <w:rPr>
                <w:rFonts w:hint="eastAsia" w:ascii="宋体" w:hAnsi="宋体" w:eastAsia="宋体" w:cs="宋体"/>
                <w:b w:val="0"/>
                <w:bCs w:val="0"/>
                <w:color w:val="000000" w:themeColor="text1"/>
                <w:sz w:val="24"/>
                <w:szCs w:val="24"/>
                <w:highlight w:val="none"/>
                <w14:textFill>
                  <w14:solidFill>
                    <w14:schemeClr w14:val="tx1"/>
                  </w14:solidFill>
                </w14:textFill>
              </w:rPr>
              <w:t>中列入严重违法失信企业名单；（</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须提供网络截图加盖公章</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590E7936">
            <w:pPr>
              <w:pStyle w:val="83"/>
              <w:keepNext w:val="0"/>
              <w:keepLines w:val="0"/>
              <w:pageBreakBefore w:val="0"/>
              <w:widowControl w:val="0"/>
              <w:tabs>
                <w:tab w:val="left" w:pos="422"/>
              </w:tabs>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）供应商未被列入"信用</w:t>
            </w:r>
            <w:r>
              <w:rPr>
                <w:rFonts w:hint="eastAsia" w:ascii="宋体" w:hAnsi="宋体" w:eastAsia="宋体" w:cs="宋体"/>
                <w:b w:val="0"/>
                <w:bCs w:val="0"/>
                <w:color w:val="000000" w:themeColor="text1"/>
                <w:sz w:val="24"/>
                <w:szCs w:val="24"/>
                <w:highlight w:val="none"/>
                <w:lang w:val="zh-CN" w:eastAsia="zh-CN" w:bidi="zh-CN"/>
                <w14:textFill>
                  <w14:solidFill>
                    <w14:schemeClr w14:val="tx1"/>
                  </w14:solidFill>
                </w14:textFill>
              </w:rPr>
              <w:t>中国”</w:t>
            </w:r>
            <w:r>
              <w:rPr>
                <w:rFonts w:hint="eastAsia" w:ascii="宋体" w:hAnsi="宋体" w:eastAsia="宋体" w:cs="宋体"/>
                <w:b w:val="0"/>
                <w:bCs w:val="0"/>
                <w:color w:val="000000" w:themeColor="text1"/>
                <w:sz w:val="24"/>
                <w:szCs w:val="24"/>
                <w:highlight w:val="none"/>
                <w14:textFill>
                  <w14:solidFill>
                    <w14:schemeClr w14:val="tx1"/>
                  </w14:solidFill>
                </w14:textFill>
              </w:rPr>
              <w:t>网站</w:t>
            </w:r>
          </w:p>
          <w:p w14:paraId="57B55FFE">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bidi="en-US"/>
                <w14:textFill>
                  <w14:solidFill>
                    <w14:schemeClr w14:val="tx1"/>
                  </w14:solidFill>
                </w14:textFill>
              </w:rPr>
              <w:t>（www.creditchina.gov.cn）</w:t>
            </w:r>
            <w:r>
              <w:rPr>
                <w:rFonts w:hint="eastAsia" w:ascii="宋体" w:hAnsi="宋体" w:eastAsia="宋体" w:cs="宋体"/>
                <w:b w:val="0"/>
                <w:bCs w:val="0"/>
                <w:color w:val="000000" w:themeColor="text1"/>
                <w:sz w:val="24"/>
                <w:szCs w:val="24"/>
                <w:highlight w:val="none"/>
                <w14:textFill>
                  <w14:solidFill>
                    <w14:schemeClr w14:val="tx1"/>
                  </w14:solidFill>
                </w14:textFill>
              </w:rPr>
              <w:t>、中国政府采购网</w:t>
            </w:r>
          </w:p>
          <w:p w14:paraId="50838033">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bidi="en-US"/>
                <w14:textFill>
                  <w14:solidFill>
                    <w14:schemeClr w14:val="tx1"/>
                  </w14:solidFill>
                </w14:textFill>
              </w:rPr>
              <w:t>（www.ccgp.gov.cn）</w:t>
            </w:r>
            <w:r>
              <w:rPr>
                <w:rFonts w:hint="eastAsia" w:ascii="宋体" w:hAnsi="宋体" w:eastAsia="宋体" w:cs="宋体"/>
                <w:b w:val="0"/>
                <w:bCs w:val="0"/>
                <w:color w:val="000000" w:themeColor="text1"/>
                <w:sz w:val="24"/>
                <w:szCs w:val="24"/>
                <w:highlight w:val="none"/>
                <w14:textFill>
                  <w14:solidFill>
                    <w14:schemeClr w14:val="tx1"/>
                  </w14:solidFill>
                </w14:textFill>
              </w:rPr>
              <w:t>等渠道信用记录失信被执行人、重大税收违法案件当事人名单、政府采购严重违法失信行为记录名单；（须提供网络截图加盖公章）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6629EA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项目</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负责人</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资格</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要求</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w:t>
            </w:r>
          </w:p>
          <w:p w14:paraId="41A191F9">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7"/>
                <w:sz w:val="24"/>
                <w:szCs w:val="24"/>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4"/>
                <w:szCs w:val="24"/>
                <w:highlight w:val="none"/>
                <w14:textFill>
                  <w14:solidFill>
                    <w14:schemeClr w14:val="tx1"/>
                  </w14:solidFill>
                </w14:textFill>
              </w:rPr>
              <w:t>须具有保证</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项目</w:t>
            </w:r>
            <w:r>
              <w:rPr>
                <w:rFonts w:hint="eastAsia" w:ascii="宋体" w:hAnsi="宋体" w:eastAsia="宋体" w:cs="宋体"/>
                <w:b/>
                <w:bCs/>
                <w:color w:val="000000" w:themeColor="text1"/>
                <w:sz w:val="24"/>
                <w:szCs w:val="24"/>
                <w:highlight w:val="none"/>
                <w14:textFill>
                  <w14:solidFill>
                    <w14:schemeClr w14:val="tx1"/>
                  </w14:solidFill>
                </w14:textFill>
              </w:rPr>
              <w:t>顺利实施完成的人员和</w:t>
            </w:r>
            <w:r>
              <w:rPr>
                <w:rFonts w:hint="eastAsia" w:ascii="宋体" w:hAnsi="宋体" w:eastAsia="宋体" w:cs="宋体"/>
                <w:b/>
                <w:bCs/>
                <w:color w:val="000000" w:themeColor="text1"/>
                <w:sz w:val="24"/>
                <w:szCs w:val="24"/>
                <w:highlight w:val="none"/>
                <w:lang w:eastAsia="zh-CN"/>
                <w14:textFill>
                  <w14:solidFill>
                    <w14:schemeClr w14:val="tx1"/>
                  </w14:solidFill>
                </w14:textFill>
              </w:rPr>
              <w:t>专业</w:t>
            </w:r>
          </w:p>
        </w:tc>
      </w:tr>
    </w:tbl>
    <w:p w14:paraId="458BA945">
      <w:pPr>
        <w:spacing w:line="1" w:lineRule="exact"/>
        <w:rPr>
          <w:rFonts w:hint="eastAsia" w:ascii="宋体" w:hAnsi="宋体" w:eastAsia="宋体" w:cs="宋体"/>
          <w:color w:val="000000" w:themeColor="text1"/>
          <w:sz w:val="2"/>
          <w:szCs w:val="2"/>
          <w:highlight w:val="none"/>
          <w:lang w:eastAsia="zh-TW"/>
          <w14:textFill>
            <w14:solidFill>
              <w14:schemeClr w14:val="tx1"/>
            </w14:solidFill>
          </w14:textFill>
        </w:rPr>
      </w:pPr>
      <w:r>
        <w:rPr>
          <w:rFonts w:hint="eastAsia" w:ascii="宋体" w:hAnsi="宋体" w:eastAsia="宋体" w:cs="宋体"/>
          <w:color w:val="000000" w:themeColor="text1"/>
          <w:highlight w:val="none"/>
          <w:lang w:eastAsia="zh-TW"/>
          <w14:textFill>
            <w14:solidFill>
              <w14:schemeClr w14:val="tx1"/>
            </w14:solidFill>
          </w14:textFill>
        </w:rPr>
        <w:br w:type="page"/>
      </w:r>
    </w:p>
    <w:tbl>
      <w:tblPr>
        <w:tblStyle w:val="36"/>
        <w:tblW w:w="8341" w:type="dxa"/>
        <w:jc w:val="center"/>
        <w:tblLayout w:type="fixed"/>
        <w:tblCellMar>
          <w:top w:w="0" w:type="dxa"/>
          <w:left w:w="10" w:type="dxa"/>
          <w:bottom w:w="0" w:type="dxa"/>
          <w:right w:w="10" w:type="dxa"/>
        </w:tblCellMar>
      </w:tblPr>
      <w:tblGrid>
        <w:gridCol w:w="893"/>
        <w:gridCol w:w="2170"/>
        <w:gridCol w:w="5278"/>
      </w:tblGrid>
      <w:tr w14:paraId="313FD669">
        <w:tblPrEx>
          <w:tblCellMar>
            <w:top w:w="0" w:type="dxa"/>
            <w:left w:w="10" w:type="dxa"/>
            <w:bottom w:w="0" w:type="dxa"/>
            <w:right w:w="10" w:type="dxa"/>
          </w:tblCellMar>
        </w:tblPrEx>
        <w:trPr>
          <w:trHeight w:val="4810" w:hRule="exact"/>
          <w:jc w:val="center"/>
        </w:trPr>
        <w:tc>
          <w:tcPr>
            <w:tcW w:w="893" w:type="dxa"/>
            <w:tcBorders>
              <w:top w:val="single" w:color="auto" w:sz="4" w:space="0"/>
              <w:left w:val="single" w:color="auto" w:sz="4" w:space="0"/>
            </w:tcBorders>
            <w:shd w:val="clear" w:color="auto" w:fill="FFFFFF"/>
            <w:vAlign w:val="center"/>
          </w:tcPr>
          <w:p w14:paraId="75D8B8F0">
            <w:pPr>
              <w:jc w:val="center"/>
              <w:rPr>
                <w:rFonts w:hint="eastAsia" w:ascii="宋体" w:hAnsi="宋体" w:eastAsia="宋体" w:cs="宋体"/>
                <w:color w:val="000000" w:themeColor="text1"/>
                <w:sz w:val="24"/>
                <w:szCs w:val="24"/>
                <w:highlight w:val="none"/>
                <w:lang w:eastAsia="zh-TW"/>
                <w14:textFill>
                  <w14:solidFill>
                    <w14:schemeClr w14:val="tx1"/>
                  </w14:solidFill>
                </w14:textFill>
              </w:rPr>
            </w:pPr>
          </w:p>
        </w:tc>
        <w:tc>
          <w:tcPr>
            <w:tcW w:w="2170" w:type="dxa"/>
            <w:tcBorders>
              <w:top w:val="single" w:color="auto" w:sz="4" w:space="0"/>
              <w:left w:val="single" w:color="auto" w:sz="4" w:space="0"/>
            </w:tcBorders>
            <w:shd w:val="clear" w:color="auto" w:fill="FFFFFF"/>
          </w:tcPr>
          <w:p w14:paraId="33CF8CB5">
            <w:pPr>
              <w:jc w:val="center"/>
              <w:rPr>
                <w:rFonts w:hint="eastAsia" w:ascii="宋体" w:hAnsi="宋体" w:eastAsia="宋体" w:cs="宋体"/>
                <w:color w:val="000000" w:themeColor="text1"/>
                <w:sz w:val="24"/>
                <w:szCs w:val="24"/>
                <w:highlight w:val="none"/>
                <w:lang w:eastAsia="zh-TW"/>
                <w14:textFill>
                  <w14:solidFill>
                    <w14:schemeClr w14:val="tx1"/>
                  </w14:solidFill>
                </w14:textFill>
              </w:rPr>
            </w:pPr>
          </w:p>
        </w:tc>
        <w:tc>
          <w:tcPr>
            <w:tcW w:w="5278" w:type="dxa"/>
            <w:tcBorders>
              <w:top w:val="single" w:color="auto" w:sz="4" w:space="0"/>
              <w:left w:val="single" w:color="auto" w:sz="4" w:space="0"/>
              <w:right w:val="single" w:color="auto" w:sz="4" w:space="0"/>
            </w:tcBorders>
            <w:shd w:val="clear" w:color="auto" w:fill="FFFFFF"/>
          </w:tcPr>
          <w:p w14:paraId="6E9947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技术能力</w:t>
            </w:r>
            <w:r>
              <w:rPr>
                <w:rFonts w:hint="eastAsia" w:ascii="宋体" w:hAnsi="宋体" w:eastAsia="宋体" w:cs="宋体"/>
                <w:b/>
                <w:bCs/>
                <w:color w:val="000000" w:themeColor="text1"/>
                <w:sz w:val="24"/>
                <w:szCs w:val="24"/>
                <w:highlight w:val="none"/>
                <w14:textFill>
                  <w14:solidFill>
                    <w14:schemeClr w14:val="tx1"/>
                  </w14:solidFill>
                </w14:textFill>
              </w:rPr>
              <w:t>条件</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提供项目负责人劳动合同及投标截止日期前六个月内任意一个月的社保缴费证明。</w:t>
            </w:r>
          </w:p>
          <w:p w14:paraId="6CFB61F8">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right="0" w:right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其他要求：</w:t>
            </w:r>
          </w:p>
          <w:p w14:paraId="5EE7D6F9">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（1）本项目中标人不允许转包、拆包；</w:t>
            </w:r>
          </w:p>
          <w:p w14:paraId="3E29E7DF">
            <w:pPr>
              <w:keepNext w:val="0"/>
              <w:keepLines w:val="0"/>
              <w:pageBreakBefore w:val="0"/>
              <w:widowControl w:val="0"/>
              <w:kinsoku/>
              <w:wordWrap/>
              <w:overflowPunct/>
              <w:topLinePunct w:val="0"/>
              <w:bidi w:val="0"/>
              <w:snapToGrid/>
              <w:spacing w:line="360" w:lineRule="exact"/>
              <w:ind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企业名称不同但法定代表人为同一个自然人的两个或者两个以上的供应商不得参加同一采购项目的投标；单位负责人为同一人或者存在控股、管理关系的不同单位，不得参加同一标段投标或者未划分标段的同一招标项目投标。如果出现上述情况，相关供应商的投标均将被拒绝</w:t>
            </w:r>
            <w:r>
              <w:rPr>
                <w:rFonts w:hint="eastAsia" w:ascii="宋体" w:hAnsi="宋体" w:eastAsia="宋体" w:cs="宋体"/>
                <w:color w:val="000000" w:themeColor="text1"/>
                <w:sz w:val="24"/>
                <w:szCs w:val="24"/>
                <w:highlight w:val="none"/>
                <w14:textFill>
                  <w14:solidFill>
                    <w14:schemeClr w14:val="tx1"/>
                  </w14:solidFill>
                </w14:textFill>
              </w:rPr>
              <w:t>；</w:t>
            </w:r>
          </w:p>
          <w:p w14:paraId="28526DB3">
            <w:pPr>
              <w:pStyle w:val="88"/>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）供应商须提供投标截止日期前六个月内任意一个月的依法缴纳税收和社会保障资金相关证明材料。</w:t>
            </w:r>
          </w:p>
        </w:tc>
      </w:tr>
      <w:tr w14:paraId="67B099E5">
        <w:tblPrEx>
          <w:tblCellMar>
            <w:top w:w="0" w:type="dxa"/>
            <w:left w:w="10" w:type="dxa"/>
            <w:bottom w:w="0" w:type="dxa"/>
            <w:right w:w="10" w:type="dxa"/>
          </w:tblCellMar>
        </w:tblPrEx>
        <w:trPr>
          <w:trHeight w:val="891" w:hRule="exact"/>
          <w:jc w:val="center"/>
        </w:trPr>
        <w:tc>
          <w:tcPr>
            <w:tcW w:w="893" w:type="dxa"/>
            <w:tcBorders>
              <w:top w:val="single" w:color="auto" w:sz="4" w:space="0"/>
              <w:left w:val="single" w:color="auto" w:sz="4" w:space="0"/>
            </w:tcBorders>
            <w:shd w:val="clear" w:color="auto" w:fill="FFFFFF"/>
            <w:vAlign w:val="center"/>
          </w:tcPr>
          <w:p w14:paraId="27816BEE">
            <w:pPr>
              <w:pStyle w:val="83"/>
              <w:spacing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en-US" w:bidi="en-US"/>
                <w14:textFill>
                  <w14:solidFill>
                    <w14:schemeClr w14:val="tx1"/>
                  </w14:solidFill>
                </w14:textFill>
              </w:rPr>
              <w:t>1.4.</w:t>
            </w: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2</w:t>
            </w:r>
          </w:p>
        </w:tc>
        <w:tc>
          <w:tcPr>
            <w:tcW w:w="2170" w:type="dxa"/>
            <w:tcBorders>
              <w:top w:val="single" w:color="auto" w:sz="4" w:space="0"/>
              <w:left w:val="single" w:color="auto" w:sz="4" w:space="0"/>
            </w:tcBorders>
            <w:shd w:val="clear" w:color="auto" w:fill="FFFFFF"/>
            <w:vAlign w:val="center"/>
          </w:tcPr>
          <w:p w14:paraId="3F90992C">
            <w:pPr>
              <w:pStyle w:val="83"/>
              <w:spacing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是否接受联合体磋商</w:t>
            </w:r>
          </w:p>
        </w:tc>
        <w:tc>
          <w:tcPr>
            <w:tcW w:w="5278" w:type="dxa"/>
            <w:tcBorders>
              <w:top w:val="single" w:color="auto" w:sz="4" w:space="0"/>
              <w:left w:val="single" w:color="auto" w:sz="4" w:space="0"/>
              <w:right w:val="single" w:color="auto" w:sz="4" w:space="0"/>
            </w:tcBorders>
            <w:shd w:val="clear" w:color="auto" w:fill="FFFFFF"/>
          </w:tcPr>
          <w:p w14:paraId="4C9721BE">
            <w:pPr>
              <w:pStyle w:val="83"/>
              <w:spacing w:after="180"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FE"/>
            </w:r>
            <w:r>
              <w:rPr>
                <w:rFonts w:hint="eastAsia" w:ascii="宋体" w:hAnsi="宋体" w:eastAsia="宋体" w:cs="宋体"/>
                <w:b w:val="0"/>
                <w:bCs w:val="0"/>
                <w:color w:val="000000" w:themeColor="text1"/>
                <w:sz w:val="24"/>
                <w:szCs w:val="24"/>
                <w14:textFill>
                  <w14:solidFill>
                    <w14:schemeClr w14:val="tx1"/>
                  </w14:solidFill>
                </w14:textFill>
              </w:rPr>
              <w:t>不接受</w:t>
            </w:r>
          </w:p>
          <w:p w14:paraId="3EE77EFE">
            <w:pPr>
              <w:pStyle w:val="83"/>
              <w:spacing w:after="0"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A8"/>
            </w:r>
            <w:r>
              <w:rPr>
                <w:rFonts w:hint="eastAsia" w:ascii="宋体" w:hAnsi="宋体" w:eastAsia="宋体" w:cs="宋体"/>
                <w:b w:val="0"/>
                <w:bCs w:val="0"/>
                <w:color w:val="000000" w:themeColor="text1"/>
                <w:sz w:val="24"/>
                <w:szCs w:val="24"/>
                <w14:textFill>
                  <w14:solidFill>
                    <w14:schemeClr w14:val="tx1"/>
                  </w14:solidFill>
                </w14:textFill>
              </w:rPr>
              <w:t>接受，应满足下列要求：</w:t>
            </w:r>
          </w:p>
        </w:tc>
      </w:tr>
      <w:tr w14:paraId="55ACE4A4">
        <w:tblPrEx>
          <w:tblCellMar>
            <w:top w:w="0" w:type="dxa"/>
            <w:left w:w="10" w:type="dxa"/>
            <w:bottom w:w="0" w:type="dxa"/>
            <w:right w:w="10" w:type="dxa"/>
          </w:tblCellMar>
        </w:tblPrEx>
        <w:trPr>
          <w:trHeight w:val="1407" w:hRule="exact"/>
          <w:jc w:val="center"/>
        </w:trPr>
        <w:tc>
          <w:tcPr>
            <w:tcW w:w="893" w:type="dxa"/>
            <w:tcBorders>
              <w:top w:val="single" w:color="auto" w:sz="4" w:space="0"/>
              <w:left w:val="single" w:color="auto" w:sz="4" w:space="0"/>
            </w:tcBorders>
            <w:shd w:val="clear" w:color="auto" w:fill="FFFFFF"/>
            <w:vAlign w:val="center"/>
          </w:tcPr>
          <w:p w14:paraId="0188CFEA">
            <w:pPr>
              <w:pStyle w:val="83"/>
              <w:spacing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en-US" w:bidi="en-US"/>
                <w14:textFill>
                  <w14:solidFill>
                    <w14:schemeClr w14:val="tx1"/>
                  </w14:solidFill>
                </w14:textFill>
              </w:rPr>
              <w:t>1</w:t>
            </w:r>
            <w:r>
              <w:rPr>
                <w:rFonts w:hint="eastAsia" w:ascii="宋体" w:hAnsi="宋体" w:eastAsia="宋体" w:cs="宋体"/>
                <w:b w:val="0"/>
                <w:bCs w:val="0"/>
                <w:color w:val="000000" w:themeColor="text1"/>
                <w:sz w:val="24"/>
                <w:szCs w:val="24"/>
                <w:lang w:val="en-US" w:eastAsia="zh-CN" w:bidi="en-US"/>
                <w14:textFill>
                  <w14:solidFill>
                    <w14:schemeClr w14:val="tx1"/>
                  </w14:solidFill>
                </w14:textFill>
              </w:rPr>
              <w:t>.</w:t>
            </w:r>
            <w:r>
              <w:rPr>
                <w:rFonts w:hint="eastAsia" w:ascii="宋体" w:hAnsi="宋体" w:eastAsia="宋体" w:cs="宋体"/>
                <w:b w:val="0"/>
                <w:bCs w:val="0"/>
                <w:color w:val="000000" w:themeColor="text1"/>
                <w:sz w:val="24"/>
                <w:szCs w:val="24"/>
                <w:lang w:val="en-US" w:eastAsia="en-US" w:bidi="en-US"/>
                <w14:textFill>
                  <w14:solidFill>
                    <w14:schemeClr w14:val="tx1"/>
                  </w14:solidFill>
                </w14:textFill>
              </w:rPr>
              <w:t>9.</w:t>
            </w: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1</w:t>
            </w:r>
          </w:p>
        </w:tc>
        <w:tc>
          <w:tcPr>
            <w:tcW w:w="2170" w:type="dxa"/>
            <w:tcBorders>
              <w:top w:val="single" w:color="auto" w:sz="4" w:space="0"/>
              <w:left w:val="single" w:color="auto" w:sz="4" w:space="0"/>
            </w:tcBorders>
            <w:shd w:val="clear" w:color="auto" w:fill="FFFFFF"/>
            <w:vAlign w:val="center"/>
          </w:tcPr>
          <w:p w14:paraId="34C6AEC5">
            <w:pPr>
              <w:pStyle w:val="83"/>
              <w:spacing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踏勘现场</w:t>
            </w:r>
          </w:p>
        </w:tc>
        <w:tc>
          <w:tcPr>
            <w:tcW w:w="5278" w:type="dxa"/>
            <w:tcBorders>
              <w:top w:val="single" w:color="auto" w:sz="4" w:space="0"/>
              <w:left w:val="single" w:color="auto" w:sz="4" w:space="0"/>
              <w:right w:val="single" w:color="auto" w:sz="4" w:space="0"/>
            </w:tcBorders>
            <w:shd w:val="clear" w:color="auto" w:fill="FFFFFF"/>
          </w:tcPr>
          <w:p w14:paraId="4857B2C2">
            <w:pPr>
              <w:pStyle w:val="83"/>
              <w:spacing w:after="180"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FE"/>
            </w:r>
            <w:r>
              <w:rPr>
                <w:rFonts w:hint="eastAsia" w:ascii="宋体" w:hAnsi="宋体" w:eastAsia="宋体" w:cs="宋体"/>
                <w:b w:val="0"/>
                <w:bCs w:val="0"/>
                <w:color w:val="000000" w:themeColor="text1"/>
                <w:sz w:val="24"/>
                <w:szCs w:val="24"/>
                <w14:textFill>
                  <w14:solidFill>
                    <w14:schemeClr w14:val="tx1"/>
                  </w14:solidFill>
                </w14:textFill>
              </w:rPr>
              <w:t>不组织</w:t>
            </w:r>
          </w:p>
          <w:p w14:paraId="63F18FAE">
            <w:pPr>
              <w:pStyle w:val="83"/>
              <w:spacing w:after="180"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A8"/>
            </w:r>
            <w:r>
              <w:rPr>
                <w:rFonts w:hint="eastAsia" w:ascii="宋体" w:hAnsi="宋体" w:eastAsia="宋体" w:cs="宋体"/>
                <w:b w:val="0"/>
                <w:bCs w:val="0"/>
                <w:color w:val="000000" w:themeColor="text1"/>
                <w:sz w:val="24"/>
                <w:szCs w:val="24"/>
                <w14:textFill>
                  <w14:solidFill>
                    <w14:schemeClr w14:val="tx1"/>
                  </w14:solidFill>
                </w14:textFill>
              </w:rPr>
              <w:t>组织，踏勘时间：</w:t>
            </w:r>
          </w:p>
          <w:p w14:paraId="3576BC9F">
            <w:pPr>
              <w:pStyle w:val="83"/>
              <w:spacing w:after="180" w:line="240" w:lineRule="auto"/>
              <w:ind w:firstLine="960" w:firstLineChars="4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踏勘集中地点：</w:t>
            </w:r>
          </w:p>
        </w:tc>
      </w:tr>
      <w:tr w14:paraId="4381855D">
        <w:tblPrEx>
          <w:tblCellMar>
            <w:top w:w="0" w:type="dxa"/>
            <w:left w:w="10" w:type="dxa"/>
            <w:bottom w:w="0" w:type="dxa"/>
            <w:right w:w="10" w:type="dxa"/>
          </w:tblCellMar>
        </w:tblPrEx>
        <w:trPr>
          <w:trHeight w:val="891" w:hRule="exact"/>
          <w:jc w:val="center"/>
        </w:trPr>
        <w:tc>
          <w:tcPr>
            <w:tcW w:w="893" w:type="dxa"/>
            <w:tcBorders>
              <w:top w:val="single" w:color="auto" w:sz="4" w:space="0"/>
              <w:left w:val="single" w:color="auto" w:sz="4" w:space="0"/>
            </w:tcBorders>
            <w:shd w:val="clear" w:color="auto" w:fill="FFFFFF"/>
            <w:vAlign w:val="center"/>
          </w:tcPr>
          <w:p w14:paraId="0776AB3F">
            <w:pPr>
              <w:pStyle w:val="83"/>
              <w:spacing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en-US" w:bidi="en-US"/>
                <w14:textFill>
                  <w14:solidFill>
                    <w14:schemeClr w14:val="tx1"/>
                  </w14:solidFill>
                </w14:textFill>
              </w:rPr>
              <w:t>1.10</w:t>
            </w:r>
            <w:r>
              <w:rPr>
                <w:rFonts w:hint="eastAsia" w:ascii="宋体" w:hAnsi="宋体" w:eastAsia="宋体" w:cs="宋体"/>
                <w:b w:val="0"/>
                <w:bCs w:val="0"/>
                <w:color w:val="000000" w:themeColor="text1"/>
                <w:sz w:val="24"/>
                <w:szCs w:val="24"/>
                <w:lang w:val="en-US" w:eastAsia="zh-CN" w:bidi="en-US"/>
                <w14:textFill>
                  <w14:solidFill>
                    <w14:schemeClr w14:val="tx1"/>
                  </w14:solidFill>
                </w14:textFill>
              </w:rPr>
              <w:t>.</w:t>
            </w:r>
            <w:r>
              <w:rPr>
                <w:rFonts w:hint="eastAsia" w:ascii="宋体" w:hAnsi="宋体" w:eastAsia="宋体" w:cs="宋体"/>
                <w:b w:val="0"/>
                <w:bCs w:val="0"/>
                <w:color w:val="000000" w:themeColor="text1"/>
                <w:sz w:val="24"/>
                <w:szCs w:val="24"/>
                <w:lang w:val="en-US" w:eastAsia="en-US" w:bidi="en-US"/>
                <w14:textFill>
                  <w14:solidFill>
                    <w14:schemeClr w14:val="tx1"/>
                  </w14:solidFill>
                </w14:textFill>
              </w:rPr>
              <w:t>1</w:t>
            </w:r>
          </w:p>
        </w:tc>
        <w:tc>
          <w:tcPr>
            <w:tcW w:w="2170" w:type="dxa"/>
            <w:tcBorders>
              <w:top w:val="single" w:color="auto" w:sz="4" w:space="0"/>
              <w:left w:val="single" w:color="auto" w:sz="4" w:space="0"/>
            </w:tcBorders>
            <w:shd w:val="clear" w:color="auto" w:fill="FFFFFF"/>
            <w:vAlign w:val="center"/>
          </w:tcPr>
          <w:p w14:paraId="61BD3AEE">
            <w:pPr>
              <w:pStyle w:val="83"/>
              <w:spacing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磋商答疑会</w:t>
            </w:r>
          </w:p>
        </w:tc>
        <w:tc>
          <w:tcPr>
            <w:tcW w:w="5278" w:type="dxa"/>
            <w:tcBorders>
              <w:top w:val="single" w:color="auto" w:sz="4" w:space="0"/>
              <w:left w:val="single" w:color="auto" w:sz="4" w:space="0"/>
              <w:right w:val="single" w:color="auto" w:sz="4" w:space="0"/>
            </w:tcBorders>
            <w:shd w:val="clear" w:color="auto" w:fill="FFFFFF"/>
          </w:tcPr>
          <w:p w14:paraId="46387027">
            <w:pPr>
              <w:pStyle w:val="83"/>
              <w:spacing w:after="140"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A8"/>
            </w:r>
            <w:r>
              <w:rPr>
                <w:rFonts w:hint="eastAsia" w:ascii="宋体" w:hAnsi="宋体" w:eastAsia="宋体" w:cs="宋体"/>
                <w:b w:val="0"/>
                <w:bCs w:val="0"/>
                <w:color w:val="000000" w:themeColor="text1"/>
                <w:sz w:val="24"/>
                <w:szCs w:val="24"/>
                <w14:textFill>
                  <w14:solidFill>
                    <w14:schemeClr w14:val="tx1"/>
                  </w14:solidFill>
                </w14:textFill>
              </w:rPr>
              <w:t>召开</w:t>
            </w:r>
          </w:p>
          <w:p w14:paraId="65472934">
            <w:pPr>
              <w:pStyle w:val="83"/>
              <w:spacing w:after="0"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FE"/>
            </w:r>
            <w:r>
              <w:rPr>
                <w:rFonts w:hint="eastAsia" w:ascii="宋体" w:hAnsi="宋体" w:eastAsia="宋体" w:cs="宋体"/>
                <w:b w:val="0"/>
                <w:bCs w:val="0"/>
                <w:color w:val="000000" w:themeColor="text1"/>
                <w:sz w:val="24"/>
                <w:szCs w:val="24"/>
                <w14:textFill>
                  <w14:solidFill>
                    <w14:schemeClr w14:val="tx1"/>
                  </w14:solidFill>
                </w14:textFill>
              </w:rPr>
              <w:t>不召开</w:t>
            </w:r>
          </w:p>
        </w:tc>
      </w:tr>
      <w:tr w14:paraId="275D0B27">
        <w:tblPrEx>
          <w:tblCellMar>
            <w:top w:w="0" w:type="dxa"/>
            <w:left w:w="10" w:type="dxa"/>
            <w:bottom w:w="0" w:type="dxa"/>
            <w:right w:w="10" w:type="dxa"/>
          </w:tblCellMar>
        </w:tblPrEx>
        <w:trPr>
          <w:trHeight w:val="1756"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2A0ED587">
            <w:pPr>
              <w:pStyle w:val="83"/>
              <w:spacing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1.11</w:t>
            </w:r>
          </w:p>
        </w:tc>
        <w:tc>
          <w:tcPr>
            <w:tcW w:w="2170" w:type="dxa"/>
            <w:tcBorders>
              <w:top w:val="single" w:color="auto" w:sz="4" w:space="0"/>
              <w:left w:val="single" w:color="auto" w:sz="4" w:space="0"/>
              <w:bottom w:val="single" w:color="auto" w:sz="4" w:space="0"/>
            </w:tcBorders>
            <w:shd w:val="clear" w:color="auto" w:fill="FFFFFF"/>
            <w:vAlign w:val="center"/>
          </w:tcPr>
          <w:p w14:paraId="388CAFEE">
            <w:pPr>
              <w:pStyle w:val="83"/>
              <w:spacing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分包</w:t>
            </w:r>
          </w:p>
        </w:tc>
        <w:tc>
          <w:tcPr>
            <w:tcW w:w="5278" w:type="dxa"/>
            <w:tcBorders>
              <w:top w:val="single" w:color="auto" w:sz="4" w:space="0"/>
              <w:left w:val="single" w:color="auto" w:sz="4" w:space="0"/>
              <w:bottom w:val="single" w:color="auto" w:sz="4" w:space="0"/>
              <w:right w:val="single" w:color="auto" w:sz="4" w:space="0"/>
            </w:tcBorders>
            <w:shd w:val="clear" w:color="auto" w:fill="FFFFFF"/>
          </w:tcPr>
          <w:p w14:paraId="4C629DBB">
            <w:pPr>
              <w:pStyle w:val="83"/>
              <w:spacing w:after="160"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FE"/>
            </w:r>
            <w:r>
              <w:rPr>
                <w:rFonts w:hint="eastAsia" w:ascii="宋体" w:hAnsi="宋体" w:eastAsia="宋体" w:cs="宋体"/>
                <w:b w:val="0"/>
                <w:bCs w:val="0"/>
                <w:color w:val="000000" w:themeColor="text1"/>
                <w:sz w:val="24"/>
                <w:szCs w:val="24"/>
                <w14:textFill>
                  <w14:solidFill>
                    <w14:schemeClr w14:val="tx1"/>
                  </w14:solidFill>
                </w14:textFill>
              </w:rPr>
              <w:t>不允许</w:t>
            </w:r>
          </w:p>
          <w:p w14:paraId="11EC47C2">
            <w:pPr>
              <w:pStyle w:val="83"/>
              <w:spacing w:after="160"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A8"/>
            </w:r>
            <w:r>
              <w:rPr>
                <w:rFonts w:hint="eastAsia" w:ascii="宋体" w:hAnsi="宋体" w:eastAsia="宋体" w:cs="宋体"/>
                <w:b w:val="0"/>
                <w:bCs w:val="0"/>
                <w:color w:val="000000" w:themeColor="text1"/>
                <w:sz w:val="24"/>
                <w:szCs w:val="24"/>
                <w14:textFill>
                  <w14:solidFill>
                    <w14:schemeClr w14:val="tx1"/>
                  </w14:solidFill>
                </w14:textFill>
              </w:rPr>
              <w:t>允许，分包内容要求：</w:t>
            </w:r>
          </w:p>
          <w:p w14:paraId="6F9B6B15">
            <w:pPr>
              <w:pStyle w:val="83"/>
              <w:spacing w:after="160" w:line="240" w:lineRule="auto"/>
              <w:ind w:firstLine="9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分包金额要求：</w:t>
            </w:r>
          </w:p>
          <w:p w14:paraId="0866500A">
            <w:pPr>
              <w:pStyle w:val="83"/>
              <w:spacing w:after="160" w:line="240" w:lineRule="auto"/>
              <w:ind w:firstLine="9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接受分包的第三人资质要求：</w:t>
            </w:r>
          </w:p>
        </w:tc>
      </w:tr>
      <w:tr w14:paraId="7BF5FE5B">
        <w:tblPrEx>
          <w:tblCellMar>
            <w:top w:w="0" w:type="dxa"/>
            <w:left w:w="10" w:type="dxa"/>
            <w:bottom w:w="0" w:type="dxa"/>
            <w:right w:w="10" w:type="dxa"/>
          </w:tblCellMar>
        </w:tblPrEx>
        <w:trPr>
          <w:trHeight w:val="826" w:hRule="exact"/>
          <w:jc w:val="center"/>
        </w:trPr>
        <w:tc>
          <w:tcPr>
            <w:tcW w:w="893" w:type="dxa"/>
            <w:tcBorders>
              <w:top w:val="single" w:color="auto" w:sz="4" w:space="0"/>
              <w:left w:val="single" w:color="auto" w:sz="4" w:space="0"/>
            </w:tcBorders>
            <w:shd w:val="clear" w:color="auto" w:fill="FFFFFF"/>
            <w:vAlign w:val="center"/>
          </w:tcPr>
          <w:p w14:paraId="527C7081">
            <w:pPr>
              <w:pStyle w:val="83"/>
              <w:spacing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1.12</w:t>
            </w:r>
          </w:p>
        </w:tc>
        <w:tc>
          <w:tcPr>
            <w:tcW w:w="2170" w:type="dxa"/>
            <w:tcBorders>
              <w:top w:val="single" w:color="auto" w:sz="4" w:space="0"/>
              <w:left w:val="single" w:color="auto" w:sz="4" w:space="0"/>
            </w:tcBorders>
            <w:shd w:val="clear" w:color="auto" w:fill="FFFFFF"/>
            <w:vAlign w:val="center"/>
          </w:tcPr>
          <w:p w14:paraId="798899CD">
            <w:pPr>
              <w:pStyle w:val="83"/>
              <w:spacing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偏离</w:t>
            </w:r>
          </w:p>
        </w:tc>
        <w:tc>
          <w:tcPr>
            <w:tcW w:w="5278" w:type="dxa"/>
            <w:tcBorders>
              <w:top w:val="single" w:color="auto" w:sz="4" w:space="0"/>
              <w:left w:val="single" w:color="auto" w:sz="4" w:space="0"/>
              <w:right w:val="single" w:color="auto" w:sz="4" w:space="0"/>
            </w:tcBorders>
            <w:shd w:val="clear" w:color="auto" w:fill="FFFFFF"/>
          </w:tcPr>
          <w:p w14:paraId="2DA9149C">
            <w:pPr>
              <w:pStyle w:val="83"/>
              <w:spacing w:after="180" w:line="240"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FE"/>
            </w:r>
            <w:r>
              <w:rPr>
                <w:rFonts w:hint="eastAsia" w:ascii="宋体" w:hAnsi="宋体" w:eastAsia="宋体" w:cs="宋体"/>
                <w:b w:val="0"/>
                <w:bCs w:val="0"/>
                <w:color w:val="000000" w:themeColor="text1"/>
                <w:sz w:val="24"/>
                <w:szCs w:val="24"/>
                <w14:textFill>
                  <w14:solidFill>
                    <w14:schemeClr w14:val="tx1"/>
                  </w14:solidFill>
                </w14:textFill>
              </w:rPr>
              <w:t>不允许</w:t>
            </w:r>
          </w:p>
          <w:p w14:paraId="4D2A3861">
            <w:pPr>
              <w:pStyle w:val="83"/>
              <w:spacing w:after="180"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A8"/>
            </w:r>
            <w:r>
              <w:rPr>
                <w:rFonts w:hint="eastAsia" w:ascii="宋体" w:hAnsi="宋体" w:eastAsia="宋体" w:cs="宋体"/>
                <w:b w:val="0"/>
                <w:bCs w:val="0"/>
                <w:color w:val="000000" w:themeColor="text1"/>
                <w:sz w:val="24"/>
                <w:szCs w:val="24"/>
                <w14:textFill>
                  <w14:solidFill>
                    <w14:schemeClr w14:val="tx1"/>
                  </w14:solidFill>
                </w14:textFill>
              </w:rPr>
              <w:t>允许</w:t>
            </w:r>
          </w:p>
        </w:tc>
      </w:tr>
      <w:tr w14:paraId="0FDED06B">
        <w:tblPrEx>
          <w:tblCellMar>
            <w:top w:w="0" w:type="dxa"/>
            <w:left w:w="10" w:type="dxa"/>
            <w:bottom w:w="0" w:type="dxa"/>
            <w:right w:w="10" w:type="dxa"/>
          </w:tblCellMar>
        </w:tblPrEx>
        <w:trPr>
          <w:trHeight w:val="797"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7F87BFDB">
            <w:pPr>
              <w:pStyle w:val="83"/>
              <w:spacing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2.1</w:t>
            </w:r>
          </w:p>
        </w:tc>
        <w:tc>
          <w:tcPr>
            <w:tcW w:w="2170" w:type="dxa"/>
            <w:tcBorders>
              <w:top w:val="single" w:color="auto" w:sz="4" w:space="0"/>
              <w:left w:val="single" w:color="auto" w:sz="4" w:space="0"/>
              <w:bottom w:val="single" w:color="auto" w:sz="4" w:space="0"/>
            </w:tcBorders>
            <w:shd w:val="clear" w:color="auto" w:fill="FFFFFF"/>
            <w:vAlign w:val="center"/>
          </w:tcPr>
          <w:p w14:paraId="3301EA30">
            <w:pPr>
              <w:pStyle w:val="83"/>
              <w:spacing w:after="0" w:line="274"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构成竞争性磋商文件的其他材料</w:t>
            </w:r>
          </w:p>
        </w:tc>
        <w:tc>
          <w:tcPr>
            <w:tcW w:w="5278" w:type="dxa"/>
            <w:tcBorders>
              <w:top w:val="single" w:color="auto" w:sz="4" w:space="0"/>
              <w:left w:val="single" w:color="auto" w:sz="4" w:space="0"/>
              <w:bottom w:val="single" w:color="auto" w:sz="4" w:space="0"/>
              <w:right w:val="single" w:color="auto" w:sz="4" w:space="0"/>
            </w:tcBorders>
            <w:shd w:val="clear" w:color="auto" w:fill="FFFFFF"/>
            <w:vAlign w:val="center"/>
          </w:tcPr>
          <w:p w14:paraId="1A3222BB">
            <w:pPr>
              <w:pStyle w:val="83"/>
              <w:spacing w:after="0"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r>
      <w:tr w14:paraId="14AD2107">
        <w:tblPrEx>
          <w:tblCellMar>
            <w:top w:w="0" w:type="dxa"/>
            <w:left w:w="10" w:type="dxa"/>
            <w:bottom w:w="0" w:type="dxa"/>
            <w:right w:w="10" w:type="dxa"/>
          </w:tblCellMar>
        </w:tblPrEx>
        <w:trPr>
          <w:trHeight w:val="1062"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45700953">
            <w:pPr>
              <w:pStyle w:val="8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180" w:firstLineChars="0"/>
              <w:jc w:val="both"/>
              <w:textAlignment w:val="auto"/>
              <w:rPr>
                <w:rFonts w:hint="eastAsia" w:ascii="宋体" w:hAnsi="宋体" w:eastAsia="宋体" w:cs="宋体"/>
                <w:b w:val="0"/>
                <w:bCs w:val="0"/>
                <w:color w:val="000000" w:themeColor="text1"/>
                <w:sz w:val="24"/>
                <w:szCs w:val="24"/>
                <w:lang w:val="zh-CN" w:eastAsia="zh-CN" w:bidi="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2.2.1</w:t>
            </w:r>
          </w:p>
        </w:tc>
        <w:tc>
          <w:tcPr>
            <w:tcW w:w="2170" w:type="dxa"/>
            <w:tcBorders>
              <w:top w:val="single" w:color="auto" w:sz="4" w:space="0"/>
              <w:left w:val="single" w:color="auto" w:sz="4" w:space="0"/>
              <w:bottom w:val="single" w:color="auto" w:sz="4" w:space="0"/>
            </w:tcBorders>
            <w:shd w:val="clear" w:color="auto" w:fill="FFFFFF"/>
            <w:vAlign w:val="top"/>
          </w:tcPr>
          <w:p w14:paraId="41E821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sz w:val="24"/>
                <w:szCs w:val="24"/>
                <w:lang w:eastAsia="zh-CN"/>
              </w:rPr>
              <w:t>供应商</w:t>
            </w:r>
            <w:r>
              <w:rPr>
                <w:rFonts w:hint="eastAsia" w:ascii="宋体" w:hAnsi="宋体" w:eastAsia="宋体" w:cs="宋体"/>
                <w:sz w:val="24"/>
                <w:szCs w:val="24"/>
              </w:rPr>
              <w:t>要求澄清竞争性磋商文件的截止时间</w:t>
            </w:r>
          </w:p>
        </w:tc>
        <w:tc>
          <w:tcPr>
            <w:tcW w:w="5278" w:type="dxa"/>
            <w:tcBorders>
              <w:top w:val="single" w:color="auto" w:sz="4" w:space="0"/>
              <w:left w:val="single" w:color="auto" w:sz="4" w:space="0"/>
              <w:bottom w:val="single" w:color="auto" w:sz="4" w:space="0"/>
              <w:right w:val="single" w:color="auto" w:sz="4" w:space="0"/>
            </w:tcBorders>
            <w:shd w:val="clear" w:color="auto" w:fill="FFFFFF"/>
            <w:vAlign w:val="center"/>
          </w:tcPr>
          <w:p w14:paraId="06EB8AB6">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b w:val="0"/>
                <w:bCs w:val="0"/>
                <w:sz w:val="24"/>
                <w:szCs w:val="24"/>
              </w:rPr>
              <w:t>递交首次响应文件截止时间5日前</w:t>
            </w:r>
          </w:p>
          <w:p w14:paraId="64F558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形式：</w:t>
            </w:r>
            <w:r>
              <w:rPr>
                <w:rFonts w:hint="eastAsia" w:ascii="宋体" w:hAnsi="宋体" w:eastAsia="宋体" w:cs="宋体"/>
                <w:sz w:val="24"/>
                <w:szCs w:val="24"/>
                <w:highlight w:val="none"/>
                <w:lang w:val="en-US" w:eastAsia="zh-CN"/>
              </w:rPr>
              <w:t>网上提交，在“政采云”平台（网址http：//www.zcygov.cn) 上发布。</w:t>
            </w:r>
          </w:p>
        </w:tc>
      </w:tr>
      <w:tr w14:paraId="24C5CDC6">
        <w:tblPrEx>
          <w:tblCellMar>
            <w:top w:w="0" w:type="dxa"/>
            <w:left w:w="10" w:type="dxa"/>
            <w:bottom w:w="0" w:type="dxa"/>
            <w:right w:w="10" w:type="dxa"/>
          </w:tblCellMar>
        </w:tblPrEx>
        <w:trPr>
          <w:trHeight w:val="797"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2B416348">
            <w:pPr>
              <w:pStyle w:val="83"/>
              <w:spacing w:after="0" w:line="240" w:lineRule="auto"/>
              <w:ind w:firstLine="18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en-US" w:bidi="en-US"/>
                <w14:textFill>
                  <w14:solidFill>
                    <w14:schemeClr w14:val="tx1"/>
                  </w14:solidFill>
                </w14:textFill>
              </w:rPr>
              <w:t>2.2.</w:t>
            </w: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2</w:t>
            </w:r>
          </w:p>
        </w:tc>
        <w:tc>
          <w:tcPr>
            <w:tcW w:w="2170" w:type="dxa"/>
            <w:tcBorders>
              <w:top w:val="single" w:color="auto" w:sz="4" w:space="0"/>
              <w:left w:val="single" w:color="auto" w:sz="4" w:space="0"/>
              <w:bottom w:val="single" w:color="auto" w:sz="4" w:space="0"/>
            </w:tcBorders>
            <w:shd w:val="clear" w:color="auto" w:fill="FFFFFF"/>
            <w:vAlign w:val="center"/>
          </w:tcPr>
          <w:p w14:paraId="3BDC60CC">
            <w:pPr>
              <w:pStyle w:val="83"/>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供应商递交澄清竞争性磋商文件的</w:t>
            </w:r>
          </w:p>
          <w:p w14:paraId="152E5AE2">
            <w:pPr>
              <w:pStyle w:val="83"/>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b w:val="0"/>
                <w:bCs w:val="0"/>
                <w:color w:val="000000" w:themeColor="text1"/>
                <w:sz w:val="24"/>
                <w:szCs w:val="24"/>
                <w14:textFill>
                  <w14:solidFill>
                    <w14:schemeClr w14:val="tx1"/>
                  </w14:solidFill>
                </w14:textFill>
              </w:rPr>
              <w:t>形式</w:t>
            </w:r>
          </w:p>
        </w:tc>
        <w:tc>
          <w:tcPr>
            <w:tcW w:w="5278" w:type="dxa"/>
            <w:tcBorders>
              <w:top w:val="single" w:color="auto" w:sz="4" w:space="0"/>
              <w:left w:val="single" w:color="auto" w:sz="4" w:space="0"/>
              <w:bottom w:val="single" w:color="auto" w:sz="4" w:space="0"/>
              <w:right w:val="single" w:color="auto" w:sz="4" w:space="0"/>
            </w:tcBorders>
            <w:shd w:val="clear" w:color="auto" w:fill="FFFFFF"/>
            <w:vAlign w:val="center"/>
          </w:tcPr>
          <w:p w14:paraId="3AC99C37">
            <w:pPr>
              <w:pStyle w:val="8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themeColor="text1"/>
                <w:sz w:val="24"/>
                <w:szCs w:val="24"/>
                <w:lang w:eastAsia="zh-CN"/>
                <w14:textFill>
                  <w14:solidFill>
                    <w14:schemeClr w14:val="tx1"/>
                  </w14:solidFill>
                </w14:textFill>
              </w:rPr>
              <w:t>电子文档</w:t>
            </w:r>
          </w:p>
        </w:tc>
      </w:tr>
      <w:tr w14:paraId="119C3369">
        <w:tblPrEx>
          <w:tblCellMar>
            <w:top w:w="0" w:type="dxa"/>
            <w:left w:w="10" w:type="dxa"/>
            <w:bottom w:w="0" w:type="dxa"/>
            <w:right w:w="10" w:type="dxa"/>
          </w:tblCellMar>
        </w:tblPrEx>
        <w:trPr>
          <w:trHeight w:val="797"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1544AC8A">
            <w:pPr>
              <w:pStyle w:val="83"/>
              <w:spacing w:after="0" w:line="240" w:lineRule="auto"/>
              <w:ind w:firstLine="18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en-US" w:bidi="en-US"/>
                <w14:textFill>
                  <w14:solidFill>
                    <w14:schemeClr w14:val="tx1"/>
                  </w14:solidFill>
                </w14:textFill>
              </w:rPr>
              <w:t>2.3.</w:t>
            </w: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1</w:t>
            </w:r>
          </w:p>
        </w:tc>
        <w:tc>
          <w:tcPr>
            <w:tcW w:w="2170" w:type="dxa"/>
            <w:tcBorders>
              <w:top w:val="single" w:color="auto" w:sz="4" w:space="0"/>
              <w:left w:val="single" w:color="auto" w:sz="4" w:space="0"/>
              <w:bottom w:val="single" w:color="auto" w:sz="4" w:space="0"/>
            </w:tcBorders>
            <w:shd w:val="clear" w:color="auto" w:fill="FFFFFF"/>
            <w:vAlign w:val="center"/>
          </w:tcPr>
          <w:p w14:paraId="5A9B21CA">
            <w:pPr>
              <w:pStyle w:val="83"/>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竞争性磋商文件</w:t>
            </w:r>
            <w:r>
              <w:rPr>
                <w:rFonts w:hint="eastAsia" w:ascii="宋体" w:hAnsi="宋体" w:eastAsia="宋体" w:cs="宋体"/>
                <w:b w:val="0"/>
                <w:bCs w:val="0"/>
                <w:color w:val="000000" w:themeColor="text1"/>
                <w:sz w:val="24"/>
                <w:szCs w:val="24"/>
                <w:lang w:val="en-US" w:eastAsia="zh-CN"/>
                <w14:textFill>
                  <w14:solidFill>
                    <w14:schemeClr w14:val="tx1"/>
                  </w14:solidFill>
                </w14:textFill>
              </w:rPr>
              <w:t>澄清与</w:t>
            </w:r>
            <w:r>
              <w:rPr>
                <w:rFonts w:hint="eastAsia" w:ascii="宋体" w:hAnsi="宋体" w:eastAsia="宋体" w:cs="宋体"/>
                <w:b w:val="0"/>
                <w:bCs w:val="0"/>
                <w:color w:val="000000" w:themeColor="text1"/>
                <w:sz w:val="24"/>
                <w:szCs w:val="24"/>
                <w14:textFill>
                  <w14:solidFill>
                    <w14:schemeClr w14:val="tx1"/>
                  </w14:solidFill>
                </w14:textFill>
              </w:rPr>
              <w:t>修改的截止</w:t>
            </w:r>
          </w:p>
          <w:p w14:paraId="331D9462">
            <w:pPr>
              <w:pStyle w:val="83"/>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b w:val="0"/>
                <w:bCs w:val="0"/>
                <w:color w:val="000000" w:themeColor="text1"/>
                <w:sz w:val="24"/>
                <w:szCs w:val="24"/>
                <w14:textFill>
                  <w14:solidFill>
                    <w14:schemeClr w14:val="tx1"/>
                  </w14:solidFill>
                </w14:textFill>
              </w:rPr>
              <w:t>时间</w:t>
            </w:r>
          </w:p>
        </w:tc>
        <w:tc>
          <w:tcPr>
            <w:tcW w:w="5278" w:type="dxa"/>
            <w:tcBorders>
              <w:top w:val="single" w:color="auto" w:sz="4" w:space="0"/>
              <w:left w:val="single" w:color="auto" w:sz="4" w:space="0"/>
              <w:bottom w:val="single" w:color="auto" w:sz="4" w:space="0"/>
              <w:right w:val="single" w:color="auto" w:sz="4" w:space="0"/>
            </w:tcBorders>
            <w:shd w:val="clear" w:color="auto" w:fill="FFFFFF"/>
            <w:vAlign w:val="center"/>
          </w:tcPr>
          <w:p w14:paraId="2AC95EC1">
            <w:pPr>
              <w:pStyle w:val="8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themeColor="text1"/>
                <w:sz w:val="24"/>
                <w:szCs w:val="24"/>
                <w14:textFill>
                  <w14:solidFill>
                    <w14:schemeClr w14:val="tx1"/>
                  </w14:solidFill>
                </w14:textFill>
              </w:rPr>
              <w:t>递交首次响应文件截止时间5日前</w:t>
            </w:r>
          </w:p>
        </w:tc>
      </w:tr>
      <w:tr w14:paraId="7390084F">
        <w:tblPrEx>
          <w:tblCellMar>
            <w:top w:w="0" w:type="dxa"/>
            <w:left w:w="10" w:type="dxa"/>
            <w:bottom w:w="0" w:type="dxa"/>
            <w:right w:w="10" w:type="dxa"/>
          </w:tblCellMar>
        </w:tblPrEx>
        <w:trPr>
          <w:trHeight w:val="1208"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5081E260">
            <w:pPr>
              <w:pStyle w:val="83"/>
              <w:spacing w:after="0" w:line="240" w:lineRule="auto"/>
              <w:ind w:firstLine="18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2.3.2</w:t>
            </w:r>
          </w:p>
        </w:tc>
        <w:tc>
          <w:tcPr>
            <w:tcW w:w="2170" w:type="dxa"/>
            <w:tcBorders>
              <w:top w:val="single" w:color="auto" w:sz="4" w:space="0"/>
              <w:left w:val="single" w:color="auto" w:sz="4" w:space="0"/>
              <w:bottom w:val="single" w:color="auto" w:sz="4" w:space="0"/>
            </w:tcBorders>
            <w:shd w:val="clear" w:color="auto" w:fill="FFFFFF"/>
            <w:vAlign w:val="center"/>
          </w:tcPr>
          <w:p w14:paraId="69E7E07D">
            <w:pPr>
              <w:pStyle w:val="83"/>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b w:val="0"/>
                <w:bCs w:val="0"/>
                <w:color w:val="000000" w:themeColor="text1"/>
                <w:sz w:val="24"/>
                <w:szCs w:val="24"/>
                <w14:textFill>
                  <w14:solidFill>
                    <w14:schemeClr w14:val="tx1"/>
                  </w14:solidFill>
                </w14:textFill>
              </w:rPr>
              <w:t>供应商确认收到竞争性磋商文件</w:t>
            </w:r>
            <w:r>
              <w:rPr>
                <w:rFonts w:hint="eastAsia" w:ascii="宋体" w:hAnsi="宋体" w:eastAsia="宋体" w:cs="宋体"/>
                <w:b w:val="0"/>
                <w:bCs w:val="0"/>
                <w:color w:val="000000" w:themeColor="text1"/>
                <w:sz w:val="24"/>
                <w:szCs w:val="24"/>
                <w:lang w:val="en-US" w:eastAsia="zh-CN"/>
                <w14:textFill>
                  <w14:solidFill>
                    <w14:schemeClr w14:val="tx1"/>
                  </w14:solidFill>
                </w14:textFill>
              </w:rPr>
              <w:t>澄清与</w:t>
            </w:r>
            <w:r>
              <w:rPr>
                <w:rFonts w:hint="eastAsia" w:ascii="宋体" w:hAnsi="宋体" w:eastAsia="宋体" w:cs="宋体"/>
                <w:b w:val="0"/>
                <w:bCs w:val="0"/>
                <w:color w:val="000000" w:themeColor="text1"/>
                <w:sz w:val="24"/>
                <w:szCs w:val="24"/>
                <w14:textFill>
                  <w14:solidFill>
                    <w14:schemeClr w14:val="tx1"/>
                  </w14:solidFill>
                </w14:textFill>
              </w:rPr>
              <w:t>修改的时间</w:t>
            </w:r>
          </w:p>
        </w:tc>
        <w:tc>
          <w:tcPr>
            <w:tcW w:w="5278" w:type="dxa"/>
            <w:tcBorders>
              <w:top w:val="single" w:color="auto" w:sz="4" w:space="0"/>
              <w:left w:val="single" w:color="auto" w:sz="4" w:space="0"/>
              <w:bottom w:val="single" w:color="auto" w:sz="4" w:space="0"/>
              <w:right w:val="single" w:color="auto" w:sz="4" w:space="0"/>
            </w:tcBorders>
            <w:shd w:val="clear" w:color="auto" w:fill="FFFFFF"/>
            <w:vAlign w:val="center"/>
          </w:tcPr>
          <w:p w14:paraId="267CCB3F">
            <w:pPr>
              <w:pStyle w:val="8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themeColor="text1"/>
                <w:sz w:val="24"/>
                <w:szCs w:val="24"/>
                <w14:textFill>
                  <w14:solidFill>
                    <w14:schemeClr w14:val="tx1"/>
                  </w14:solidFill>
                </w14:textFill>
              </w:rPr>
              <w:t>收到相关文件1日内</w:t>
            </w:r>
            <w:r>
              <w:rPr>
                <w:rFonts w:hint="eastAsia"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auto"/>
                <w:sz w:val="24"/>
                <w:szCs w:val="24"/>
                <w:highlight w:val="none"/>
              </w:rPr>
              <w:t>请投标人在参加与本项目</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期间关注网站信息，所有有意愿的投标人有义务在网上自行查询，无需书面回复</w:t>
            </w:r>
            <w:r>
              <w:rPr>
                <w:rFonts w:hint="eastAsia" w:ascii="宋体" w:hAnsi="宋体" w:eastAsia="宋体" w:cs="宋体"/>
                <w:b w:val="0"/>
                <w:bCs w:val="0"/>
                <w:color w:val="auto"/>
                <w:sz w:val="24"/>
                <w:szCs w:val="24"/>
                <w:highlight w:val="none"/>
                <w:lang w:eastAsia="zh-CN"/>
              </w:rPr>
              <w:t>。</w:t>
            </w:r>
          </w:p>
        </w:tc>
      </w:tr>
      <w:tr w14:paraId="67A21735">
        <w:tblPrEx>
          <w:tblCellMar>
            <w:top w:w="0" w:type="dxa"/>
            <w:left w:w="10" w:type="dxa"/>
            <w:bottom w:w="0" w:type="dxa"/>
            <w:right w:w="10" w:type="dxa"/>
          </w:tblCellMar>
        </w:tblPrEx>
        <w:trPr>
          <w:trHeight w:val="1501"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56CFBC5F">
            <w:pPr>
              <w:pStyle w:val="83"/>
              <w:spacing w:after="0" w:line="240" w:lineRule="auto"/>
              <w:ind w:firstLine="180" w:firstLineChars="0"/>
              <w:jc w:val="both"/>
              <w:rPr>
                <w:rFonts w:hint="eastAsia" w:ascii="宋体" w:hAnsi="宋体" w:eastAsia="宋体" w:cs="宋体"/>
                <w:b w:val="0"/>
                <w:bCs w:val="0"/>
                <w:color w:val="000000" w:themeColor="text1"/>
                <w:sz w:val="24"/>
                <w:szCs w:val="24"/>
                <w:lang w:val="zh-CN" w:eastAsia="zh-CN" w:bidi="zh-CN"/>
                <w14:textFill>
                  <w14:solidFill>
                    <w14:schemeClr w14:val="tx1"/>
                  </w14:solidFill>
                </w14:textFill>
              </w:rPr>
            </w:pP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3.1.1</w:t>
            </w:r>
          </w:p>
        </w:tc>
        <w:tc>
          <w:tcPr>
            <w:tcW w:w="2170" w:type="dxa"/>
            <w:tcBorders>
              <w:top w:val="single" w:color="auto" w:sz="4" w:space="0"/>
              <w:left w:val="single" w:color="auto" w:sz="4" w:space="0"/>
              <w:bottom w:val="single" w:color="auto" w:sz="4" w:space="0"/>
            </w:tcBorders>
            <w:shd w:val="clear" w:color="auto" w:fill="FFFFFF"/>
            <w:vAlign w:val="center"/>
          </w:tcPr>
          <w:p w14:paraId="554B9E37">
            <w:pPr>
              <w:pStyle w:val="83"/>
              <w:spacing w:after="0" w:line="283"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构成响应文件的其他材料</w:t>
            </w:r>
          </w:p>
        </w:tc>
        <w:tc>
          <w:tcPr>
            <w:tcW w:w="5278" w:type="dxa"/>
            <w:tcBorders>
              <w:top w:val="single" w:color="auto" w:sz="4" w:space="0"/>
              <w:left w:val="single" w:color="auto" w:sz="4" w:space="0"/>
              <w:bottom w:val="single" w:color="auto" w:sz="4" w:space="0"/>
              <w:right w:val="single" w:color="auto" w:sz="4" w:space="0"/>
            </w:tcBorders>
            <w:shd w:val="clear" w:color="auto" w:fill="FFFFFF"/>
            <w:vAlign w:val="center"/>
          </w:tcPr>
          <w:p w14:paraId="2D07AEFF">
            <w:pPr>
              <w:pStyle w:val="8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auto"/>
                <w:sz w:val="24"/>
                <w:szCs w:val="24"/>
                <w:highlight w:val="none"/>
                <w:lang w:val="en-US" w:eastAsia="zh-CN"/>
              </w:rPr>
              <w:t>本项目所有证件资料以上传至“政采云”平台加盖公章的电子证件为准，评标时由评审委员会现场核验，如所提供的资料为虚假材料，投标文件将被否决。</w:t>
            </w:r>
          </w:p>
        </w:tc>
      </w:tr>
      <w:tr w14:paraId="310C9BF9">
        <w:tblPrEx>
          <w:tblCellMar>
            <w:top w:w="0" w:type="dxa"/>
            <w:left w:w="10" w:type="dxa"/>
            <w:bottom w:w="0" w:type="dxa"/>
            <w:right w:w="10" w:type="dxa"/>
          </w:tblCellMar>
        </w:tblPrEx>
        <w:trPr>
          <w:trHeight w:val="2325"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39F32F53">
            <w:pPr>
              <w:pStyle w:val="83"/>
              <w:spacing w:after="0" w:line="240" w:lineRule="auto"/>
              <w:ind w:firstLine="180" w:firstLineChars="0"/>
              <w:jc w:val="center"/>
              <w:rPr>
                <w:rFonts w:hint="eastAsia" w:ascii="宋体" w:hAnsi="宋体" w:eastAsia="宋体" w:cs="宋体"/>
                <w:b w:val="0"/>
                <w:bCs w:val="0"/>
                <w:color w:val="000000" w:themeColor="text1"/>
                <w:sz w:val="24"/>
                <w:szCs w:val="24"/>
                <w:lang w:val="zh-CN" w:eastAsia="zh-CN" w:bidi="zh-CN"/>
                <w14:textFill>
                  <w14:solidFill>
                    <w14:schemeClr w14:val="tx1"/>
                  </w14:solidFill>
                </w14:textFill>
              </w:rPr>
            </w:pPr>
            <w:r>
              <w:rPr>
                <w:rFonts w:hint="eastAsia" w:ascii="宋体" w:hAnsi="宋体" w:eastAsia="宋体" w:cs="宋体"/>
                <w:b w:val="0"/>
                <w:bCs w:val="0"/>
                <w:color w:val="000000" w:themeColor="text1"/>
                <w:sz w:val="24"/>
                <w:szCs w:val="24"/>
                <w:lang w:val="en-US" w:eastAsia="zh-CN" w:bidi="zh-CN"/>
                <w14:textFill>
                  <w14:solidFill>
                    <w14:schemeClr w14:val="tx1"/>
                  </w14:solidFill>
                </w14:textFill>
              </w:rPr>
              <w:t>3.2.3</w:t>
            </w:r>
          </w:p>
        </w:tc>
        <w:tc>
          <w:tcPr>
            <w:tcW w:w="2170" w:type="dxa"/>
            <w:tcBorders>
              <w:top w:val="single" w:color="auto" w:sz="4" w:space="0"/>
              <w:left w:val="single" w:color="auto" w:sz="4" w:space="0"/>
              <w:bottom w:val="single" w:color="auto" w:sz="4" w:space="0"/>
            </w:tcBorders>
            <w:shd w:val="clear" w:color="auto" w:fill="FFFFFF"/>
            <w:vAlign w:val="center"/>
          </w:tcPr>
          <w:p w14:paraId="7B945FD3">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报价方式</w:t>
            </w:r>
          </w:p>
        </w:tc>
        <w:tc>
          <w:tcPr>
            <w:tcW w:w="5278" w:type="dxa"/>
            <w:tcBorders>
              <w:top w:val="single" w:color="auto" w:sz="4" w:space="0"/>
              <w:left w:val="single" w:color="auto" w:sz="4" w:space="0"/>
              <w:bottom w:val="single" w:color="auto" w:sz="4" w:space="0"/>
              <w:right w:val="single" w:color="auto" w:sz="4" w:space="0"/>
            </w:tcBorders>
            <w:shd w:val="clear" w:color="auto" w:fill="FFFFFF"/>
            <w:vAlign w:val="center"/>
          </w:tcPr>
          <w:p w14:paraId="25ED3D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实行两轮报价法，第二轮报价为最终报价。</w:t>
            </w:r>
          </w:p>
          <w:p w14:paraId="0900546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供应商的首轮报价不得超过最高限价。</w:t>
            </w:r>
          </w:p>
          <w:p w14:paraId="2549D1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参加磋商的供应商第二轮磋商报价 (最终报价) 不得高于其首轮报价。</w:t>
            </w:r>
          </w:p>
          <w:p w14:paraId="7A9A74B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方式：</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通过“政采云”平台（http：//www.zcygov.cn）</w:t>
            </w:r>
            <w:r>
              <w:rPr>
                <w:rFonts w:hint="eastAsia" w:ascii="宋体" w:hAnsi="宋体" w:cs="宋体"/>
                <w:b w:val="0"/>
                <w:bCs w:val="0"/>
                <w:color w:val="000000" w:themeColor="text1"/>
                <w:spacing w:val="0"/>
                <w:w w:val="100"/>
                <w:position w:val="0"/>
                <w:sz w:val="24"/>
                <w:szCs w:val="24"/>
                <w:highlight w:val="none"/>
                <w:lang w:val="zh-CN" w:eastAsia="zh-CN"/>
                <w14:textFill>
                  <w14:solidFill>
                    <w14:schemeClr w14:val="tx1"/>
                  </w14:solidFill>
                </w14:textFill>
              </w:rPr>
              <w:t>系统</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上传</w:t>
            </w:r>
            <w:r>
              <w:rPr>
                <w:rFonts w:hint="eastAsia" w:ascii="宋体" w:hAnsi="宋体" w:cs="宋体"/>
                <w:b w:val="0"/>
                <w:bCs w:val="0"/>
                <w:color w:val="000000" w:themeColor="text1"/>
                <w:spacing w:val="0"/>
                <w:w w:val="100"/>
                <w:position w:val="0"/>
                <w:sz w:val="24"/>
                <w:szCs w:val="24"/>
                <w:highlight w:val="none"/>
                <w:lang w:val="zh-CN" w:eastAsia="zh-CN"/>
                <w14:textFill>
                  <w14:solidFill>
                    <w14:schemeClr w14:val="tx1"/>
                  </w14:solidFill>
                </w14:textFill>
              </w:rPr>
              <w:t>第二轮报价</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电子</w:t>
            </w:r>
            <w:r>
              <w:rPr>
                <w:rFonts w:hint="eastAsia" w:ascii="宋体" w:hAnsi="宋体" w:cs="宋体"/>
                <w:b w:val="0"/>
                <w:bCs w:val="0"/>
                <w:color w:val="000000" w:themeColor="text1"/>
                <w:spacing w:val="0"/>
                <w:w w:val="100"/>
                <w:position w:val="0"/>
                <w:sz w:val="24"/>
                <w:szCs w:val="24"/>
                <w:highlight w:val="none"/>
                <w:lang w:val="zh-CN" w:eastAsia="zh-CN"/>
                <w14:textFill>
                  <w14:solidFill>
                    <w14:schemeClr w14:val="tx1"/>
                  </w14:solidFill>
                </w14:textFill>
              </w:rPr>
              <w:t>版文件。</w:t>
            </w:r>
          </w:p>
        </w:tc>
      </w:tr>
      <w:tr w14:paraId="2176411C">
        <w:tblPrEx>
          <w:tblCellMar>
            <w:top w:w="0" w:type="dxa"/>
            <w:left w:w="10" w:type="dxa"/>
            <w:bottom w:w="0" w:type="dxa"/>
            <w:right w:w="10" w:type="dxa"/>
          </w:tblCellMar>
        </w:tblPrEx>
        <w:trPr>
          <w:trHeight w:val="572"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5057557F">
            <w:pPr>
              <w:pStyle w:val="83"/>
              <w:spacing w:after="0" w:line="240" w:lineRule="auto"/>
              <w:jc w:val="center"/>
              <w:rPr>
                <w:rFonts w:hint="eastAsia" w:ascii="宋体" w:hAnsi="宋体" w:eastAsia="宋体" w:cs="宋体"/>
                <w:b w:val="0"/>
                <w:bCs w:val="0"/>
                <w:color w:val="000000" w:themeColor="text1"/>
                <w:sz w:val="24"/>
                <w:szCs w:val="24"/>
                <w:lang w:val="zh-CN" w:eastAsia="zh-CN" w:bidi="zh-CN"/>
                <w14:textFill>
                  <w14:solidFill>
                    <w14:schemeClr w14:val="tx1"/>
                  </w14:solidFill>
                </w14:textFill>
              </w:rPr>
            </w:pPr>
            <w:r>
              <w:rPr>
                <w:rFonts w:hint="eastAsia" w:ascii="宋体" w:hAnsi="宋体" w:eastAsia="宋体" w:cs="宋体"/>
                <w:b w:val="0"/>
                <w:bCs w:val="0"/>
                <w:color w:val="000000" w:themeColor="text1"/>
                <w:sz w:val="24"/>
                <w:szCs w:val="24"/>
                <w:lang w:val="en-US" w:eastAsia="en-US" w:bidi="en-US"/>
                <w14:textFill>
                  <w14:solidFill>
                    <w14:schemeClr w14:val="tx1"/>
                  </w14:solidFill>
                </w14:textFill>
              </w:rPr>
              <w:t>3.3.</w:t>
            </w: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1</w:t>
            </w:r>
          </w:p>
        </w:tc>
        <w:tc>
          <w:tcPr>
            <w:tcW w:w="2170" w:type="dxa"/>
            <w:tcBorders>
              <w:top w:val="single" w:color="auto" w:sz="4" w:space="0"/>
              <w:left w:val="single" w:color="auto" w:sz="4" w:space="0"/>
              <w:bottom w:val="single" w:color="auto" w:sz="4" w:space="0"/>
            </w:tcBorders>
            <w:shd w:val="clear" w:color="auto" w:fill="FFFFFF"/>
            <w:vAlign w:val="center"/>
          </w:tcPr>
          <w:p w14:paraId="5C70375C">
            <w:pPr>
              <w:pStyle w:val="83"/>
              <w:spacing w:after="0" w:line="24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磋商有效期</w:t>
            </w:r>
          </w:p>
        </w:tc>
        <w:tc>
          <w:tcPr>
            <w:tcW w:w="5278" w:type="dxa"/>
            <w:tcBorders>
              <w:top w:val="single" w:color="auto" w:sz="4" w:space="0"/>
              <w:left w:val="single" w:color="auto" w:sz="4" w:space="0"/>
              <w:bottom w:val="single" w:color="auto" w:sz="4" w:space="0"/>
              <w:right w:val="single" w:color="auto" w:sz="4" w:space="0"/>
            </w:tcBorders>
            <w:shd w:val="clear" w:color="auto" w:fill="FFFFFF"/>
            <w:vAlign w:val="center"/>
          </w:tcPr>
          <w:p w14:paraId="39051296">
            <w:pPr>
              <w:pStyle w:val="83"/>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自供应商提交</w:t>
            </w:r>
            <w:r>
              <w:rPr>
                <w:rFonts w:hint="eastAsia" w:ascii="宋体" w:hAnsi="宋体" w:eastAsia="宋体" w:cs="宋体"/>
                <w:b w:val="0"/>
                <w:bCs w:val="0"/>
                <w:color w:val="000000" w:themeColor="text1"/>
                <w:sz w:val="24"/>
                <w:szCs w:val="24"/>
                <w:lang w:eastAsia="zh-CN"/>
                <w14:textFill>
                  <w14:solidFill>
                    <w14:schemeClr w14:val="tx1"/>
                  </w14:solidFill>
                </w14:textFill>
              </w:rPr>
              <w:t>响应文件</w:t>
            </w:r>
            <w:r>
              <w:rPr>
                <w:rFonts w:hint="eastAsia" w:ascii="宋体" w:hAnsi="宋体" w:eastAsia="宋体" w:cs="宋体"/>
                <w:b w:val="0"/>
                <w:bCs w:val="0"/>
                <w:color w:val="000000" w:themeColor="text1"/>
                <w:sz w:val="24"/>
                <w:szCs w:val="24"/>
                <w14:textFill>
                  <w14:solidFill>
                    <w14:schemeClr w14:val="tx1"/>
                  </w14:solidFill>
                </w14:textFill>
              </w:rPr>
              <w:t>截止之日起计算</w:t>
            </w: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0天</w:t>
            </w:r>
          </w:p>
        </w:tc>
      </w:tr>
      <w:tr w14:paraId="18408DB9">
        <w:tblPrEx>
          <w:tblCellMar>
            <w:top w:w="0" w:type="dxa"/>
            <w:left w:w="10" w:type="dxa"/>
            <w:bottom w:w="0" w:type="dxa"/>
            <w:right w:w="10" w:type="dxa"/>
          </w:tblCellMar>
        </w:tblPrEx>
        <w:trPr>
          <w:trHeight w:val="6147"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45091754">
            <w:pPr>
              <w:jc w:val="center"/>
              <w:rPr>
                <w:rFonts w:hint="eastAsia" w:ascii="宋体" w:hAnsi="宋体" w:eastAsia="宋体" w:cs="宋体"/>
                <w:b w:val="0"/>
                <w:bCs w:val="0"/>
                <w:color w:val="000000" w:themeColor="text1"/>
                <w:sz w:val="24"/>
                <w:szCs w:val="24"/>
                <w:lang w:val="en-US" w:eastAsia="en-US" w:bidi="en-US"/>
                <w14:textFill>
                  <w14:solidFill>
                    <w14:schemeClr w14:val="tx1"/>
                  </w14:solidFill>
                </w14:textFill>
              </w:rPr>
            </w:pPr>
            <w:r>
              <w:rPr>
                <w:rFonts w:hint="eastAsia" w:ascii="宋体" w:hAnsi="宋体" w:eastAsia="宋体" w:cs="宋体"/>
                <w:color w:val="000000" w:themeColor="text1"/>
                <w:sz w:val="24"/>
                <w:szCs w:val="24"/>
                <w:lang w:eastAsia="en-US"/>
                <w14:textFill>
                  <w14:solidFill>
                    <w14:schemeClr w14:val="tx1"/>
                  </w14:solidFill>
                </w14:textFill>
              </w:rPr>
              <w:t>3.4.</w:t>
            </w:r>
            <w:r>
              <w:rPr>
                <w:rFonts w:hint="eastAsia" w:ascii="宋体" w:hAnsi="宋体" w:eastAsia="宋体" w:cs="宋体"/>
                <w:color w:val="000000" w:themeColor="text1"/>
                <w:sz w:val="24"/>
                <w:szCs w:val="24"/>
                <w:lang w:val="zh-CN"/>
                <w14:textFill>
                  <w14:solidFill>
                    <w14:schemeClr w14:val="tx1"/>
                  </w14:solidFill>
                </w14:textFill>
              </w:rPr>
              <w:t>1</w:t>
            </w:r>
          </w:p>
        </w:tc>
        <w:tc>
          <w:tcPr>
            <w:tcW w:w="2170" w:type="dxa"/>
            <w:tcBorders>
              <w:top w:val="single" w:color="auto" w:sz="4" w:space="0"/>
              <w:left w:val="single" w:color="auto" w:sz="4" w:space="0"/>
              <w:bottom w:val="single" w:color="auto" w:sz="4" w:space="0"/>
            </w:tcBorders>
            <w:shd w:val="clear" w:color="auto" w:fill="FFFFFF"/>
            <w:vAlign w:val="center"/>
          </w:tcPr>
          <w:p w14:paraId="5F1CA082">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磋商保证金交纳</w:t>
            </w:r>
          </w:p>
          <w:p w14:paraId="34FC8D48">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形式</w:t>
            </w:r>
          </w:p>
        </w:tc>
        <w:tc>
          <w:tcPr>
            <w:tcW w:w="5278" w:type="dxa"/>
            <w:tcBorders>
              <w:top w:val="single" w:color="auto" w:sz="4" w:space="0"/>
              <w:left w:val="single" w:color="auto" w:sz="4" w:space="0"/>
              <w:bottom w:val="single" w:color="auto" w:sz="4" w:space="0"/>
              <w:right w:val="single" w:color="auto" w:sz="4" w:space="0"/>
            </w:tcBorders>
            <w:shd w:val="clear" w:color="auto" w:fill="FFFFFF"/>
            <w:vAlign w:val="center"/>
          </w:tcPr>
          <w:p w14:paraId="3E22C1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磋商保证金的形式：转账，银行出具的</w:t>
            </w:r>
            <w:r>
              <w:rPr>
                <w:rFonts w:hint="eastAsia" w:ascii="宋体" w:hAnsi="宋体" w:eastAsia="宋体" w:cs="宋体"/>
                <w:b/>
                <w:bCs/>
                <w:color w:val="000000" w:themeColor="text1"/>
                <w:sz w:val="24"/>
                <w:szCs w:val="24"/>
                <w14:textFill>
                  <w14:solidFill>
                    <w14:schemeClr w14:val="tx1"/>
                  </w14:solidFill>
                </w14:textFill>
              </w:rPr>
              <w:t>现金支票、保兑支票、银行汇票或保函以银行保函</w:t>
            </w:r>
            <w:r>
              <w:rPr>
                <w:rFonts w:hint="eastAsia" w:ascii="宋体" w:hAnsi="宋体" w:eastAsia="宋体" w:cs="宋体"/>
                <w:color w:val="000000" w:themeColor="text1"/>
                <w:sz w:val="24"/>
                <w:szCs w:val="24"/>
                <w14:textFill>
                  <w14:solidFill>
                    <w14:schemeClr w14:val="tx1"/>
                  </w14:solidFill>
                </w14:textFill>
              </w:rPr>
              <w:t>形式提交的保函应当由</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b/>
                <w:bCs/>
                <w:color w:val="000000" w:themeColor="text1"/>
                <w:sz w:val="24"/>
                <w:szCs w:val="24"/>
                <w:lang w:val="zh-CN"/>
                <w14:textFill>
                  <w14:solidFill>
                    <w14:schemeClr w14:val="tx1"/>
                  </w14:solidFill>
                </w14:textFill>
              </w:rPr>
              <w:t>工商</w:t>
            </w:r>
            <w:r>
              <w:rPr>
                <w:rFonts w:hint="eastAsia" w:ascii="宋体" w:hAnsi="宋体" w:eastAsia="宋体" w:cs="宋体"/>
                <w:b/>
                <w:bCs/>
                <w:color w:val="000000" w:themeColor="text1"/>
                <w:sz w:val="24"/>
                <w:szCs w:val="24"/>
                <w14:textFill>
                  <w14:solidFill>
                    <w14:schemeClr w14:val="tx1"/>
                  </w14:solidFill>
                </w14:textFill>
              </w:rPr>
              <w:t>银行、农业银行、中国银行、建设银行、交通银行</w:t>
            </w:r>
            <w:r>
              <w:rPr>
                <w:rFonts w:hint="eastAsia" w:ascii="宋体" w:hAnsi="宋体" w:eastAsia="宋体" w:cs="宋体"/>
                <w:color w:val="000000" w:themeColor="text1"/>
                <w:sz w:val="24"/>
                <w:szCs w:val="24"/>
                <w14:textFill>
                  <w14:solidFill>
                    <w14:schemeClr w14:val="tx1"/>
                  </w14:solidFill>
                </w14:textFill>
              </w:rPr>
              <w:t>”五大国有商业银行及全国性股份制商业银行开具。</w:t>
            </w:r>
          </w:p>
          <w:p w14:paraId="632D7BE0">
            <w:pPr>
              <w:pStyle w:val="14"/>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3"/>
              </w:rPr>
            </w:pPr>
          </w:p>
          <w:p w14:paraId="17E062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磋商保证金的金额</w:t>
            </w:r>
            <w:r>
              <w:rPr>
                <w:rFonts w:hint="eastAsia" w:ascii="宋体" w:hAnsi="宋体" w:eastAsia="宋体" w:cs="宋体"/>
                <w:color w:val="000000" w:themeColor="text1"/>
                <w:sz w:val="24"/>
                <w:szCs w:val="24"/>
                <w14:textFill>
                  <w14:solidFill>
                    <w14:schemeClr w14:val="tx1"/>
                  </w14:solidFill>
                </w14:textFill>
              </w:rPr>
              <w:t>：人民币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28000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w:t>
            </w:r>
          </w:p>
          <w:p w14:paraId="1E8680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ascii="宋体" w:hAnsi="宋体" w:eastAsia="宋体" w:cs="宋体"/>
                <w:b/>
                <w:bCs/>
                <w:color w:val="000000" w:themeColor="text1"/>
                <w:sz w:val="24"/>
                <w:szCs w:val="24"/>
                <w14:textFill>
                  <w14:solidFill>
                    <w14:schemeClr w14:val="tx1"/>
                  </w14:solidFill>
                </w14:textFill>
              </w:rPr>
              <w:t>磋商保证金的递交时间</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磋商保证金须在投标截止时间前完成缴纳</w:t>
            </w:r>
            <w:r>
              <w:rPr>
                <w:rFonts w:hint="eastAsia" w:ascii="宋体" w:hAnsi="宋体" w:eastAsia="宋体" w:cs="宋体"/>
                <w:color w:val="000000" w:themeColor="text1"/>
                <w:sz w:val="24"/>
                <w:szCs w:val="24"/>
                <w14:textFill>
                  <w14:solidFill>
                    <w14:schemeClr w14:val="tx1"/>
                  </w14:solidFill>
                </w14:textFill>
              </w:rPr>
              <w:t>，从企业基本账户划拨到</w:t>
            </w:r>
            <w:r>
              <w:rPr>
                <w:rFonts w:hint="eastAsia" w:ascii="宋体" w:hAnsi="宋体" w:eastAsia="宋体" w:cs="宋体"/>
                <w:b/>
                <w:bCs/>
                <w:color w:val="000000" w:themeColor="text1"/>
                <w:sz w:val="24"/>
                <w:szCs w:val="24"/>
                <w14:textFill>
                  <w14:solidFill>
                    <w14:schemeClr w14:val="tx1"/>
                  </w14:solidFill>
                </w14:textFill>
              </w:rPr>
              <w:t>吉林省长润工程咨询有限公司</w:t>
            </w:r>
            <w:r>
              <w:rPr>
                <w:rFonts w:hint="eastAsia" w:ascii="宋体" w:hAnsi="宋体" w:eastAsia="宋体" w:cs="宋体"/>
                <w:color w:val="000000" w:themeColor="text1"/>
                <w:sz w:val="24"/>
                <w:szCs w:val="24"/>
                <w14:textFill>
                  <w14:solidFill>
                    <w14:schemeClr w14:val="tx1"/>
                  </w14:solidFill>
                </w14:textFill>
              </w:rPr>
              <w:t>的基本账户，或提供保兑支票、银行汇票、提供银行、工程担保机构岀具的保函。</w:t>
            </w:r>
          </w:p>
          <w:p w14:paraId="171CABC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b/>
                <w:bCs/>
                <w:color w:val="000000" w:themeColor="text1"/>
                <w:sz w:val="24"/>
                <w:szCs w:val="24"/>
                <w14:textFill>
                  <w14:solidFill>
                    <w14:schemeClr w14:val="tx1"/>
                  </w14:solidFill>
                </w14:textFill>
              </w:rPr>
              <w:t>磋商</w:t>
            </w:r>
            <w:r>
              <w:rPr>
                <w:rFonts w:hint="eastAsia" w:ascii="宋体" w:hAnsi="宋体" w:eastAsia="宋体" w:cs="宋体"/>
                <w:b/>
                <w:bCs/>
                <w:sz w:val="24"/>
                <w:szCs w:val="24"/>
              </w:rPr>
              <w:t>保证金退还时退至</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企业基本账户</w:t>
            </w:r>
            <w:r>
              <w:rPr>
                <w:rFonts w:hint="eastAsia" w:ascii="宋体" w:hAnsi="宋体" w:eastAsia="宋体" w:cs="宋体"/>
                <w:sz w:val="24"/>
                <w:szCs w:val="24"/>
              </w:rPr>
              <w:t>。</w:t>
            </w:r>
          </w:p>
          <w:p w14:paraId="1C4EC4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b/>
                <w:bCs/>
                <w:sz w:val="24"/>
                <w:szCs w:val="24"/>
              </w:rPr>
              <w:t>吉林省长润工程咨询有限公司基本账户如下</w:t>
            </w:r>
            <w:r>
              <w:rPr>
                <w:rFonts w:hint="eastAsia" w:ascii="宋体" w:hAnsi="宋体" w:eastAsia="宋体" w:cs="宋体"/>
                <w:sz w:val="24"/>
                <w:szCs w:val="24"/>
              </w:rPr>
              <w:t>：</w:t>
            </w:r>
          </w:p>
          <w:p w14:paraId="6B4B43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b/>
                <w:bCs/>
                <w:sz w:val="24"/>
                <w:szCs w:val="24"/>
              </w:rPr>
              <w:t>开户名称</w:t>
            </w:r>
            <w:r>
              <w:rPr>
                <w:rFonts w:hint="eastAsia" w:ascii="宋体" w:hAnsi="宋体" w:eastAsia="宋体" w:cs="宋体"/>
                <w:sz w:val="24"/>
                <w:szCs w:val="24"/>
              </w:rPr>
              <w:t>：吉林省长润工程咨询有限公司</w:t>
            </w:r>
          </w:p>
          <w:p w14:paraId="482013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sz w:val="24"/>
                <w:szCs w:val="24"/>
              </w:rPr>
              <w:t>开户银行</w:t>
            </w:r>
            <w:r>
              <w:rPr>
                <w:rFonts w:hint="eastAsia" w:ascii="宋体" w:hAnsi="宋体" w:eastAsia="宋体" w:cs="宋体"/>
                <w:sz w:val="24"/>
                <w:szCs w:val="24"/>
              </w:rPr>
              <w:t>：延边农村商业银行股份有限公司河南支行</w:t>
            </w:r>
          </w:p>
        </w:tc>
      </w:tr>
    </w:tbl>
    <w:p w14:paraId="0E4CCB22">
      <w:pPr>
        <w:spacing w:line="1" w:lineRule="exact"/>
        <w:rPr>
          <w:rFonts w:hint="eastAsia" w:ascii="宋体" w:hAnsi="宋体" w:eastAsia="宋体" w:cs="宋体"/>
          <w:color w:val="000000" w:themeColor="text1"/>
          <w:sz w:val="2"/>
          <w:szCs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tbl>
      <w:tblPr>
        <w:tblStyle w:val="36"/>
        <w:tblW w:w="8220" w:type="dxa"/>
        <w:jc w:val="center"/>
        <w:tblLayout w:type="fixed"/>
        <w:tblCellMar>
          <w:top w:w="0" w:type="dxa"/>
          <w:left w:w="10" w:type="dxa"/>
          <w:bottom w:w="0" w:type="dxa"/>
          <w:right w:w="10" w:type="dxa"/>
        </w:tblCellMar>
      </w:tblPr>
      <w:tblGrid>
        <w:gridCol w:w="893"/>
        <w:gridCol w:w="2170"/>
        <w:gridCol w:w="5157"/>
      </w:tblGrid>
      <w:tr w14:paraId="27153763">
        <w:tblPrEx>
          <w:tblCellMar>
            <w:top w:w="0" w:type="dxa"/>
            <w:left w:w="10" w:type="dxa"/>
            <w:bottom w:w="0" w:type="dxa"/>
            <w:right w:w="10" w:type="dxa"/>
          </w:tblCellMar>
        </w:tblPrEx>
        <w:trPr>
          <w:trHeight w:val="1857"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2A0EC716">
            <w:pPr>
              <w:pStyle w:val="83"/>
              <w:spacing w:after="0" w:line="240" w:lineRule="auto"/>
              <w:jc w:val="center"/>
              <w:rPr>
                <w:rFonts w:hint="eastAsia" w:ascii="宋体" w:hAnsi="宋体" w:eastAsia="宋体" w:cs="宋体"/>
                <w:b w:val="0"/>
                <w:bCs w:val="0"/>
                <w:color w:val="000000" w:themeColor="text1"/>
                <w:sz w:val="24"/>
                <w:szCs w:val="24"/>
                <w:lang w:val="en-US" w:eastAsia="en-US" w:bidi="en-US"/>
                <w14:textFill>
                  <w14:solidFill>
                    <w14:schemeClr w14:val="tx1"/>
                  </w14:solidFill>
                </w14:textFill>
              </w:rPr>
            </w:pPr>
          </w:p>
        </w:tc>
        <w:tc>
          <w:tcPr>
            <w:tcW w:w="2170" w:type="dxa"/>
            <w:tcBorders>
              <w:top w:val="single" w:color="auto" w:sz="4" w:space="0"/>
              <w:left w:val="single" w:color="auto" w:sz="4" w:space="0"/>
              <w:bottom w:val="single" w:color="auto" w:sz="4" w:space="0"/>
            </w:tcBorders>
            <w:shd w:val="clear" w:color="auto" w:fill="FFFFFF"/>
            <w:vAlign w:val="center"/>
          </w:tcPr>
          <w:p w14:paraId="333126FE">
            <w:pPr>
              <w:pStyle w:val="83"/>
              <w:spacing w:after="0" w:line="269" w:lineRule="exact"/>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5157" w:type="dxa"/>
            <w:tcBorders>
              <w:top w:val="single" w:color="auto" w:sz="4" w:space="0"/>
              <w:left w:val="single" w:color="auto" w:sz="4" w:space="0"/>
              <w:bottom w:val="single" w:color="auto" w:sz="4" w:space="0"/>
              <w:right w:val="single" w:color="auto" w:sz="4" w:space="0"/>
            </w:tcBorders>
            <w:shd w:val="clear" w:color="auto" w:fill="FFFFFF"/>
            <w:vAlign w:val="center"/>
          </w:tcPr>
          <w:p w14:paraId="256AB8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b/>
                <w:bCs/>
                <w:sz w:val="24"/>
                <w:szCs w:val="24"/>
              </w:rPr>
              <w:t>账    号</w:t>
            </w:r>
            <w:r>
              <w:rPr>
                <w:rFonts w:hint="eastAsia" w:ascii="宋体" w:hAnsi="宋体" w:eastAsia="宋体" w:cs="宋体"/>
                <w:sz w:val="24"/>
                <w:szCs w:val="24"/>
              </w:rPr>
              <w:t>：0790 1030 1101 5258 888888</w:t>
            </w:r>
          </w:p>
          <w:p w14:paraId="21E730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b/>
                <w:bCs/>
                <w:sz w:val="24"/>
                <w:szCs w:val="24"/>
              </w:rPr>
              <w:t>联 系 人</w:t>
            </w:r>
            <w:r>
              <w:rPr>
                <w:rFonts w:hint="eastAsia" w:ascii="宋体" w:hAnsi="宋体" w:eastAsia="宋体" w:cs="宋体"/>
                <w:sz w:val="24"/>
                <w:szCs w:val="24"/>
              </w:rPr>
              <w:t>：侯幸运</w:t>
            </w:r>
          </w:p>
          <w:p w14:paraId="115A966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b/>
                <w:bCs/>
                <w:sz w:val="24"/>
                <w:szCs w:val="24"/>
              </w:rPr>
              <w:t>联系电话</w:t>
            </w:r>
            <w:r>
              <w:rPr>
                <w:rFonts w:hint="eastAsia" w:ascii="宋体" w:hAnsi="宋体" w:eastAsia="宋体" w:cs="宋体"/>
                <w:sz w:val="24"/>
                <w:szCs w:val="24"/>
              </w:rPr>
              <w:t>：18943301128</w:t>
            </w:r>
          </w:p>
          <w:p w14:paraId="7AF0FA26">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注：填写转款凭证时必须注明投标项目名称、编号</w:t>
            </w:r>
            <w:r>
              <w:rPr>
                <w:rFonts w:hint="eastAsia" w:ascii="宋体" w:hAnsi="宋体" w:eastAsia="宋体" w:cs="宋体"/>
                <w:color w:val="000000" w:themeColor="text1"/>
                <w:sz w:val="24"/>
                <w:szCs w:val="24"/>
                <w:lang w:val="en-US" w:eastAsia="zh-CN"/>
                <w14:textFill>
                  <w14:solidFill>
                    <w14:schemeClr w14:val="tx1"/>
                  </w14:solidFill>
                </w14:textFill>
              </w:rPr>
              <w:t>。</w:t>
            </w:r>
          </w:p>
        </w:tc>
      </w:tr>
      <w:tr w14:paraId="0709D1C6">
        <w:tblPrEx>
          <w:tblCellMar>
            <w:top w:w="0" w:type="dxa"/>
            <w:left w:w="10" w:type="dxa"/>
            <w:bottom w:w="0" w:type="dxa"/>
            <w:right w:w="10" w:type="dxa"/>
          </w:tblCellMar>
        </w:tblPrEx>
        <w:trPr>
          <w:trHeight w:val="1537"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1EEA53FB">
            <w:pPr>
              <w:pStyle w:val="83"/>
              <w:spacing w:after="0" w:line="240" w:lineRule="auto"/>
              <w:jc w:val="center"/>
              <w:rPr>
                <w:rFonts w:hint="eastAsia" w:ascii="宋体" w:hAnsi="宋体" w:eastAsia="宋体" w:cs="宋体"/>
                <w:b w:val="0"/>
                <w:bCs w:val="0"/>
                <w:color w:val="000000" w:themeColor="text1"/>
                <w:sz w:val="24"/>
                <w:szCs w:val="24"/>
                <w:lang w:val="en-US" w:eastAsia="en-US" w:bidi="en-US"/>
                <w14:textFill>
                  <w14:solidFill>
                    <w14:schemeClr w14:val="tx1"/>
                  </w14:solidFill>
                </w14:textFill>
              </w:rPr>
            </w:pPr>
            <w:r>
              <w:rPr>
                <w:rFonts w:hint="eastAsia" w:ascii="宋体" w:hAnsi="宋体" w:eastAsia="宋体" w:cs="宋体"/>
                <w:b w:val="0"/>
                <w:bCs w:val="0"/>
                <w:color w:val="000000" w:themeColor="text1"/>
                <w:sz w:val="24"/>
                <w:szCs w:val="24"/>
                <w:lang w:val="en-US" w:eastAsia="en-US" w:bidi="en-US"/>
                <w14:textFill>
                  <w14:solidFill>
                    <w14:schemeClr w14:val="tx1"/>
                  </w14:solidFill>
                </w14:textFill>
              </w:rPr>
              <w:t>3.5.</w:t>
            </w: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2</w:t>
            </w:r>
          </w:p>
        </w:tc>
        <w:tc>
          <w:tcPr>
            <w:tcW w:w="2170" w:type="dxa"/>
            <w:tcBorders>
              <w:top w:val="single" w:color="auto" w:sz="4" w:space="0"/>
              <w:left w:val="single" w:color="auto" w:sz="4" w:space="0"/>
              <w:bottom w:val="single" w:color="auto" w:sz="4" w:space="0"/>
            </w:tcBorders>
            <w:shd w:val="clear" w:color="auto" w:fill="FFFFFF"/>
            <w:vAlign w:val="center"/>
          </w:tcPr>
          <w:p w14:paraId="2B4C630C">
            <w:pPr>
              <w:pStyle w:val="83"/>
              <w:spacing w:after="0" w:line="274"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近年财务状况的年份要求</w:t>
            </w:r>
          </w:p>
        </w:tc>
        <w:tc>
          <w:tcPr>
            <w:tcW w:w="5157" w:type="dxa"/>
            <w:tcBorders>
              <w:top w:val="single" w:color="auto" w:sz="4" w:space="0"/>
              <w:left w:val="single" w:color="auto" w:sz="4" w:space="0"/>
              <w:bottom w:val="single" w:color="auto" w:sz="4" w:space="0"/>
              <w:right w:val="single" w:color="auto" w:sz="4" w:space="0"/>
            </w:tcBorders>
            <w:shd w:val="clear" w:color="auto" w:fill="FFFFFF"/>
            <w:vAlign w:val="center"/>
          </w:tcPr>
          <w:p w14:paraId="62A82EEB">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近年（202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val="zh-CN"/>
                <w14:textFill>
                  <w14:solidFill>
                    <w14:schemeClr w14:val="tx1"/>
                  </w14:solidFill>
                </w14:textFill>
              </w:rPr>
              <w:t>年度）财务审计报告或财务报表（含资产负债表、现金流量表、利润表），新成立企业提供当年验资报告或银行出具的供应商资信证明。</w:t>
            </w:r>
          </w:p>
        </w:tc>
      </w:tr>
      <w:tr w14:paraId="0918DF13">
        <w:tblPrEx>
          <w:tblCellMar>
            <w:top w:w="0" w:type="dxa"/>
            <w:left w:w="10" w:type="dxa"/>
            <w:bottom w:w="0" w:type="dxa"/>
            <w:right w:w="10" w:type="dxa"/>
          </w:tblCellMar>
        </w:tblPrEx>
        <w:trPr>
          <w:trHeight w:val="712"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4475FC56">
            <w:pPr>
              <w:pStyle w:val="83"/>
              <w:spacing w:after="0" w:line="240" w:lineRule="auto"/>
              <w:jc w:val="center"/>
              <w:rPr>
                <w:rFonts w:hint="eastAsia" w:ascii="宋体" w:hAnsi="宋体" w:eastAsia="宋体" w:cs="宋体"/>
                <w:b w:val="0"/>
                <w:bCs w:val="0"/>
                <w:color w:val="000000" w:themeColor="text1"/>
                <w:sz w:val="24"/>
                <w:szCs w:val="24"/>
                <w:lang w:val="en-US" w:eastAsia="en-US" w:bidi="en-US"/>
                <w14:textFill>
                  <w14:solidFill>
                    <w14:schemeClr w14:val="tx1"/>
                  </w14:solidFill>
                </w14:textFill>
              </w:rPr>
            </w:pPr>
            <w:r>
              <w:rPr>
                <w:rFonts w:hint="eastAsia" w:ascii="宋体" w:hAnsi="宋体" w:eastAsia="宋体" w:cs="宋体"/>
                <w:b w:val="0"/>
                <w:bCs w:val="0"/>
                <w:color w:val="000000" w:themeColor="text1"/>
                <w:sz w:val="24"/>
                <w:szCs w:val="24"/>
                <w:lang w:val="en-US" w:eastAsia="en-US" w:bidi="en-US"/>
                <w14:textFill>
                  <w14:solidFill>
                    <w14:schemeClr w14:val="tx1"/>
                  </w14:solidFill>
                </w14:textFill>
              </w:rPr>
              <w:t>3.5.</w:t>
            </w: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3</w:t>
            </w:r>
          </w:p>
        </w:tc>
        <w:tc>
          <w:tcPr>
            <w:tcW w:w="2170" w:type="dxa"/>
            <w:tcBorders>
              <w:top w:val="single" w:color="auto" w:sz="4" w:space="0"/>
              <w:left w:val="single" w:color="auto" w:sz="4" w:space="0"/>
              <w:bottom w:val="single" w:color="auto" w:sz="4" w:space="0"/>
            </w:tcBorders>
            <w:shd w:val="clear" w:color="auto" w:fill="FFFFFF"/>
            <w:vAlign w:val="center"/>
          </w:tcPr>
          <w:p w14:paraId="52DF4842">
            <w:pPr>
              <w:pStyle w:val="83"/>
              <w:spacing w:after="0" w:line="269"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近年完成的类似项目的年份要求</w:t>
            </w:r>
          </w:p>
        </w:tc>
        <w:tc>
          <w:tcPr>
            <w:tcW w:w="5157" w:type="dxa"/>
            <w:tcBorders>
              <w:top w:val="single" w:color="auto" w:sz="4" w:space="0"/>
              <w:left w:val="single" w:color="auto" w:sz="4" w:space="0"/>
              <w:bottom w:val="single" w:color="auto" w:sz="4" w:space="0"/>
              <w:right w:val="single" w:color="auto" w:sz="4" w:space="0"/>
            </w:tcBorders>
            <w:shd w:val="clear" w:color="auto" w:fill="FFFFFF"/>
            <w:vAlign w:val="center"/>
          </w:tcPr>
          <w:p w14:paraId="2210F2A9">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2021年1</w:t>
            </w:r>
            <w:r>
              <w:rPr>
                <w:rFonts w:hint="eastAsia"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月份-至今</w:t>
            </w:r>
          </w:p>
        </w:tc>
      </w:tr>
      <w:tr w14:paraId="4C7759A8">
        <w:tblPrEx>
          <w:tblCellMar>
            <w:top w:w="0" w:type="dxa"/>
            <w:left w:w="10" w:type="dxa"/>
            <w:bottom w:w="0" w:type="dxa"/>
            <w:right w:w="10" w:type="dxa"/>
          </w:tblCellMar>
        </w:tblPrEx>
        <w:trPr>
          <w:trHeight w:val="964"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0257564F">
            <w:pPr>
              <w:pStyle w:val="83"/>
              <w:spacing w:after="0" w:line="240" w:lineRule="auto"/>
              <w:ind w:firstLine="180" w:firstLineChars="0"/>
              <w:jc w:val="center"/>
              <w:rPr>
                <w:rFonts w:hint="eastAsia" w:ascii="宋体" w:hAnsi="宋体" w:eastAsia="宋体" w:cs="宋体"/>
                <w:b w:val="0"/>
                <w:bCs w:val="0"/>
                <w:color w:val="000000" w:themeColor="text1"/>
                <w:sz w:val="24"/>
                <w:szCs w:val="24"/>
                <w:lang w:val="en-US" w:eastAsia="en-US" w:bidi="en-US"/>
                <w14:textFill>
                  <w14:solidFill>
                    <w14:schemeClr w14:val="tx1"/>
                  </w14:solidFill>
                </w14:textFill>
              </w:rPr>
            </w:pP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3.5.5</w:t>
            </w:r>
          </w:p>
        </w:tc>
        <w:tc>
          <w:tcPr>
            <w:tcW w:w="2170" w:type="dxa"/>
            <w:tcBorders>
              <w:top w:val="single" w:color="auto" w:sz="4" w:space="0"/>
              <w:left w:val="single" w:color="auto" w:sz="4" w:space="0"/>
              <w:bottom w:val="single" w:color="auto" w:sz="4" w:space="0"/>
            </w:tcBorders>
            <w:shd w:val="clear" w:color="auto" w:fill="FFFFFF"/>
            <w:vAlign w:val="center"/>
          </w:tcPr>
          <w:p w14:paraId="7FB0DB20">
            <w:pPr>
              <w:pStyle w:val="83"/>
              <w:spacing w:after="0" w:line="278"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近年发生的诉讼及仲裁情况的年份</w:t>
            </w:r>
          </w:p>
          <w:p w14:paraId="5463A64E">
            <w:pPr>
              <w:pStyle w:val="83"/>
              <w:spacing w:after="0" w:line="278"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要求</w:t>
            </w:r>
          </w:p>
        </w:tc>
        <w:tc>
          <w:tcPr>
            <w:tcW w:w="5157" w:type="dxa"/>
            <w:tcBorders>
              <w:top w:val="single" w:color="auto" w:sz="4" w:space="0"/>
              <w:left w:val="single" w:color="auto" w:sz="4" w:space="0"/>
              <w:bottom w:val="single" w:color="auto" w:sz="4" w:space="0"/>
              <w:right w:val="single" w:color="auto" w:sz="4" w:space="0"/>
            </w:tcBorders>
            <w:shd w:val="clear" w:color="auto" w:fill="FFFFFF"/>
            <w:vAlign w:val="center"/>
          </w:tcPr>
          <w:p w14:paraId="50878A3A">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2021年1</w:t>
            </w:r>
            <w:r>
              <w:rPr>
                <w:rFonts w:hint="eastAsia"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月份-</w:t>
            </w:r>
            <w:r>
              <w:rPr>
                <w:rFonts w:hint="eastAsia" w:ascii="宋体" w:hAnsi="宋体" w:eastAsia="宋体" w:cs="宋体"/>
                <w:b w:val="0"/>
                <w:bCs w:val="0"/>
                <w:color w:val="000000" w:themeColor="text1"/>
                <w:sz w:val="24"/>
                <w:szCs w:val="24"/>
                <w14:textFill>
                  <w14:solidFill>
                    <w14:schemeClr w14:val="tx1"/>
                  </w14:solidFill>
                </w14:textFill>
              </w:rPr>
              <w:t>至今</w:t>
            </w:r>
          </w:p>
        </w:tc>
      </w:tr>
      <w:tr w14:paraId="6FDF7AD6">
        <w:tblPrEx>
          <w:tblCellMar>
            <w:top w:w="0" w:type="dxa"/>
            <w:left w:w="10" w:type="dxa"/>
            <w:bottom w:w="0" w:type="dxa"/>
            <w:right w:w="10" w:type="dxa"/>
          </w:tblCellMar>
        </w:tblPrEx>
        <w:trPr>
          <w:trHeight w:val="936"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369686A7">
            <w:pPr>
              <w:pStyle w:val="83"/>
              <w:spacing w:after="0" w:line="240" w:lineRule="auto"/>
              <w:jc w:val="center"/>
              <w:rPr>
                <w:rFonts w:hint="eastAsia" w:ascii="宋体" w:hAnsi="宋体" w:eastAsia="宋体" w:cs="宋体"/>
                <w:b w:val="0"/>
                <w:bCs w:val="0"/>
                <w:color w:val="000000" w:themeColor="text1"/>
                <w:sz w:val="24"/>
                <w:szCs w:val="24"/>
                <w:lang w:val="en-US" w:eastAsia="en-US" w:bidi="en-US"/>
                <w14:textFill>
                  <w14:solidFill>
                    <w14:schemeClr w14:val="tx1"/>
                  </w14:solidFill>
                </w14:textFill>
              </w:rPr>
            </w:pPr>
            <w:r>
              <w:rPr>
                <w:rFonts w:hint="eastAsia" w:ascii="宋体" w:hAnsi="宋体" w:eastAsia="宋体" w:cs="宋体"/>
                <w:b w:val="0"/>
                <w:bCs w:val="0"/>
                <w:color w:val="000000" w:themeColor="text1"/>
                <w:sz w:val="24"/>
                <w:szCs w:val="24"/>
                <w:lang w:val="en-US" w:eastAsia="en-US" w:bidi="en-US"/>
                <w14:textFill>
                  <w14:solidFill>
                    <w14:schemeClr w14:val="tx1"/>
                  </w14:solidFill>
                </w14:textFill>
              </w:rPr>
              <w:t>3.</w:t>
            </w: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6</w:t>
            </w:r>
          </w:p>
        </w:tc>
        <w:tc>
          <w:tcPr>
            <w:tcW w:w="2170" w:type="dxa"/>
            <w:tcBorders>
              <w:top w:val="single" w:color="auto" w:sz="4" w:space="0"/>
              <w:left w:val="single" w:color="auto" w:sz="4" w:space="0"/>
              <w:bottom w:val="single" w:color="auto" w:sz="4" w:space="0"/>
            </w:tcBorders>
            <w:shd w:val="clear" w:color="auto" w:fill="FFFFFF"/>
            <w:vAlign w:val="center"/>
          </w:tcPr>
          <w:p w14:paraId="3B387BDC">
            <w:pPr>
              <w:pStyle w:val="83"/>
              <w:spacing w:after="0" w:line="278"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是否允许递交备选磋商方案</w:t>
            </w:r>
          </w:p>
        </w:tc>
        <w:tc>
          <w:tcPr>
            <w:tcW w:w="5157" w:type="dxa"/>
            <w:tcBorders>
              <w:top w:val="single" w:color="auto" w:sz="4" w:space="0"/>
              <w:left w:val="single" w:color="auto" w:sz="4" w:space="0"/>
              <w:bottom w:val="single" w:color="auto" w:sz="4" w:space="0"/>
              <w:right w:val="single" w:color="auto" w:sz="4" w:space="0"/>
            </w:tcBorders>
            <w:shd w:val="clear" w:color="auto" w:fill="FFFFFF"/>
            <w:vAlign w:val="center"/>
          </w:tcPr>
          <w:p w14:paraId="5B11D3DA">
            <w:pPr>
              <w:pStyle w:val="83"/>
              <w:keepNext w:val="0"/>
              <w:keepLines w:val="0"/>
              <w:pageBreakBefore w:val="0"/>
              <w:widowControl w:val="0"/>
              <w:kinsoku/>
              <w:wordWrap/>
              <w:overflowPunct/>
              <w:topLinePunct w:val="0"/>
              <w:autoSpaceDE/>
              <w:autoSpaceDN/>
              <w:bidi w:val="0"/>
              <w:adjustRightInd/>
              <w:snapToGrid/>
              <w:spacing w:after="140"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FE"/>
            </w:r>
            <w:r>
              <w:rPr>
                <w:rFonts w:hint="eastAsia" w:ascii="宋体" w:hAnsi="宋体" w:eastAsia="宋体" w:cs="宋体"/>
                <w:b w:val="0"/>
                <w:bCs w:val="0"/>
                <w:color w:val="000000" w:themeColor="text1"/>
                <w:sz w:val="24"/>
                <w:szCs w:val="24"/>
                <w14:textFill>
                  <w14:solidFill>
                    <w14:schemeClr w14:val="tx1"/>
                  </w14:solidFill>
                </w14:textFill>
              </w:rPr>
              <w:t>不允许</w:t>
            </w:r>
          </w:p>
          <w:p w14:paraId="1B396458">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A8"/>
            </w:r>
            <w:r>
              <w:rPr>
                <w:rFonts w:hint="eastAsia" w:ascii="宋体" w:hAnsi="宋体" w:eastAsia="宋体" w:cs="宋体"/>
                <w:b w:val="0"/>
                <w:bCs w:val="0"/>
                <w:color w:val="000000" w:themeColor="text1"/>
                <w:sz w:val="24"/>
                <w:szCs w:val="24"/>
                <w14:textFill>
                  <w14:solidFill>
                    <w14:schemeClr w14:val="tx1"/>
                  </w14:solidFill>
                </w14:textFill>
              </w:rPr>
              <w:t>允许</w:t>
            </w:r>
          </w:p>
        </w:tc>
      </w:tr>
      <w:tr w14:paraId="6015BA2D">
        <w:tblPrEx>
          <w:tblCellMar>
            <w:top w:w="0" w:type="dxa"/>
            <w:left w:w="10" w:type="dxa"/>
            <w:bottom w:w="0" w:type="dxa"/>
            <w:right w:w="10" w:type="dxa"/>
          </w:tblCellMar>
        </w:tblPrEx>
        <w:trPr>
          <w:trHeight w:val="2693"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6A5E1D0B">
            <w:pPr>
              <w:pStyle w:val="83"/>
              <w:spacing w:after="0" w:line="240" w:lineRule="auto"/>
              <w:jc w:val="center"/>
              <w:rPr>
                <w:rFonts w:hint="eastAsia" w:ascii="宋体" w:hAnsi="宋体" w:eastAsia="宋体" w:cs="宋体"/>
                <w:b w:val="0"/>
                <w:bCs w:val="0"/>
                <w:color w:val="000000" w:themeColor="text1"/>
                <w:sz w:val="24"/>
                <w:szCs w:val="24"/>
                <w:lang w:val="en-US" w:eastAsia="en-US" w:bidi="en-US"/>
                <w14:textFill>
                  <w14:solidFill>
                    <w14:schemeClr w14:val="tx1"/>
                  </w14:solidFill>
                </w14:textFill>
              </w:rPr>
            </w:pPr>
            <w:r>
              <w:rPr>
                <w:rFonts w:hint="eastAsia" w:ascii="宋体" w:hAnsi="宋体" w:eastAsia="宋体" w:cs="宋体"/>
                <w:b w:val="0"/>
                <w:bCs w:val="0"/>
                <w:color w:val="000000" w:themeColor="text1"/>
                <w:sz w:val="24"/>
                <w:szCs w:val="24"/>
                <w:lang w:val="en-US" w:eastAsia="en-US" w:bidi="en-US"/>
                <w14:textFill>
                  <w14:solidFill>
                    <w14:schemeClr w14:val="tx1"/>
                  </w14:solidFill>
                </w14:textFill>
              </w:rPr>
              <w:t>3.7.</w:t>
            </w: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3</w:t>
            </w:r>
          </w:p>
        </w:tc>
        <w:tc>
          <w:tcPr>
            <w:tcW w:w="2170" w:type="dxa"/>
            <w:tcBorders>
              <w:top w:val="single" w:color="auto" w:sz="4" w:space="0"/>
              <w:left w:val="single" w:color="auto" w:sz="4" w:space="0"/>
              <w:bottom w:val="single" w:color="auto" w:sz="4" w:space="0"/>
            </w:tcBorders>
            <w:shd w:val="clear" w:color="auto" w:fill="FFFFFF"/>
            <w:vAlign w:val="center"/>
          </w:tcPr>
          <w:p w14:paraId="042A40ED">
            <w:pPr>
              <w:pStyle w:val="83"/>
              <w:spacing w:after="0" w:line="24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签字或盖章要求</w:t>
            </w:r>
          </w:p>
        </w:tc>
        <w:tc>
          <w:tcPr>
            <w:tcW w:w="5157" w:type="dxa"/>
            <w:tcBorders>
              <w:top w:val="single" w:color="auto" w:sz="4" w:space="0"/>
              <w:left w:val="single" w:color="auto" w:sz="4" w:space="0"/>
              <w:bottom w:val="single" w:color="auto" w:sz="4" w:space="0"/>
              <w:right w:val="single" w:color="auto" w:sz="4" w:space="0"/>
            </w:tcBorders>
            <w:shd w:val="clear" w:color="auto" w:fill="FFFFFF"/>
            <w:vAlign w:val="center"/>
          </w:tcPr>
          <w:p w14:paraId="0E94B2EC">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响应文件封面、磋商函和其他需要签字或盖章的地方均应加盖</w:t>
            </w:r>
            <w:r>
              <w:rPr>
                <w:rFonts w:hint="eastAsia" w:ascii="宋体" w:hAnsi="宋体" w:eastAsia="宋体" w:cs="宋体"/>
                <w:b w:val="0"/>
                <w:bCs w:val="0"/>
                <w:color w:val="000000" w:themeColor="text1"/>
                <w:sz w:val="24"/>
                <w:szCs w:val="24"/>
                <w:lang w:eastAsia="zh-CN"/>
                <w14:textFill>
                  <w14:solidFill>
                    <w14:schemeClr w14:val="tx1"/>
                  </w14:solidFill>
                </w14:textFill>
              </w:rPr>
              <w:t>公章</w:t>
            </w:r>
          </w:p>
          <w:p w14:paraId="26465499">
            <w:pPr>
              <w:pStyle w:val="83"/>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w:t>
            </w:r>
            <w:r>
              <w:rPr>
                <w:rFonts w:hint="eastAsia" w:ascii="宋体" w:hAnsi="宋体" w:eastAsia="宋体" w:cs="宋体"/>
                <w:color w:val="000000" w:themeColor="text1"/>
                <w:sz w:val="24"/>
                <w:szCs w:val="24"/>
                <w14:textFill>
                  <w14:solidFill>
                    <w14:schemeClr w14:val="tx1"/>
                  </w14:solidFill>
                </w14:textFill>
              </w:rPr>
              <w:t>应商印章并经法定代表人或其委托代理人签字或盖章。由委托代理人签字或盖章的在响应文件中须同时递交响应文件授权委托书。响应文件授权委托书格式、签字、盖章及内容均应符合要求，否则响应文件授权委托书无效。</w:t>
            </w:r>
          </w:p>
        </w:tc>
      </w:tr>
      <w:tr w14:paraId="0B14266A">
        <w:tblPrEx>
          <w:tblCellMar>
            <w:top w:w="0" w:type="dxa"/>
            <w:left w:w="10" w:type="dxa"/>
            <w:bottom w:w="0" w:type="dxa"/>
            <w:right w:w="10" w:type="dxa"/>
          </w:tblCellMar>
        </w:tblPrEx>
        <w:trPr>
          <w:trHeight w:val="1697"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613A0B87">
            <w:pPr>
              <w:jc w:val="center"/>
              <w:rPr>
                <w:rFonts w:hint="eastAsia" w:ascii="宋体" w:hAnsi="宋体" w:eastAsia="宋体" w:cs="宋体"/>
                <w:b w:val="0"/>
                <w:bCs w:val="0"/>
                <w:color w:val="000000" w:themeColor="text1"/>
                <w:sz w:val="24"/>
                <w:szCs w:val="24"/>
                <w:lang w:val="en-US" w:eastAsia="en-US" w:bidi="en-US"/>
                <w14:textFill>
                  <w14:solidFill>
                    <w14:schemeClr w14:val="tx1"/>
                  </w14:solidFill>
                </w14:textFill>
              </w:rPr>
            </w:pPr>
            <w:r>
              <w:rPr>
                <w:rFonts w:hint="eastAsia" w:ascii="宋体" w:hAnsi="宋体" w:eastAsia="宋体" w:cs="宋体"/>
                <w:color w:val="000000" w:themeColor="text1"/>
                <w:sz w:val="24"/>
                <w:szCs w:val="24"/>
                <w:lang w:eastAsia="en-US"/>
                <w14:textFill>
                  <w14:solidFill>
                    <w14:schemeClr w14:val="tx1"/>
                  </w14:solidFill>
                </w14:textFill>
              </w:rPr>
              <w:t>3.7.</w:t>
            </w:r>
            <w:r>
              <w:rPr>
                <w:rFonts w:hint="eastAsia" w:ascii="宋体" w:hAnsi="宋体" w:eastAsia="宋体" w:cs="宋体"/>
                <w:color w:val="000000" w:themeColor="text1"/>
                <w:sz w:val="24"/>
                <w:szCs w:val="24"/>
                <w:lang w:val="zh-CN"/>
                <w14:textFill>
                  <w14:solidFill>
                    <w14:schemeClr w14:val="tx1"/>
                  </w14:solidFill>
                </w14:textFill>
              </w:rPr>
              <w:t>4</w:t>
            </w:r>
          </w:p>
        </w:tc>
        <w:tc>
          <w:tcPr>
            <w:tcW w:w="2170" w:type="dxa"/>
            <w:tcBorders>
              <w:top w:val="single" w:color="auto" w:sz="4" w:space="0"/>
              <w:left w:val="single" w:color="auto" w:sz="4" w:space="0"/>
              <w:bottom w:val="single" w:color="auto" w:sz="4" w:space="0"/>
            </w:tcBorders>
            <w:shd w:val="clear" w:color="auto" w:fill="FFFFFF"/>
            <w:vAlign w:val="center"/>
          </w:tcPr>
          <w:p w14:paraId="4A5B1BC5">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响应文件份数</w:t>
            </w:r>
          </w:p>
        </w:tc>
        <w:tc>
          <w:tcPr>
            <w:tcW w:w="5157" w:type="dxa"/>
            <w:tcBorders>
              <w:top w:val="single" w:color="auto" w:sz="4" w:space="0"/>
              <w:left w:val="single" w:color="auto" w:sz="4" w:space="0"/>
              <w:bottom w:val="single" w:color="auto" w:sz="4" w:space="0"/>
              <w:right w:val="single" w:color="auto" w:sz="4" w:space="0"/>
            </w:tcBorders>
            <w:shd w:val="clear" w:color="auto" w:fill="FFFFFF"/>
            <w:vAlign w:val="center"/>
          </w:tcPr>
          <w:p w14:paraId="0F052B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auto"/>
                <w:sz w:val="24"/>
                <w:szCs w:val="24"/>
                <w:highlight w:val="none"/>
                <w:lang w:val="zh-CN"/>
              </w:rPr>
              <w:t>投标单位在中标后，应按招标人要求的形式（纸质版、电子版）和份数提供投标文件（纸质版投标文件及普通电子版投标文件应与</w:t>
            </w:r>
            <w:r>
              <w:rPr>
                <w:rFonts w:hint="eastAsia" w:ascii="宋体" w:hAnsi="宋体" w:eastAsia="宋体" w:cs="宋体"/>
                <w:color w:val="auto"/>
                <w:sz w:val="24"/>
                <w:szCs w:val="24"/>
                <w:highlight w:val="none"/>
                <w:lang w:val="zh-CN" w:eastAsia="zh-CN"/>
              </w:rPr>
              <w:t>“政采云”</w:t>
            </w:r>
            <w:r>
              <w:rPr>
                <w:rFonts w:hint="eastAsia" w:ascii="宋体" w:hAnsi="宋体" w:eastAsia="宋体" w:cs="宋体"/>
                <w:color w:val="auto"/>
                <w:sz w:val="24"/>
                <w:szCs w:val="24"/>
                <w:highlight w:val="none"/>
                <w:lang w:val="zh-CN"/>
              </w:rPr>
              <w:t>平台交易系统上传电子投标文件内容一致）</w:t>
            </w:r>
            <w:r>
              <w:rPr>
                <w:rFonts w:hint="eastAsia" w:ascii="宋体" w:hAnsi="宋体" w:eastAsia="宋体" w:cs="宋体"/>
                <w:color w:val="auto"/>
                <w:sz w:val="24"/>
                <w:szCs w:val="24"/>
                <w:highlight w:val="none"/>
              </w:rPr>
              <w:t>。</w:t>
            </w:r>
          </w:p>
        </w:tc>
      </w:tr>
      <w:tr w14:paraId="0F0DEA8D">
        <w:tblPrEx>
          <w:tblCellMar>
            <w:top w:w="0" w:type="dxa"/>
            <w:left w:w="10" w:type="dxa"/>
            <w:bottom w:w="0" w:type="dxa"/>
            <w:right w:w="10" w:type="dxa"/>
          </w:tblCellMar>
        </w:tblPrEx>
        <w:trPr>
          <w:trHeight w:val="810"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28F1A915">
            <w:pPr>
              <w:jc w:val="center"/>
              <w:rPr>
                <w:rFonts w:hint="eastAsia" w:ascii="宋体" w:hAnsi="宋体" w:eastAsia="宋体" w:cs="宋体"/>
                <w:color w:val="000000" w:themeColor="text1"/>
                <w:sz w:val="24"/>
                <w:szCs w:val="24"/>
                <w:lang w:eastAsia="en-US"/>
                <w14:textFill>
                  <w14:solidFill>
                    <w14:schemeClr w14:val="tx1"/>
                  </w14:solidFill>
                </w14:textFill>
              </w:rPr>
            </w:pPr>
            <w:r>
              <w:rPr>
                <w:rFonts w:hint="eastAsia" w:ascii="宋体" w:hAnsi="宋体" w:eastAsia="宋体" w:cs="宋体"/>
                <w:color w:val="000000" w:themeColor="text1"/>
                <w:sz w:val="24"/>
                <w:szCs w:val="24"/>
                <w:lang w:eastAsia="en-US"/>
                <w14:textFill>
                  <w14:solidFill>
                    <w14:schemeClr w14:val="tx1"/>
                  </w14:solidFill>
                </w14:textFill>
              </w:rPr>
              <w:t>4.2.</w:t>
            </w:r>
            <w:r>
              <w:rPr>
                <w:rFonts w:hint="eastAsia" w:ascii="宋体" w:hAnsi="宋体" w:eastAsia="宋体" w:cs="宋体"/>
                <w:color w:val="000000" w:themeColor="text1"/>
                <w:sz w:val="24"/>
                <w:szCs w:val="24"/>
                <w:lang w:val="zh-CN"/>
                <w14:textFill>
                  <w14:solidFill>
                    <w14:schemeClr w14:val="tx1"/>
                  </w14:solidFill>
                </w14:textFill>
              </w:rPr>
              <w:t>1</w:t>
            </w:r>
          </w:p>
        </w:tc>
        <w:tc>
          <w:tcPr>
            <w:tcW w:w="2170" w:type="dxa"/>
            <w:tcBorders>
              <w:top w:val="single" w:color="auto" w:sz="4" w:space="0"/>
              <w:left w:val="single" w:color="auto" w:sz="4" w:space="0"/>
              <w:bottom w:val="single" w:color="auto" w:sz="4" w:space="0"/>
            </w:tcBorders>
            <w:shd w:val="clear" w:color="auto" w:fill="FFFFFF"/>
            <w:vAlign w:val="center"/>
          </w:tcPr>
          <w:p w14:paraId="2E1A366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首次响应文件递交截止时间</w:t>
            </w:r>
          </w:p>
        </w:tc>
        <w:tc>
          <w:tcPr>
            <w:tcW w:w="5157" w:type="dxa"/>
            <w:tcBorders>
              <w:top w:val="single" w:color="auto" w:sz="4" w:space="0"/>
              <w:left w:val="single" w:color="auto" w:sz="4" w:space="0"/>
              <w:bottom w:val="single" w:color="auto" w:sz="4" w:space="0"/>
              <w:right w:val="single" w:color="auto" w:sz="4" w:space="0"/>
            </w:tcBorders>
            <w:shd w:val="clear" w:color="auto" w:fill="FFFFFF"/>
            <w:vAlign w:val="center"/>
          </w:tcPr>
          <w:p w14:paraId="6FDDD2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上午</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时00分（北京时间）</w:t>
            </w:r>
          </w:p>
        </w:tc>
      </w:tr>
      <w:tr w14:paraId="1211B2D1">
        <w:tblPrEx>
          <w:tblCellMar>
            <w:top w:w="0" w:type="dxa"/>
            <w:left w:w="10" w:type="dxa"/>
            <w:bottom w:w="0" w:type="dxa"/>
            <w:right w:w="10" w:type="dxa"/>
          </w:tblCellMar>
        </w:tblPrEx>
        <w:trPr>
          <w:trHeight w:val="2365"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26759F1D">
            <w:pPr>
              <w:jc w:val="center"/>
              <w:rPr>
                <w:rFonts w:hint="eastAsia" w:ascii="宋体" w:hAnsi="宋体" w:eastAsia="宋体" w:cs="宋体"/>
                <w:color w:val="000000" w:themeColor="text1"/>
                <w:sz w:val="24"/>
                <w:szCs w:val="24"/>
                <w:lang w:eastAsia="en-US"/>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4.2.2</w:t>
            </w:r>
          </w:p>
        </w:tc>
        <w:tc>
          <w:tcPr>
            <w:tcW w:w="2170" w:type="dxa"/>
            <w:tcBorders>
              <w:top w:val="single" w:color="auto" w:sz="4" w:space="0"/>
              <w:left w:val="single" w:color="auto" w:sz="4" w:space="0"/>
              <w:bottom w:val="single" w:color="auto" w:sz="4" w:space="0"/>
            </w:tcBorders>
            <w:shd w:val="clear" w:color="auto" w:fill="FFFFFF"/>
            <w:vAlign w:val="center"/>
          </w:tcPr>
          <w:p w14:paraId="0287DE7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首次响应文件</w:t>
            </w:r>
          </w:p>
          <w:p w14:paraId="137EFE2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递交地点</w:t>
            </w:r>
          </w:p>
        </w:tc>
        <w:tc>
          <w:tcPr>
            <w:tcW w:w="5157" w:type="dxa"/>
            <w:tcBorders>
              <w:top w:val="single" w:color="auto" w:sz="4" w:space="0"/>
              <w:left w:val="single" w:color="auto" w:sz="4" w:space="0"/>
              <w:bottom w:val="single" w:color="auto" w:sz="4" w:space="0"/>
              <w:right w:val="single" w:color="auto" w:sz="4" w:space="0"/>
            </w:tcBorders>
            <w:shd w:val="clear" w:color="auto" w:fill="FFFFFF"/>
            <w:vAlign w:val="center"/>
          </w:tcPr>
          <w:p w14:paraId="11B928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提交截止时间：</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202</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年</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月</w:t>
            </w:r>
            <w:r>
              <w:rPr>
                <w:rFonts w:hint="eastAsia" w:ascii="宋体" w:hAnsi="宋体" w:cs="宋体"/>
                <w:b w:val="0"/>
                <w:bCs w:val="0"/>
                <w:color w:val="000000" w:themeColor="text1"/>
                <w:spacing w:val="0"/>
                <w:w w:val="100"/>
                <w:position w:val="0"/>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日</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，上午</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10</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时</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00</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分（北京时间）</w:t>
            </w:r>
          </w:p>
          <w:p w14:paraId="5A9ACEB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投标人应在投标文件递交截止时间前通过“政采云”平台（http：//www.zcygov.cn）上传电子投标文件；逾期上传的电子投标文件，电子招标投标交易平台将予以拒收。</w:t>
            </w:r>
          </w:p>
        </w:tc>
      </w:tr>
    </w:tbl>
    <w:p w14:paraId="439F7630">
      <w:pPr>
        <w:spacing w:line="1" w:lineRule="exact"/>
        <w:rPr>
          <w:rFonts w:hint="eastAsia" w:ascii="宋体" w:hAnsi="宋体" w:eastAsia="宋体" w:cs="宋体"/>
          <w:color w:val="000000" w:themeColor="text1"/>
          <w:sz w:val="2"/>
          <w:szCs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tbl>
      <w:tblPr>
        <w:tblStyle w:val="36"/>
        <w:tblW w:w="8187" w:type="dxa"/>
        <w:jc w:val="center"/>
        <w:tblLayout w:type="fixed"/>
        <w:tblCellMar>
          <w:top w:w="0" w:type="dxa"/>
          <w:left w:w="10" w:type="dxa"/>
          <w:bottom w:w="0" w:type="dxa"/>
          <w:right w:w="10" w:type="dxa"/>
        </w:tblCellMar>
      </w:tblPr>
      <w:tblGrid>
        <w:gridCol w:w="893"/>
        <w:gridCol w:w="2170"/>
        <w:gridCol w:w="5124"/>
      </w:tblGrid>
      <w:tr w14:paraId="0842CFA1">
        <w:tblPrEx>
          <w:tblCellMar>
            <w:top w:w="0" w:type="dxa"/>
            <w:left w:w="10" w:type="dxa"/>
            <w:bottom w:w="0" w:type="dxa"/>
            <w:right w:w="10" w:type="dxa"/>
          </w:tblCellMar>
        </w:tblPrEx>
        <w:trPr>
          <w:trHeight w:val="795"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74288826">
            <w:pPr>
              <w:jc w:val="center"/>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4.2.3</w:t>
            </w:r>
          </w:p>
        </w:tc>
        <w:tc>
          <w:tcPr>
            <w:tcW w:w="2170" w:type="dxa"/>
            <w:tcBorders>
              <w:top w:val="single" w:color="auto" w:sz="4" w:space="0"/>
              <w:left w:val="single" w:color="auto" w:sz="4" w:space="0"/>
              <w:bottom w:val="single" w:color="auto" w:sz="4" w:space="0"/>
            </w:tcBorders>
            <w:shd w:val="clear" w:color="auto" w:fill="FFFFFF"/>
            <w:vAlign w:val="center"/>
          </w:tcPr>
          <w:p w14:paraId="50F5B2B3">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是否退还响应文件</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top"/>
          </w:tcPr>
          <w:p w14:paraId="3DE7C2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FE"/>
            </w:r>
            <w:r>
              <w:rPr>
                <w:rFonts w:hint="eastAsia" w:ascii="宋体" w:hAnsi="宋体" w:eastAsia="宋体" w:cs="宋体"/>
                <w:color w:val="000000" w:themeColor="text1"/>
                <w:sz w:val="24"/>
                <w:szCs w:val="24"/>
                <w14:textFill>
                  <w14:solidFill>
                    <w14:schemeClr w14:val="tx1"/>
                  </w14:solidFill>
                </w14:textFill>
              </w:rPr>
              <w:t xml:space="preserve"> 否</w:t>
            </w:r>
          </w:p>
          <w:p w14:paraId="785ABE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 是</w:t>
            </w:r>
          </w:p>
        </w:tc>
      </w:tr>
      <w:tr w14:paraId="61449614">
        <w:tblPrEx>
          <w:tblCellMar>
            <w:top w:w="0" w:type="dxa"/>
            <w:left w:w="10" w:type="dxa"/>
            <w:bottom w:w="0" w:type="dxa"/>
            <w:right w:w="10" w:type="dxa"/>
          </w:tblCellMar>
        </w:tblPrEx>
        <w:trPr>
          <w:trHeight w:val="1180"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569B2B55">
            <w:pPr>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5.1</w:t>
            </w:r>
          </w:p>
        </w:tc>
        <w:tc>
          <w:tcPr>
            <w:tcW w:w="2170" w:type="dxa"/>
            <w:tcBorders>
              <w:top w:val="single" w:color="auto" w:sz="4" w:space="0"/>
              <w:left w:val="single" w:color="auto" w:sz="4" w:space="0"/>
              <w:bottom w:val="single" w:color="auto" w:sz="4" w:space="0"/>
            </w:tcBorders>
            <w:shd w:val="clear" w:color="auto" w:fill="FFFFFF"/>
            <w:vAlign w:val="center"/>
          </w:tcPr>
          <w:p w14:paraId="4921A3CA">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center"/>
          </w:tcPr>
          <w:p w14:paraId="106A73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磋商时间：同首次响应文件递交截止时间</w:t>
            </w:r>
          </w:p>
          <w:p w14:paraId="524F49C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磋商地点：延吉市公</w:t>
            </w:r>
            <w:r>
              <w:rPr>
                <w:rFonts w:hint="eastAsia" w:ascii="宋体" w:hAnsi="宋体" w:eastAsia="宋体" w:cs="宋体"/>
                <w:color w:val="000000" w:themeColor="text1"/>
                <w:sz w:val="24"/>
                <w:szCs w:val="24"/>
                <w:highlight w:val="none"/>
                <w14:textFill>
                  <w14:solidFill>
                    <w14:schemeClr w14:val="tx1"/>
                  </w14:solidFill>
                </w14:textFill>
              </w:rPr>
              <w:t>共资源交易中心（延吉市政务大厅6楼</w:t>
            </w:r>
            <w:r>
              <w:rPr>
                <w:rFonts w:hint="eastAsia" w:ascii="宋体" w:hAnsi="宋体" w:eastAsia="宋体" w:cs="宋体"/>
                <w:color w:val="000000" w:themeColor="text1"/>
                <w:sz w:val="24"/>
                <w:szCs w:val="24"/>
                <w:highlight w:val="none"/>
                <w:lang w:eastAsia="zh-CN"/>
                <w14:textFill>
                  <w14:solidFill>
                    <w14:schemeClr w14:val="tx1"/>
                  </w14:solidFill>
                </w14:textFill>
              </w:rPr>
              <w:t>评标</w:t>
            </w:r>
            <w:r>
              <w:rPr>
                <w:rFonts w:hint="eastAsia" w:ascii="宋体" w:hAnsi="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室</w:t>
            </w:r>
            <w:r>
              <w:rPr>
                <w:rFonts w:hint="eastAsia" w:ascii="宋体" w:hAnsi="宋体" w:eastAsia="宋体" w:cs="宋体"/>
                <w:color w:val="000000" w:themeColor="text1"/>
                <w:sz w:val="24"/>
                <w:szCs w:val="24"/>
                <w14:textFill>
                  <w14:solidFill>
                    <w14:schemeClr w14:val="tx1"/>
                  </w14:solidFill>
                </w14:textFill>
              </w:rPr>
              <w:t>）</w:t>
            </w:r>
          </w:p>
        </w:tc>
      </w:tr>
      <w:tr w14:paraId="031D141B">
        <w:tblPrEx>
          <w:tblCellMar>
            <w:top w:w="0" w:type="dxa"/>
            <w:left w:w="10" w:type="dxa"/>
            <w:bottom w:w="0" w:type="dxa"/>
            <w:right w:w="10" w:type="dxa"/>
          </w:tblCellMar>
        </w:tblPrEx>
        <w:trPr>
          <w:trHeight w:val="7629"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232A5AB2">
            <w:pPr>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5.2</w:t>
            </w:r>
          </w:p>
        </w:tc>
        <w:tc>
          <w:tcPr>
            <w:tcW w:w="2170" w:type="dxa"/>
            <w:tcBorders>
              <w:top w:val="single" w:color="auto" w:sz="4" w:space="0"/>
              <w:left w:val="single" w:color="auto" w:sz="4" w:space="0"/>
              <w:bottom w:val="single" w:color="auto" w:sz="4" w:space="0"/>
            </w:tcBorders>
            <w:shd w:val="clear" w:color="auto" w:fill="FFFFFF"/>
            <w:vAlign w:val="center"/>
          </w:tcPr>
          <w:p w14:paraId="62516B1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磋商程序</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center"/>
          </w:tcPr>
          <w:p w14:paraId="3C5A3F5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exact"/>
              <w:ind w:left="42" w:leftChars="20" w:right="0" w:rightChars="0" w:firstLine="1" w:firstLineChars="0"/>
              <w:textAlignment w:val="baseline"/>
              <w:rPr>
                <w:rFonts w:hint="eastAsia" w:ascii="宋体" w:hAnsi="宋体" w:eastAsia="宋体" w:cs="宋体"/>
                <w:color w:val="auto"/>
                <w:kern w:val="2"/>
                <w:sz w:val="24"/>
                <w:szCs w:val="32"/>
                <w:highlight w:val="none"/>
              </w:rPr>
            </w:pPr>
            <w:r>
              <w:rPr>
                <w:rFonts w:hint="eastAsia" w:ascii="宋体" w:hAnsi="宋体" w:eastAsia="宋体" w:cs="宋体"/>
                <w:color w:val="auto"/>
                <w:kern w:val="2"/>
                <w:sz w:val="24"/>
                <w:szCs w:val="32"/>
                <w:highlight w:val="none"/>
                <w:lang w:val="en-US" w:eastAsia="zh-CN" w:bidi="ar-SA"/>
              </w:rPr>
              <w:t>1、</w:t>
            </w:r>
            <w:r>
              <w:rPr>
                <w:rFonts w:hint="eastAsia" w:ascii="宋体" w:hAnsi="宋体" w:cs="宋体"/>
                <w:color w:val="auto"/>
                <w:kern w:val="2"/>
                <w:sz w:val="24"/>
                <w:szCs w:val="32"/>
                <w:highlight w:val="none"/>
                <w:lang w:eastAsia="zh-CN"/>
              </w:rPr>
              <w:t>供应商</w:t>
            </w:r>
            <w:r>
              <w:rPr>
                <w:rFonts w:hint="eastAsia" w:ascii="宋体" w:hAnsi="宋体" w:eastAsia="宋体" w:cs="宋体"/>
                <w:color w:val="auto"/>
                <w:kern w:val="2"/>
                <w:sz w:val="24"/>
                <w:szCs w:val="32"/>
                <w:highlight w:val="none"/>
              </w:rPr>
              <w:t>开标当日无需到现场，不需要递交纸质版</w:t>
            </w:r>
            <w:r>
              <w:rPr>
                <w:rFonts w:hint="eastAsia" w:ascii="宋体" w:hAnsi="宋体" w:cs="宋体"/>
                <w:color w:val="auto"/>
                <w:kern w:val="2"/>
                <w:sz w:val="24"/>
                <w:szCs w:val="32"/>
                <w:highlight w:val="none"/>
                <w:lang w:eastAsia="zh-CN"/>
              </w:rPr>
              <w:t>响应</w:t>
            </w:r>
            <w:r>
              <w:rPr>
                <w:rFonts w:hint="eastAsia" w:ascii="宋体" w:hAnsi="宋体" w:eastAsia="宋体" w:cs="宋体"/>
                <w:color w:val="auto"/>
                <w:kern w:val="2"/>
                <w:sz w:val="24"/>
                <w:szCs w:val="32"/>
                <w:highlight w:val="none"/>
              </w:rPr>
              <w:t>文件及</w:t>
            </w:r>
            <w:r>
              <w:rPr>
                <w:rFonts w:hint="eastAsia" w:ascii="宋体" w:hAnsi="宋体" w:cs="宋体"/>
                <w:color w:val="auto"/>
                <w:kern w:val="2"/>
                <w:sz w:val="24"/>
                <w:szCs w:val="32"/>
                <w:highlight w:val="none"/>
                <w:lang w:eastAsia="zh-CN"/>
              </w:rPr>
              <w:t>采购</w:t>
            </w:r>
            <w:r>
              <w:rPr>
                <w:rFonts w:hint="eastAsia" w:ascii="宋体" w:hAnsi="宋体" w:eastAsia="宋体" w:cs="宋体"/>
                <w:color w:val="auto"/>
                <w:kern w:val="2"/>
                <w:sz w:val="24"/>
                <w:szCs w:val="32"/>
                <w:highlight w:val="none"/>
              </w:rPr>
              <w:t>文件规定的原件，实行远程解密。</w:t>
            </w:r>
            <w:r>
              <w:rPr>
                <w:rFonts w:hint="eastAsia" w:ascii="宋体" w:hAnsi="宋体" w:cs="宋体"/>
                <w:color w:val="auto"/>
                <w:kern w:val="2"/>
                <w:sz w:val="24"/>
                <w:szCs w:val="32"/>
                <w:highlight w:val="none"/>
                <w:lang w:eastAsia="zh-CN"/>
              </w:rPr>
              <w:t>供应商</w:t>
            </w:r>
            <w:r>
              <w:rPr>
                <w:rFonts w:hint="eastAsia" w:ascii="宋体" w:hAnsi="宋体" w:eastAsia="宋体" w:cs="宋体"/>
                <w:color w:val="auto"/>
                <w:kern w:val="2"/>
                <w:sz w:val="24"/>
                <w:szCs w:val="32"/>
                <w:highlight w:val="none"/>
              </w:rPr>
              <w:t>应在</w:t>
            </w:r>
            <w:r>
              <w:rPr>
                <w:rFonts w:hint="eastAsia" w:ascii="宋体" w:hAnsi="宋体" w:cs="宋体"/>
                <w:color w:val="auto"/>
                <w:kern w:val="2"/>
                <w:sz w:val="24"/>
                <w:szCs w:val="32"/>
                <w:highlight w:val="none"/>
                <w:lang w:eastAsia="zh-CN"/>
              </w:rPr>
              <w:t>响应</w:t>
            </w:r>
            <w:r>
              <w:rPr>
                <w:rFonts w:hint="eastAsia" w:ascii="宋体" w:hAnsi="宋体" w:eastAsia="宋体" w:cs="宋体"/>
                <w:color w:val="auto"/>
                <w:kern w:val="2"/>
                <w:sz w:val="24"/>
                <w:szCs w:val="32"/>
                <w:highlight w:val="none"/>
              </w:rPr>
              <w:t>文件递交截止时间前通过</w:t>
            </w:r>
            <w:r>
              <w:rPr>
                <w:rFonts w:hint="eastAsia" w:ascii="宋体" w:hAnsi="宋体" w:eastAsia="宋体" w:cs="宋体"/>
                <w:b/>
                <w:bCs/>
                <w:color w:val="auto"/>
                <w:sz w:val="24"/>
                <w:szCs w:val="24"/>
                <w:highlight w:val="none"/>
                <w:lang w:val="en-US" w:eastAsia="zh-CN"/>
              </w:rPr>
              <w:t>“政采云”平台（http：//www.zcygov.cn）</w:t>
            </w:r>
            <w:r>
              <w:rPr>
                <w:rFonts w:hint="eastAsia" w:ascii="宋体" w:hAnsi="宋体" w:eastAsia="宋体" w:cs="宋体"/>
                <w:color w:val="auto"/>
                <w:kern w:val="2"/>
                <w:sz w:val="24"/>
                <w:szCs w:val="32"/>
                <w:highlight w:val="none"/>
              </w:rPr>
              <w:t>上传电子</w:t>
            </w:r>
            <w:r>
              <w:rPr>
                <w:rFonts w:hint="eastAsia" w:ascii="宋体" w:hAnsi="宋体" w:cs="宋体"/>
                <w:color w:val="auto"/>
                <w:kern w:val="2"/>
                <w:sz w:val="24"/>
                <w:szCs w:val="32"/>
                <w:highlight w:val="none"/>
                <w:lang w:eastAsia="zh-CN"/>
              </w:rPr>
              <w:t>响应</w:t>
            </w:r>
            <w:r>
              <w:rPr>
                <w:rFonts w:hint="eastAsia" w:ascii="宋体" w:hAnsi="宋体" w:eastAsia="宋体" w:cs="宋体"/>
                <w:color w:val="auto"/>
                <w:kern w:val="2"/>
                <w:sz w:val="24"/>
                <w:szCs w:val="32"/>
                <w:highlight w:val="none"/>
              </w:rPr>
              <w:t>文件。</w:t>
            </w:r>
          </w:p>
          <w:p w14:paraId="0FC3651E">
            <w:pPr>
              <w:pStyle w:val="14"/>
              <w:keepNext w:val="0"/>
              <w:keepLines w:val="0"/>
              <w:pageBreakBefore w:val="0"/>
              <w:numPr>
                <w:ilvl w:val="0"/>
                <w:numId w:val="0"/>
              </w:numPr>
              <w:wordWrap/>
              <w:overflowPunct/>
              <w:topLinePunct w:val="0"/>
              <w:bidi w:val="0"/>
              <w:spacing w:line="360" w:lineRule="exact"/>
              <w:rPr>
                <w:rFonts w:hint="eastAsia" w:ascii="宋体" w:hAnsi="宋体" w:eastAsia="宋体" w:cs="宋体"/>
                <w:b w:val="0"/>
                <w:bCs w:val="0"/>
                <w:color w:val="auto"/>
                <w:kern w:val="2"/>
                <w:sz w:val="24"/>
                <w:szCs w:val="32"/>
                <w:highlight w:val="none"/>
              </w:rPr>
            </w:pPr>
            <w:r>
              <w:rPr>
                <w:rFonts w:hint="eastAsia" w:ascii="汉鼎简楷体" w:hAnsi="宋体" w:eastAsia="汉鼎简楷体" w:cs="Calibri"/>
                <w:b w:val="0"/>
                <w:bCs w:val="0"/>
                <w:spacing w:val="4"/>
                <w:kern w:val="2"/>
                <w:sz w:val="24"/>
                <w:szCs w:val="20"/>
                <w:highlight w:val="none"/>
                <w:lang w:val="en-US" w:eastAsia="zh-CN" w:bidi="ar-SA"/>
              </w:rPr>
              <w:t>2、</w:t>
            </w:r>
            <w:r>
              <w:rPr>
                <w:rFonts w:hint="eastAsia" w:ascii="宋体" w:hAnsi="宋体" w:eastAsia="宋体" w:cs="宋体"/>
                <w:b w:val="0"/>
                <w:bCs w:val="0"/>
                <w:color w:val="auto"/>
                <w:kern w:val="2"/>
                <w:sz w:val="24"/>
                <w:szCs w:val="32"/>
                <w:highlight w:val="none"/>
              </w:rPr>
              <w:t>本项目采取网上招标、网上投标。各投标单位使用CA锁制作的投标文件(资格审查材料等) 符合网上</w:t>
            </w:r>
            <w:r>
              <w:rPr>
                <w:rFonts w:hint="eastAsia" w:ascii="宋体" w:eastAsia="宋体" w:cs="宋体"/>
                <w:b w:val="0"/>
                <w:bCs w:val="0"/>
                <w:color w:val="auto"/>
                <w:kern w:val="2"/>
                <w:sz w:val="24"/>
                <w:szCs w:val="32"/>
                <w:highlight w:val="none"/>
                <w:lang w:eastAsia="zh-CN"/>
              </w:rPr>
              <w:t>评标</w:t>
            </w:r>
            <w:r>
              <w:rPr>
                <w:rFonts w:hint="eastAsia" w:ascii="宋体" w:hAnsi="宋体" w:eastAsia="宋体" w:cs="宋体"/>
                <w:b w:val="0"/>
                <w:bCs w:val="0"/>
                <w:color w:val="auto"/>
                <w:kern w:val="2"/>
                <w:sz w:val="24"/>
                <w:szCs w:val="32"/>
                <w:highlight w:val="none"/>
              </w:rPr>
              <w:t>要求才可进入评标阶段，全流程电子招标项目交易平台系统支持投标文件远程解密。逾期上传的电子投标文件，电子招标投标交易平台将予以拒收。</w:t>
            </w:r>
          </w:p>
          <w:p w14:paraId="7D3E666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42" w:leftChars="20" w:right="0" w:firstLine="1"/>
              <w:textAlignment w:val="baseline"/>
              <w:rPr>
                <w:rFonts w:hint="eastAsia"/>
                <w:highlight w:val="none"/>
              </w:rPr>
            </w:pPr>
            <w:r>
              <w:rPr>
                <w:rFonts w:hint="eastAsia" w:ascii="宋体" w:hAnsi="宋体" w:eastAsia="宋体" w:cs="宋体"/>
                <w:color w:val="auto"/>
                <w:kern w:val="2"/>
                <w:sz w:val="24"/>
                <w:szCs w:val="32"/>
                <w:highlight w:val="none"/>
              </w:rPr>
              <w:t>3、</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“政采云”平台（http：//www.zcygov.cn）支持投标文件远程解密，解密方式：投标文件递交截止时间</w:t>
            </w:r>
            <w:r>
              <w:rPr>
                <w:rFonts w:hint="eastAsia" w:ascii="宋体" w:hAnsi="宋体" w:cs="宋体"/>
                <w:b w:val="0"/>
                <w:bCs w:val="0"/>
                <w:color w:val="000000" w:themeColor="text1"/>
                <w:spacing w:val="0"/>
                <w:w w:val="100"/>
                <w:position w:val="0"/>
                <w:sz w:val="24"/>
                <w:szCs w:val="24"/>
                <w:highlight w:val="none"/>
                <w:lang w:val="zh-CN" w:eastAsia="zh-CN"/>
                <w14:textFill>
                  <w14:solidFill>
                    <w14:schemeClr w14:val="tx1"/>
                  </w14:solidFill>
                </w14:textFill>
              </w:rPr>
              <w:t>前</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完成解密工作，</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投标人持制作该电子投标文件的同一数字证书（CA企业锁）登录，进入“开标远程解密”菜单选择对应的项目的投标文件进行远程解密。投标人由于数字证书遗失、损坏、更换、续期等自身原因未能成功解密的，视为逾期未提交投标文件，其投标无效</w:t>
            </w:r>
            <w:r>
              <w:rPr>
                <w:rFonts w:hint="eastAsia" w:ascii="宋体" w:hAnsi="宋体" w:cs="宋体"/>
                <w:b w:val="0"/>
                <w:bCs w:val="0"/>
                <w:color w:val="000000" w:themeColor="text1"/>
                <w:spacing w:val="0"/>
                <w:w w:val="100"/>
                <w:position w:val="0"/>
                <w:sz w:val="24"/>
                <w:szCs w:val="24"/>
                <w:highlight w:val="none"/>
                <w:lang w:val="zh-CN" w:eastAsia="zh-CN"/>
                <w14:textFill>
                  <w14:solidFill>
                    <w14:schemeClr w14:val="tx1"/>
                  </w14:solidFill>
                </w14:textFill>
              </w:rPr>
              <w:t>。</w:t>
            </w:r>
          </w:p>
          <w:p w14:paraId="28BBF5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eastAsia="zh-CN"/>
                <w14:textFill>
                  <w14:solidFill>
                    <w14:schemeClr w14:val="tx1"/>
                  </w14:solidFill>
                </w14:textFill>
              </w:rPr>
              <w:t>对</w:t>
            </w:r>
            <w:r>
              <w:rPr>
                <w:rFonts w:hint="eastAsia" w:ascii="宋体" w:hAnsi="宋体" w:eastAsia="宋体" w:cs="宋体"/>
                <w:color w:val="000000" w:themeColor="text1"/>
                <w:sz w:val="24"/>
                <w:szCs w:val="24"/>
                <w:highlight w:val="none"/>
                <w14:textFill>
                  <w14:solidFill>
                    <w14:schemeClr w14:val="tx1"/>
                  </w14:solidFill>
                </w14:textFill>
              </w:rPr>
              <w:t>递交响应文件</w:t>
            </w:r>
            <w:r>
              <w:rPr>
                <w:rFonts w:hint="eastAsia" w:ascii="宋体" w:hAnsi="宋体" w:cs="宋体"/>
                <w:color w:val="000000" w:themeColor="text1"/>
                <w:sz w:val="24"/>
                <w:szCs w:val="24"/>
                <w:highlight w:val="none"/>
                <w:lang w:eastAsia="zh-CN"/>
                <w14:textFill>
                  <w14:solidFill>
                    <w14:schemeClr w14:val="tx1"/>
                  </w14:solidFill>
                </w14:textFill>
              </w:rPr>
              <w:t>进行解密后</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通过资格审查后</w:t>
            </w:r>
            <w:r>
              <w:rPr>
                <w:rFonts w:hint="eastAsia" w:ascii="宋体" w:hAnsi="宋体" w:eastAsia="宋体" w:cs="宋体"/>
                <w:color w:val="000000" w:themeColor="text1"/>
                <w:sz w:val="24"/>
                <w:szCs w:val="24"/>
                <w:highlight w:val="none"/>
                <w14:textFill>
                  <w14:solidFill>
                    <w14:schemeClr w14:val="tx1"/>
                  </w14:solidFill>
                </w14:textFill>
              </w:rPr>
              <w:t>准备</w:t>
            </w:r>
            <w:r>
              <w:rPr>
                <w:rFonts w:hint="eastAsia" w:ascii="宋体" w:hAnsi="宋体" w:cs="宋体"/>
                <w:color w:val="000000" w:themeColor="text1"/>
                <w:sz w:val="24"/>
                <w:szCs w:val="24"/>
                <w:highlight w:val="none"/>
                <w:lang w:eastAsia="zh-CN"/>
                <w14:textFill>
                  <w14:solidFill>
                    <w14:schemeClr w14:val="tx1"/>
                  </w14:solidFill>
                </w14:textFill>
              </w:rPr>
              <w:t>对</w:t>
            </w:r>
            <w:r>
              <w:rPr>
                <w:rFonts w:hint="eastAsia" w:ascii="宋体" w:hAnsi="宋体" w:eastAsia="宋体" w:cs="宋体"/>
                <w:color w:val="000000" w:themeColor="text1"/>
                <w:sz w:val="24"/>
                <w:szCs w:val="24"/>
                <w:highlight w:val="none"/>
                <w14:textFill>
                  <w14:solidFill>
                    <w14:schemeClr w14:val="tx1"/>
                  </w14:solidFill>
                </w14:textFill>
              </w:rPr>
              <w:t>二次报价表</w:t>
            </w:r>
            <w:r>
              <w:rPr>
                <w:rFonts w:hint="eastAsia" w:ascii="宋体" w:hAnsi="宋体" w:cs="宋体"/>
                <w:color w:val="000000" w:themeColor="text1"/>
                <w:sz w:val="24"/>
                <w:szCs w:val="24"/>
                <w:highlight w:val="none"/>
                <w:lang w:eastAsia="zh-CN"/>
                <w14:textFill>
                  <w14:solidFill>
                    <w14:schemeClr w14:val="tx1"/>
                  </w14:solidFill>
                </w14:textFill>
              </w:rPr>
              <w:t>进行解密</w:t>
            </w:r>
            <w:r>
              <w:rPr>
                <w:rFonts w:hint="eastAsia" w:ascii="宋体" w:hAnsi="宋体" w:eastAsia="宋体" w:cs="宋体"/>
                <w:color w:val="000000" w:themeColor="text1"/>
                <w:sz w:val="24"/>
                <w:szCs w:val="24"/>
                <w:highlight w:val="none"/>
                <w14:textFill>
                  <w14:solidFill>
                    <w14:schemeClr w14:val="tx1"/>
                  </w14:solidFill>
                </w14:textFill>
              </w:rPr>
              <w:t>；</w:t>
            </w:r>
          </w:p>
          <w:p w14:paraId="564DF4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006812E">
        <w:tblPrEx>
          <w:tblCellMar>
            <w:top w:w="0" w:type="dxa"/>
            <w:left w:w="10" w:type="dxa"/>
            <w:bottom w:w="0" w:type="dxa"/>
            <w:right w:w="10" w:type="dxa"/>
          </w:tblCellMar>
        </w:tblPrEx>
        <w:trPr>
          <w:trHeight w:val="1194"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7EB2571F">
            <w:pPr>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eastAsia="en-US"/>
                <w14:textFill>
                  <w14:solidFill>
                    <w14:schemeClr w14:val="tx1"/>
                  </w14:solidFill>
                </w14:textFill>
              </w:rPr>
              <w:t>6.1.1</w:t>
            </w:r>
          </w:p>
        </w:tc>
        <w:tc>
          <w:tcPr>
            <w:tcW w:w="2170" w:type="dxa"/>
            <w:tcBorders>
              <w:top w:val="single" w:color="auto" w:sz="4" w:space="0"/>
              <w:left w:val="single" w:color="auto" w:sz="4" w:space="0"/>
              <w:bottom w:val="single" w:color="auto" w:sz="4" w:space="0"/>
            </w:tcBorders>
            <w:shd w:val="clear" w:color="auto" w:fill="FFFFFF"/>
            <w:vAlign w:val="center"/>
          </w:tcPr>
          <w:p w14:paraId="28D08552">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磋商小组的组建</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center"/>
          </w:tcPr>
          <w:p w14:paraId="3E993B5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磋商小组成员构成：共3人，采购人代表0人或1人，外聘专家2人或3人；磋商专家确定方式：</w:t>
            </w:r>
            <w:r>
              <w:rPr>
                <w:rFonts w:hint="eastAsia" w:ascii="宋体" w:hAnsi="宋体" w:cs="宋体"/>
                <w:color w:val="000000" w:themeColor="text1"/>
                <w:sz w:val="24"/>
                <w:szCs w:val="24"/>
                <w:lang w:eastAsia="zh-CN"/>
                <w14:textFill>
                  <w14:solidFill>
                    <w14:schemeClr w14:val="tx1"/>
                  </w14:solidFill>
                </w14:textFill>
              </w:rPr>
              <w:t>由政采云系统</w:t>
            </w:r>
            <w:r>
              <w:rPr>
                <w:rFonts w:hint="eastAsia" w:ascii="宋体" w:hAnsi="宋体" w:eastAsia="宋体" w:cs="宋体"/>
                <w:color w:val="000000" w:themeColor="text1"/>
                <w:sz w:val="24"/>
                <w:szCs w:val="24"/>
                <w14:textFill>
                  <w14:solidFill>
                    <w14:schemeClr w14:val="tx1"/>
                  </w14:solidFill>
                </w14:textFill>
              </w:rPr>
              <w:t>从评审专家库中随机抽聘。</w:t>
            </w:r>
          </w:p>
        </w:tc>
      </w:tr>
      <w:tr w14:paraId="62039637">
        <w:tblPrEx>
          <w:tblCellMar>
            <w:top w:w="0" w:type="dxa"/>
            <w:left w:w="10" w:type="dxa"/>
            <w:bottom w:w="0" w:type="dxa"/>
            <w:right w:w="10" w:type="dxa"/>
          </w:tblCellMar>
        </w:tblPrEx>
        <w:trPr>
          <w:trHeight w:val="766"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04458604">
            <w:pPr>
              <w:spacing w:line="340" w:lineRule="exact"/>
              <w:jc w:val="center"/>
              <w:rPr>
                <w:rFonts w:hint="eastAsia" w:ascii="宋体" w:hAnsi="宋体" w:eastAsia="宋体" w:cs="宋体"/>
                <w:color w:val="000000" w:themeColor="text1"/>
                <w:sz w:val="24"/>
                <w:szCs w:val="24"/>
                <w:lang w:eastAsia="en-US"/>
                <w14:textFill>
                  <w14:solidFill>
                    <w14:schemeClr w14:val="tx1"/>
                  </w14:solidFill>
                </w14:textFill>
              </w:rPr>
            </w:pPr>
            <w:r>
              <w:rPr>
                <w:rFonts w:hint="eastAsia" w:ascii="宋体" w:hAnsi="宋体" w:eastAsia="宋体" w:cs="宋体"/>
                <w:color w:val="000000" w:themeColor="text1"/>
                <w:sz w:val="24"/>
                <w:szCs w:val="24"/>
                <w:lang w:eastAsia="en-US"/>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1</w:t>
            </w:r>
          </w:p>
        </w:tc>
        <w:tc>
          <w:tcPr>
            <w:tcW w:w="2170" w:type="dxa"/>
            <w:tcBorders>
              <w:top w:val="single" w:color="auto" w:sz="4" w:space="0"/>
              <w:left w:val="single" w:color="auto" w:sz="4" w:space="0"/>
              <w:bottom w:val="single" w:color="auto" w:sz="4" w:space="0"/>
            </w:tcBorders>
            <w:shd w:val="clear" w:color="auto" w:fill="FFFFFF"/>
            <w:vAlign w:val="center"/>
          </w:tcPr>
          <w:p w14:paraId="4B75C4B0">
            <w:pPr>
              <w:spacing w:line="3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是否授权磋商小组确定成交供应商</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center"/>
          </w:tcPr>
          <w:p w14:paraId="5070B7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FE"/>
            </w:r>
            <w:r>
              <w:rPr>
                <w:rFonts w:hint="eastAsia" w:ascii="宋体" w:hAnsi="宋体" w:eastAsia="宋体" w:cs="宋体"/>
                <w:color w:val="000000" w:themeColor="text1"/>
                <w:sz w:val="24"/>
                <w:szCs w:val="24"/>
                <w14:textFill>
                  <w14:solidFill>
                    <w14:schemeClr w14:val="tx1"/>
                  </w14:solidFill>
                </w14:textFill>
              </w:rPr>
              <w:t>是</w:t>
            </w:r>
          </w:p>
          <w:p w14:paraId="0F420C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否</w:t>
            </w:r>
          </w:p>
        </w:tc>
      </w:tr>
      <w:tr w14:paraId="3F64E226">
        <w:tblPrEx>
          <w:tblCellMar>
            <w:top w:w="0" w:type="dxa"/>
            <w:left w:w="10" w:type="dxa"/>
            <w:bottom w:w="0" w:type="dxa"/>
            <w:right w:w="10" w:type="dxa"/>
          </w:tblCellMar>
        </w:tblPrEx>
        <w:trPr>
          <w:trHeight w:val="936"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3271BD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000000" w:themeColor="text1"/>
                <w:sz w:val="24"/>
                <w:szCs w:val="24"/>
                <w:lang w:eastAsia="en-US"/>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7.3.1</w:t>
            </w:r>
          </w:p>
        </w:tc>
        <w:tc>
          <w:tcPr>
            <w:tcW w:w="2170" w:type="dxa"/>
            <w:tcBorders>
              <w:top w:val="single" w:color="auto" w:sz="4" w:space="0"/>
              <w:left w:val="single" w:color="auto" w:sz="4" w:space="0"/>
              <w:bottom w:val="single" w:color="auto" w:sz="4" w:space="0"/>
            </w:tcBorders>
            <w:shd w:val="clear" w:color="auto" w:fill="FFFFFF"/>
            <w:vAlign w:val="center"/>
          </w:tcPr>
          <w:p w14:paraId="1E18A7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履约担保</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center"/>
          </w:tcPr>
          <w:p w14:paraId="33B252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履约担保的形式：/</w:t>
            </w:r>
          </w:p>
          <w:p w14:paraId="0F241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履约担保的金额：/</w:t>
            </w:r>
          </w:p>
        </w:tc>
      </w:tr>
      <w:tr w14:paraId="0400E7C6">
        <w:tblPrEx>
          <w:tblCellMar>
            <w:top w:w="0" w:type="dxa"/>
            <w:left w:w="10" w:type="dxa"/>
            <w:bottom w:w="0" w:type="dxa"/>
            <w:right w:w="10" w:type="dxa"/>
          </w:tblCellMar>
        </w:tblPrEx>
        <w:trPr>
          <w:trHeight w:val="574"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7072769A">
            <w:pPr>
              <w:spacing w:line="340" w:lineRule="exact"/>
              <w:jc w:val="center"/>
              <w:rPr>
                <w:rFonts w:hint="eastAsia" w:ascii="宋体" w:hAnsi="宋体" w:eastAsia="宋体" w:cs="宋体"/>
                <w:color w:val="000000" w:themeColor="text1"/>
                <w:sz w:val="24"/>
                <w:szCs w:val="24"/>
                <w:lang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72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20CCD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需要补充的其他内容</w:t>
            </w:r>
          </w:p>
        </w:tc>
      </w:tr>
      <w:tr w14:paraId="20FCAA6D">
        <w:tblPrEx>
          <w:tblCellMar>
            <w:top w:w="0" w:type="dxa"/>
            <w:left w:w="10" w:type="dxa"/>
            <w:bottom w:w="0" w:type="dxa"/>
            <w:right w:w="10" w:type="dxa"/>
          </w:tblCellMar>
        </w:tblPrEx>
        <w:trPr>
          <w:trHeight w:val="946"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4E8687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10.1</w:t>
            </w:r>
          </w:p>
        </w:tc>
        <w:tc>
          <w:tcPr>
            <w:tcW w:w="2170" w:type="dxa"/>
            <w:tcBorders>
              <w:top w:val="single" w:color="auto" w:sz="4" w:space="0"/>
              <w:left w:val="single" w:color="auto" w:sz="4" w:space="0"/>
              <w:bottom w:val="single" w:color="auto" w:sz="4" w:space="0"/>
              <w:right w:val="single" w:color="auto" w:sz="4" w:space="0"/>
            </w:tcBorders>
            <w:shd w:val="clear" w:color="auto" w:fill="FFFFFF"/>
            <w:vAlign w:val="center"/>
          </w:tcPr>
          <w:p w14:paraId="39B8EE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最高磋商限价</w:t>
            </w:r>
          </w:p>
          <w:p w14:paraId="66461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（人民币）</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center"/>
          </w:tcPr>
          <w:p w14:paraId="0C134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人民币</w:t>
            </w:r>
            <w:r>
              <w:rPr>
                <w:rFonts w:hint="eastAsia" w:ascii="宋体" w:hAnsi="宋体" w:cs="宋体"/>
                <w:color w:val="000000" w:themeColor="text1"/>
                <w:sz w:val="24"/>
                <w:szCs w:val="24"/>
                <w:highlight w:val="none"/>
                <w:u w:val="none"/>
                <w:lang w:val="en-US" w:eastAsia="zh-CN"/>
                <w14:textFill>
                  <w14:solidFill>
                    <w14:schemeClr w14:val="tx1"/>
                  </w14:solidFill>
                </w14:textFill>
              </w:rPr>
              <w:t>1,420,000.00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。磋商报价不得超过本最高磋商限价（含首轮报价及二次报价）</w:t>
            </w:r>
          </w:p>
        </w:tc>
      </w:tr>
      <w:tr w14:paraId="21671244">
        <w:tblPrEx>
          <w:tblCellMar>
            <w:top w:w="0" w:type="dxa"/>
            <w:left w:w="10" w:type="dxa"/>
            <w:bottom w:w="0" w:type="dxa"/>
            <w:right w:w="10" w:type="dxa"/>
          </w:tblCellMar>
        </w:tblPrEx>
        <w:trPr>
          <w:trHeight w:val="680"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4963EAF5">
            <w:pPr>
              <w:spacing w:line="3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en-US"/>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170" w:type="dxa"/>
            <w:tcBorders>
              <w:top w:val="single" w:color="auto" w:sz="4" w:space="0"/>
              <w:left w:val="single" w:color="auto" w:sz="4" w:space="0"/>
              <w:bottom w:val="single" w:color="auto" w:sz="4" w:space="0"/>
              <w:right w:val="single" w:color="auto" w:sz="4" w:space="0"/>
            </w:tcBorders>
            <w:shd w:val="clear" w:color="auto" w:fill="FFFFFF"/>
            <w:vAlign w:val="center"/>
          </w:tcPr>
          <w:p w14:paraId="14077281">
            <w:pPr>
              <w:spacing w:line="3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报价轮次</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center"/>
          </w:tcPr>
          <w:p w14:paraId="5FA3C7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本次磋商共2轮报价（含首轮报价）</w:t>
            </w:r>
          </w:p>
        </w:tc>
      </w:tr>
      <w:tr w14:paraId="320C92C1">
        <w:tblPrEx>
          <w:tblCellMar>
            <w:top w:w="0" w:type="dxa"/>
            <w:left w:w="10" w:type="dxa"/>
            <w:bottom w:w="0" w:type="dxa"/>
            <w:right w:w="10" w:type="dxa"/>
          </w:tblCellMar>
        </w:tblPrEx>
        <w:trPr>
          <w:trHeight w:val="1282"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25F40BB6">
            <w:pPr>
              <w:spacing w:line="3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2170" w:type="dxa"/>
            <w:tcBorders>
              <w:top w:val="single" w:color="auto" w:sz="4" w:space="0"/>
              <w:left w:val="single" w:color="auto" w:sz="4" w:space="0"/>
              <w:bottom w:val="single" w:color="auto" w:sz="4" w:space="0"/>
              <w:right w:val="single" w:color="auto" w:sz="4" w:space="0"/>
            </w:tcBorders>
            <w:shd w:val="clear" w:color="auto" w:fill="FFFFFF"/>
            <w:vAlign w:val="center"/>
          </w:tcPr>
          <w:p w14:paraId="09D95B68">
            <w:pPr>
              <w:spacing w:line="3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第二轮报价</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top"/>
          </w:tcPr>
          <w:p w14:paraId="3A0F6CA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第二轮磋商报价</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通过“政采云”平台（http：//www.zcygov.cn）</w:t>
            </w:r>
            <w:r>
              <w:rPr>
                <w:rFonts w:hint="eastAsia" w:ascii="宋体" w:hAnsi="宋体" w:cs="宋体"/>
                <w:b w:val="0"/>
                <w:bCs w:val="0"/>
                <w:color w:val="000000" w:themeColor="text1"/>
                <w:spacing w:val="0"/>
                <w:w w:val="100"/>
                <w:position w:val="0"/>
                <w:sz w:val="24"/>
                <w:szCs w:val="24"/>
                <w:highlight w:val="none"/>
                <w:lang w:val="zh-CN" w:eastAsia="zh-CN"/>
                <w14:textFill>
                  <w14:solidFill>
                    <w14:schemeClr w14:val="tx1"/>
                  </w14:solidFill>
                </w14:textFill>
              </w:rPr>
              <w:t>系统</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上传</w:t>
            </w:r>
            <w:r>
              <w:rPr>
                <w:rFonts w:hint="eastAsia" w:ascii="宋体" w:hAnsi="宋体" w:cs="宋体"/>
                <w:b w:val="0"/>
                <w:bCs w:val="0"/>
                <w:color w:val="000000" w:themeColor="text1"/>
                <w:spacing w:val="0"/>
                <w:w w:val="100"/>
                <w:position w:val="0"/>
                <w:sz w:val="24"/>
                <w:szCs w:val="24"/>
                <w:highlight w:val="none"/>
                <w:lang w:val="zh-CN" w:eastAsia="zh-CN"/>
                <w14:textFill>
                  <w14:solidFill>
                    <w14:schemeClr w14:val="tx1"/>
                  </w14:solidFill>
                </w14:textFill>
              </w:rPr>
              <w:t>第二轮报价</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电子</w:t>
            </w:r>
            <w:r>
              <w:rPr>
                <w:rFonts w:hint="eastAsia" w:ascii="宋体" w:hAnsi="宋体" w:cs="宋体"/>
                <w:b w:val="0"/>
                <w:bCs w:val="0"/>
                <w:color w:val="000000" w:themeColor="text1"/>
                <w:spacing w:val="0"/>
                <w:w w:val="100"/>
                <w:position w:val="0"/>
                <w:sz w:val="24"/>
                <w:szCs w:val="24"/>
                <w:highlight w:val="none"/>
                <w:lang w:val="zh-CN" w:eastAsia="zh-CN"/>
                <w14:textFill>
                  <w14:solidFill>
                    <w14:schemeClr w14:val="tx1"/>
                  </w14:solidFill>
                </w14:textFill>
              </w:rPr>
              <w:t>版文件。</w:t>
            </w:r>
            <w:r>
              <w:rPr>
                <w:rFonts w:hint="eastAsia" w:ascii="宋体" w:hAnsi="宋体" w:cs="宋体"/>
                <w:b w:val="0"/>
                <w:bCs w:val="0"/>
                <w:color w:val="000000" w:themeColor="text1"/>
                <w:spacing w:val="0"/>
                <w:w w:val="100"/>
                <w:position w:val="0"/>
                <w:sz w:val="24"/>
                <w:szCs w:val="24"/>
                <w:highlight w:val="none"/>
                <w:lang w:val="en-US" w:eastAsia="zh-CN"/>
                <w14:textFill>
                  <w14:solidFill>
                    <w14:schemeClr w14:val="tx1"/>
                  </w14:solidFill>
                </w14:textFill>
              </w:rPr>
              <w:t>以</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“政采云”平台</w:t>
            </w:r>
            <w:r>
              <w:rPr>
                <w:rFonts w:hint="eastAsia" w:ascii="宋体" w:hAnsi="宋体" w:cs="宋体"/>
                <w:b w:val="0"/>
                <w:bCs w:val="0"/>
                <w:color w:val="000000" w:themeColor="text1"/>
                <w:spacing w:val="0"/>
                <w:w w:val="100"/>
                <w:position w:val="0"/>
                <w:sz w:val="24"/>
                <w:szCs w:val="24"/>
                <w:highlight w:val="none"/>
                <w:lang w:val="en-US" w:eastAsia="zh-CN"/>
                <w14:textFill>
                  <w14:solidFill>
                    <w14:schemeClr w14:val="tx1"/>
                  </w14:solidFill>
                </w14:textFill>
              </w:rPr>
              <w:t>格式为准。</w:t>
            </w:r>
          </w:p>
        </w:tc>
      </w:tr>
      <w:tr w14:paraId="694DFCB9">
        <w:tblPrEx>
          <w:tblCellMar>
            <w:top w:w="0" w:type="dxa"/>
            <w:left w:w="10" w:type="dxa"/>
            <w:bottom w:w="0" w:type="dxa"/>
            <w:right w:w="10" w:type="dxa"/>
          </w:tblCellMar>
        </w:tblPrEx>
        <w:trPr>
          <w:trHeight w:val="1619"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37CAD36D">
            <w:pPr>
              <w:spacing w:line="3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en-US"/>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2170" w:type="dxa"/>
            <w:tcBorders>
              <w:top w:val="single" w:color="auto" w:sz="4" w:space="0"/>
              <w:left w:val="single" w:color="auto" w:sz="4" w:space="0"/>
              <w:bottom w:val="single" w:color="auto" w:sz="4" w:space="0"/>
              <w:right w:val="single" w:color="auto" w:sz="4" w:space="0"/>
            </w:tcBorders>
            <w:shd w:val="clear" w:color="auto" w:fill="FFFFFF"/>
            <w:vAlign w:val="center"/>
          </w:tcPr>
          <w:p w14:paraId="7844C629">
            <w:pPr>
              <w:spacing w:line="3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采购代理服务费</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top"/>
          </w:tcPr>
          <w:p w14:paraId="6EB8FED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由成交供应商支付，成交供应商应在成交通知书发出时将本项目采购代理服务费一次性支付给采购代理机构。</w:t>
            </w:r>
            <w:r>
              <w:rPr>
                <w:rFonts w:hint="eastAsia" w:ascii="宋体" w:hAnsi="宋体" w:eastAsia="宋体" w:cs="宋体"/>
                <w:b/>
                <w:bCs/>
                <w:color w:val="000000" w:themeColor="text1"/>
                <w:sz w:val="24"/>
                <w:szCs w:val="24"/>
                <w14:textFill>
                  <w14:solidFill>
                    <w14:schemeClr w14:val="tx1"/>
                  </w14:solidFill>
                </w14:textFill>
              </w:rPr>
              <w:t>依据有关法律法规规定收取采购代理服务费</w:t>
            </w:r>
            <w:r>
              <w:rPr>
                <w:rFonts w:hint="eastAsia" w:ascii="宋体" w:hAnsi="宋体" w:eastAsia="宋体" w:cs="宋体"/>
                <w:color w:val="000000" w:themeColor="text1"/>
                <w:sz w:val="24"/>
                <w:szCs w:val="24"/>
                <w14:textFill>
                  <w14:solidFill>
                    <w14:schemeClr w14:val="tx1"/>
                  </w14:solidFill>
                </w14:textFill>
              </w:rPr>
              <w:t>。</w:t>
            </w:r>
          </w:p>
        </w:tc>
      </w:tr>
      <w:tr w14:paraId="21FBE43D">
        <w:tblPrEx>
          <w:tblCellMar>
            <w:top w:w="0" w:type="dxa"/>
            <w:left w:w="10" w:type="dxa"/>
            <w:bottom w:w="0" w:type="dxa"/>
            <w:right w:w="10" w:type="dxa"/>
          </w:tblCellMar>
        </w:tblPrEx>
        <w:trPr>
          <w:trHeight w:val="1943"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21F2736A">
            <w:pPr>
              <w:spacing w:line="340" w:lineRule="exact"/>
              <w:jc w:val="center"/>
              <w:rPr>
                <w:rFonts w:hint="eastAsia" w:ascii="宋体" w:hAnsi="宋体" w:eastAsia="宋体" w:cs="宋体"/>
                <w:color w:val="000000" w:themeColor="text1"/>
                <w:sz w:val="24"/>
                <w:szCs w:val="24"/>
                <w:lang w:eastAsia="en-US"/>
                <w14:textFill>
                  <w14:solidFill>
                    <w14:schemeClr w14:val="tx1"/>
                  </w14:solidFill>
                </w14:textFill>
              </w:rPr>
            </w:pPr>
            <w:r>
              <w:rPr>
                <w:rFonts w:hint="eastAsia" w:ascii="宋体" w:hAnsi="宋体" w:eastAsia="宋体" w:cs="宋体"/>
                <w:color w:val="000000" w:themeColor="text1"/>
                <w:sz w:val="24"/>
                <w:szCs w:val="24"/>
                <w:lang w:eastAsia="en-US"/>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2170" w:type="dxa"/>
            <w:tcBorders>
              <w:top w:val="single" w:color="auto" w:sz="4" w:space="0"/>
              <w:left w:val="single" w:color="auto" w:sz="4" w:space="0"/>
              <w:bottom w:val="single" w:color="auto" w:sz="4" w:space="0"/>
              <w:right w:val="single" w:color="auto" w:sz="4" w:space="0"/>
            </w:tcBorders>
            <w:shd w:val="clear" w:color="auto" w:fill="FFFFFF"/>
            <w:vAlign w:val="center"/>
          </w:tcPr>
          <w:p w14:paraId="65D55689">
            <w:pPr>
              <w:spacing w:line="3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供应商联系方式</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center"/>
          </w:tcPr>
          <w:p w14:paraId="3D616DC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自购买竞争性磋商文件之日起，供应商应保证其提供的联系方式（电话、传真、电子邮箱）一直有效，以确保往来函件能及时通知供应商，并能及时反馈信息，否则采购人不承担由此引发的一切后果。</w:t>
            </w:r>
          </w:p>
        </w:tc>
      </w:tr>
      <w:tr w14:paraId="3DA5D111">
        <w:tblPrEx>
          <w:tblCellMar>
            <w:top w:w="0" w:type="dxa"/>
            <w:left w:w="10" w:type="dxa"/>
            <w:bottom w:w="0" w:type="dxa"/>
            <w:right w:w="10" w:type="dxa"/>
          </w:tblCellMar>
        </w:tblPrEx>
        <w:trPr>
          <w:trHeight w:val="563"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4F3363C7">
            <w:pPr>
              <w:spacing w:line="340" w:lineRule="exact"/>
              <w:jc w:val="center"/>
              <w:rPr>
                <w:rFonts w:hint="eastAsia" w:ascii="宋体" w:hAnsi="宋体" w:eastAsia="宋体" w:cs="宋体"/>
                <w:color w:val="000000" w:themeColor="text1"/>
                <w:kern w:val="2"/>
                <w:sz w:val="24"/>
                <w:szCs w:val="24"/>
                <w:lang w:val="en-US" w:eastAsia="en-US" w:bidi="ar-SA"/>
                <w14:textFill>
                  <w14:solidFill>
                    <w14:schemeClr w14:val="tx1"/>
                  </w14:solidFill>
                </w14:textFill>
              </w:rPr>
            </w:pPr>
            <w:r>
              <w:rPr>
                <w:rFonts w:hint="eastAsia" w:ascii="宋体" w:hAnsi="宋体" w:eastAsia="宋体" w:cs="宋体"/>
                <w:color w:val="000000" w:themeColor="text1"/>
                <w:sz w:val="24"/>
                <w:szCs w:val="24"/>
                <w:lang w:eastAsia="en-US"/>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2170" w:type="dxa"/>
            <w:tcBorders>
              <w:top w:val="single" w:color="auto" w:sz="4" w:space="0"/>
              <w:left w:val="single" w:color="auto" w:sz="4" w:space="0"/>
              <w:bottom w:val="single" w:color="auto" w:sz="4" w:space="0"/>
              <w:right w:val="single" w:color="auto" w:sz="4" w:space="0"/>
            </w:tcBorders>
            <w:shd w:val="clear" w:color="auto" w:fill="FFFFFF"/>
            <w:vAlign w:val="center"/>
          </w:tcPr>
          <w:p w14:paraId="04C367BA">
            <w:pPr>
              <w:spacing w:line="34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特殊情况处置程序</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center"/>
          </w:tcPr>
          <w:p w14:paraId="223AD4B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详见供应商须知正文10.</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款</w:t>
            </w:r>
          </w:p>
        </w:tc>
      </w:tr>
      <w:tr w14:paraId="4E8F959D">
        <w:tblPrEx>
          <w:tblCellMar>
            <w:top w:w="0" w:type="dxa"/>
            <w:left w:w="10" w:type="dxa"/>
            <w:bottom w:w="0" w:type="dxa"/>
            <w:right w:w="10" w:type="dxa"/>
          </w:tblCellMar>
        </w:tblPrEx>
        <w:trPr>
          <w:trHeight w:val="668"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0FB20C85">
            <w:pPr>
              <w:spacing w:line="340" w:lineRule="exact"/>
              <w:jc w:val="center"/>
              <w:rPr>
                <w:rFonts w:hint="eastAsia" w:ascii="宋体" w:hAnsi="宋体" w:eastAsia="宋体" w:cs="宋体"/>
                <w:color w:val="000000" w:themeColor="text1"/>
                <w:kern w:val="2"/>
                <w:sz w:val="24"/>
                <w:szCs w:val="24"/>
                <w:lang w:val="en-US" w:eastAsia="en-US"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2170" w:type="dxa"/>
            <w:tcBorders>
              <w:top w:val="single" w:color="auto" w:sz="4" w:space="0"/>
              <w:left w:val="single" w:color="auto" w:sz="4" w:space="0"/>
              <w:bottom w:val="single" w:color="auto" w:sz="4" w:space="0"/>
              <w:right w:val="single" w:color="auto" w:sz="4" w:space="0"/>
            </w:tcBorders>
            <w:shd w:val="clear" w:color="auto" w:fill="FFFFFF"/>
            <w:vAlign w:val="center"/>
          </w:tcPr>
          <w:p w14:paraId="1315CAC9">
            <w:pPr>
              <w:spacing w:line="34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违法违规情形</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center"/>
          </w:tcPr>
          <w:p w14:paraId="30D185D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详见供应商须知正文10.</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款</w:t>
            </w:r>
          </w:p>
        </w:tc>
      </w:tr>
      <w:tr w14:paraId="311D3388">
        <w:tblPrEx>
          <w:tblCellMar>
            <w:top w:w="0" w:type="dxa"/>
            <w:left w:w="10" w:type="dxa"/>
            <w:bottom w:w="0" w:type="dxa"/>
            <w:right w:w="10" w:type="dxa"/>
          </w:tblCellMar>
        </w:tblPrEx>
        <w:trPr>
          <w:trHeight w:val="1123"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01D4DF5D">
            <w:pPr>
              <w:spacing w:line="340" w:lineRule="exact"/>
              <w:jc w:val="center"/>
              <w:rPr>
                <w:rFonts w:hint="eastAsia" w:ascii="宋体" w:hAnsi="宋体" w:eastAsia="宋体" w:cs="宋体"/>
                <w:color w:val="000000" w:themeColor="text1"/>
                <w:kern w:val="2"/>
                <w:sz w:val="24"/>
                <w:szCs w:val="24"/>
                <w:lang w:val="en-US" w:eastAsia="en-US" w:bidi="ar-SA"/>
                <w14:textFill>
                  <w14:solidFill>
                    <w14:schemeClr w14:val="tx1"/>
                  </w14:solidFill>
                </w14:textFill>
              </w:rPr>
            </w:pPr>
            <w:r>
              <w:rPr>
                <w:rFonts w:hint="eastAsia" w:ascii="宋体" w:hAnsi="宋体" w:eastAsia="宋体" w:cs="宋体"/>
                <w:color w:val="000000" w:themeColor="text1"/>
                <w:sz w:val="24"/>
                <w:szCs w:val="24"/>
                <w:lang w:eastAsia="en-US"/>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170" w:type="dxa"/>
            <w:tcBorders>
              <w:top w:val="single" w:color="auto" w:sz="4" w:space="0"/>
              <w:left w:val="single" w:color="auto" w:sz="4" w:space="0"/>
              <w:bottom w:val="single" w:color="auto" w:sz="4" w:space="0"/>
              <w:right w:val="single" w:color="auto" w:sz="4" w:space="0"/>
            </w:tcBorders>
            <w:shd w:val="clear" w:color="auto" w:fill="FFFFFF"/>
            <w:vAlign w:val="center"/>
          </w:tcPr>
          <w:p w14:paraId="76E78374">
            <w:pPr>
              <w:spacing w:line="34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关于成交供应商瑕疵滞后发现的处理规则</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center"/>
          </w:tcPr>
          <w:p w14:paraId="434E448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详见供应商须知正文10.</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款</w:t>
            </w:r>
          </w:p>
        </w:tc>
      </w:tr>
      <w:tr w14:paraId="433827FF">
        <w:tblPrEx>
          <w:tblCellMar>
            <w:top w:w="0" w:type="dxa"/>
            <w:left w:w="10" w:type="dxa"/>
            <w:bottom w:w="0" w:type="dxa"/>
            <w:right w:w="10" w:type="dxa"/>
          </w:tblCellMar>
        </w:tblPrEx>
        <w:trPr>
          <w:trHeight w:val="3678"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5A0AA7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000000" w:themeColor="text1"/>
                <w:kern w:val="2"/>
                <w:sz w:val="24"/>
                <w:szCs w:val="24"/>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10.9</w:t>
            </w:r>
          </w:p>
        </w:tc>
        <w:tc>
          <w:tcPr>
            <w:tcW w:w="2170" w:type="dxa"/>
            <w:tcBorders>
              <w:top w:val="single" w:color="auto" w:sz="4" w:space="0"/>
              <w:left w:val="single" w:color="auto" w:sz="4" w:space="0"/>
              <w:bottom w:val="single" w:color="auto" w:sz="4" w:space="0"/>
              <w:right w:val="single" w:color="auto" w:sz="4" w:space="0"/>
            </w:tcBorders>
            <w:shd w:val="clear" w:color="auto" w:fill="FFFFFF"/>
            <w:vAlign w:val="center"/>
          </w:tcPr>
          <w:p w14:paraId="1B1245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相同品牌投标的</w:t>
            </w:r>
          </w:p>
          <w:p w14:paraId="2AF724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kern w:val="0"/>
                <w:sz w:val="24"/>
                <w:szCs w:val="24"/>
              </w:rPr>
              <w:t>要求</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center"/>
          </w:tcPr>
          <w:p w14:paraId="7EEB4CC6">
            <w:pPr>
              <w:pStyle w:val="10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kern w:val="0"/>
                <w:sz w:val="24"/>
                <w:szCs w:val="24"/>
              </w:rPr>
              <w:t>根据中华人民共和国财政部（第87号令）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70DECF24">
        <w:tblPrEx>
          <w:tblCellMar>
            <w:top w:w="0" w:type="dxa"/>
            <w:left w:w="10" w:type="dxa"/>
            <w:bottom w:w="0" w:type="dxa"/>
            <w:right w:w="10" w:type="dxa"/>
          </w:tblCellMar>
        </w:tblPrEx>
        <w:trPr>
          <w:trHeight w:val="2026" w:hRule="exact"/>
          <w:jc w:val="center"/>
        </w:trPr>
        <w:tc>
          <w:tcPr>
            <w:tcW w:w="893" w:type="dxa"/>
            <w:tcBorders>
              <w:top w:val="single" w:color="auto" w:sz="4" w:space="0"/>
              <w:left w:val="single" w:color="auto" w:sz="4" w:space="0"/>
              <w:bottom w:val="single" w:color="auto" w:sz="4" w:space="0"/>
            </w:tcBorders>
            <w:shd w:val="clear" w:color="auto" w:fill="FFFFFF"/>
            <w:vAlign w:val="center"/>
          </w:tcPr>
          <w:p w14:paraId="619259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color w:val="000000" w:themeColor="text1"/>
                <w:kern w:val="2"/>
                <w:sz w:val="24"/>
                <w:szCs w:val="24"/>
                <w:lang w:val="en-US" w:eastAsia="en-US"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10.10</w:t>
            </w:r>
          </w:p>
        </w:tc>
        <w:tc>
          <w:tcPr>
            <w:tcW w:w="2170" w:type="dxa"/>
            <w:tcBorders>
              <w:top w:val="single" w:color="auto" w:sz="4" w:space="0"/>
              <w:left w:val="single" w:color="auto" w:sz="4" w:space="0"/>
              <w:bottom w:val="single" w:color="auto" w:sz="4" w:space="0"/>
              <w:right w:val="single" w:color="auto" w:sz="4" w:space="0"/>
            </w:tcBorders>
            <w:shd w:val="clear" w:color="auto" w:fill="FFFFFF"/>
            <w:vAlign w:val="center"/>
          </w:tcPr>
          <w:p w14:paraId="3988F8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是否采用电子招标投标</w:t>
            </w:r>
          </w:p>
        </w:tc>
        <w:tc>
          <w:tcPr>
            <w:tcW w:w="5124" w:type="dxa"/>
            <w:tcBorders>
              <w:top w:val="single" w:color="auto" w:sz="4" w:space="0"/>
              <w:left w:val="single" w:color="auto" w:sz="4" w:space="0"/>
              <w:bottom w:val="single" w:color="auto" w:sz="4" w:space="0"/>
              <w:right w:val="single" w:color="auto" w:sz="4" w:space="0"/>
            </w:tcBorders>
            <w:shd w:val="clear" w:color="auto" w:fill="FFFFFF"/>
            <w:vAlign w:val="center"/>
          </w:tcPr>
          <w:p w14:paraId="49FCFC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否</w:t>
            </w:r>
          </w:p>
          <w:p w14:paraId="28798FE5">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sym w:font="Wingdings" w:char="00FE"/>
            </w:r>
            <w:r>
              <w:rPr>
                <w:rFonts w:hint="eastAsia" w:ascii="宋体" w:hAnsi="宋体" w:eastAsia="宋体" w:cs="宋体"/>
                <w:color w:val="000000" w:themeColor="text1"/>
                <w:sz w:val="24"/>
                <w:szCs w:val="24"/>
                <w:highlight w:val="none"/>
                <w14:textFill>
                  <w14:solidFill>
                    <w14:schemeClr w14:val="tx1"/>
                  </w14:solidFill>
                </w14:textFill>
              </w:rPr>
              <w:t>是，具体要求：</w:t>
            </w:r>
            <w:r>
              <w:rPr>
                <w:rFonts w:hint="eastAsia" w:ascii="宋体" w:hAnsi="宋体" w:eastAsia="宋体" w:cs="宋体"/>
                <w:color w:val="auto"/>
                <w:sz w:val="24"/>
                <w:szCs w:val="24"/>
                <w:highlight w:val="none"/>
              </w:rPr>
              <w:t>本项目为全流程电子化项目，通过“政采云”平台（http：//www.zcygov.cn）实行在线电子投标，</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文件应加密并在提交截止时间前通过政府采购云平台在线提交</w:t>
            </w:r>
            <w:r>
              <w:rPr>
                <w:rFonts w:hint="eastAsia" w:ascii="宋体" w:hAnsi="宋体" w:eastAsia="宋体" w:cs="宋体"/>
                <w:color w:val="auto"/>
                <w:sz w:val="24"/>
                <w:szCs w:val="24"/>
                <w:highlight w:val="none"/>
                <w:lang w:val="en-US" w:eastAsia="zh-CN"/>
              </w:rPr>
              <w:t>。</w:t>
            </w:r>
          </w:p>
        </w:tc>
      </w:tr>
      <w:tr w14:paraId="7CA3FB05">
        <w:tblPrEx>
          <w:tblCellMar>
            <w:top w:w="0" w:type="dxa"/>
            <w:left w:w="10" w:type="dxa"/>
            <w:bottom w:w="0" w:type="dxa"/>
            <w:right w:w="10" w:type="dxa"/>
          </w:tblCellMar>
        </w:tblPrEx>
        <w:trPr>
          <w:trHeight w:val="603" w:hRule="exact"/>
          <w:jc w:val="center"/>
        </w:trPr>
        <w:tc>
          <w:tcPr>
            <w:tcW w:w="818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4E1A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b/>
                <w:bCs/>
                <w:color w:val="000000" w:themeColor="text1"/>
                <w14:textFill>
                  <w14:solidFill>
                    <w14:schemeClr w14:val="tx1"/>
                  </w14:solidFill>
                </w14:textFill>
              </w:rPr>
              <w:t>注：竞争性磋商公告与竞争性磋商文件不符之处以本竞争性磋商文件为准。</w:t>
            </w:r>
          </w:p>
        </w:tc>
      </w:tr>
    </w:tbl>
    <w:p w14:paraId="0C8DD436">
      <w:pPr>
        <w:spacing w:line="1" w:lineRule="exact"/>
        <w:rPr>
          <w:rFonts w:hint="eastAsia" w:ascii="宋体" w:hAnsi="宋体" w:eastAsia="宋体" w:cs="宋体"/>
          <w:color w:val="000000" w:themeColor="text1"/>
          <w:sz w:val="2"/>
          <w:szCs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334" w:name="_GoBack"/>
      <w:bookmarkEnd w:id="334"/>
    </w:p>
    <w:p w14:paraId="0DA7F5F9">
      <w:pPr>
        <w:spacing w:line="1" w:lineRule="exact"/>
        <w:rPr>
          <w:rFonts w:hint="eastAsia" w:ascii="宋体" w:hAnsi="宋体" w:eastAsia="宋体" w:cs="宋体"/>
          <w:color w:val="000000" w:themeColor="text1"/>
          <w:sz w:val="2"/>
          <w:szCs w:val="2"/>
          <w14:textFill>
            <w14:solidFill>
              <w14:schemeClr w14:val="tx1"/>
            </w14:solidFill>
          </w14:textFill>
        </w:rPr>
      </w:pPr>
    </w:p>
    <w:p w14:paraId="584037FA">
      <w:pPr>
        <w:spacing w:after="139" w:line="1" w:lineRule="exact"/>
        <w:rPr>
          <w:rFonts w:hint="eastAsia" w:ascii="宋体" w:hAnsi="宋体" w:eastAsia="宋体" w:cs="宋体"/>
          <w:color w:val="000000" w:themeColor="text1"/>
          <w14:textFill>
            <w14:solidFill>
              <w14:schemeClr w14:val="tx1"/>
            </w14:solidFill>
          </w14:textFill>
        </w:rPr>
      </w:pPr>
    </w:p>
    <w:p w14:paraId="35EAC3E4">
      <w:pPr>
        <w:pStyle w:val="82"/>
        <w:keepNext/>
        <w:keepLines/>
        <w:pageBreakBefore w:val="0"/>
        <w:widowControl w:val="0"/>
        <w:shd w:val="clear" w:color="auto" w:fill="auto"/>
        <w:kinsoku/>
        <w:wordWrap/>
        <w:overflowPunct/>
        <w:topLinePunct w:val="0"/>
        <w:autoSpaceDE/>
        <w:autoSpaceDN/>
        <w:bidi w:val="0"/>
        <w:adjustRightInd/>
        <w:snapToGrid/>
        <w:spacing w:before="0" w:after="100" w:line="500" w:lineRule="exact"/>
        <w:ind w:left="0" w:right="0" w:firstLine="0"/>
        <w:jc w:val="center"/>
        <w:textAlignment w:val="auto"/>
        <w:outlineLvl w:val="1"/>
        <w:rPr>
          <w:rFonts w:hint="eastAsia" w:ascii="宋体" w:hAnsi="宋体" w:eastAsia="宋体" w:cs="宋体"/>
          <w:color w:val="000000" w:themeColor="text1"/>
          <w:sz w:val="32"/>
          <w:szCs w:val="32"/>
          <w:highlight w:val="none"/>
          <w14:textFill>
            <w14:solidFill>
              <w14:schemeClr w14:val="tx1"/>
            </w14:solidFill>
          </w14:textFill>
        </w:rPr>
      </w:pPr>
      <w:bookmarkStart w:id="36" w:name="_Toc26073"/>
      <w:bookmarkStart w:id="37" w:name="bookmark63"/>
      <w:bookmarkStart w:id="38" w:name="_Toc15394"/>
      <w:bookmarkStart w:id="39" w:name="bookmark64"/>
      <w:bookmarkStart w:id="40" w:name="bookmark65"/>
      <w:bookmarkStart w:id="41" w:name="_Toc32355"/>
      <w:bookmarkStart w:id="42" w:name="_Toc71"/>
      <w:bookmarkStart w:id="43" w:name="_Toc8417"/>
      <w:r>
        <w:rPr>
          <w:rFonts w:hint="eastAsia" w:ascii="宋体" w:hAnsi="宋体" w:eastAsia="宋体" w:cs="宋体"/>
          <w:color w:val="000000" w:themeColor="text1"/>
          <w:spacing w:val="0"/>
          <w:w w:val="100"/>
          <w:position w:val="0"/>
          <w:sz w:val="32"/>
          <w:szCs w:val="32"/>
          <w:highlight w:val="none"/>
          <w:lang w:eastAsia="zh-CN"/>
          <w14:textFill>
            <w14:solidFill>
              <w14:schemeClr w14:val="tx1"/>
            </w14:solidFill>
          </w14:textFill>
        </w:rPr>
        <w:t>二、</w:t>
      </w:r>
      <w:r>
        <w:rPr>
          <w:rFonts w:hint="eastAsia" w:ascii="宋体" w:hAnsi="宋体" w:eastAsia="宋体" w:cs="宋体"/>
          <w:color w:val="000000" w:themeColor="text1"/>
          <w:spacing w:val="0"/>
          <w:w w:val="100"/>
          <w:position w:val="0"/>
          <w:sz w:val="32"/>
          <w:szCs w:val="32"/>
          <w:highlight w:val="none"/>
          <w14:textFill>
            <w14:solidFill>
              <w14:schemeClr w14:val="tx1"/>
            </w14:solidFill>
          </w14:textFill>
        </w:rPr>
        <w:t>供应商须知正文部分</w:t>
      </w:r>
      <w:bookmarkEnd w:id="36"/>
      <w:bookmarkEnd w:id="37"/>
      <w:bookmarkEnd w:id="38"/>
      <w:bookmarkEnd w:id="39"/>
      <w:bookmarkEnd w:id="40"/>
      <w:bookmarkEnd w:id="41"/>
    </w:p>
    <w:p w14:paraId="6F05C7CE">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0"/>
          <w:w w:val="100"/>
          <w:position w:val="0"/>
          <w:sz w:val="30"/>
          <w:szCs w:val="30"/>
          <w:highlight w:val="none"/>
          <w14:textFill>
            <w14:solidFill>
              <w14:schemeClr w14:val="tx1"/>
            </w14:solidFill>
          </w14:textFill>
        </w:rPr>
        <w:t>总则</w:t>
      </w:r>
    </w:p>
    <w:p w14:paraId="0C7A10CA">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供应商应仔细阅读本磋商文件的所有内容(包括答疑、补充、澄清以及修改等)，按照磋商文件要求以及格式编制响应文件，并保证其真实性，否则一切后果自负。</w:t>
      </w:r>
    </w:p>
    <w:p w14:paraId="620D3C00">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241"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1.</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项目概况</w:t>
      </w:r>
    </w:p>
    <w:p w14:paraId="0CBA2350">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根据《中华人民共和国政府采购法》、《中华人民共和国政府采购法实施条例》、《财政部关于印发政府采购竞争性磋商采购方式管理暂行办法的通知》</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《政府采购货物和服务招标投标管理办法》</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等有关法律、法规和规章的规定，本采购项目已具备采购条件，现以竞争性磋商方式对本项目进行采购。</w:t>
      </w:r>
    </w:p>
    <w:p w14:paraId="6BB1B184">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1.1.</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本采购项目采购人：见供应商须知前附表。</w:t>
      </w:r>
    </w:p>
    <w:p w14:paraId="3DDA76D8">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1.1.</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本采购项目采购代理机构：见供应商须知前附表。</w:t>
      </w:r>
    </w:p>
    <w:p w14:paraId="63D82DCA">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1.1.</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供应商：系指响应采购要求且符合磋商文件规定的资格条件和参加磋商报价竞争的法人、其他组织或者自然人。</w:t>
      </w:r>
    </w:p>
    <w:p w14:paraId="1FC4C38C">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1.1.</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磋商小组：系指根据法律法规规定，由采购人代表和有关专家组成以确定成交供应商的临时组织。</w:t>
      </w:r>
    </w:p>
    <w:p w14:paraId="1BBF0A3B">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1.1.</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成交供应商：系指经磋商确定的满足磋商文件实质性响应要求且经评审综合得分最高的</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取得与采购人签订合同资格的供应商。</w:t>
      </w:r>
    </w:p>
    <w:p w14:paraId="4F8CB420">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1.1.</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6</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本采购项目名称</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、项目地点及合同履行期限</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：见供应商须知前附表。</w:t>
      </w:r>
    </w:p>
    <w:p w14:paraId="2BDBD9A9">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1.1.</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7</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本采购项目预算</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金额</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：见供应商须知前附表。</w:t>
      </w:r>
    </w:p>
    <w:p w14:paraId="6EE3B7C8">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1.1.</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8</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本采购项目结构类型：见供应商须知前附表。</w:t>
      </w:r>
    </w:p>
    <w:p w14:paraId="6E55E330">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1.1.</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9</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本采购项目</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品目名称及</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标段划分：见供应商须知前附表</w:t>
      </w:r>
    </w:p>
    <w:p w14:paraId="4CF73505">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1.</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2资金来源和落实情况</w:t>
      </w:r>
    </w:p>
    <w:p w14:paraId="7711FDFD">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1.2.1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本采购项目的资金来源：见供应商须知前附表。</w:t>
      </w:r>
    </w:p>
    <w:p w14:paraId="7FEE94C3">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1.2.2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本采购项目的岀资比例：见供应商须知前附表。</w:t>
      </w:r>
    </w:p>
    <w:p w14:paraId="206D9127">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1.2.3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本采购项目的资金落实情况：见供应商须知前附表。</w:t>
      </w:r>
    </w:p>
    <w:p w14:paraId="037A5E8F">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1.</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3釆购范围、计划工期和质量要求</w:t>
      </w:r>
    </w:p>
    <w:p w14:paraId="2F405F3C">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1.3.1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本次采购范围：见供应商须知前附表。</w:t>
      </w:r>
    </w:p>
    <w:p w14:paraId="3C0437E7">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1.3.</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本采购项目的质量要求：见供应商须知前附表。</w:t>
      </w:r>
    </w:p>
    <w:p w14:paraId="24C7A74F">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1</w:t>
      </w:r>
      <w:r>
        <w:rPr>
          <w:rFonts w:hint="eastAsia" w:ascii="宋体" w:hAnsi="宋体" w:eastAsia="宋体" w:cs="宋体"/>
          <w:b/>
          <w:bCs/>
          <w:color w:val="000000" w:themeColor="text1"/>
          <w:spacing w:val="0"/>
          <w:w w:val="100"/>
          <w:position w:val="0"/>
          <w:sz w:val="24"/>
          <w:szCs w:val="24"/>
          <w:highlight w:val="none"/>
          <w:lang w:val="en-US" w:eastAsia="zh-CN" w:bidi="en-US"/>
          <w14:textFill>
            <w14:solidFill>
              <w14:schemeClr w14:val="tx1"/>
            </w14:solidFill>
          </w14:textFill>
        </w:rPr>
        <w:t>.</w:t>
      </w: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4</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供应商资格要求</w:t>
      </w:r>
    </w:p>
    <w:p w14:paraId="40F7712B">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1.4.1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供应商应具备承担本标段施工的资质条件、能力和信誉。</w:t>
      </w:r>
    </w:p>
    <w:p w14:paraId="03F9B4CD">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4" w:name="bookmark66"/>
      <w:bookmarkEnd w:id="44"/>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资质条件：见供应商须知前附表；</w:t>
      </w:r>
    </w:p>
    <w:p w14:paraId="7FE284A4">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5" w:name="bookmark67"/>
      <w:bookmarkEnd w:id="45"/>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财务要求：见供应商须知前附表；</w:t>
      </w:r>
    </w:p>
    <w:p w14:paraId="473C744B">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6" w:name="bookmark68"/>
      <w:bookmarkEnd w:id="46"/>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业绩要求：见供应商须知前附表；</w:t>
      </w:r>
    </w:p>
    <w:p w14:paraId="51E741D6">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7" w:name="bookmark69"/>
      <w:bookmarkEnd w:id="47"/>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信誉要求：见供应商须知前附表；</w:t>
      </w:r>
    </w:p>
    <w:p w14:paraId="20FFBBE5">
      <w:pPr>
        <w:spacing w:line="500" w:lineRule="atLeas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bookmarkStart w:id="48" w:name="bookmark71"/>
      <w:bookmarkEnd w:id="48"/>
      <w:bookmarkStart w:id="49" w:name="bookmark70"/>
      <w:bookmarkEnd w:id="49"/>
      <w:r>
        <w:rPr>
          <w:rFonts w:hint="eastAsia" w:ascii="宋体" w:hAnsi="宋体" w:eastAsia="宋体" w:cs="宋体"/>
          <w:color w:val="000000" w:themeColor="text1"/>
          <w:sz w:val="24"/>
          <w:szCs w:val="24"/>
          <w:highlight w:val="none"/>
          <w14:textFill>
            <w14:solidFill>
              <w14:schemeClr w14:val="tx1"/>
            </w14:solidFill>
          </w14:textFill>
        </w:rPr>
        <w:t>（5）项目</w:t>
      </w:r>
      <w:r>
        <w:rPr>
          <w:rFonts w:hint="eastAsia" w:ascii="宋体" w:hAnsi="宋体" w:eastAsia="宋体" w:cs="宋体"/>
          <w:color w:val="000000" w:themeColor="text1"/>
          <w:sz w:val="24"/>
          <w:szCs w:val="24"/>
          <w:highlight w:val="none"/>
          <w:lang w:eastAsia="zh-CN"/>
          <w14:textFill>
            <w14:solidFill>
              <w14:schemeClr w14:val="tx1"/>
            </w14:solidFill>
          </w14:textFill>
        </w:rPr>
        <w:t>负责人</w:t>
      </w:r>
      <w:r>
        <w:rPr>
          <w:rFonts w:hint="eastAsia" w:ascii="宋体" w:hAnsi="宋体" w:eastAsia="宋体" w:cs="宋体"/>
          <w:color w:val="000000" w:themeColor="text1"/>
          <w:sz w:val="24"/>
          <w:szCs w:val="24"/>
          <w:highlight w:val="none"/>
          <w14:textFill>
            <w14:solidFill>
              <w14:schemeClr w14:val="tx1"/>
            </w14:solidFill>
          </w14:textFill>
        </w:rPr>
        <w:t>资格</w:t>
      </w:r>
      <w:r>
        <w:rPr>
          <w:rFonts w:hint="eastAsia" w:ascii="宋体" w:hAnsi="宋体" w:eastAsia="宋体" w:cs="宋体"/>
          <w:color w:val="000000" w:themeColor="text1"/>
          <w:sz w:val="24"/>
          <w:szCs w:val="24"/>
          <w:highlight w:val="none"/>
          <w:lang w:eastAsia="zh-CN"/>
          <w14:textFill>
            <w14:solidFill>
              <w14:schemeClr w14:val="tx1"/>
            </w14:solidFill>
          </w14:textFill>
        </w:rPr>
        <w:t>要求</w:t>
      </w:r>
      <w:r>
        <w:rPr>
          <w:rFonts w:hint="eastAsia" w:ascii="宋体" w:hAnsi="宋体" w:eastAsia="宋体" w:cs="宋体"/>
          <w:color w:val="000000" w:themeColor="text1"/>
          <w:sz w:val="24"/>
          <w:szCs w:val="24"/>
          <w:highlight w:val="none"/>
          <w14:textFill>
            <w14:solidFill>
              <w14:schemeClr w14:val="tx1"/>
            </w14:solidFill>
          </w14:textFill>
        </w:rPr>
        <w:t>：见供应商须知前附表；</w:t>
      </w:r>
    </w:p>
    <w:p w14:paraId="4DA9C9E6">
      <w:pPr>
        <w:spacing w:line="500" w:lineRule="atLeas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（6）其他要求：见供应商须知前附表。</w:t>
      </w:r>
    </w:p>
    <w:p w14:paraId="3D5306D0">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1.4</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2供应商须知前附表规定接受联合体投标的，联合体除应符合本章第</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1.4.</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1项和供应商须知前附表的要求外，还应遵守以下规定：</w:t>
      </w:r>
    </w:p>
    <w:p w14:paraId="47CB451F">
      <w:pPr>
        <w:pStyle w:val="81"/>
        <w:keepNext w:val="0"/>
        <w:keepLines w:val="0"/>
        <w:pageBreakBefore w:val="0"/>
        <w:widowControl w:val="0"/>
        <w:numPr>
          <w:ilvl w:val="0"/>
          <w:numId w:val="0"/>
        </w:numPr>
        <w:shd w:val="clear" w:color="auto" w:fill="auto"/>
        <w:tabs>
          <w:tab w:val="left" w:pos="1016"/>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0" w:name="bookmark72"/>
      <w:bookmarkEnd w:id="50"/>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联合体各方应按竞争性磋商文件提供的格式签订联合体协议书，明确联合体牵头人和各方权利义务，并承诺就中标项目向采购人承担连带责任；</w:t>
      </w:r>
    </w:p>
    <w:p w14:paraId="57F2907B">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1" w:name="bookmark73"/>
      <w:bookmarkEnd w:id="51"/>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由同一专业的单位组成的联合体，按照资质等级较低的单位确定资质等级；</w:t>
      </w:r>
    </w:p>
    <w:p w14:paraId="1B289E86">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2" w:name="bookmark74"/>
      <w:bookmarkEnd w:id="52"/>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联合体各方不得再以自己名义单独或参加其他联合体在同一标段中磋商；</w:t>
      </w:r>
    </w:p>
    <w:p w14:paraId="3910E706">
      <w:pPr>
        <w:pStyle w:val="81"/>
        <w:keepNext w:val="0"/>
        <w:keepLines w:val="0"/>
        <w:pageBreakBefore w:val="0"/>
        <w:widowControl w:val="0"/>
        <w:numPr>
          <w:ilvl w:val="0"/>
          <w:numId w:val="0"/>
        </w:numPr>
        <w:shd w:val="clear" w:color="auto" w:fill="auto"/>
        <w:tabs>
          <w:tab w:val="left" w:pos="1016"/>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3" w:name="bookmark75"/>
      <w:bookmarkEnd w:id="53"/>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联合体各方应分别按照本竞争性磋商文件的要求，填写竞争性磋商响应文件中的相应表格, 并由联合体牵头人负责对联合体各成员的资料进行统一汇总后一并提交给采购人；联合体牵头人所提交的竞争性磋商响应文件应认为已代表了联合体各成员的真实情况；</w:t>
      </w:r>
    </w:p>
    <w:p w14:paraId="26AC95A5">
      <w:pPr>
        <w:pStyle w:val="81"/>
        <w:keepNext w:val="0"/>
        <w:keepLines w:val="0"/>
        <w:pageBreakBefore w:val="0"/>
        <w:widowControl w:val="0"/>
        <w:numPr>
          <w:ilvl w:val="0"/>
          <w:numId w:val="0"/>
        </w:numPr>
        <w:shd w:val="clear" w:color="auto" w:fill="auto"/>
        <w:tabs>
          <w:tab w:val="left" w:pos="1016"/>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4" w:name="bookmark76"/>
      <w:bookmarkEnd w:id="54"/>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尽管委任了联合体牵头人，但联合体各成员在投标、签订合同与履行合同过程中，仍负有连带的和各自的法律责任。</w:t>
      </w:r>
    </w:p>
    <w:p w14:paraId="3CFCDF48">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1.4.3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供应商(包括联合体各成员)不得与本标段相关单位存在下列关联关系：</w:t>
      </w:r>
    </w:p>
    <w:p w14:paraId="5B29A7DC">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5" w:name="bookmark77"/>
      <w:bookmarkEnd w:id="55"/>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为采购人不具有独立法人资格的附属机构(单位)；</w:t>
      </w:r>
    </w:p>
    <w:p w14:paraId="2CA66545">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6" w:name="bookmark78"/>
      <w:bookmarkEnd w:id="56"/>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与采购人存在利害关系且可能影响磋商公正性；</w:t>
      </w:r>
    </w:p>
    <w:p w14:paraId="23B41817">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7" w:name="bookmark79"/>
      <w:bookmarkEnd w:id="57"/>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与本标段的其他供应商同为一个单位负责人；</w:t>
      </w:r>
    </w:p>
    <w:p w14:paraId="07502E38">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8" w:name="bookmark80"/>
      <w:bookmarkEnd w:id="58"/>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与本标段的其他供应商存在控股、管理关系；</w:t>
      </w:r>
    </w:p>
    <w:p w14:paraId="0596B09C">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9" w:name="bookmark81"/>
      <w:bookmarkEnd w:id="59"/>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为本标段前期准备提供设计或咨询服务的法人或其任何附属机构(单位)；</w:t>
      </w:r>
    </w:p>
    <w:p w14:paraId="77024217">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1200" w:firstLineChars="5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0" w:name="bookmark82"/>
      <w:bookmarkEnd w:id="60"/>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①</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为本标段的监理人；</w:t>
      </w:r>
    </w:p>
    <w:p w14:paraId="715696C2">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1200" w:firstLineChars="5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1" w:name="bookmark83"/>
      <w:bookmarkEnd w:id="61"/>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②</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为本标段的代建人；</w:t>
      </w:r>
    </w:p>
    <w:p w14:paraId="59F5BD6E">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1200" w:firstLineChars="5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2" w:name="bookmark84"/>
      <w:bookmarkEnd w:id="62"/>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③</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为本标段的磋商代理机构；</w:t>
      </w:r>
    </w:p>
    <w:p w14:paraId="626286B6">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1200" w:firstLineChars="5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3" w:name="bookmark85"/>
      <w:bookmarkEnd w:id="63"/>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④</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与本标段的监理人或代建人或磋商代理机构同为一个法定代表人；</w:t>
      </w:r>
    </w:p>
    <w:p w14:paraId="5F76F3C1">
      <w:pPr>
        <w:pStyle w:val="81"/>
        <w:keepNext w:val="0"/>
        <w:keepLines w:val="0"/>
        <w:pageBreakBefore w:val="0"/>
        <w:widowControl w:val="0"/>
        <w:numPr>
          <w:ilvl w:val="0"/>
          <w:numId w:val="0"/>
        </w:numPr>
        <w:shd w:val="clear" w:color="auto" w:fill="auto"/>
        <w:tabs>
          <w:tab w:val="left" w:pos="1029"/>
        </w:tabs>
        <w:kinsoku/>
        <w:wordWrap/>
        <w:overflowPunct/>
        <w:topLinePunct w:val="0"/>
        <w:autoSpaceDE/>
        <w:autoSpaceDN/>
        <w:bidi w:val="0"/>
        <w:adjustRightInd/>
        <w:snapToGrid/>
        <w:spacing w:before="0" w:after="0" w:line="500" w:lineRule="exact"/>
        <w:ind w:right="0" w:rightChars="0" w:firstLine="1200" w:firstLineChars="5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4" w:name="bookmark86"/>
      <w:bookmarkEnd w:id="64"/>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⑤</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与本标段的监理人或代建人或磋商代理机构存在控股或参股关系；</w:t>
      </w:r>
    </w:p>
    <w:p w14:paraId="7CEE4657">
      <w:pPr>
        <w:pStyle w:val="81"/>
        <w:keepNext w:val="0"/>
        <w:keepLines w:val="0"/>
        <w:pageBreakBefore w:val="0"/>
        <w:widowControl w:val="0"/>
        <w:numPr>
          <w:ilvl w:val="0"/>
          <w:numId w:val="0"/>
        </w:numPr>
        <w:shd w:val="clear" w:color="auto" w:fill="auto"/>
        <w:tabs>
          <w:tab w:val="left" w:pos="1029"/>
        </w:tabs>
        <w:kinsoku/>
        <w:wordWrap/>
        <w:overflowPunct/>
        <w:topLinePunct w:val="0"/>
        <w:autoSpaceDE/>
        <w:autoSpaceDN/>
        <w:bidi w:val="0"/>
        <w:adjustRightInd/>
        <w:snapToGrid/>
        <w:spacing w:before="0" w:after="0" w:line="500" w:lineRule="exact"/>
        <w:ind w:right="0" w:rightChars="0" w:firstLine="1200" w:firstLineChars="5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5" w:name="bookmark87"/>
      <w:bookmarkEnd w:id="65"/>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⑥</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法律法规或供应商须知前附表规定的其他情形。</w:t>
      </w:r>
    </w:p>
    <w:p w14:paraId="285BF758">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1.4.4</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供应商(包括联合体各成员)不得存在下列不良状况或不良信用记录：</w:t>
      </w:r>
    </w:p>
    <w:p w14:paraId="1B066574">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6" w:name="bookmark88"/>
      <w:bookmarkEnd w:id="66"/>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被省级及以上主管部门取消磋商项目所在地的投标资格且处于有效期内；</w:t>
      </w:r>
    </w:p>
    <w:p w14:paraId="4CA8AC35">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7" w:name="bookmark89"/>
      <w:bookmarkEnd w:id="67"/>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被责令停业，暂扣或吊销执照，或吊销资质证书；</w:t>
      </w:r>
    </w:p>
    <w:p w14:paraId="61FD3932">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8" w:name="bookmark90"/>
      <w:bookmarkEnd w:id="68"/>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进入清算程序，或被宣告破产，或其他丧失履约能力的情形；</w:t>
      </w:r>
    </w:p>
    <w:p w14:paraId="210E0C4F">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highlight w:val="none"/>
        </w:rPr>
      </w:pPr>
      <w:bookmarkStart w:id="69" w:name="bookmark91"/>
      <w:bookmarkEnd w:id="69"/>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被工商行政管理机关在全国企业信用信息公示系统</w:t>
      </w:r>
    </w:p>
    <w:p w14:paraId="4E946FC9">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（http://www.gsxt.gov.cn/）中列入严重违法失信企业名单；</w:t>
      </w:r>
    </w:p>
    <w:p w14:paraId="346B85F3">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）被列入"信用</w:t>
      </w:r>
      <w:r>
        <w:rPr>
          <w:rFonts w:hint="eastAsia" w:ascii="宋体" w:hAnsi="宋体" w:eastAsia="宋体" w:cs="宋体"/>
          <w:sz w:val="24"/>
          <w:szCs w:val="24"/>
          <w:highlight w:val="none"/>
          <w:lang w:val="zh-CN"/>
        </w:rPr>
        <w:t>中国”</w:t>
      </w:r>
      <w:r>
        <w:rPr>
          <w:rFonts w:hint="eastAsia" w:ascii="宋体" w:hAnsi="宋体" w:eastAsia="宋体" w:cs="宋体"/>
          <w:sz w:val="24"/>
          <w:szCs w:val="24"/>
          <w:highlight w:val="none"/>
        </w:rPr>
        <w:t>网站（www.creditchina.gov.cn）、中国政府采购网（www.ccgp.gov.cn）等渠道信用记录失信被执行人、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highlight w:val="none"/>
        </w:rPr>
        <w:t>、政府采购严重违法失信行为记录名单；</w:t>
      </w:r>
    </w:p>
    <w:p w14:paraId="1ABE4DF0">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）在近三年内</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或其法定代表人、拟委任的项目负责人有行贿犯罪行为的；</w:t>
      </w:r>
    </w:p>
    <w:p w14:paraId="648CB4AE">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16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）法律法规或</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须知前附表规定的其他情形。</w:t>
      </w:r>
    </w:p>
    <w:p w14:paraId="189F8F4C">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1.</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5费用承担</w:t>
      </w:r>
    </w:p>
    <w:p w14:paraId="0CBFBD5B">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供应商准备和参加投标活动发生的费用自理。</w:t>
      </w:r>
    </w:p>
    <w:p w14:paraId="0AFA3335">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1.6</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保密</w:t>
      </w:r>
    </w:p>
    <w:p w14:paraId="3650450E">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参与磋商活动的各方应对竞争性磋商文件和响应文件中的商业和技术等秘密保密，违者应对由此造成的后果承担法律责任。</w:t>
      </w:r>
    </w:p>
    <w:p w14:paraId="450FBF94">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1.7</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语言文字</w:t>
      </w:r>
    </w:p>
    <w:p w14:paraId="13978F87">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除专用术语外，与磋商有关的语言均使用中文。必要时专用术语应附有中文注释。</w:t>
      </w:r>
    </w:p>
    <w:p w14:paraId="7CDC3BB7">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1.</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8计量单位</w:t>
      </w:r>
    </w:p>
    <w:p w14:paraId="7BE38017">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所有计量均采用中华人民共和国法定计量单位。</w:t>
      </w:r>
    </w:p>
    <w:p w14:paraId="60CD143B">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1.</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9踏勘现场</w:t>
      </w:r>
    </w:p>
    <w:p w14:paraId="15EA83C9">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1.9.1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供应商须知前附表规定组织踏勘现场的，采购人按供应商须知前附表规定的时间、地点组织供应商踏勘项目现场。</w:t>
      </w:r>
    </w:p>
    <w:p w14:paraId="5B0C49D4">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1.9.2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供应商踏勘现场发生的费用自理。</w:t>
      </w:r>
    </w:p>
    <w:p w14:paraId="6CE2671E">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1.9.3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除采购人的原因外，供应商自行负责在踏勘现场中所发生的人员伤亡和财产损失。</w:t>
      </w:r>
    </w:p>
    <w:p w14:paraId="11D10FBA">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1.9.4</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采购人在踏勘现场中介绍的工程场地和相关的周边环境情况，仅供供应商在编制响应文件时参考，采购人不对供应商据此作岀的判断和决策负责。</w:t>
      </w:r>
    </w:p>
    <w:p w14:paraId="79CAAC42">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1.</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10磋商答疑会</w:t>
      </w:r>
    </w:p>
    <w:p w14:paraId="33D7B4F1">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1.10.1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供应商须知前附表规定召开磋商答疑会的，采购人按供应商须知前附表规定的时间和地点召开磋商答疑会，澄清供应商提岀的问题。</w:t>
      </w:r>
    </w:p>
    <w:p w14:paraId="4693EFC0">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1.10.2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供应商应在供应商须知前附表规定的时间前，以书面形式将提岀的问题送达采购人，以便采购人澄清。</w:t>
      </w:r>
    </w:p>
    <w:p w14:paraId="7090924B">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1.10.3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磋商答疑会后，采购人在供应商须知前附表规定的时间内，对供应商所提问题的澄清，将以书面形式通知所有潜在供应商。该澄清内容为竞争性磋商文件的组成部分。</w:t>
      </w:r>
    </w:p>
    <w:p w14:paraId="42AE86B1">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1.</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11分包</w:t>
      </w:r>
    </w:p>
    <w:p w14:paraId="39B3116F">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供应商拟在成交后将成交项目的部分非主体、非关键性工作进行分包的，应符合供应商须知前附表规定的分包内容、分包金额和接受分包的第三人资质要求等限制性条件。</w:t>
      </w:r>
    </w:p>
    <w:p w14:paraId="2445AF3A">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left"/>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供应商成交后直至验收止，成交供应商不得以任何形式和理由转包或者分包，如岀现上述情形,采购人向财政部门提岀申请并经批准后，可取消其成交资格，并与其解除合同</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由此引起的经济损 失全部由成交供应商承担。</w:t>
      </w:r>
      <w:bookmarkStart w:id="70" w:name="bookmark94"/>
      <w:bookmarkEnd w:id="70"/>
    </w:p>
    <w:p w14:paraId="0E99152B">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pacing w:val="0"/>
          <w:w w:val="100"/>
          <w:position w:val="0"/>
          <w:sz w:val="24"/>
          <w:szCs w:val="24"/>
          <w:highlight w:val="none"/>
          <w:lang w:val="zh-CN" w:eastAsia="zh-CN" w:bidi="zh-CN"/>
          <w14:textFill>
            <w14:solidFill>
              <w14:schemeClr w14:val="tx1"/>
            </w14:solidFill>
          </w14:textFill>
        </w:rPr>
        <w:t>12</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偏离</w:t>
      </w:r>
    </w:p>
    <w:p w14:paraId="22829849">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供应商须知前附表允许响应文件偏离竞争性磋商文件某些要求的，偏离应当符合竞争性磋商文件规定的偏离范围和幅度。</w:t>
      </w:r>
    </w:p>
    <w:p w14:paraId="5B76D369">
      <w:pPr>
        <w:pStyle w:val="81"/>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napToGrid/>
        <w:spacing w:before="0" w:after="160" w:line="500" w:lineRule="exact"/>
        <w:ind w:leftChars="0" w:right="0" w:rightChars="0" w:firstLine="241"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71" w:name="bookmark95"/>
      <w:bookmarkEnd w:id="71"/>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竞争性磋商文件</w:t>
      </w:r>
    </w:p>
    <w:p w14:paraId="39672877">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2.1</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竞争性磋商文件的组成</w:t>
      </w:r>
    </w:p>
    <w:p w14:paraId="4A80C4B2">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4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本竞争性磋商文件包括：</w:t>
      </w:r>
    </w:p>
    <w:p w14:paraId="61D97C94">
      <w:pPr>
        <w:pStyle w:val="81"/>
        <w:keepNext w:val="0"/>
        <w:keepLines w:val="0"/>
        <w:pageBreakBefore w:val="0"/>
        <w:widowControl w:val="0"/>
        <w:numPr>
          <w:ilvl w:val="0"/>
          <w:numId w:val="0"/>
        </w:numPr>
        <w:shd w:val="clear" w:color="auto" w:fill="auto"/>
        <w:tabs>
          <w:tab w:val="left" w:pos="894"/>
        </w:tabs>
        <w:kinsoku/>
        <w:wordWrap/>
        <w:overflowPunct/>
        <w:topLinePunct w:val="0"/>
        <w:autoSpaceDE/>
        <w:autoSpaceDN/>
        <w:bidi w:val="0"/>
        <w:adjustRightInd/>
        <w:snapToGrid/>
        <w:spacing w:before="0" w:after="0" w:line="50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72" w:name="bookmark96"/>
      <w:bookmarkEnd w:id="72"/>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竞争性磋商公告；</w:t>
      </w:r>
    </w:p>
    <w:p w14:paraId="4B1F5D4F">
      <w:pPr>
        <w:pStyle w:val="81"/>
        <w:keepNext w:val="0"/>
        <w:keepLines w:val="0"/>
        <w:pageBreakBefore w:val="0"/>
        <w:widowControl w:val="0"/>
        <w:numPr>
          <w:ilvl w:val="0"/>
          <w:numId w:val="0"/>
        </w:numPr>
        <w:shd w:val="clear" w:color="auto" w:fill="auto"/>
        <w:tabs>
          <w:tab w:val="left" w:pos="894"/>
        </w:tabs>
        <w:kinsoku/>
        <w:wordWrap/>
        <w:overflowPunct/>
        <w:topLinePunct w:val="0"/>
        <w:autoSpaceDE/>
        <w:autoSpaceDN/>
        <w:bidi w:val="0"/>
        <w:adjustRightInd/>
        <w:snapToGrid/>
        <w:spacing w:before="0" w:after="0" w:line="50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73" w:name="bookmark97"/>
      <w:bookmarkEnd w:id="73"/>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供应商须知；</w:t>
      </w:r>
    </w:p>
    <w:p w14:paraId="45E82510">
      <w:pPr>
        <w:pStyle w:val="81"/>
        <w:keepNext w:val="0"/>
        <w:keepLines w:val="0"/>
        <w:pageBreakBefore w:val="0"/>
        <w:widowControl w:val="0"/>
        <w:numPr>
          <w:ilvl w:val="0"/>
          <w:numId w:val="0"/>
        </w:numPr>
        <w:shd w:val="clear" w:color="auto" w:fill="auto"/>
        <w:tabs>
          <w:tab w:val="left" w:pos="894"/>
        </w:tabs>
        <w:kinsoku/>
        <w:wordWrap/>
        <w:overflowPunct/>
        <w:topLinePunct w:val="0"/>
        <w:autoSpaceDE/>
        <w:autoSpaceDN/>
        <w:bidi w:val="0"/>
        <w:adjustRightInd/>
        <w:snapToGrid/>
        <w:spacing w:before="0" w:after="0" w:line="50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74" w:name="bookmark98"/>
      <w:bookmarkEnd w:id="74"/>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竞争性磋商</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评审办法(综合评分法)；</w:t>
      </w:r>
    </w:p>
    <w:p w14:paraId="7B21578D">
      <w:pPr>
        <w:pStyle w:val="81"/>
        <w:keepNext w:val="0"/>
        <w:keepLines w:val="0"/>
        <w:pageBreakBefore w:val="0"/>
        <w:widowControl w:val="0"/>
        <w:numPr>
          <w:ilvl w:val="0"/>
          <w:numId w:val="0"/>
        </w:numPr>
        <w:shd w:val="clear" w:color="auto" w:fill="auto"/>
        <w:tabs>
          <w:tab w:val="left" w:pos="894"/>
        </w:tabs>
        <w:kinsoku/>
        <w:wordWrap/>
        <w:overflowPunct/>
        <w:topLinePunct w:val="0"/>
        <w:autoSpaceDE/>
        <w:autoSpaceDN/>
        <w:bidi w:val="0"/>
        <w:adjustRightInd/>
        <w:snapToGrid/>
        <w:spacing w:before="0" w:after="0" w:line="50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75" w:name="bookmark99"/>
      <w:bookmarkEnd w:id="75"/>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政府采购</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合同格式及条款；</w:t>
      </w:r>
    </w:p>
    <w:p w14:paraId="1D5D5A70">
      <w:pPr>
        <w:pStyle w:val="81"/>
        <w:keepNext w:val="0"/>
        <w:keepLines w:val="0"/>
        <w:pageBreakBefore w:val="0"/>
        <w:widowControl w:val="0"/>
        <w:numPr>
          <w:ilvl w:val="0"/>
          <w:numId w:val="0"/>
        </w:numPr>
        <w:shd w:val="clear" w:color="auto" w:fill="auto"/>
        <w:tabs>
          <w:tab w:val="left" w:pos="894"/>
        </w:tabs>
        <w:kinsoku/>
        <w:wordWrap/>
        <w:overflowPunct/>
        <w:topLinePunct w:val="0"/>
        <w:autoSpaceDE/>
        <w:autoSpaceDN/>
        <w:bidi w:val="0"/>
        <w:adjustRightInd/>
        <w:snapToGrid/>
        <w:spacing w:before="0" w:after="0" w:line="50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76" w:name="bookmark101"/>
      <w:bookmarkEnd w:id="76"/>
      <w:bookmarkStart w:id="77" w:name="bookmark100"/>
      <w:bookmarkEnd w:id="77"/>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项目采购需求</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p>
    <w:p w14:paraId="4F677C7B">
      <w:pPr>
        <w:pStyle w:val="81"/>
        <w:keepNext w:val="0"/>
        <w:keepLines w:val="0"/>
        <w:pageBreakBefore w:val="0"/>
        <w:widowControl w:val="0"/>
        <w:numPr>
          <w:ilvl w:val="0"/>
          <w:numId w:val="0"/>
        </w:numPr>
        <w:shd w:val="clear" w:color="auto" w:fill="auto"/>
        <w:tabs>
          <w:tab w:val="left" w:pos="894"/>
        </w:tabs>
        <w:kinsoku/>
        <w:wordWrap/>
        <w:overflowPunct/>
        <w:topLinePunct w:val="0"/>
        <w:autoSpaceDE/>
        <w:autoSpaceDN/>
        <w:bidi w:val="0"/>
        <w:adjustRightInd/>
        <w:snapToGrid/>
        <w:spacing w:before="0" w:after="0" w:line="50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78" w:name="bookmark102"/>
      <w:bookmarkEnd w:id="78"/>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响应文件格式；</w:t>
      </w:r>
    </w:p>
    <w:p w14:paraId="58C008AB">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79" w:name="bookmark103"/>
      <w:bookmarkEnd w:id="79"/>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根据本章第</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1.10</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款、第</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2.2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款和第</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2.3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款对竞争性磋商文件所作的澄清、修改，构成竞争性磋商文件的组成部分。</w:t>
      </w:r>
    </w:p>
    <w:p w14:paraId="420FD5FF">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2.2</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竞争性磋商文件的澄清</w:t>
      </w:r>
    </w:p>
    <w:p w14:paraId="4EE3DEB2">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2.2.1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供应商应仔细阅读和检查竞争性磋商文件的全部内容。如发现缺页或附件不全，应及时向采购人提岀，以便补齐。如有疑问，应在供应商须知前附表规定的时间前以书面形式(包括信函、 电报、传真等可以有形地表现所载内容的形式，下同)，要求采购人对竞争性磋商文件予以澄清。</w:t>
      </w:r>
    </w:p>
    <w:p w14:paraId="4640C3B4">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2竞争性磋商文件的澄清将在供应商须知前附表规定的时间前以书面形式通知所有潜在供应商。</w:t>
      </w:r>
    </w:p>
    <w:p w14:paraId="76BA1B98">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2.2.3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供应商在收到澄清后，应在供应商须知前附表规定的时间内以书面形式通知采购人，确认己收到该澄清。</w:t>
      </w:r>
    </w:p>
    <w:p w14:paraId="3BC8F0C3">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2.3</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竞争性磋商文件的修改</w:t>
      </w:r>
    </w:p>
    <w:p w14:paraId="4308C0FB">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2.3.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1供应商须知前附表规定的时间前，采购人可以修改竞争性磋商文件，并将修改的内容以书面形式通知所有潜在供应商。</w:t>
      </w:r>
    </w:p>
    <w:p w14:paraId="720EB584">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2.3.2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供应商收到修改内容后，应在供应商须知前附表规定的时间内以书面形式通知采购人，确认己收到该修改。</w:t>
      </w:r>
    </w:p>
    <w:p w14:paraId="0EF89AB2">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2.4</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延长首次响应文件递交截止时间和二次报价时间</w:t>
      </w:r>
    </w:p>
    <w:p w14:paraId="12D259D5">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2.4.1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可以视采购具体情况，延长首次响应文件递交截止时间和二次报价时间，但至少应当在竞争性磋商文件要求递交首次响应文件截止之日5日前，在发布竞争性磋商公告的网站发布变更或者更正公告，并书面通知所有已获取磋商文件的供应商，不足5日的，应当顺延递交首次响应文件截止之日。</w:t>
      </w:r>
    </w:p>
    <w:p w14:paraId="36A176AF">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2.4.2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竞争性磋商文件的答疑、澄清或者修改内容较多时，采购人应重新组织竞争性磋商或者延长递交首次响应文件截止时间和二次报价时间，采购人延长递交首次响应文件截止时间和二次报价时间的，至少应当在竞争性磋商文件要求递交首次响应文件的截止之日5日前，在发布竞争性磋商公告的网站发布变更或者更正公告，并书面通知所有已获取磋商文件的供应商，不足5日的，应当顺延递交首次响应文件截止之日，以给予供应商充足的时间编制响应文件。</w:t>
      </w:r>
    </w:p>
    <w:p w14:paraId="28F1B770">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right="0" w:firstLine="241"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3.</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响应文件编制</w:t>
      </w:r>
    </w:p>
    <w:p w14:paraId="6BBFEF8A">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3.</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1响应文件的组成</w:t>
      </w:r>
    </w:p>
    <w:p w14:paraId="065AE29F">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3.1.1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包括下列内容：</w:t>
      </w:r>
    </w:p>
    <w:p w14:paraId="130508C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0" w:name="bookmark105"/>
      <w:bookmarkEnd w:id="80"/>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磋商函</w:t>
      </w:r>
    </w:p>
    <w:p w14:paraId="43353040">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身份证明及授权委托书</w:t>
      </w:r>
    </w:p>
    <w:p w14:paraId="74A2DB4E">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磋商保证金</w:t>
      </w:r>
    </w:p>
    <w:p w14:paraId="4DF01368">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磋商报价</w:t>
      </w:r>
    </w:p>
    <w:p w14:paraId="176EC93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服务内容及标准偏离表</w:t>
      </w:r>
    </w:p>
    <w:p w14:paraId="719E159D">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）资格审查资料</w:t>
      </w:r>
    </w:p>
    <w:p w14:paraId="1E9504F0">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（7）技术</w:t>
      </w:r>
      <w:r>
        <w:rPr>
          <w:rFonts w:hint="eastAsia" w:ascii="宋体" w:hAnsi="宋体" w:eastAsia="宋体" w:cs="宋体"/>
          <w:color w:val="000000" w:themeColor="text1"/>
          <w:sz w:val="24"/>
          <w:szCs w:val="24"/>
          <w:highlight w:val="none"/>
          <w14:textFill>
            <w14:solidFill>
              <w14:schemeClr w14:val="tx1"/>
            </w14:solidFill>
          </w14:textFill>
        </w:rPr>
        <w:t>方案</w:t>
      </w:r>
    </w:p>
    <w:p w14:paraId="037651D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其他资料</w:t>
      </w:r>
    </w:p>
    <w:p w14:paraId="6D9EE657">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3.</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2磋商报价</w:t>
      </w:r>
    </w:p>
    <w:p w14:paraId="3E89D7ED">
      <w:pPr>
        <w:spacing w:line="5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3.2.1供应商应按</w:t>
      </w:r>
      <w:r>
        <w:rPr>
          <w:rFonts w:hint="eastAsia" w:ascii="宋体" w:hAnsi="宋体" w:eastAsia="宋体" w:cs="宋体"/>
          <w:color w:val="000000" w:themeColor="text1"/>
          <w:sz w:val="24"/>
          <w:szCs w:val="24"/>
          <w:highlight w:val="none"/>
          <w:lang w:eastAsia="zh-CN"/>
          <w14:textFill>
            <w14:solidFill>
              <w14:schemeClr w14:val="tx1"/>
            </w14:solidFill>
          </w14:textFill>
        </w:rPr>
        <w:t>第六章</w:t>
      </w:r>
      <w:r>
        <w:rPr>
          <w:rFonts w:hint="eastAsia" w:ascii="宋体" w:hAnsi="宋体" w:eastAsia="宋体" w:cs="宋体"/>
          <w:color w:val="000000" w:themeColor="text1"/>
          <w:sz w:val="24"/>
          <w:szCs w:val="24"/>
          <w:highlight w:val="none"/>
          <w14:textFill>
            <w14:solidFill>
              <w14:schemeClr w14:val="tx1"/>
            </w14:solidFill>
          </w14:textFill>
        </w:rPr>
        <w:t>响应文件要求格式填写相应表格。</w:t>
      </w:r>
    </w:p>
    <w:p w14:paraId="46F25893">
      <w:pPr>
        <w:spacing w:line="5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供应商应充分了解本项目的总体情况以及影响磋商报价的其他要素。</w:t>
      </w:r>
    </w:p>
    <w:p w14:paraId="01FF449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本项目的报价方式见供应商须知前附表。供应商在投标截止时间前修改磋商函中的投标总报价，应同时修改竞争性磋商响应文件“磋商报价表”中的相应报价。此修改须符合本章第4.3款的有关要求。</w:t>
      </w:r>
    </w:p>
    <w:p w14:paraId="2F281217">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3.</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3磋商有效期</w:t>
      </w:r>
    </w:p>
    <w:p w14:paraId="5241BAA4">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3.3.1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在供应商须知前附表规定的磋商有效期内，供应商不得要求撤销或修改其响应文件。</w:t>
      </w:r>
    </w:p>
    <w:p w14:paraId="6F0F8AD8">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3.3.2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岀现特殊情况需要延长磋商有效期的，采购人将以书面形式发岀通知。通知供应商延长磋商有效期。供应商同意延长的，应相应延长其磋商保证金的有效期，但不得要求或被允许修改或撤销其响应文件；供应商拒绝延长的，其投标失效，但供应商有权收回其磋商保证金。</w:t>
      </w:r>
    </w:p>
    <w:p w14:paraId="09027928">
      <w:pPr>
        <w:pStyle w:val="81"/>
        <w:keepNext w:val="0"/>
        <w:keepLines w:val="0"/>
        <w:pageBreakBefore w:val="0"/>
        <w:widowControl w:val="0"/>
        <w:shd w:val="clear" w:color="auto" w:fill="auto"/>
        <w:kinsoku/>
        <w:wordWrap/>
        <w:overflowPunct/>
        <w:topLinePunct w:val="0"/>
        <w:autoSpaceDE/>
        <w:autoSpaceDN/>
        <w:bidi w:val="0"/>
        <w:adjustRightInd/>
        <w:snapToGrid/>
        <w:spacing w:before="0" w:after="14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3.4</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磋商保证金</w:t>
      </w:r>
    </w:p>
    <w:p w14:paraId="22BDAD75">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3.4.</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供应商在递交首次响应文件截止时间前，应按供应商须知前附表规定的金额、担保形式和第</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六</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章</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“响</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应文件格式”规定的磋商保证金格式递交磋商保证金，并作为其响应文件的组成部分。联合体磋商的，其磋商保证金由牵头人递交，并应符合供应商须知前附表的规定。</w:t>
      </w:r>
    </w:p>
    <w:p w14:paraId="3CE586ED">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3.4.2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供应商不按本章第</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3.4.1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项要求递交磋商保证金的，其响应文件作废标处理。</w:t>
      </w:r>
    </w:p>
    <w:p w14:paraId="0EB1EB41">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720" w:firstLineChars="3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3.4.</w:t>
      </w:r>
      <w:r>
        <w:rPr>
          <w:rFonts w:hint="eastAsia" w:ascii="宋体" w:hAnsi="宋体" w:eastAsia="宋体" w:cs="宋体"/>
          <w:color w:val="000000" w:themeColor="text1"/>
          <w:sz w:val="24"/>
          <w:szCs w:val="24"/>
          <w:highlight w:val="none"/>
          <w14:textFill>
            <w14:solidFill>
              <w14:schemeClr w14:val="tx1"/>
            </w14:solidFill>
          </w14:textFill>
        </w:rPr>
        <w:t>3成交供应商的磋商保证金，在成交供应商按本须知第</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7.4</w:t>
      </w:r>
      <w:r>
        <w:rPr>
          <w:rFonts w:hint="eastAsia" w:ascii="宋体" w:hAnsi="宋体" w:eastAsia="宋体" w:cs="宋体"/>
          <w:color w:val="000000" w:themeColor="text1"/>
          <w:sz w:val="24"/>
          <w:szCs w:val="24"/>
          <w:highlight w:val="none"/>
          <w14:textFill>
            <w14:solidFill>
              <w14:schemeClr w14:val="tx1"/>
            </w14:solidFill>
          </w14:textFill>
        </w:rPr>
        <w:t>条规定签订合同后5日内予以退还（不计利息）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384A7D9">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3.4.</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有下列情形之一的，磋商保证金将不予退还：</w:t>
      </w:r>
    </w:p>
    <w:p w14:paraId="01148C0B">
      <w:pPr>
        <w:pStyle w:val="81"/>
        <w:keepNext w:val="0"/>
        <w:keepLines w:val="0"/>
        <w:pageBreakBefore w:val="0"/>
        <w:widowControl w:val="0"/>
        <w:shd w:val="clear" w:color="auto" w:fill="auto"/>
        <w:tabs>
          <w:tab w:val="left" w:pos="894"/>
        </w:tabs>
        <w:kinsoku/>
        <w:wordWrap/>
        <w:overflowPunct/>
        <w:topLinePunct w:val="0"/>
        <w:autoSpaceDE/>
        <w:autoSpaceDN/>
        <w:bidi w:val="0"/>
        <w:adjustRightInd/>
        <w:snapToGrid/>
        <w:spacing w:before="0" w:after="0" w:line="500" w:lineRule="exact"/>
        <w:ind w:right="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供应商在规定的磋商有效期内撤销或修改其响应文件；</w:t>
      </w:r>
    </w:p>
    <w:p w14:paraId="309B8E3C">
      <w:pPr>
        <w:pStyle w:val="81"/>
        <w:keepNext w:val="0"/>
        <w:keepLines w:val="0"/>
        <w:pageBreakBefore w:val="0"/>
        <w:widowControl w:val="0"/>
        <w:shd w:val="clear" w:color="auto" w:fill="auto"/>
        <w:tabs>
          <w:tab w:val="left" w:pos="894"/>
        </w:tabs>
        <w:kinsoku/>
        <w:wordWrap/>
        <w:overflowPunct/>
        <w:topLinePunct w:val="0"/>
        <w:autoSpaceDE/>
        <w:autoSpaceDN/>
        <w:bidi w:val="0"/>
        <w:adjustRightInd/>
        <w:snapToGrid/>
        <w:spacing w:before="0" w:after="160" w:line="500" w:lineRule="exact"/>
        <w:ind w:right="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成交供应商在收到成交通知书后，无正当理由拒签合同协议书。</w:t>
      </w:r>
    </w:p>
    <w:p w14:paraId="075C1881">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3.</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5资格审査资料</w:t>
      </w:r>
    </w:p>
    <w:p w14:paraId="3CF53E49">
      <w:pPr>
        <w:pStyle w:val="81"/>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500" w:lineRule="exact"/>
        <w:ind w:right="0" w:rightChars="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1" w:name="bookmark116"/>
      <w:bookmarkEnd w:id="81"/>
      <w:r>
        <w:rPr>
          <w:rFonts w:hint="eastAsia" w:ascii="宋体" w:hAnsi="宋体" w:eastAsia="宋体" w:cs="宋体"/>
          <w:color w:val="000000" w:themeColor="text1"/>
          <w:spacing w:val="0"/>
          <w:w w:val="100"/>
          <w:position w:val="0"/>
          <w:sz w:val="24"/>
          <w:szCs w:val="24"/>
          <w:highlight w:val="none"/>
          <w:lang w:val="en-US" w:eastAsia="zh-CN" w:bidi="zh-CN"/>
          <w14:textFill>
            <w14:solidFill>
              <w14:schemeClr w14:val="tx1"/>
            </w14:solidFill>
          </w14:textFill>
        </w:rPr>
        <w:t>3.5.1</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“供应</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商基本情况表</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”应</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附供应商营业执照副本及其年检合格的证明材料、资质证书副本和安全生产许可证等材料的复印件。</w:t>
      </w:r>
    </w:p>
    <w:p w14:paraId="55169EA4">
      <w:pPr>
        <w:pStyle w:val="81"/>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500" w:lineRule="exact"/>
        <w:ind w:right="0" w:rightChars="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2" w:name="bookmark117"/>
      <w:bookmarkEnd w:id="82"/>
      <w:r>
        <w:rPr>
          <w:rFonts w:hint="eastAsia" w:ascii="宋体" w:hAnsi="宋体" w:eastAsia="宋体" w:cs="宋体"/>
          <w:color w:val="000000" w:themeColor="text1"/>
          <w:spacing w:val="0"/>
          <w:w w:val="100"/>
          <w:position w:val="0"/>
          <w:sz w:val="24"/>
          <w:szCs w:val="24"/>
          <w:highlight w:val="none"/>
          <w:lang w:val="en-US" w:eastAsia="zh-CN" w:bidi="zh-CN"/>
          <w14:textFill>
            <w14:solidFill>
              <w14:schemeClr w14:val="tx1"/>
            </w14:solidFill>
          </w14:textFill>
        </w:rPr>
        <w:t>3.5.2</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“近</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年财务状况表</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”应附</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经会计师事务所或审计机构审计的财务会计报表，包括资产负债表、现金流量表、利润表和财务情况说明书的复印件，具体年份要求见供应商须知前附表。</w:t>
      </w:r>
    </w:p>
    <w:p w14:paraId="3AE5A366">
      <w:pPr>
        <w:pStyle w:val="81"/>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500" w:lineRule="exact"/>
        <w:ind w:right="0" w:rightChars="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3" w:name="bookmark118"/>
      <w:bookmarkEnd w:id="83"/>
      <w:r>
        <w:rPr>
          <w:rFonts w:hint="eastAsia" w:ascii="宋体" w:hAnsi="宋体" w:eastAsia="宋体" w:cs="宋体"/>
          <w:color w:val="000000" w:themeColor="text1"/>
          <w:spacing w:val="0"/>
          <w:w w:val="100"/>
          <w:position w:val="0"/>
          <w:sz w:val="24"/>
          <w:szCs w:val="24"/>
          <w:highlight w:val="none"/>
          <w:lang w:val="en-US" w:eastAsia="zh-CN" w:bidi="zh-CN"/>
          <w14:textFill>
            <w14:solidFill>
              <w14:schemeClr w14:val="tx1"/>
            </w14:solidFill>
          </w14:textFill>
        </w:rPr>
        <w:t>3.5.3</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近年</w:t>
      </w:r>
      <w:r>
        <w:rPr>
          <w:rFonts w:hint="eastAsia" w:ascii="宋体" w:hAnsi="宋体" w:eastAsia="宋体" w:cs="宋体"/>
          <w:color w:val="000000" w:themeColor="text1"/>
          <w:sz w:val="24"/>
          <w:szCs w:val="24"/>
          <w:highlight w:val="none"/>
          <w14:textFill>
            <w14:solidFill>
              <w14:schemeClr w14:val="tx1"/>
            </w14:solidFill>
          </w14:textFill>
        </w:rPr>
        <w:t>完成的类似项目情况表</w:t>
      </w:r>
      <w:r>
        <w:rPr>
          <w:rFonts w:hint="eastAsia" w:ascii="宋体" w:hAnsi="宋体" w:eastAsia="宋体" w:cs="宋体"/>
          <w:color w:val="000000" w:themeColor="text1"/>
          <w:sz w:val="24"/>
          <w:szCs w:val="24"/>
          <w:highlight w:val="none"/>
          <w:lang w:eastAsia="zh-CN"/>
          <w14:textFill>
            <w14:solidFill>
              <w14:schemeClr w14:val="tx1"/>
            </w14:solidFill>
          </w14:textFill>
        </w:rPr>
        <w:t>或年份要求</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”应附中标通知书和合同协议书。</w:t>
      </w:r>
    </w:p>
    <w:p w14:paraId="01C38EB2">
      <w:pPr>
        <w:pStyle w:val="81"/>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500" w:lineRule="exact"/>
        <w:ind w:right="0" w:rightChars="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4" w:name="bookmark119"/>
      <w:bookmarkEnd w:id="84"/>
      <w:r>
        <w:rPr>
          <w:rFonts w:hint="eastAsia" w:ascii="宋体" w:hAnsi="宋体" w:eastAsia="宋体" w:cs="宋体"/>
          <w:color w:val="000000" w:themeColor="text1"/>
          <w:spacing w:val="0"/>
          <w:w w:val="100"/>
          <w:position w:val="0"/>
          <w:sz w:val="24"/>
          <w:szCs w:val="24"/>
          <w:highlight w:val="none"/>
          <w:lang w:val="en-US" w:eastAsia="zh-CN" w:bidi="zh-CN"/>
          <w14:textFill>
            <w14:solidFill>
              <w14:schemeClr w14:val="tx1"/>
            </w14:solidFill>
          </w14:textFill>
        </w:rPr>
        <w:t>3.5.4</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“正在</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施工和新承接的项目情况表</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”应</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附成交（中标）通知书和（或）合同协议书复印件。每张表格只填写一个项目，并标明序号。</w:t>
      </w:r>
    </w:p>
    <w:p w14:paraId="0123D0E0">
      <w:pPr>
        <w:pStyle w:val="81"/>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500" w:lineRule="exact"/>
        <w:ind w:right="0" w:rightChars="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5" w:name="bookmark120"/>
      <w:bookmarkEnd w:id="85"/>
      <w:r>
        <w:rPr>
          <w:rFonts w:hint="eastAsia" w:ascii="宋体" w:hAnsi="宋体" w:eastAsia="宋体" w:cs="宋体"/>
          <w:color w:val="000000" w:themeColor="text1"/>
          <w:spacing w:val="0"/>
          <w:w w:val="100"/>
          <w:position w:val="0"/>
          <w:sz w:val="24"/>
          <w:szCs w:val="24"/>
          <w:highlight w:val="none"/>
          <w:lang w:val="en-US" w:eastAsia="zh-CN" w:bidi="zh-CN"/>
          <w14:textFill>
            <w14:solidFill>
              <w14:schemeClr w14:val="tx1"/>
            </w14:solidFill>
          </w14:textFill>
        </w:rPr>
        <w:t>3.5.5</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近年</w:t>
      </w:r>
      <w:r>
        <w:rPr>
          <w:rFonts w:hint="eastAsia" w:ascii="宋体" w:hAnsi="宋体" w:eastAsia="宋体" w:cs="宋体"/>
          <w:color w:val="000000" w:themeColor="text1"/>
          <w:sz w:val="24"/>
          <w:szCs w:val="24"/>
          <w:highlight w:val="none"/>
          <w14:textFill>
            <w14:solidFill>
              <w14:schemeClr w14:val="tx1"/>
            </w14:solidFill>
          </w14:textFill>
        </w:rPr>
        <w:t>发生的诉讼及仲裁情况</w:t>
      </w:r>
      <w:r>
        <w:rPr>
          <w:rFonts w:hint="eastAsia" w:ascii="宋体" w:hAnsi="宋体" w:eastAsia="宋体" w:cs="宋体"/>
          <w:color w:val="000000" w:themeColor="text1"/>
          <w:sz w:val="24"/>
          <w:szCs w:val="24"/>
          <w:highlight w:val="none"/>
          <w:lang w:eastAsia="zh-CN"/>
          <w14:textFill>
            <w14:solidFill>
              <w14:schemeClr w14:val="tx1"/>
            </w14:solidFill>
          </w14:textFill>
        </w:rPr>
        <w:t>或年份要求</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”应说明相关情况，并附法院或仲裁机构作岀的判决、裁决等有关法律文书复印件，具体年份要求见供应商须知前附表。</w:t>
      </w:r>
    </w:p>
    <w:p w14:paraId="651FD300">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3.5.6</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供应商须知前附表规定接受联合体投标的，本章第</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3.5.1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项至第</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3. 5.</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5项规定的表格和资料应包括联合体各方相关情况。</w:t>
      </w:r>
    </w:p>
    <w:p w14:paraId="052FDF19">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3.</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6备选磋商方案</w:t>
      </w:r>
    </w:p>
    <w:p w14:paraId="601B2557">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除供应商须知前附表另有规定外，供应商不得递交备选磋商方案。允许供应商递交备选磋商方案的，只有成交供应商所递交的备选磋商方案方可予以考虑。磋商小组认为成交供应商的各选磋商方案优于其按照竞争性磋商文件要求编制的磋商方案的，采购人可以接受该备选磋商方案。</w:t>
      </w:r>
    </w:p>
    <w:p w14:paraId="4189FD86">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3.</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7响应文件的编制</w:t>
      </w:r>
    </w:p>
    <w:p w14:paraId="422378A6">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3.7.1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响应文件应按第</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章</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“竞争</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性磋商响应文件格式</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”进行</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编写，如有必要，可以增加附页,作为响应文件的组成部分。其中，磋商函附录在满足竞争性磋商文件实质性要求的基础上，可以提岀比竞争性磋商文件要求更有利于采购人的承诺。</w:t>
      </w:r>
    </w:p>
    <w:p w14:paraId="5FCCFD6E">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3.7.2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响应文件应当对竞争性磋商文件有关工期、磋商有效期、质量要求、技术标准和要求、采购范围等实质性内容作岀响应。</w:t>
      </w:r>
    </w:p>
    <w:p w14:paraId="43A0D740">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3.7.3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响应文件应用不褪色的材料书写或打印，并由供应商的法定代表人或其委托代理人签字或</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盖单位公章</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。委托代理人签字的，响应文件应附法定代表人签署的授权委托书。响应文件应尽量避免涂改、行间插字或删除。如果岀现上述情况，改动之处应加</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盖单位公章</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或由供应商的法定代表人或其授权的代理人签字确认。签字或盖章的具体要求见供应商须知前附表。</w:t>
      </w:r>
    </w:p>
    <w:p w14:paraId="4ECDBDF6">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3.7.4</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响应文件正本一份，副本份数见供应商须知前附表。正本和副本的封面上应清楚地标记</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“正本”或“副本”的</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字样。当副本和正本不一致时，以正本为准。</w:t>
      </w:r>
    </w:p>
    <w:p w14:paraId="40A01257">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3.7.5</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响应文件的正本与副本应分别装订成册，并编制目录，具体装订要求见供应商须知前附表规定。</w:t>
      </w:r>
    </w:p>
    <w:p w14:paraId="15E9B892">
      <w:pPr>
        <w:pStyle w:val="81"/>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napToGrid/>
        <w:spacing w:before="0" w:after="160" w:line="500" w:lineRule="exact"/>
        <w:ind w:right="0" w:rightChars="0" w:firstLine="241"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6" w:name="bookmark121"/>
      <w:bookmarkEnd w:id="86"/>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首次响应文件递交</w:t>
      </w:r>
    </w:p>
    <w:p w14:paraId="0D506608">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4.1</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响应文件的密封和标记</w:t>
      </w:r>
    </w:p>
    <w:p w14:paraId="53BE261D">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4.1.1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响应文件的正本与副本应分开制作、装订、密封。封套上应清楚地标记</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“响</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应文件正本”或“响应文件副本</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”字样</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，并在封套的封口处加盖供应商公章。</w:t>
      </w:r>
    </w:p>
    <w:p w14:paraId="6487E4E2">
      <w:pPr>
        <w:pStyle w:val="81"/>
        <w:spacing w:line="500" w:lineRule="exact"/>
        <w:ind w:firstLine="741" w:firstLineChars="309"/>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4.1.2</w:t>
      </w:r>
      <w:r>
        <w:rPr>
          <w:rFonts w:hint="eastAsia" w:ascii="宋体" w:hAnsi="宋体" w:eastAsia="宋体" w:cs="宋体"/>
          <w:color w:val="000000" w:themeColor="text1"/>
          <w:sz w:val="24"/>
          <w:szCs w:val="24"/>
          <w:highlight w:val="none"/>
          <w14:textFill>
            <w14:solidFill>
              <w14:schemeClr w14:val="tx1"/>
            </w14:solidFill>
          </w14:textFill>
        </w:rPr>
        <w:t>封套上应写明的内容见供应商须知前附表。</w:t>
      </w:r>
    </w:p>
    <w:p w14:paraId="412FA0DF">
      <w:pPr>
        <w:autoSpaceDE w:val="0"/>
        <w:autoSpaceDN w:val="0"/>
        <w:adjustRightInd w:val="0"/>
        <w:spacing w:line="500" w:lineRule="exact"/>
        <w:ind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en-US"/>
          <w14:textFill>
            <w14:solidFill>
              <w14:schemeClr w14:val="tx1"/>
            </w14:solidFill>
          </w14:textFill>
        </w:rPr>
        <w:t>4.1.3</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包封不完整的响应文件，采购人不予受理。</w:t>
      </w:r>
    </w:p>
    <w:p w14:paraId="6666490D">
      <w:pPr>
        <w:keepNext w:val="0"/>
        <w:keepLines w:val="0"/>
        <w:pageBreakBefore w:val="0"/>
        <w:widowControl w:val="0"/>
        <w:kinsoku/>
        <w:wordWrap/>
        <w:overflowPunct/>
        <w:topLinePunct w:val="0"/>
        <w:autoSpaceDE w:val="0"/>
        <w:autoSpaceDN w:val="0"/>
        <w:bidi w:val="0"/>
        <w:adjustRightInd w:val="0"/>
        <w:snapToGrid/>
        <w:spacing w:line="500" w:lineRule="exact"/>
        <w:ind w:firstLine="714" w:firstLineChars="300"/>
        <w:jc w:val="left"/>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4.1.4</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响应文件电子版单独密封，密封要求同响应文件的外包封。</w:t>
      </w:r>
    </w:p>
    <w:p w14:paraId="38CB41F0">
      <w:pPr>
        <w:keepNext w:val="0"/>
        <w:keepLines w:val="0"/>
        <w:pageBreakBefore w:val="0"/>
        <w:widowControl w:val="0"/>
        <w:kinsoku/>
        <w:wordWrap/>
        <w:overflowPunct/>
        <w:topLinePunct w:val="0"/>
        <w:autoSpaceDE w:val="0"/>
        <w:autoSpaceDN w:val="0"/>
        <w:bidi w:val="0"/>
        <w:adjustRightInd w:val="0"/>
        <w:snapToGrid/>
        <w:spacing w:line="500" w:lineRule="exact"/>
        <w:ind w:firstLine="720" w:firstLineChars="300"/>
        <w:jc w:val="left"/>
        <w:textAlignment w:val="auto"/>
        <w:rPr>
          <w:rFonts w:hint="eastAsia" w:ascii="宋体" w:hAnsi="宋体" w:eastAsia="宋体" w:cs="宋体"/>
          <w:b w:val="0"/>
          <w:color w:val="000000" w:themeColor="text1"/>
          <w:sz w:val="24"/>
          <w:szCs w:val="24"/>
          <w:highlight w:val="none"/>
          <w14:textFill>
            <w14:solidFill>
              <w14:schemeClr w14:val="tx1"/>
            </w14:solidFill>
          </w14:textFill>
        </w:rPr>
      </w:pPr>
    </w:p>
    <w:p w14:paraId="157C46E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val="0"/>
          <w:color w:val="000000" w:themeColor="text1"/>
          <w:sz w:val="24"/>
          <w:szCs w:val="24"/>
          <w:highlight w:val="none"/>
          <w14:textFill>
            <w14:solidFill>
              <w14:schemeClr w14:val="tx1"/>
            </w14:solidFill>
          </w14:textFill>
        </w:rPr>
      </w:pPr>
    </w:p>
    <w:p w14:paraId="648D2579">
      <w:pPr>
        <w:keepNext w:val="0"/>
        <w:keepLines w:val="0"/>
        <w:pageBreakBefore w:val="0"/>
        <w:widowControl w:val="0"/>
        <w:kinsoku/>
        <w:wordWrap/>
        <w:overflowPunct/>
        <w:topLinePunct w:val="0"/>
        <w:autoSpaceDE w:val="0"/>
        <w:autoSpaceDN w:val="0"/>
        <w:bidi w:val="0"/>
        <w:adjustRightInd w:val="0"/>
        <w:snapToGrid/>
        <w:spacing w:line="500" w:lineRule="exact"/>
        <w:ind w:firstLine="720" w:firstLineChars="300"/>
        <w:jc w:val="left"/>
        <w:textAlignment w:val="auto"/>
        <w:rPr>
          <w:rFonts w:hint="eastAsia" w:ascii="宋体" w:hAnsi="宋体" w:eastAsia="宋体" w:cs="宋体"/>
          <w:b w:val="0"/>
          <w:color w:val="000000" w:themeColor="text1"/>
          <w:sz w:val="24"/>
          <w:szCs w:val="24"/>
          <w:highlight w:val="none"/>
          <w14:textFill>
            <w14:solidFill>
              <w14:schemeClr w14:val="tx1"/>
            </w14:solidFill>
          </w14:textFill>
        </w:rPr>
      </w:pPr>
    </w:p>
    <w:p w14:paraId="337D8504">
      <w:pPr>
        <w:pStyle w:val="35"/>
        <w:rPr>
          <w:rFonts w:hint="eastAsia" w:ascii="宋体" w:hAnsi="宋体" w:eastAsia="宋体" w:cs="宋体"/>
          <w:b w:val="0"/>
          <w:color w:val="000000" w:themeColor="text1"/>
          <w:sz w:val="24"/>
          <w:szCs w:val="24"/>
          <w:highlight w:val="none"/>
          <w14:textFill>
            <w14:solidFill>
              <w14:schemeClr w14:val="tx1"/>
            </w14:solidFill>
          </w14:textFill>
        </w:rPr>
      </w:pPr>
    </w:p>
    <w:p w14:paraId="69A289FF">
      <w:pPr>
        <w:rPr>
          <w:rFonts w:hint="eastAsia" w:ascii="宋体" w:hAnsi="宋体" w:eastAsia="宋体" w:cs="宋体"/>
        </w:rPr>
      </w:pPr>
    </w:p>
    <w:p w14:paraId="4B2E21AF">
      <w:pPr>
        <w:keepNext w:val="0"/>
        <w:keepLines w:val="0"/>
        <w:pageBreakBefore w:val="0"/>
        <w:widowControl w:val="0"/>
        <w:kinsoku/>
        <w:wordWrap/>
        <w:overflowPunct/>
        <w:topLinePunct w:val="0"/>
        <w:autoSpaceDE w:val="0"/>
        <w:autoSpaceDN w:val="0"/>
        <w:bidi w:val="0"/>
        <w:adjustRightInd w:val="0"/>
        <w:snapToGrid/>
        <w:spacing w:line="500" w:lineRule="exact"/>
        <w:ind w:firstLine="720" w:firstLineChars="300"/>
        <w:jc w:val="left"/>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附： 原件封套格式</w:t>
      </w:r>
    </w:p>
    <w:tbl>
      <w:tblPr>
        <w:tblStyle w:val="36"/>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0"/>
      </w:tblGrid>
      <w:tr w14:paraId="0D58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00" w:type="dxa"/>
            <w:noWrap w:val="0"/>
            <w:vAlign w:val="top"/>
          </w:tcPr>
          <w:p w14:paraId="4ADF01C5">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密封内容：原件，共</w:t>
            </w:r>
            <w:r>
              <w:rPr>
                <w:rFonts w:hint="eastAsia" w:ascii="宋体" w:hAnsi="宋体" w:eastAsia="宋体" w:cs="宋体"/>
                <w:b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color w:val="000000" w:themeColor="text1"/>
                <w:sz w:val="24"/>
                <w:szCs w:val="24"/>
                <w:highlight w:val="none"/>
                <w14:textFill>
                  <w14:solidFill>
                    <w14:schemeClr w14:val="tx1"/>
                  </w14:solidFill>
                </w14:textFill>
              </w:rPr>
              <w:t>件。</w:t>
            </w:r>
            <w:r>
              <w:rPr>
                <w:rFonts w:hint="eastAsia" w:ascii="宋体" w:hAnsi="宋体" w:eastAsia="宋体" w:cs="宋体"/>
                <w:color w:val="000000" w:themeColor="text1"/>
                <w:sz w:val="24"/>
                <w:szCs w:val="24"/>
                <w:highlight w:val="none"/>
                <w14:textFill>
                  <w14:solidFill>
                    <w14:schemeClr w14:val="tx1"/>
                  </w14:solidFill>
                </w14:textFill>
              </w:rPr>
              <w:t>（注：需列出原件清单明细，以便核实）</w:t>
            </w:r>
          </w:p>
          <w:p w14:paraId="7BB3F2C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资格证明文件原件清单</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1、有效营业执照（副本）</w:t>
            </w:r>
          </w:p>
          <w:p w14:paraId="5119EBFB">
            <w:pPr>
              <w:keepNext w:val="0"/>
              <w:keepLines w:val="0"/>
              <w:suppressLineNumbers w:val="0"/>
              <w:autoSpaceDE w:val="0"/>
              <w:autoSpaceDN w:val="0"/>
              <w:adjustRightInd w:val="0"/>
              <w:spacing w:before="0" w:beforeAutospacing="0" w:after="0" w:afterAutospacing="0" w:line="400" w:lineRule="exact"/>
              <w:ind w:left="0" w:right="0" w:firstLine="2640" w:firstLineChars="1100"/>
              <w:jc w:val="lef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p>
          <w:p w14:paraId="4C72099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 xml:space="preserve">                      </w:t>
            </w:r>
          </w:p>
          <w:p w14:paraId="709F04C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4"/>
                <w:szCs w:val="24"/>
                <w:highlight w:val="none"/>
                <w:u w:val="singl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项目名称：</w:t>
            </w:r>
            <w:r>
              <w:rPr>
                <w:rFonts w:hint="eastAsia" w:ascii="宋体" w:hAnsi="宋体" w:eastAsia="宋体" w:cs="宋体"/>
                <w:b w:val="0"/>
                <w:color w:val="000000" w:themeColor="text1"/>
                <w:sz w:val="24"/>
                <w:szCs w:val="24"/>
                <w:highlight w:val="none"/>
                <w:u w:val="single"/>
                <w14:textFill>
                  <w14:solidFill>
                    <w14:schemeClr w14:val="tx1"/>
                  </w14:solidFill>
                </w14:textFill>
              </w:rPr>
              <w:t xml:space="preserve">                      </w:t>
            </w:r>
          </w:p>
          <w:p w14:paraId="47D6AB4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标段号： </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标段</w:t>
            </w:r>
          </w:p>
          <w:p w14:paraId="7D9DDEB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bCs/>
                <w:color w:val="000000" w:themeColor="text1"/>
                <w:sz w:val="24"/>
                <w:szCs w:val="24"/>
                <w:highlight w:val="none"/>
                <w:u w:val="singl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招标编号：</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p>
          <w:p w14:paraId="45BC4380">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bCs/>
                <w:color w:val="000000" w:themeColor="text1"/>
                <w:sz w:val="24"/>
                <w:szCs w:val="24"/>
                <w:highlight w:val="none"/>
                <w:u w:val="singl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14:textFill>
                  <w14:solidFill>
                    <w14:schemeClr w14:val="tx1"/>
                  </w14:solidFill>
                </w14:textFill>
              </w:rPr>
              <w:t>名称：</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p>
          <w:p w14:paraId="0DA5BFF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原件</w:t>
            </w:r>
            <w:r>
              <w:rPr>
                <w:rFonts w:hint="eastAsia" w:ascii="宋体" w:hAnsi="宋体" w:eastAsia="宋体" w:cs="宋体"/>
                <w:b w:val="0"/>
                <w:color w:val="000000" w:themeColor="text1"/>
                <w:sz w:val="24"/>
                <w:szCs w:val="24"/>
                <w:highlight w:val="none"/>
                <w14:textFill>
                  <w14:solidFill>
                    <w14:schemeClr w14:val="tx1"/>
                  </w14:solidFill>
                </w14:textFill>
              </w:rPr>
              <w:t>在</w:t>
            </w:r>
            <w:r>
              <w:rPr>
                <w:rFonts w:hint="eastAsia" w:ascii="宋体" w:hAnsi="宋体" w:eastAsia="宋体" w:cs="宋体"/>
                <w:b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color w:val="000000" w:themeColor="text1"/>
                <w:sz w:val="24"/>
                <w:szCs w:val="24"/>
                <w:highlight w:val="none"/>
                <w14:textFill>
                  <w14:solidFill>
                    <w14:schemeClr w14:val="tx1"/>
                  </w14:solidFill>
                </w14:textFill>
              </w:rPr>
              <w:t>年</w:t>
            </w:r>
            <w:r>
              <w:rPr>
                <w:rFonts w:hint="eastAsia" w:ascii="宋体" w:hAnsi="宋体" w:eastAsia="宋体" w:cs="宋体"/>
                <w:b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color w:val="000000" w:themeColor="text1"/>
                <w:sz w:val="24"/>
                <w:szCs w:val="24"/>
                <w:highlight w:val="none"/>
                <w14:textFill>
                  <w14:solidFill>
                    <w14:schemeClr w14:val="tx1"/>
                  </w14:solidFill>
                </w14:textFill>
              </w:rPr>
              <w:t>月</w:t>
            </w:r>
            <w:r>
              <w:rPr>
                <w:rFonts w:hint="eastAsia" w:ascii="宋体" w:hAnsi="宋体" w:eastAsia="宋体" w:cs="宋体"/>
                <w:b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color w:val="000000" w:themeColor="text1"/>
                <w:sz w:val="24"/>
                <w:szCs w:val="24"/>
                <w:highlight w:val="none"/>
                <w14:textFill>
                  <w14:solidFill>
                    <w14:schemeClr w14:val="tx1"/>
                  </w14:solidFill>
                </w14:textFill>
              </w:rPr>
              <w:t>日</w:t>
            </w:r>
            <w:r>
              <w:rPr>
                <w:rFonts w:hint="eastAsia" w:ascii="宋体" w:hAnsi="宋体" w:eastAsia="宋体" w:cs="宋体"/>
                <w:b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color w:val="000000" w:themeColor="text1"/>
                <w:sz w:val="24"/>
                <w:szCs w:val="24"/>
                <w:highlight w:val="none"/>
                <w14:textFill>
                  <w14:solidFill>
                    <w14:schemeClr w14:val="tx1"/>
                  </w14:solidFill>
                </w14:textFill>
              </w:rPr>
              <w:t>时之前准时递交。</w:t>
            </w:r>
          </w:p>
          <w:p w14:paraId="3662A89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4"/>
                <w:szCs w:val="24"/>
                <w:highlight w:val="none"/>
                <w:u w:val="singl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法人或法人授权代表：</w:t>
            </w:r>
            <w:r>
              <w:rPr>
                <w:rFonts w:hint="eastAsia" w:ascii="宋体" w:hAnsi="宋体" w:eastAsia="宋体" w:cs="宋体"/>
                <w:b w:val="0"/>
                <w:color w:val="000000" w:themeColor="text1"/>
                <w:sz w:val="24"/>
                <w:szCs w:val="24"/>
                <w:highlight w:val="none"/>
                <w:u w:val="single"/>
                <w14:textFill>
                  <w14:solidFill>
                    <w14:schemeClr w14:val="tx1"/>
                  </w14:solidFill>
                </w14:textFill>
              </w:rPr>
              <w:t xml:space="preserve">             </w:t>
            </w:r>
          </w:p>
          <w:p w14:paraId="01846A6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联系电话：</w:t>
            </w:r>
            <w:r>
              <w:rPr>
                <w:rFonts w:hint="eastAsia" w:ascii="宋体" w:hAnsi="宋体" w:eastAsia="宋体" w:cs="宋体"/>
                <w:b w:val="0"/>
                <w:color w:val="000000" w:themeColor="text1"/>
                <w:sz w:val="24"/>
                <w:szCs w:val="24"/>
                <w:highlight w:val="none"/>
                <w:u w:val="single"/>
                <w14:textFill>
                  <w14:solidFill>
                    <w14:schemeClr w14:val="tx1"/>
                  </w14:solidFill>
                </w14:textFill>
              </w:rPr>
              <w:t xml:space="preserve">                </w:t>
            </w:r>
          </w:p>
        </w:tc>
      </w:tr>
    </w:tbl>
    <w:p w14:paraId="5D851128">
      <w:pPr>
        <w:autoSpaceDE w:val="0"/>
        <w:autoSpaceDN w:val="0"/>
        <w:adjustRightInd w:val="0"/>
        <w:spacing w:line="400" w:lineRule="exact"/>
        <w:jc w:val="left"/>
        <w:rPr>
          <w:rFonts w:hint="eastAsia" w:ascii="宋体" w:hAnsi="宋体" w:eastAsia="宋体" w:cs="宋体"/>
          <w:b w:val="0"/>
          <w:color w:val="000000" w:themeColor="text1"/>
          <w:sz w:val="21"/>
          <w:szCs w:val="21"/>
          <w:highlight w:val="none"/>
          <w:lang w:val="zh-CN"/>
          <w14:textFill>
            <w14:solidFill>
              <w14:schemeClr w14:val="tx1"/>
            </w14:solidFill>
          </w14:textFill>
        </w:rPr>
        <w:sectPr>
          <w:headerReference r:id="rId9" w:type="first"/>
          <w:footerReference r:id="rId11" w:type="first"/>
          <w:headerReference r:id="rId8" w:type="default"/>
          <w:footerReference r:id="rId10" w:type="default"/>
          <w:pgSz w:w="11905" w:h="16838"/>
          <w:pgMar w:top="1440" w:right="1803" w:bottom="1440" w:left="1803" w:header="1140" w:footer="720" w:gutter="0"/>
          <w:pgNumType w:fmt="decimal"/>
          <w:cols w:space="0" w:num="1"/>
          <w:titlePg/>
          <w:rtlGutter w:val="0"/>
          <w:docGrid w:type="lines" w:linePitch="317" w:charSpace="0"/>
        </w:sectPr>
      </w:pPr>
    </w:p>
    <w:p w14:paraId="08C4970E">
      <w:pPr>
        <w:autoSpaceDE w:val="0"/>
        <w:autoSpaceDN w:val="0"/>
        <w:adjustRightInd w:val="0"/>
        <w:spacing w:line="400" w:lineRule="exact"/>
        <w:jc w:val="left"/>
        <w:rPr>
          <w:rFonts w:hint="eastAsia" w:ascii="宋体" w:hAnsi="宋体" w:eastAsia="宋体" w:cs="宋体"/>
          <w:b w:val="0"/>
          <w:color w:val="000000" w:themeColor="text1"/>
          <w:sz w:val="23"/>
          <w:szCs w:val="21"/>
          <w:highlight w:val="none"/>
          <w:lang w:val="zh-CN"/>
          <w14:textFill>
            <w14:solidFill>
              <w14:schemeClr w14:val="tx1"/>
            </w14:solidFill>
          </w14:textFill>
        </w:rPr>
      </w:pPr>
      <w:r>
        <w:rPr>
          <w:rFonts w:hint="eastAsia" w:ascii="宋体" w:hAnsi="宋体" w:eastAsia="宋体" w:cs="宋体"/>
          <w:b w:val="0"/>
          <w:color w:val="000000" w:themeColor="text1"/>
          <w:sz w:val="23"/>
          <w:szCs w:val="21"/>
          <w:highlight w:val="none"/>
          <w:lang w:val="zh-CN"/>
          <w14:textFill>
            <w14:solidFill>
              <w14:schemeClr w14:val="tx1"/>
            </w14:solidFill>
          </w14:textFill>
        </w:rPr>
        <w:t>附：密封条格式</w:t>
      </w:r>
    </w:p>
    <w:p w14:paraId="1A05DD82">
      <w:pPr>
        <w:autoSpaceDE w:val="0"/>
        <w:autoSpaceDN w:val="0"/>
        <w:adjustRightInd w:val="0"/>
        <w:spacing w:line="400" w:lineRule="exact"/>
        <w:jc w:val="left"/>
        <w:rPr>
          <w:rFonts w:hint="eastAsia" w:ascii="宋体" w:hAnsi="宋体" w:eastAsia="宋体" w:cs="宋体"/>
          <w:b w:val="0"/>
          <w:color w:val="000000" w:themeColor="text1"/>
          <w:sz w:val="21"/>
          <w:szCs w:val="21"/>
          <w:highlight w:val="none"/>
          <w:lang w:val="zh-CN"/>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（供应商裁开使用）</w:t>
      </w:r>
    </w:p>
    <w:tbl>
      <w:tblPr>
        <w:tblStyle w:val="36"/>
        <w:tblW w:w="0" w:type="auto"/>
        <w:tblInd w:w="0" w:type="dxa"/>
        <w:tblBorders>
          <w:top w:val="dashed" w:color="auto" w:sz="18" w:space="0"/>
          <w:left w:val="dashed" w:color="auto" w:sz="18" w:space="0"/>
          <w:bottom w:val="dashed" w:color="auto" w:sz="18" w:space="0"/>
          <w:right w:val="dashed" w:color="auto" w:sz="18" w:space="0"/>
          <w:insideH w:val="dashed" w:color="auto" w:sz="18" w:space="0"/>
          <w:insideV w:val="dashed" w:color="auto" w:sz="18" w:space="0"/>
        </w:tblBorders>
        <w:tblLayout w:type="fixed"/>
        <w:tblCellMar>
          <w:top w:w="0" w:type="dxa"/>
          <w:left w:w="108" w:type="dxa"/>
          <w:bottom w:w="0" w:type="dxa"/>
          <w:right w:w="108" w:type="dxa"/>
        </w:tblCellMar>
      </w:tblPr>
      <w:tblGrid>
        <w:gridCol w:w="15559"/>
      </w:tblGrid>
      <w:tr w14:paraId="66CBCF3E">
        <w:tblPrEx>
          <w:tblBorders>
            <w:top w:val="dashed" w:color="auto" w:sz="18" w:space="0"/>
            <w:left w:val="dashed" w:color="auto" w:sz="18" w:space="0"/>
            <w:bottom w:val="dashed" w:color="auto" w:sz="18" w:space="0"/>
            <w:right w:val="dashed" w:color="auto" w:sz="18" w:space="0"/>
            <w:insideH w:val="dashed" w:color="auto" w:sz="18" w:space="0"/>
            <w:insideV w:val="dashed" w:color="auto" w:sz="18" w:space="0"/>
          </w:tblBorders>
          <w:tblCellMar>
            <w:top w:w="0" w:type="dxa"/>
            <w:left w:w="108" w:type="dxa"/>
            <w:bottom w:w="0" w:type="dxa"/>
            <w:right w:w="108" w:type="dxa"/>
          </w:tblCellMar>
        </w:tblPrEx>
        <w:trPr>
          <w:trHeight w:val="1990" w:hRule="atLeast"/>
        </w:trPr>
        <w:tc>
          <w:tcPr>
            <w:tcW w:w="15559" w:type="dxa"/>
            <w:noWrap w:val="0"/>
            <w:vAlign w:val="top"/>
          </w:tcPr>
          <w:p w14:paraId="5257A3F0">
            <w:pPr>
              <w:keepNext w:val="0"/>
              <w:keepLines w:val="0"/>
              <w:suppressLineNumbers w:val="0"/>
              <w:spacing w:before="0" w:beforeAutospacing="0" w:after="0" w:afterAutospacing="0" w:line="540" w:lineRule="exact"/>
              <w:ind w:left="0" w:right="0"/>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供应商</w:t>
            </w:r>
            <w:r>
              <w:rPr>
                <w:rFonts w:hint="eastAsia" w:ascii="宋体" w:hAnsi="宋体" w:eastAsia="宋体" w:cs="宋体"/>
                <w:b/>
                <w:bCs/>
                <w:color w:val="000000" w:themeColor="text1"/>
                <w:sz w:val="25"/>
                <w:highlight w:val="none"/>
                <w14:textFill>
                  <w14:solidFill>
                    <w14:schemeClr w14:val="tx1"/>
                  </w14:solidFill>
                </w14:textFill>
              </w:rPr>
              <w:t>法定代表人章）                                      （</w:t>
            </w:r>
            <w:r>
              <w:rPr>
                <w:rFonts w:hint="eastAsia" w:ascii="宋体" w:hAnsi="宋体" w:eastAsia="宋体" w:cs="宋体"/>
                <w:b/>
                <w:bCs/>
                <w:color w:val="000000" w:themeColor="text1"/>
                <w:sz w:val="25"/>
                <w:highlight w:val="none"/>
                <w:lang w:eastAsia="zh-CN"/>
                <w14:textFill>
                  <w14:solidFill>
                    <w14:schemeClr w14:val="tx1"/>
                  </w14:solidFill>
                </w14:textFill>
              </w:rPr>
              <w:t>供应商</w:t>
            </w:r>
            <w:r>
              <w:rPr>
                <w:rFonts w:hint="eastAsia" w:ascii="宋体" w:hAnsi="宋体" w:eastAsia="宋体" w:cs="宋体"/>
                <w:b/>
                <w:bCs/>
                <w:color w:val="000000" w:themeColor="text1"/>
                <w:sz w:val="25"/>
                <w:highlight w:val="none"/>
                <w14:textFill>
                  <w14:solidFill>
                    <w14:schemeClr w14:val="tx1"/>
                  </w14:solidFill>
                </w14:textFill>
              </w:rPr>
              <w:t>公章）</w:t>
            </w:r>
          </w:p>
          <w:p w14:paraId="6BE45A4B">
            <w:pPr>
              <w:keepNext w:val="0"/>
              <w:keepLines w:val="0"/>
              <w:suppressLineNumbers w:val="0"/>
              <w:spacing w:before="0" w:beforeAutospacing="0" w:after="0" w:afterAutospacing="0" w:line="540" w:lineRule="exact"/>
              <w:ind w:left="0" w:right="0"/>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………………密封条………………密封条………………密封条………………密封条………………密封条………………</w:t>
            </w:r>
          </w:p>
          <w:p w14:paraId="461EFA55">
            <w:pPr>
              <w:keepNext w:val="0"/>
              <w:keepLines w:val="0"/>
              <w:suppressLineNumbers w:val="0"/>
              <w:spacing w:before="0" w:beforeAutospacing="0" w:after="0" w:afterAutospacing="0" w:line="540" w:lineRule="exact"/>
              <w:ind w:left="0" w:right="0"/>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在      年      月      日     时      分前不得开启</w:t>
            </w:r>
          </w:p>
          <w:p w14:paraId="14BBCCF5">
            <w:pPr>
              <w:keepNext w:val="0"/>
              <w:keepLines w:val="0"/>
              <w:suppressLineNumbers w:val="0"/>
              <w:spacing w:before="0" w:beforeAutospacing="0" w:after="0" w:afterAutospacing="0" w:line="540" w:lineRule="exact"/>
              <w:ind w:left="0" w:right="0"/>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供应商</w:t>
            </w:r>
            <w:r>
              <w:rPr>
                <w:rFonts w:hint="eastAsia" w:ascii="宋体" w:hAnsi="宋体" w:eastAsia="宋体" w:cs="宋体"/>
                <w:b/>
                <w:bCs/>
                <w:color w:val="000000" w:themeColor="text1"/>
                <w:sz w:val="25"/>
                <w:highlight w:val="none"/>
                <w14:textFill>
                  <w14:solidFill>
                    <w14:schemeClr w14:val="tx1"/>
                  </w14:solidFill>
                </w14:textFill>
              </w:rPr>
              <w:t>公章）                                     （</w:t>
            </w:r>
            <w:r>
              <w:rPr>
                <w:rFonts w:hint="eastAsia" w:ascii="宋体" w:hAnsi="宋体" w:eastAsia="宋体" w:cs="宋体"/>
                <w:b/>
                <w:bCs/>
                <w:color w:val="000000" w:themeColor="text1"/>
                <w:sz w:val="25"/>
                <w:highlight w:val="none"/>
                <w:lang w:eastAsia="zh-CN"/>
                <w14:textFill>
                  <w14:solidFill>
                    <w14:schemeClr w14:val="tx1"/>
                  </w14:solidFill>
                </w14:textFill>
              </w:rPr>
              <w:t>供应商</w:t>
            </w:r>
            <w:r>
              <w:rPr>
                <w:rFonts w:hint="eastAsia" w:ascii="宋体" w:hAnsi="宋体" w:eastAsia="宋体" w:cs="宋体"/>
                <w:b/>
                <w:bCs/>
                <w:color w:val="000000" w:themeColor="text1"/>
                <w:sz w:val="25"/>
                <w:highlight w:val="none"/>
                <w14:textFill>
                  <w14:solidFill>
                    <w14:schemeClr w14:val="tx1"/>
                  </w14:solidFill>
                </w14:textFill>
              </w:rPr>
              <w:t>法定代表人章）</w:t>
            </w:r>
          </w:p>
        </w:tc>
      </w:tr>
    </w:tbl>
    <w:p w14:paraId="112DE851">
      <w:pPr>
        <w:spacing w:line="540" w:lineRule="exact"/>
        <w:jc w:val="center"/>
        <w:rPr>
          <w:rFonts w:hint="eastAsia" w:ascii="宋体" w:hAnsi="宋体" w:eastAsia="宋体" w:cs="宋体"/>
          <w:b/>
          <w:bCs/>
          <w:color w:val="000000" w:themeColor="text1"/>
          <w:highlight w:val="none"/>
          <w14:textFill>
            <w14:solidFill>
              <w14:schemeClr w14:val="tx1"/>
            </w14:solidFill>
          </w14:textFill>
        </w:rPr>
      </w:pPr>
    </w:p>
    <w:p w14:paraId="4FD91B9B">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供应商</w:t>
      </w:r>
      <w:r>
        <w:rPr>
          <w:rFonts w:hint="eastAsia" w:ascii="宋体" w:hAnsi="宋体" w:eastAsia="宋体" w:cs="宋体"/>
          <w:b/>
          <w:bCs/>
          <w:color w:val="000000" w:themeColor="text1"/>
          <w:sz w:val="25"/>
          <w:highlight w:val="none"/>
          <w14:textFill>
            <w14:solidFill>
              <w14:schemeClr w14:val="tx1"/>
            </w14:solidFill>
          </w14:textFill>
        </w:rPr>
        <w:t>法定代表人章）                                     （</w:t>
      </w:r>
      <w:r>
        <w:rPr>
          <w:rFonts w:hint="eastAsia" w:ascii="宋体" w:hAnsi="宋体" w:eastAsia="宋体" w:cs="宋体"/>
          <w:b/>
          <w:bCs/>
          <w:color w:val="000000" w:themeColor="text1"/>
          <w:sz w:val="25"/>
          <w:highlight w:val="none"/>
          <w:lang w:eastAsia="zh-CN"/>
          <w14:textFill>
            <w14:solidFill>
              <w14:schemeClr w14:val="tx1"/>
            </w14:solidFill>
          </w14:textFill>
        </w:rPr>
        <w:t>供应商</w:t>
      </w:r>
      <w:r>
        <w:rPr>
          <w:rFonts w:hint="eastAsia" w:ascii="宋体" w:hAnsi="宋体" w:eastAsia="宋体" w:cs="宋体"/>
          <w:b/>
          <w:bCs/>
          <w:color w:val="000000" w:themeColor="text1"/>
          <w:sz w:val="25"/>
          <w:highlight w:val="none"/>
          <w14:textFill>
            <w14:solidFill>
              <w14:schemeClr w14:val="tx1"/>
            </w14:solidFill>
          </w14:textFill>
        </w:rPr>
        <w:t>公章）</w:t>
      </w:r>
    </w:p>
    <w:p w14:paraId="1EACEFB6">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………………密封条………………密封条………………密封条………………密封条………………密封条………………</w:t>
      </w:r>
    </w:p>
    <w:p w14:paraId="23A89B0A">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在      年      月      日     时      分前不得开启</w:t>
      </w:r>
    </w:p>
    <w:p w14:paraId="776D08D1">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供应商</w:t>
      </w:r>
      <w:r>
        <w:rPr>
          <w:rFonts w:hint="eastAsia" w:ascii="宋体" w:hAnsi="宋体" w:eastAsia="宋体" w:cs="宋体"/>
          <w:b/>
          <w:bCs/>
          <w:color w:val="000000" w:themeColor="text1"/>
          <w:sz w:val="25"/>
          <w:highlight w:val="none"/>
          <w14:textFill>
            <w14:solidFill>
              <w14:schemeClr w14:val="tx1"/>
            </w14:solidFill>
          </w14:textFill>
        </w:rPr>
        <w:t>公章）                                     （</w:t>
      </w:r>
      <w:r>
        <w:rPr>
          <w:rFonts w:hint="eastAsia" w:ascii="宋体" w:hAnsi="宋体" w:eastAsia="宋体" w:cs="宋体"/>
          <w:b/>
          <w:bCs/>
          <w:color w:val="000000" w:themeColor="text1"/>
          <w:sz w:val="25"/>
          <w:highlight w:val="none"/>
          <w:lang w:eastAsia="zh-CN"/>
          <w14:textFill>
            <w14:solidFill>
              <w14:schemeClr w14:val="tx1"/>
            </w14:solidFill>
          </w14:textFill>
        </w:rPr>
        <w:t>供应商</w:t>
      </w:r>
      <w:r>
        <w:rPr>
          <w:rFonts w:hint="eastAsia" w:ascii="宋体" w:hAnsi="宋体" w:eastAsia="宋体" w:cs="宋体"/>
          <w:b/>
          <w:bCs/>
          <w:color w:val="000000" w:themeColor="text1"/>
          <w:sz w:val="25"/>
          <w:highlight w:val="none"/>
          <w14:textFill>
            <w14:solidFill>
              <w14:schemeClr w14:val="tx1"/>
            </w14:solidFill>
          </w14:textFill>
        </w:rPr>
        <w:t>法定代表人章）</w:t>
      </w:r>
    </w:p>
    <w:p w14:paraId="7F2381AB">
      <w:pPr>
        <w:spacing w:line="540" w:lineRule="exact"/>
        <w:jc w:val="center"/>
        <w:rPr>
          <w:rFonts w:hint="eastAsia" w:ascii="宋体" w:hAnsi="宋体" w:eastAsia="宋体" w:cs="宋体"/>
          <w:b/>
          <w:bCs/>
          <w:color w:val="000000" w:themeColor="text1"/>
          <w:highlight w:val="none"/>
          <w14:textFill>
            <w14:solidFill>
              <w14:schemeClr w14:val="tx1"/>
            </w14:solidFill>
          </w14:textFill>
        </w:rPr>
      </w:pPr>
    </w:p>
    <w:p w14:paraId="1B12AA2A">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供应商</w:t>
      </w:r>
      <w:r>
        <w:rPr>
          <w:rFonts w:hint="eastAsia" w:ascii="宋体" w:hAnsi="宋体" w:eastAsia="宋体" w:cs="宋体"/>
          <w:b/>
          <w:bCs/>
          <w:color w:val="000000" w:themeColor="text1"/>
          <w:sz w:val="25"/>
          <w:highlight w:val="none"/>
          <w14:textFill>
            <w14:solidFill>
              <w14:schemeClr w14:val="tx1"/>
            </w14:solidFill>
          </w14:textFill>
        </w:rPr>
        <w:t>法定代表人章）                                     （</w:t>
      </w:r>
      <w:r>
        <w:rPr>
          <w:rFonts w:hint="eastAsia" w:ascii="宋体" w:hAnsi="宋体" w:eastAsia="宋体" w:cs="宋体"/>
          <w:b/>
          <w:bCs/>
          <w:color w:val="000000" w:themeColor="text1"/>
          <w:sz w:val="25"/>
          <w:highlight w:val="none"/>
          <w:lang w:eastAsia="zh-CN"/>
          <w14:textFill>
            <w14:solidFill>
              <w14:schemeClr w14:val="tx1"/>
            </w14:solidFill>
          </w14:textFill>
        </w:rPr>
        <w:t>供应商</w:t>
      </w:r>
      <w:r>
        <w:rPr>
          <w:rFonts w:hint="eastAsia" w:ascii="宋体" w:hAnsi="宋体" w:eastAsia="宋体" w:cs="宋体"/>
          <w:b/>
          <w:bCs/>
          <w:color w:val="000000" w:themeColor="text1"/>
          <w:sz w:val="25"/>
          <w:highlight w:val="none"/>
          <w14:textFill>
            <w14:solidFill>
              <w14:schemeClr w14:val="tx1"/>
            </w14:solidFill>
          </w14:textFill>
        </w:rPr>
        <w:t>公章）</w:t>
      </w:r>
    </w:p>
    <w:p w14:paraId="60F4C0EA">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………………密封条………………密封条………………密封条………………密封条………………密封条………………</w:t>
      </w:r>
    </w:p>
    <w:p w14:paraId="050E38C0">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在      年      月      日     时      分前不得开启</w:t>
      </w:r>
    </w:p>
    <w:p w14:paraId="373D7CC5">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val="0"/>
          <w:color w:val="000000" w:themeColor="text1"/>
          <w:sz w:val="21"/>
          <w:szCs w:val="21"/>
          <w:highlight w:val="none"/>
          <w:lang w:val="zh-CN"/>
          <w14:textFill>
            <w14:solidFill>
              <w14:schemeClr w14:val="tx1"/>
            </w14:solidFill>
          </w14:textFill>
        </w:rPr>
        <w:sectPr>
          <w:pgSz w:w="16840" w:h="11907" w:orient="landscape"/>
          <w:pgMar w:top="998" w:right="680" w:bottom="805" w:left="816" w:header="680" w:footer="907" w:gutter="0"/>
          <w:pgNumType w:fmt="decimal"/>
          <w:cols w:space="720" w:num="1"/>
          <w:docGrid w:linePitch="601" w:charSpace="0"/>
        </w:sect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供应商</w:t>
      </w:r>
      <w:r>
        <w:rPr>
          <w:rFonts w:hint="eastAsia" w:ascii="宋体" w:hAnsi="宋体" w:eastAsia="宋体" w:cs="宋体"/>
          <w:b/>
          <w:bCs/>
          <w:color w:val="000000" w:themeColor="text1"/>
          <w:sz w:val="25"/>
          <w:highlight w:val="none"/>
          <w14:textFill>
            <w14:solidFill>
              <w14:schemeClr w14:val="tx1"/>
            </w14:solidFill>
          </w14:textFill>
        </w:rPr>
        <w:t>公章）                                     （</w:t>
      </w:r>
      <w:r>
        <w:rPr>
          <w:rFonts w:hint="eastAsia" w:ascii="宋体" w:hAnsi="宋体" w:eastAsia="宋体" w:cs="宋体"/>
          <w:b/>
          <w:bCs/>
          <w:color w:val="000000" w:themeColor="text1"/>
          <w:sz w:val="25"/>
          <w:highlight w:val="none"/>
          <w:lang w:eastAsia="zh-CN"/>
          <w14:textFill>
            <w14:solidFill>
              <w14:schemeClr w14:val="tx1"/>
            </w14:solidFill>
          </w14:textFill>
        </w:rPr>
        <w:t>供应商</w:t>
      </w:r>
      <w:r>
        <w:rPr>
          <w:rFonts w:hint="eastAsia" w:ascii="宋体" w:hAnsi="宋体" w:eastAsia="宋体" w:cs="宋体"/>
          <w:b/>
          <w:bCs/>
          <w:color w:val="000000" w:themeColor="text1"/>
          <w:sz w:val="25"/>
          <w:highlight w:val="none"/>
          <w14:textFill>
            <w14:solidFill>
              <w14:schemeClr w14:val="tx1"/>
            </w14:solidFill>
          </w14:textFill>
        </w:rPr>
        <w:t>法定代表人章）</w:t>
      </w:r>
    </w:p>
    <w:p w14:paraId="087F93FC">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4.2</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响应文件的递交</w:t>
      </w:r>
    </w:p>
    <w:p w14:paraId="08688BC5">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4.2.1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供应商递交首次响应文件截止时间：见供应商须知前附表。</w:t>
      </w:r>
    </w:p>
    <w:p w14:paraId="4D9A0134">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4.2.2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供应商递交首次响应文件的地点：见供应商须知前附表。</w:t>
      </w:r>
    </w:p>
    <w:p w14:paraId="1BD3EF17">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4.2.3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除供应商须知前附表另有规定外，供应商所递交的响应文件不予退还。</w:t>
      </w:r>
    </w:p>
    <w:p w14:paraId="68AFFADA">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4.2.4</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采购人收到首次响应文件后，向供应商岀具签收凭证。</w:t>
      </w:r>
    </w:p>
    <w:p w14:paraId="53128C40">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4.2.5</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逾期送达的或者未送达指定地点的首次响应文件，采购人不予受理。</w:t>
      </w:r>
    </w:p>
    <w:p w14:paraId="0CBE7BA5">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4.3</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响应文件的修改与撤回</w:t>
      </w:r>
    </w:p>
    <w:p w14:paraId="278B2B3C">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4.3.1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在本章第</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4.2.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1项规定的递交首次响应文件截止时间前，供应商可以修改或撤回已递交的首次响应文件，但应以书面形式通知采购人。</w:t>
      </w:r>
    </w:p>
    <w:p w14:paraId="32D89AEB">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4.3.2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供应商修改或撤回已递交首次响应文件的书面通知应按照本章第</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3. 7.</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3项的要求签字或盖章。采购人收到书面通知后，向供应商岀具签收凭证。</w:t>
      </w:r>
    </w:p>
    <w:p w14:paraId="601578C5">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4.3.3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修改的内容为响应文件的组成部分。修改的首次响应文件应按照本章第3条、第4条规定进行编制、密封、标记和递交，并标明</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“修改”字</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样。</w:t>
      </w:r>
    </w:p>
    <w:p w14:paraId="1BFFCB79">
      <w:pPr>
        <w:pStyle w:val="81"/>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napToGrid/>
        <w:spacing w:before="0" w:after="160" w:line="500" w:lineRule="exact"/>
        <w:ind w:leftChars="0" w:right="0" w:rightChars="0" w:firstLine="241"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7" w:name="bookmark122"/>
      <w:bookmarkEnd w:id="87"/>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磋商</w:t>
      </w:r>
    </w:p>
    <w:p w14:paraId="51CB1464">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5.</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1磋商时间和地点</w:t>
      </w:r>
    </w:p>
    <w:p w14:paraId="23D9A399">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采购人在本章第</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4.2.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1项规定的递交首次响应文件截止时间（磋商时间）和供应商须知前附表规定的地点磋商，并要求法人或授权委托人准时参加。</w:t>
      </w:r>
    </w:p>
    <w:p w14:paraId="2C1F7639">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5.</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2磋商程序</w:t>
      </w:r>
    </w:p>
    <w:p w14:paraId="729A989D">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由采购人或采购代理机构主持。</w:t>
      </w:r>
    </w:p>
    <w:p w14:paraId="4D559531">
      <w:pPr>
        <w:pStyle w:val="81"/>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after="0" w:line="50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8" w:name="bookmark123"/>
      <w:bookmarkEnd w:id="88"/>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供应商递交响应文件，并准备二次报价表；</w:t>
      </w:r>
    </w:p>
    <w:p w14:paraId="761C8024">
      <w:pPr>
        <w:pStyle w:val="81"/>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after="0" w:line="50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9" w:name="bookmark124"/>
      <w:bookmarkEnd w:id="89"/>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由供应商代表检查响应文件的递交、密封情况；</w:t>
      </w:r>
    </w:p>
    <w:p w14:paraId="3E789545">
      <w:pPr>
        <w:pStyle w:val="81"/>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after="0" w:line="50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0" w:name="bookmark125"/>
      <w:bookmarkEnd w:id="90"/>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磋商会议结束，供应商等待二次报价；</w:t>
      </w:r>
    </w:p>
    <w:p w14:paraId="74EE6DB0">
      <w:pPr>
        <w:pStyle w:val="81"/>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after="160" w:line="50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1" w:name="bookmark126"/>
      <w:bookmarkEnd w:id="91"/>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通过初步评审的供应商在工作人员指定地点进行二次报价。</w:t>
      </w:r>
    </w:p>
    <w:p w14:paraId="0944B950">
      <w:pPr>
        <w:pStyle w:val="81"/>
        <w:keepNext w:val="0"/>
        <w:keepLines w:val="0"/>
        <w:pageBreakBefore w:val="0"/>
        <w:widowControl w:val="0"/>
        <w:numPr>
          <w:ilvl w:val="0"/>
          <w:numId w:val="0"/>
        </w:numPr>
        <w:shd w:val="clear" w:color="auto" w:fill="auto"/>
        <w:tabs>
          <w:tab w:val="left" w:pos="329"/>
        </w:tabs>
        <w:kinsoku/>
        <w:wordWrap/>
        <w:overflowPunct/>
        <w:topLinePunct w:val="0"/>
        <w:autoSpaceDE/>
        <w:autoSpaceDN/>
        <w:bidi w:val="0"/>
        <w:adjustRightInd/>
        <w:snapToGrid/>
        <w:spacing w:before="0" w:after="0" w:line="500" w:lineRule="exact"/>
        <w:ind w:leftChars="0" w:right="0" w:righ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2" w:name="bookmark127"/>
      <w:bookmarkEnd w:id="92"/>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3磋商其他事项</w:t>
      </w:r>
    </w:p>
    <w:p w14:paraId="1548A78B">
      <w:pPr>
        <w:pStyle w:val="8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50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3" w:name="bookmark128"/>
      <w:bookmarkEnd w:id="93"/>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通过初步评审的供应商少于三家的，采购人或者采购代理机构依法重新组织采购，且不承担任何费用和责任。</w:t>
      </w:r>
    </w:p>
    <w:p w14:paraId="00BBEDDD">
      <w:pPr>
        <w:pStyle w:val="8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50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4" w:name="bookmark129"/>
      <w:bookmarkEnd w:id="94"/>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检查响应文件密封情况时，由供应商或者其推选的代表检查所有供应商响应文件的密封情况并由法定代表人或其授权代表签字确认。</w:t>
      </w:r>
    </w:p>
    <w:p w14:paraId="5935DFB8">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法定代表人或其授权代表认为某个或者某些供应商的响应文件密封不符合规定的，应当面提岀，由采购人及采购代理机构根据磋商文件相关规定作岀判断。经确认无异议的，相关各方供应商法定代表人或其授权代表签字确认后，可由采购代理机构工作人员拆封，开启各供应商响应文件；按照上述规定开启响应文件后，供应商再对响应文件的密封情况提岀异议的，采购人或者采购代理机构不予受理。经确认存在争议的，采购人及采购代理机构现场记录，通过录音、拍照、录像等手段保存相关证据，相关供应商法定代表人或其授权代表签字确认后，由磋商小组认定，认定结论为响应文件不符合规定的按无效处理。</w:t>
      </w:r>
    </w:p>
    <w:p w14:paraId="3F02B565">
      <w:pPr>
        <w:pStyle w:val="81"/>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after="0" w:line="50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5" w:name="bookmark130"/>
      <w:bookmarkEnd w:id="95"/>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第二轮报价(最终报价)。</w:t>
      </w:r>
    </w:p>
    <w:p w14:paraId="4928E864">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小组所有成员应当按首次响应文件递交顺序确定磋商顺序，集中与单一供应商分别进行磋商，并给予所有实质性响应竞争性磋商文件要求的供应商平等的磋商机会，同时递交最终报价表，记录由采购人代表、磋商小组成员等有关人员签字确认，采购代理机构负责存档备查。</w:t>
      </w:r>
    </w:p>
    <w:p w14:paraId="7B0F7182">
      <w:pPr>
        <w:pStyle w:val="8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160" w:line="50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6" w:name="bookmark131"/>
      <w:bookmarkEnd w:id="96"/>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供应商对第二轮报价有异议的，应当在磋商现场以提岀，采购人或者采购代理机构应当场给予答复，并制作记录，供应商法定代表人或其授权代表、采购人代表、采购代理机构相关人员签字确认。</w:t>
      </w:r>
    </w:p>
    <w:p w14:paraId="6C68A211">
      <w:pPr>
        <w:pStyle w:val="81"/>
        <w:keepNext w:val="0"/>
        <w:keepLines w:val="0"/>
        <w:pageBreakBefore w:val="0"/>
        <w:widowControl w:val="0"/>
        <w:numPr>
          <w:ilvl w:val="0"/>
          <w:numId w:val="0"/>
        </w:numPr>
        <w:shd w:val="clear" w:color="auto" w:fill="auto"/>
        <w:tabs>
          <w:tab w:val="left" w:pos="353"/>
        </w:tabs>
        <w:kinsoku/>
        <w:wordWrap/>
        <w:overflowPunct/>
        <w:topLinePunct w:val="0"/>
        <w:autoSpaceDE/>
        <w:autoSpaceDN/>
        <w:bidi w:val="0"/>
        <w:adjustRightInd/>
        <w:snapToGrid/>
        <w:spacing w:before="0" w:after="160" w:line="500" w:lineRule="exact"/>
        <w:ind w:right="0" w:rightChars="0" w:firstLine="241"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7" w:name="bookmark132"/>
      <w:bookmarkEnd w:id="97"/>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评审</w:t>
      </w:r>
    </w:p>
    <w:p w14:paraId="4927688F">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6.</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1磋商小组</w:t>
      </w:r>
    </w:p>
    <w:p w14:paraId="00FD1BF3">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6.1.1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供应商须知前附表。</w:t>
      </w:r>
    </w:p>
    <w:p w14:paraId="4BA5466B">
      <w:pPr>
        <w:pStyle w:val="81"/>
        <w:keepNext w:val="0"/>
        <w:keepLines w:val="0"/>
        <w:pageBreakBefore w:val="0"/>
        <w:widowControl w:val="0"/>
        <w:shd w:val="clear" w:color="auto" w:fill="auto"/>
        <w:kinsoku/>
        <w:wordWrap/>
        <w:overflowPunct/>
        <w:topLinePunct w:val="0"/>
        <w:autoSpaceDE/>
        <w:autoSpaceDN/>
        <w:bidi w:val="0"/>
        <w:adjustRightInd/>
        <w:snapToGrid/>
        <w:spacing w:before="0" w:after="8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参加评审专家抽取的有关人员对被抽取的专家的姓名、单位和联系方式等内容负有保密的义务。</w:t>
      </w:r>
    </w:p>
    <w:p w14:paraId="3B6552E9">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磋商小组成员的名单在成交结果确定前必须严格保密。</w:t>
      </w:r>
    </w:p>
    <w:p w14:paraId="108764B6">
      <w:pPr>
        <w:pStyle w:val="81"/>
        <w:keepNext w:val="0"/>
        <w:keepLines w:val="0"/>
        <w:pageBreakBefore w:val="0"/>
        <w:widowControl w:val="0"/>
        <w:numPr>
          <w:ilvl w:val="0"/>
          <w:numId w:val="0"/>
        </w:numPr>
        <w:shd w:val="clear" w:color="auto" w:fill="auto"/>
        <w:tabs>
          <w:tab w:val="left" w:pos="733"/>
        </w:tabs>
        <w:kinsoku/>
        <w:wordWrap/>
        <w:overflowPunct/>
        <w:topLinePunct w:val="0"/>
        <w:autoSpaceDE/>
        <w:autoSpaceDN/>
        <w:bidi w:val="0"/>
        <w:adjustRightInd/>
        <w:snapToGrid/>
        <w:spacing w:before="0" w:after="0" w:line="500" w:lineRule="exact"/>
        <w:ind w:right="0" w:rightChars="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8" w:name="bookmark133"/>
      <w:bookmarkEnd w:id="98"/>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6.</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磋商小组成员不得参加与自己有利害关系的评审活动，与自己有利害关系的应当回避， 已经进入的必须更换。</w:t>
      </w:r>
    </w:p>
    <w:p w14:paraId="0F66C493">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6.1.3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磋商小组负责对各响应文件进行评审、比较、评定，并按本磋商文件的规定确定成交供应商。</w:t>
      </w:r>
    </w:p>
    <w:p w14:paraId="19AEEA27">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6.1.4</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小组具有依据磋商文件进行独立评审的权力，且不受外界任何因素的干扰。磋商小组成员必须独立、负责地提岀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岀书面说明并记录在案。</w:t>
      </w:r>
    </w:p>
    <w:p w14:paraId="37C183AF">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6.1.5</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磋商小组的职责：</w:t>
      </w:r>
    </w:p>
    <w:p w14:paraId="0F5BA7FD">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9" w:name="bookmark134"/>
      <w:bookmarkEnd w:id="99"/>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审查响应文件是否符合磋商文件要求，进行资格性审查和符合性审查，并作岀评价；</w:t>
      </w:r>
    </w:p>
    <w:p w14:paraId="77F154C2">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0" w:name="bookmark135"/>
      <w:bookmarkEnd w:id="100"/>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要求供应商解释或澄清其响应文件；</w:t>
      </w:r>
    </w:p>
    <w:p w14:paraId="68EB6200">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1" w:name="bookmark136"/>
      <w:bookmarkEnd w:id="101"/>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编写评审报告，受采购人委托按照事先确定的办法直接确定成交供应商；</w:t>
      </w:r>
    </w:p>
    <w:p w14:paraId="050C6BF4">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2" w:name="bookmark137"/>
      <w:bookmarkEnd w:id="102"/>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告知采购人、采购代理机构在评审过程中发现的供应商的违法违规行为。</w:t>
      </w:r>
    </w:p>
    <w:p w14:paraId="011446C3">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6.1.6</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磋商小组的义务：</w:t>
      </w:r>
    </w:p>
    <w:p w14:paraId="384D410A">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3" w:name="bookmark138"/>
      <w:bookmarkEnd w:id="103"/>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遵纪守法，客观、公正、廉洁地履行职责；</w:t>
      </w:r>
    </w:p>
    <w:p w14:paraId="51B5A4B5">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4" w:name="bookmark139"/>
      <w:bookmarkEnd w:id="104"/>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提岀真实、可靠的评审意见；</w:t>
      </w:r>
    </w:p>
    <w:p w14:paraId="39BD2415">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5" w:name="bookmark140"/>
      <w:bookmarkEnd w:id="105"/>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严格遵守评审纪律，不得向外界泄露评审情况；</w:t>
      </w:r>
    </w:p>
    <w:p w14:paraId="2BAFCD20">
      <w:pPr>
        <w:pStyle w:val="81"/>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6" w:name="bookmark141"/>
      <w:bookmarkEnd w:id="106"/>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发现供应商在磋商活动中有不正当竞争或者恶意串通等违规行为，应及时向政府采购监督管理部门报告并加以制止；</w:t>
      </w:r>
    </w:p>
    <w:p w14:paraId="4D919196">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7" w:name="bookmark142"/>
      <w:bookmarkEnd w:id="107"/>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按照磋商文件的规定进行独立评审，对个人的评审意见承担法律责任；</w:t>
      </w:r>
    </w:p>
    <w:p w14:paraId="4CD5E406">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8" w:name="bookmark143"/>
      <w:bookmarkEnd w:id="108"/>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编写并审定评审报告；</w:t>
      </w:r>
    </w:p>
    <w:p w14:paraId="69C7F9A9">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09" w:name="bookmark144"/>
      <w:bookmarkEnd w:id="109"/>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配合采购人或者采购代理机构答复供应商提岀的质疑；</w:t>
      </w:r>
    </w:p>
    <w:p w14:paraId="7BAB46E7">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0" w:name="bookmark145"/>
      <w:bookmarkEnd w:id="110"/>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对评审过程和结果，以及采购人、供应商的商业秘密保密；</w:t>
      </w:r>
    </w:p>
    <w:p w14:paraId="1348F62F">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1" w:name="bookmark146"/>
      <w:bookmarkEnd w:id="111"/>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配合财政部门的投诉处理和监督检查工作。</w:t>
      </w:r>
    </w:p>
    <w:p w14:paraId="5021E2D2">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6.1.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7磋商小组成员有下列情形之一的，应当回避：</w:t>
      </w:r>
    </w:p>
    <w:p w14:paraId="25DD68BD">
      <w:pPr>
        <w:pStyle w:val="81"/>
        <w:keepNext w:val="0"/>
        <w:keepLines w:val="0"/>
        <w:pageBreakBefore w:val="0"/>
        <w:widowControl w:val="0"/>
        <w:numPr>
          <w:ilvl w:val="0"/>
          <w:numId w:val="0"/>
        </w:numPr>
        <w:shd w:val="clear" w:color="auto" w:fill="auto"/>
        <w:tabs>
          <w:tab w:val="left" w:pos="894"/>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2" w:name="bookmark147"/>
      <w:bookmarkEnd w:id="112"/>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采购人或供应商的主要负责人的近亲属；</w:t>
      </w:r>
    </w:p>
    <w:p w14:paraId="666954DF">
      <w:pPr>
        <w:pStyle w:val="81"/>
        <w:keepNext w:val="0"/>
        <w:keepLines w:val="0"/>
        <w:pageBreakBefore w:val="0"/>
        <w:widowControl w:val="0"/>
        <w:numPr>
          <w:ilvl w:val="0"/>
          <w:numId w:val="0"/>
        </w:numPr>
        <w:shd w:val="clear" w:color="auto" w:fill="auto"/>
        <w:tabs>
          <w:tab w:val="left" w:pos="894"/>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3" w:name="bookmark148"/>
      <w:bookmarkEnd w:id="113"/>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项目主管部门或者行政监督部门的人员；</w:t>
      </w:r>
    </w:p>
    <w:p w14:paraId="1AB1EDE6">
      <w:pPr>
        <w:pStyle w:val="81"/>
        <w:keepNext w:val="0"/>
        <w:keepLines w:val="0"/>
        <w:pageBreakBefore w:val="0"/>
        <w:widowControl w:val="0"/>
        <w:numPr>
          <w:ilvl w:val="0"/>
          <w:numId w:val="0"/>
        </w:numPr>
        <w:shd w:val="clear" w:color="auto" w:fill="auto"/>
        <w:tabs>
          <w:tab w:val="left" w:pos="894"/>
        </w:tabs>
        <w:kinsoku/>
        <w:wordWrap/>
        <w:overflowPunct/>
        <w:topLinePunct w:val="0"/>
        <w:autoSpaceDE/>
        <w:autoSpaceDN/>
        <w:bidi w:val="0"/>
        <w:adjustRightInd/>
        <w:snapToGrid/>
        <w:spacing w:before="0" w:after="0" w:line="500" w:lineRule="exact"/>
        <w:ind w:right="0" w:righ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4" w:name="bookmark149"/>
      <w:bookmarkEnd w:id="114"/>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 xml:space="preserve">      （3）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与供应商有经济利益关系，可能影响对投标公正评审的；</w:t>
      </w:r>
    </w:p>
    <w:p w14:paraId="2BD35DDF">
      <w:pPr>
        <w:pStyle w:val="81"/>
        <w:keepNext w:val="0"/>
        <w:keepLines w:val="0"/>
        <w:pageBreakBefore w:val="0"/>
        <w:widowControl w:val="0"/>
        <w:numPr>
          <w:ilvl w:val="0"/>
          <w:numId w:val="0"/>
        </w:numPr>
        <w:shd w:val="clear" w:color="auto" w:fill="auto"/>
        <w:tabs>
          <w:tab w:val="left" w:pos="894"/>
        </w:tabs>
        <w:kinsoku/>
        <w:wordWrap/>
        <w:overflowPunct/>
        <w:topLinePunct w:val="0"/>
        <w:autoSpaceDE/>
        <w:autoSpaceDN/>
        <w:bidi w:val="0"/>
        <w:adjustRightInd/>
        <w:snapToGrid/>
        <w:spacing w:before="0" w:after="16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5" w:name="bookmark150"/>
      <w:bookmarkEnd w:id="115"/>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曾因在采购、评审以及其他与采购有关活动中从事违法行为而受过行政处罚或刑事处罚的。</w:t>
      </w:r>
    </w:p>
    <w:p w14:paraId="788C6652">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6.</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2评审原则</w:t>
      </w:r>
    </w:p>
    <w:p w14:paraId="2FCDD599">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评审活动遵循公平、公正、科学和择优的原则。</w:t>
      </w:r>
    </w:p>
    <w:p w14:paraId="7A23C27C">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6.3</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评审</w:t>
      </w:r>
    </w:p>
    <w:p w14:paraId="7787A3EE">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4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磋商小组按照第三章</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“评</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审办法</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”规定</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的方法、评审因素、标准和程序对响应文件进行评审。第三章</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“评</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审办法</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”没</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有规定的方法、评审因素和标准，不作为评审依据。</w:t>
      </w:r>
    </w:p>
    <w:p w14:paraId="2BAC674D">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评审完成后，磋商小组向采购人提岀评审报告，评审报告由磋商小组全体成员签字确认。</w:t>
      </w:r>
    </w:p>
    <w:p w14:paraId="647A4491">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241"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7.</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合同授予</w:t>
      </w:r>
    </w:p>
    <w:p w14:paraId="27862C3F">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7.</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1确定成交供应商方式</w:t>
      </w:r>
    </w:p>
    <w:p w14:paraId="028A6338">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除供应商须知前附表规定磋商小组直接确定成交供应商外，采购人依据磋商小组推荐的成交候选供应商确定成交供应商，磋商小组推荐成交候选供应商的人数</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为</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3家</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p>
    <w:p w14:paraId="1FF33396">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7.</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2成交通知</w:t>
      </w:r>
    </w:p>
    <w:p w14:paraId="44D6F333">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在本章第</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款规定的磋商有效期内，采购人以书面形式向成交供应商发岀成交通知书，同时将成交结果通知未成交的供应商。</w:t>
      </w:r>
    </w:p>
    <w:p w14:paraId="21D24959">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7.3</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履约担保</w:t>
      </w:r>
    </w:p>
    <w:p w14:paraId="3298AE12">
      <w:pPr>
        <w:pStyle w:val="81"/>
        <w:keepNext w:val="0"/>
        <w:keepLines w:val="0"/>
        <w:pageBreakBefore w:val="0"/>
        <w:widowControl w:val="0"/>
        <w:numPr>
          <w:ilvl w:val="0"/>
          <w:numId w:val="0"/>
        </w:numPr>
        <w:shd w:val="clear" w:color="auto" w:fill="auto"/>
        <w:tabs>
          <w:tab w:val="left" w:pos="829"/>
        </w:tabs>
        <w:kinsoku/>
        <w:wordWrap/>
        <w:overflowPunct/>
        <w:topLinePunct w:val="0"/>
        <w:autoSpaceDE/>
        <w:autoSpaceDN/>
        <w:bidi w:val="0"/>
        <w:adjustRightInd/>
        <w:snapToGrid/>
        <w:spacing w:before="0" w:after="0" w:line="500" w:lineRule="exact"/>
        <w:ind w:right="0" w:rightChars="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6" w:name="bookmark151"/>
      <w:bookmarkEnd w:id="116"/>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7.</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1在签订合同前，成交供应商应按供应商须知前附表规定的金额、担保形式和竞争性磋商文件第四章</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“合</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同条款及格式</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 xml:space="preserve">规定的履约担保格式向采购人递交履约担保。联合体成交的，其履约担保由牵头人递交，并应符合供应商须知前附表规定的金额、担保形式和竞争性磋商文件第四章 </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“合同</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条款及格式”规定的履约担保格式要求。</w:t>
      </w:r>
    </w:p>
    <w:p w14:paraId="034ADF04">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7.3.2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成交供应商不能按本章第</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7.3.1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项要求递交履约担保的，视为放弃成交，其磋商保证金不予退还，给采购人造成的损失超过磋商保证金数额的，成交供应商还应当对超过部分予以赔偿。</w:t>
      </w:r>
    </w:p>
    <w:p w14:paraId="0E28CCDD">
      <w:pPr>
        <w:pStyle w:val="81"/>
        <w:keepNext w:val="0"/>
        <w:keepLines w:val="0"/>
        <w:pageBreakBefore w:val="0"/>
        <w:widowControl w:val="0"/>
        <w:numPr>
          <w:ilvl w:val="0"/>
          <w:numId w:val="0"/>
        </w:numPr>
        <w:shd w:val="clear" w:color="auto" w:fill="auto"/>
        <w:tabs>
          <w:tab w:val="left" w:pos="339"/>
        </w:tabs>
        <w:kinsoku/>
        <w:wordWrap/>
        <w:overflowPunct/>
        <w:topLinePunct w:val="0"/>
        <w:autoSpaceDE/>
        <w:autoSpaceDN/>
        <w:bidi w:val="0"/>
        <w:adjustRightInd/>
        <w:snapToGrid/>
        <w:spacing w:before="0" w:after="0" w:line="500" w:lineRule="exact"/>
        <w:ind w:leftChars="0" w:right="0" w:rightChars="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7" w:name="bookmark152"/>
      <w:bookmarkEnd w:id="117"/>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4签订合同</w:t>
      </w:r>
    </w:p>
    <w:p w14:paraId="77EE1C44">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7.4.1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和成交供应商应当自成交通知书发岀之日起30天内，根据竞争性磋商文件和成交供应商的响应文件订立书面合同。成交供应商无正当理由拒签合同的，采购人取消其成交资格，其磋商保证金不予退还；给采购人造成的损失超过磋商保证金数额的，成交供应商还应当对超过部分予以赔偿。</w:t>
      </w:r>
    </w:p>
    <w:p w14:paraId="019BCF01">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7.4.2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发岀成交通知书后，采购人无正当理由拒签合同的，采购人向成交供应商退还磋商保证金；给成交供应商造成损失的，还应当赔偿损失。</w:t>
      </w:r>
    </w:p>
    <w:p w14:paraId="2F714B9D">
      <w:pPr>
        <w:pStyle w:val="81"/>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napToGrid/>
        <w:spacing w:before="0" w:after="0" w:line="500" w:lineRule="exact"/>
        <w:ind w:leftChars="0" w:right="0" w:rightChars="0" w:firstLine="241"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8" w:name="bookmark153"/>
      <w:bookmarkEnd w:id="118"/>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报价无效及废标</w:t>
      </w:r>
    </w:p>
    <w:p w14:paraId="60098A13">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8.1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岀现下列情形之一的，报价无效：</w:t>
      </w:r>
    </w:p>
    <w:p w14:paraId="6DD924FF">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9" w:name="bookmark154"/>
      <w:bookmarkEnd w:id="119"/>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不具备《中华人民共和国政府采购法》第二十二条规定条件；</w:t>
      </w:r>
    </w:p>
    <w:p w14:paraId="377B6809">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20" w:name="bookmark155"/>
      <w:bookmarkEnd w:id="120"/>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列入失信被执行人、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、政府采购严重违法失信行为记录名单;</w:t>
      </w:r>
    </w:p>
    <w:p w14:paraId="756EDE0A">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21" w:name="bookmark156"/>
      <w:bookmarkEnd w:id="121"/>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响应文件未按磋商文件规定要求格式表格制作、密封、签署、盖章；</w:t>
      </w:r>
    </w:p>
    <w:p w14:paraId="5462DF4A">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22" w:name="bookmark157"/>
      <w:bookmarkEnd w:id="122"/>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不按磋商小组要求澄清、说明或补正的。</w:t>
      </w:r>
    </w:p>
    <w:p w14:paraId="34EC4B1D">
      <w:pPr>
        <w:pStyle w:val="81"/>
        <w:keepNext w:val="0"/>
        <w:keepLines w:val="0"/>
        <w:pageBreakBefore w:val="0"/>
        <w:widowControl w:val="0"/>
        <w:numPr>
          <w:ilvl w:val="0"/>
          <w:numId w:val="0"/>
        </w:numPr>
        <w:shd w:val="clear" w:color="auto" w:fill="auto"/>
        <w:tabs>
          <w:tab w:val="left" w:pos="1016"/>
        </w:tabs>
        <w:kinsoku/>
        <w:wordWrap/>
        <w:overflowPunct/>
        <w:topLinePunct w:val="0"/>
        <w:autoSpaceDE/>
        <w:autoSpaceDN/>
        <w:bidi w:val="0"/>
        <w:adjustRightInd/>
        <w:snapToGrid/>
        <w:spacing w:before="0" w:after="0" w:line="50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23" w:name="bookmark158"/>
      <w:bookmarkEnd w:id="123"/>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未按照磋商文件中报价文件要求的内容填写报价、拒绝报价、报价不确定、有选择性报价和附有条件的报价、报价等于或高于最高磋商限价；</w:t>
      </w:r>
    </w:p>
    <w:p w14:paraId="127BFB35">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24" w:name="bookmark159"/>
      <w:bookmarkEnd w:id="124"/>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法定代表人或其授权代表未按时参加二次报价会议或参加二次报价会议未提供有效证明；</w:t>
      </w:r>
    </w:p>
    <w:p w14:paraId="06DC63B2">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160" w:line="50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25" w:name="bookmark160"/>
      <w:bookmarkEnd w:id="125"/>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未按规定缴纳磋商保证金；</w:t>
      </w:r>
    </w:p>
    <w:p w14:paraId="216297A9">
      <w:pPr>
        <w:pStyle w:val="81"/>
        <w:keepNext w:val="0"/>
        <w:keepLines w:val="0"/>
        <w:pageBreakBefore w:val="0"/>
        <w:widowControl w:val="0"/>
        <w:shd w:val="clear" w:color="auto" w:fill="auto"/>
        <w:tabs>
          <w:tab w:val="left" w:pos="929"/>
        </w:tabs>
        <w:kinsoku/>
        <w:wordWrap/>
        <w:overflowPunct/>
        <w:topLinePunct w:val="0"/>
        <w:autoSpaceDE/>
        <w:autoSpaceDN/>
        <w:bidi w:val="0"/>
        <w:adjustRightInd/>
        <w:snapToGrid/>
        <w:spacing w:before="0" w:after="0" w:line="500" w:lineRule="exact"/>
        <w:ind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相关资格资质证明的原件、复印件未按磋商文件约定提交或提交的原件与复印件不一致；</w:t>
      </w:r>
    </w:p>
    <w:p w14:paraId="35D18325">
      <w:pPr>
        <w:pStyle w:val="81"/>
        <w:keepNext w:val="0"/>
        <w:keepLines w:val="0"/>
        <w:pageBreakBefore w:val="0"/>
        <w:widowControl w:val="0"/>
        <w:shd w:val="clear" w:color="auto" w:fill="auto"/>
        <w:tabs>
          <w:tab w:val="left" w:pos="1011"/>
        </w:tabs>
        <w:kinsoku/>
        <w:wordWrap/>
        <w:overflowPunct/>
        <w:topLinePunct w:val="0"/>
        <w:autoSpaceDE/>
        <w:autoSpaceDN/>
        <w:bidi w:val="0"/>
        <w:adjustRightInd/>
        <w:snapToGrid/>
        <w:spacing w:before="0" w:after="0" w:line="500" w:lineRule="exact"/>
        <w:ind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在资格性审查、符合性审查、响应性审查中，磋商小组认定供应商的响应文件不符合评审办法中规定的任何一项评审标准。</w:t>
      </w:r>
    </w:p>
    <w:p w14:paraId="18EDB5CF">
      <w:pPr>
        <w:pStyle w:val="81"/>
        <w:keepNext w:val="0"/>
        <w:keepLines w:val="0"/>
        <w:pageBreakBefore w:val="0"/>
        <w:widowControl w:val="0"/>
        <w:shd w:val="clear" w:color="auto" w:fill="auto"/>
        <w:tabs>
          <w:tab w:val="left" w:pos="1029"/>
        </w:tabs>
        <w:kinsoku/>
        <w:wordWrap/>
        <w:overflowPunct/>
        <w:topLinePunct w:val="0"/>
        <w:autoSpaceDE/>
        <w:autoSpaceDN/>
        <w:bidi w:val="0"/>
        <w:adjustRightInd/>
        <w:snapToGrid/>
        <w:spacing w:before="0" w:after="0" w:line="500" w:lineRule="exact"/>
        <w:ind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响应文件正副本未区分或者内容严重不一致；</w:t>
      </w:r>
    </w:p>
    <w:p w14:paraId="1CD49616">
      <w:pPr>
        <w:pStyle w:val="81"/>
        <w:keepNext w:val="0"/>
        <w:keepLines w:val="0"/>
        <w:pageBreakBefore w:val="0"/>
        <w:widowControl w:val="0"/>
        <w:shd w:val="clear" w:color="auto" w:fill="auto"/>
        <w:tabs>
          <w:tab w:val="left" w:pos="1029"/>
        </w:tabs>
        <w:kinsoku/>
        <w:wordWrap/>
        <w:overflowPunct/>
        <w:topLinePunct w:val="0"/>
        <w:autoSpaceDE/>
        <w:autoSpaceDN/>
        <w:bidi w:val="0"/>
        <w:adjustRightInd/>
        <w:snapToGrid/>
        <w:spacing w:before="0" w:after="0" w:line="500" w:lineRule="exact"/>
        <w:ind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磋商有效期不满足磋商文件要求；</w:t>
      </w:r>
    </w:p>
    <w:p w14:paraId="451CAF57">
      <w:pPr>
        <w:pStyle w:val="81"/>
        <w:keepNext w:val="0"/>
        <w:keepLines w:val="0"/>
        <w:pageBreakBefore w:val="0"/>
        <w:widowControl w:val="0"/>
        <w:shd w:val="clear" w:color="auto" w:fill="auto"/>
        <w:tabs>
          <w:tab w:val="left" w:pos="1029"/>
        </w:tabs>
        <w:kinsoku/>
        <w:wordWrap/>
        <w:overflowPunct/>
        <w:topLinePunct w:val="0"/>
        <w:autoSpaceDE/>
        <w:autoSpaceDN/>
        <w:bidi w:val="0"/>
        <w:adjustRightInd/>
        <w:snapToGrid/>
        <w:spacing w:before="0" w:after="0" w:line="500" w:lineRule="exact"/>
        <w:ind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无供应商法定代表人或其授权代表签字或盖章；</w:t>
      </w:r>
    </w:p>
    <w:p w14:paraId="2CDB8E36">
      <w:pPr>
        <w:pStyle w:val="81"/>
        <w:keepNext w:val="0"/>
        <w:keepLines w:val="0"/>
        <w:pageBreakBefore w:val="0"/>
        <w:widowControl w:val="0"/>
        <w:shd w:val="clear" w:color="auto" w:fill="auto"/>
        <w:tabs>
          <w:tab w:val="left" w:pos="1029"/>
        </w:tabs>
        <w:kinsoku/>
        <w:wordWrap/>
        <w:overflowPunct/>
        <w:topLinePunct w:val="0"/>
        <w:autoSpaceDE/>
        <w:autoSpaceDN/>
        <w:bidi w:val="0"/>
        <w:adjustRightInd/>
        <w:snapToGrid/>
        <w:spacing w:before="0" w:after="0" w:line="500" w:lineRule="exact"/>
        <w:ind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联合体未提交联合体协议书（本项目不适用）；</w:t>
      </w:r>
    </w:p>
    <w:p w14:paraId="3965AD97">
      <w:pPr>
        <w:pStyle w:val="81"/>
        <w:keepNext w:val="0"/>
        <w:keepLines w:val="0"/>
        <w:pageBreakBefore w:val="0"/>
        <w:widowControl w:val="0"/>
        <w:shd w:val="clear" w:color="auto" w:fill="auto"/>
        <w:tabs>
          <w:tab w:val="left" w:pos="1029"/>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响应文件未完全满足磋商文件中实质性要求；</w:t>
      </w:r>
    </w:p>
    <w:p w14:paraId="54242E2C">
      <w:pPr>
        <w:pStyle w:val="81"/>
        <w:keepNext w:val="0"/>
        <w:keepLines w:val="0"/>
        <w:pageBreakBefore w:val="0"/>
        <w:widowControl w:val="0"/>
        <w:shd w:val="clear" w:color="auto" w:fill="auto"/>
        <w:tabs>
          <w:tab w:val="left" w:pos="1029"/>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低于成本价且无法提供相关证明材料；</w:t>
      </w:r>
    </w:p>
    <w:p w14:paraId="1395E2D4">
      <w:pPr>
        <w:pStyle w:val="81"/>
        <w:keepNext w:val="0"/>
        <w:keepLines w:val="0"/>
        <w:pageBreakBefore w:val="0"/>
        <w:widowControl w:val="0"/>
        <w:shd w:val="clear" w:color="auto" w:fill="auto"/>
        <w:tabs>
          <w:tab w:val="left" w:pos="1029"/>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磋商小组认定技术方案不符合磋商文件要求；</w:t>
      </w:r>
    </w:p>
    <w:p w14:paraId="5B73322B">
      <w:pPr>
        <w:pStyle w:val="81"/>
        <w:keepNext w:val="0"/>
        <w:keepLines w:val="0"/>
        <w:pageBreakBefore w:val="0"/>
        <w:widowControl w:val="0"/>
        <w:shd w:val="clear" w:color="auto" w:fill="auto"/>
        <w:tabs>
          <w:tab w:val="left" w:pos="1122"/>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评审期间，没有按磋商小组要求提交经法定代表人或授权代表签字的澄清、说明、补正或改变了响应文件实质性内容；</w:t>
      </w:r>
    </w:p>
    <w:p w14:paraId="7656F3A1">
      <w:pPr>
        <w:pStyle w:val="81"/>
        <w:keepNext w:val="0"/>
        <w:keepLines w:val="0"/>
        <w:pageBreakBefore w:val="0"/>
        <w:widowControl w:val="0"/>
        <w:shd w:val="clear" w:color="auto" w:fill="auto"/>
        <w:tabs>
          <w:tab w:val="left" w:pos="1034"/>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供应商未提交最终报价；</w:t>
      </w:r>
    </w:p>
    <w:p w14:paraId="3A8BEC75">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供应商存在弄虚作假的行为；</w:t>
      </w:r>
    </w:p>
    <w:p w14:paraId="7D7AA73F">
      <w:pPr>
        <w:pStyle w:val="81"/>
        <w:keepNext w:val="0"/>
        <w:keepLines w:val="0"/>
        <w:pageBreakBefore w:val="0"/>
        <w:widowControl w:val="0"/>
        <w:shd w:val="clear" w:color="auto" w:fill="auto"/>
        <w:tabs>
          <w:tab w:val="left" w:pos="1029"/>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属于采购人与供应商、供应商与供应商相互串通投标情形；</w:t>
      </w:r>
    </w:p>
    <w:p w14:paraId="35FDD2C5">
      <w:pPr>
        <w:pStyle w:val="81"/>
        <w:keepNext w:val="0"/>
        <w:keepLines w:val="0"/>
        <w:pageBreakBefore w:val="0"/>
        <w:widowControl w:val="0"/>
        <w:shd w:val="clear" w:color="auto" w:fill="auto"/>
        <w:tabs>
          <w:tab w:val="left" w:pos="1029"/>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对采购人、采购代理机构、磋商小组及其他工作人员施加影响，有碍公平、公正；</w:t>
      </w:r>
    </w:p>
    <w:p w14:paraId="5D9E2D1C">
      <w:pPr>
        <w:pStyle w:val="81"/>
        <w:keepNext w:val="0"/>
        <w:keepLines w:val="0"/>
        <w:pageBreakBefore w:val="0"/>
        <w:widowControl w:val="0"/>
        <w:shd w:val="clear" w:color="auto" w:fill="auto"/>
        <w:tabs>
          <w:tab w:val="left" w:pos="1029"/>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磋商文件规定的其他报价无效情形；</w:t>
      </w:r>
    </w:p>
    <w:p w14:paraId="6AA83A30">
      <w:pPr>
        <w:pStyle w:val="81"/>
        <w:keepNext w:val="0"/>
        <w:keepLines w:val="0"/>
        <w:pageBreakBefore w:val="0"/>
        <w:widowControl w:val="0"/>
        <w:shd w:val="clear" w:color="auto" w:fill="auto"/>
        <w:tabs>
          <w:tab w:val="left" w:pos="1029"/>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法律、法规、规章规定属于报价无效的其他情形。</w:t>
      </w:r>
    </w:p>
    <w:p w14:paraId="177FE0AC">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8.2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有下列情形之一的，应予废标：</w:t>
      </w:r>
    </w:p>
    <w:p w14:paraId="35A43C4E">
      <w:pPr>
        <w:pStyle w:val="81"/>
        <w:keepNext w:val="0"/>
        <w:keepLines w:val="0"/>
        <w:pageBreakBefore w:val="0"/>
        <w:widowControl w:val="0"/>
        <w:shd w:val="clear" w:color="auto" w:fill="auto"/>
        <w:tabs>
          <w:tab w:val="left" w:pos="929"/>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26" w:name="bookmark177"/>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bookmarkEnd w:id="126"/>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到递交首次响应文件截止时间止，供应商少于3个的；</w:t>
      </w:r>
    </w:p>
    <w:p w14:paraId="3DD48E97">
      <w:pPr>
        <w:pStyle w:val="81"/>
        <w:keepNext w:val="0"/>
        <w:keepLines w:val="0"/>
        <w:pageBreakBefore w:val="0"/>
        <w:widowControl w:val="0"/>
        <w:shd w:val="clear" w:color="auto" w:fill="auto"/>
        <w:tabs>
          <w:tab w:val="left" w:pos="929"/>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27" w:name="bookmark178"/>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bookmarkEnd w:id="127"/>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符合条件的供应商或者对磋商文件作实质响应的供应商不足三家的；</w:t>
      </w:r>
    </w:p>
    <w:p w14:paraId="4ACD6C73">
      <w:pPr>
        <w:pStyle w:val="81"/>
        <w:keepNext w:val="0"/>
        <w:keepLines w:val="0"/>
        <w:pageBreakBefore w:val="0"/>
        <w:widowControl w:val="0"/>
        <w:shd w:val="clear" w:color="auto" w:fill="auto"/>
        <w:tabs>
          <w:tab w:val="left" w:pos="929"/>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28" w:name="bookmark179"/>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bookmarkEnd w:id="128"/>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经磋商小组评审后否决所有响应文件的；</w:t>
      </w:r>
    </w:p>
    <w:p w14:paraId="0578FEB9">
      <w:pPr>
        <w:pStyle w:val="81"/>
        <w:keepNext w:val="0"/>
        <w:keepLines w:val="0"/>
        <w:pageBreakBefore w:val="0"/>
        <w:widowControl w:val="0"/>
        <w:shd w:val="clear" w:color="auto" w:fill="auto"/>
        <w:tabs>
          <w:tab w:val="left" w:pos="929"/>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29" w:name="bookmark180"/>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bookmarkEnd w:id="129"/>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岀现影响采购公正的违法、违规行为；</w:t>
      </w:r>
    </w:p>
    <w:p w14:paraId="00EBED07">
      <w:pPr>
        <w:pStyle w:val="81"/>
        <w:keepNext w:val="0"/>
        <w:keepLines w:val="0"/>
        <w:pageBreakBefore w:val="0"/>
        <w:widowControl w:val="0"/>
        <w:shd w:val="clear" w:color="auto" w:fill="auto"/>
        <w:tabs>
          <w:tab w:val="left" w:pos="929"/>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30" w:name="bookmark181"/>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bookmarkEnd w:id="130"/>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因重大变故，采购任务取消；</w:t>
      </w:r>
    </w:p>
    <w:p w14:paraId="1AF01D7C">
      <w:pPr>
        <w:pStyle w:val="81"/>
        <w:keepNext w:val="0"/>
        <w:keepLines w:val="0"/>
        <w:pageBreakBefore w:val="0"/>
        <w:widowControl w:val="0"/>
        <w:shd w:val="clear" w:color="auto" w:fill="auto"/>
        <w:tabs>
          <w:tab w:val="left" w:pos="929"/>
        </w:tabs>
        <w:kinsoku/>
        <w:wordWrap/>
        <w:overflowPunct/>
        <w:topLinePunct w:val="0"/>
        <w:autoSpaceDE/>
        <w:autoSpaceDN/>
        <w:bidi w:val="0"/>
        <w:adjustRightInd/>
        <w:snapToGrid/>
        <w:spacing w:before="0" w:after="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31" w:name="bookmark182"/>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bookmarkEnd w:id="131"/>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6）</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法律、法规以及磋商文件规定其他情形。</w:t>
      </w:r>
    </w:p>
    <w:p w14:paraId="32A2EF28">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废标必须经磋商小组集体作岀决定，经磋商小组全体成员签字确认后生效。废标后，采购人或者采购代理机构应当将废标理由告知所有供应商。</w:t>
      </w:r>
    </w:p>
    <w:p w14:paraId="3F394F36">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241"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9.</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纪律和监督</w:t>
      </w:r>
    </w:p>
    <w:p w14:paraId="60AF9CCB">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9.</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1对釆购人的纪律要求</w:t>
      </w:r>
    </w:p>
    <w:p w14:paraId="1B37437F">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采购人不得泄漏采购活动中应当保密的情况和资料，不得与供应商串通损害国家利益、社会公共利益或者他人合法权益。</w:t>
      </w:r>
    </w:p>
    <w:p w14:paraId="1E7F7009">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9.</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2对供应商的纪律要求</w:t>
      </w:r>
    </w:p>
    <w:p w14:paraId="7CBCE6C9">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供应商不得相互串通投标或者与采购人串通投标，不得向采购人或者磋商小组成员行贿谋取成交，不得以他人名义投标或者以其他方式弄虚作假骗取成交；供应商不得以任何方式干扰、影响评审工作。</w:t>
      </w:r>
    </w:p>
    <w:p w14:paraId="5457DA09">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9.3</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对磋商小组成员的纪律要求</w:t>
      </w:r>
    </w:p>
    <w:p w14:paraId="6CB269FE">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“评</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审办法</w:t>
      </w:r>
      <w:r>
        <w:rPr>
          <w:rFonts w:hint="eastAsia" w:ascii="宋体" w:hAnsi="宋体" w:eastAsia="宋体" w:cs="宋体"/>
          <w:color w:val="000000" w:themeColor="text1"/>
          <w:spacing w:val="0"/>
          <w:w w:val="100"/>
          <w:position w:val="0"/>
          <w:sz w:val="24"/>
          <w:szCs w:val="24"/>
          <w:highlight w:val="none"/>
          <w:lang w:val="zh-CN" w:eastAsia="zh-CN" w:bidi="zh-CN"/>
          <w14:textFill>
            <w14:solidFill>
              <w14:schemeClr w14:val="tx1"/>
            </w14:solidFill>
          </w14:textFill>
        </w:rPr>
        <w:t>”没有</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规定的评审因素和标准进行评审。</w:t>
      </w:r>
    </w:p>
    <w:p w14:paraId="4F5A8840">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82"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9.4</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对与评审活动有关的工作人员的纪律要求</w:t>
      </w:r>
    </w:p>
    <w:p w14:paraId="332102FA">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4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34896112">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9.5</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质疑与投诉</w:t>
      </w:r>
    </w:p>
    <w:p w14:paraId="3D6C403D">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4" w:firstLineChars="309"/>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9.5.</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1质疑</w:t>
      </w:r>
    </w:p>
    <w:p w14:paraId="686586E8">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按照《中华人民共和国政府采购法》、《政府采购供应商质疑和投诉办法》有关规定，参加本次政府采购活动的供应商认为采购文件、采购过程、中标或者成交结果使自己的权益受到损害的，可以在知道或者应知其权益受到损害之日起7个工作日内，以书面形式向采购人、采购代理机构提岀质疑。</w:t>
      </w:r>
    </w:p>
    <w:p w14:paraId="6EE6E440">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44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供应商须在法定质疑期内一次性提岀针对同一采购程序环节的质疑。</w:t>
      </w:r>
    </w:p>
    <w:p w14:paraId="443A41DC">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981" w:firstLineChars="4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9.5.1.1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供应商提岀质疑应当提交质疑函和必要的证明材料。质疑函应当包括下列内容：</w:t>
      </w:r>
    </w:p>
    <w:p w14:paraId="5019059C">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right="0" w:firstLine="1200" w:firstLineChars="5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①供应商的姓名或者名称、地址、邮编、联系人及联系电话；</w:t>
      </w:r>
    </w:p>
    <w:p w14:paraId="738816FF">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right="0" w:firstLine="1200" w:firstLineChars="5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②质疑项目的名称、编号；</w:t>
      </w:r>
    </w:p>
    <w:p w14:paraId="4D642829">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right="0" w:firstLine="1200" w:firstLineChars="5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③具体、明确的质疑事项和与质疑事项相关的请求；</w:t>
      </w:r>
    </w:p>
    <w:p w14:paraId="673DE9F5">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left="0" w:right="0" w:firstLine="1221" w:firstLineChars="5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④事实依据；</w:t>
      </w:r>
    </w:p>
    <w:p w14:paraId="09BA6FA2">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left="0" w:right="0" w:firstLine="1221" w:firstLineChars="5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⑤必要的法律依据；</w:t>
      </w:r>
    </w:p>
    <w:p w14:paraId="367CCA13">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left="0" w:right="0" w:firstLine="1221" w:firstLineChars="5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⑥提岀质疑的日期。</w:t>
      </w:r>
    </w:p>
    <w:p w14:paraId="4DB342A6">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981" w:firstLineChars="4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9.5.1.2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供应商为自然人的，应当由本人签字；供应商为法人或者其他组织的，应当由法定代表人、主要负责人，或者其授权代表签字或者盖章，并加盖公章。否则采购人或者采购代理机构不予受理。</w:t>
      </w:r>
    </w:p>
    <w:p w14:paraId="4A41B854">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981" w:firstLineChars="4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9.5.1.3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除书面形式外，其他任何方式的质疑，采购人或者采购代理机构均不予接受和回复。</w:t>
      </w:r>
    </w:p>
    <w:p w14:paraId="5A9EF0A1">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981" w:firstLineChars="4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9.5.1.4</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采购人或者采购代理机构在收到质疑书后七个工作日内作岀书面答复，并以书面形式通知质疑人和其他有关当事人，但答复不得涉及商业秘密。</w:t>
      </w:r>
    </w:p>
    <w:p w14:paraId="757A651E">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981" w:firstLineChars="4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9.5.1.5</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质疑人对采购人、采购代理机构的答复不满意或者采购人、采购代理机构未在规定的时间内作岀答复的，可以在答复期满后十五个工作日内向同级财政部门投诉。</w:t>
      </w:r>
    </w:p>
    <w:p w14:paraId="7E3D491F">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4"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9.5.</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2投诉</w:t>
      </w:r>
    </w:p>
    <w:p w14:paraId="45B23ED7">
      <w:pPr>
        <w:pStyle w:val="81"/>
        <w:keepNext w:val="0"/>
        <w:keepLines w:val="0"/>
        <w:pageBreakBefore w:val="0"/>
        <w:widowControl w:val="0"/>
        <w:shd w:val="clear" w:color="auto" w:fill="auto"/>
        <w:kinsoku/>
        <w:wordWrap/>
        <w:overflowPunct/>
        <w:topLinePunct w:val="0"/>
        <w:autoSpaceDE/>
        <w:autoSpaceDN/>
        <w:bidi w:val="0"/>
        <w:adjustRightInd/>
        <w:snapToGrid/>
        <w:spacing w:before="0" w:after="16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按照《中华人民共和国政府采购法》、《政府采购供应商质疑和投诉办法》以及相关的法律法规规定，质疑人对采购人、采购代理机构的答复不满意或者采购人、采购代理机构未在规定的时间内作岀答复的，可以在答复期满后十五个工作日内向同级财政部门投诉。</w:t>
      </w:r>
    </w:p>
    <w:p w14:paraId="7F744BA4">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960" w:firstLineChars="4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9.5.2.1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投诉人提起投诉应符合下列条件：</w:t>
      </w:r>
    </w:p>
    <w:p w14:paraId="14D93BD8">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left="0" w:right="0" w:firstLine="1221" w:firstLineChars="5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①提起投诉前已依法进行质疑；</w:t>
      </w:r>
    </w:p>
    <w:p w14:paraId="30290266">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left="0" w:right="0" w:firstLine="1221" w:firstLineChars="5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②投诉书内容符合《政府采购供应商质疑和投诉办法》的规定；</w:t>
      </w:r>
    </w:p>
    <w:p w14:paraId="2B8F28AC">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left="0" w:right="0" w:firstLine="1221" w:firstLineChars="5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③在投诉有效期限内提起投诉；</w:t>
      </w:r>
    </w:p>
    <w:p w14:paraId="2C236BDA">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left="0" w:right="0" w:firstLine="1221" w:firstLineChars="5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④同一投诉事项未经财政部门投诉处理；</w:t>
      </w:r>
    </w:p>
    <w:p w14:paraId="06B4BA24">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left="0" w:right="0" w:firstLine="1221" w:firstLineChars="5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⑤财政部规定的其他条件。</w:t>
      </w:r>
    </w:p>
    <w:p w14:paraId="54047B0E">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960" w:firstLineChars="4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9.5</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2供应商投诉的事项不得超岀己质疑事项的范围，但基于质疑答复内容提岀的投诉事项除外。</w:t>
      </w:r>
    </w:p>
    <w:p w14:paraId="50DF2EB9">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981" w:firstLineChars="4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9.5.2.3投诉人投诉时，应当提交投诉书和必要的证明材料，并按照被投诉采购人、采购代理机构（以下简称被投诉人）和与投诉事项有关的供应商数量提供投诉书的副本。投诉书应当包括下列内容：</w:t>
      </w:r>
    </w:p>
    <w:p w14:paraId="0B52D01C">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left="0" w:right="0" w:firstLine="1221" w:firstLineChars="5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①投诉人和被投诉人的姓名或者名称、通讯地址、邮编、联系人及联系电话；</w:t>
      </w:r>
    </w:p>
    <w:p w14:paraId="7DD002F8">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left="0" w:right="0" w:firstLine="1221" w:firstLineChars="5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②质疑和质疑答复情况说明及相关证明材料；</w:t>
      </w:r>
    </w:p>
    <w:p w14:paraId="7F5FFCB0">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left="0" w:right="0" w:firstLine="1221" w:firstLineChars="5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③具体、明确的投诉事项和与投诉事项相关的投诉请求；</w:t>
      </w:r>
    </w:p>
    <w:p w14:paraId="6D3B3146">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left="0" w:right="0" w:firstLine="1221" w:firstLineChars="5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④事实依据；</w:t>
      </w:r>
    </w:p>
    <w:p w14:paraId="2DC4617E">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left="0" w:right="0" w:firstLine="1221" w:firstLineChars="5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⑤法律依据；</w:t>
      </w:r>
    </w:p>
    <w:p w14:paraId="71596739">
      <w:pPr>
        <w:pStyle w:val="81"/>
        <w:keepNext w:val="0"/>
        <w:keepLines w:val="0"/>
        <w:pageBreakBefore w:val="0"/>
        <w:widowControl w:val="0"/>
        <w:shd w:val="clear" w:color="auto" w:fill="auto"/>
        <w:tabs>
          <w:tab w:val="left" w:pos="971"/>
        </w:tabs>
        <w:kinsoku/>
        <w:wordWrap/>
        <w:overflowPunct/>
        <w:topLinePunct w:val="0"/>
        <w:autoSpaceDE/>
        <w:autoSpaceDN/>
        <w:bidi w:val="0"/>
        <w:adjustRightInd/>
        <w:snapToGrid/>
        <w:spacing w:before="0" w:after="0" w:line="500" w:lineRule="exact"/>
        <w:ind w:left="0" w:right="0" w:firstLine="1221" w:firstLineChars="5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⑥提起投诉的日期。</w:t>
      </w:r>
    </w:p>
    <w:p w14:paraId="2EF68CD3">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981" w:firstLineChars="4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9.5.2.4投诉人为自然人的，应当由本人签字；投诉人为法人或者其他组织的，应当由法定代表人、主要负责人，或者其授权代表签字或者盖章，并加盖公章。</w:t>
      </w:r>
    </w:p>
    <w:p w14:paraId="530620BC">
      <w:pPr>
        <w:pStyle w:val="81"/>
        <w:keepNext w:val="0"/>
        <w:keepLines w:val="0"/>
        <w:pageBreakBefore w:val="0"/>
        <w:widowControl w:val="0"/>
        <w:shd w:val="clear" w:color="auto" w:fill="auto"/>
        <w:kinsoku/>
        <w:wordWrap/>
        <w:overflowPunct/>
        <w:topLinePunct w:val="0"/>
        <w:autoSpaceDE/>
        <w:autoSpaceDN/>
        <w:bidi w:val="0"/>
        <w:adjustRightInd/>
        <w:snapToGrid/>
        <w:spacing w:before="0" w:after="200" w:line="500" w:lineRule="exact"/>
        <w:ind w:left="0" w:right="0" w:firstLine="981" w:firstLineChars="4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9.5.2.5投诉人不符合上述规定提起的投诉，财政部门不予受理。</w:t>
      </w:r>
    </w:p>
    <w:p w14:paraId="1ACFBA98">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241" w:firstLineChars="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en-US" w:bidi="en-US"/>
          <w14:textFill>
            <w14:solidFill>
              <w14:schemeClr w14:val="tx1"/>
            </w14:solidFill>
          </w14:textFill>
        </w:rPr>
        <w:t>10.</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需要补充的其他内容</w:t>
      </w:r>
    </w:p>
    <w:p w14:paraId="1E0B21A2">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最高磋商限价：详见供应商须知前附表。</w:t>
      </w:r>
    </w:p>
    <w:p w14:paraId="47EBC37B">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报价轮次：详见供应商须知前附表。</w:t>
      </w:r>
    </w:p>
    <w:p w14:paraId="7B2277B8">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第二轮报价：详见供应商须知前附表。</w:t>
      </w:r>
    </w:p>
    <w:p w14:paraId="5AF95BA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10.4</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采购代理服务费</w:t>
      </w:r>
      <w:r>
        <w:rPr>
          <w:rFonts w:hint="eastAsia" w:ascii="宋体" w:hAnsi="宋体" w:eastAsia="宋体" w:cs="宋体"/>
          <w:color w:val="000000" w:themeColor="text1"/>
          <w:sz w:val="24"/>
          <w:szCs w:val="24"/>
          <w:highlight w:val="none"/>
          <w14:textFill>
            <w14:solidFill>
              <w14:schemeClr w14:val="tx1"/>
            </w14:solidFill>
          </w14:textFill>
        </w:rPr>
        <w:t>由成交供应商支付。</w:t>
      </w:r>
      <w:r>
        <w:rPr>
          <w:rFonts w:hint="eastAsia" w:ascii="宋体" w:hAnsi="宋体" w:eastAsia="宋体" w:cs="宋体"/>
          <w:color w:val="000000" w:themeColor="text1"/>
          <w:sz w:val="24"/>
          <w:szCs w:val="24"/>
          <w:highlight w:val="none"/>
          <w:lang w:val="en-US" w:eastAsia="zh-CN"/>
          <w14:textFill>
            <w14:solidFill>
              <w14:schemeClr w14:val="tx1"/>
            </w14:solidFill>
          </w14:textFill>
        </w:rPr>
        <w:t>依据</w:t>
      </w:r>
      <w:r>
        <w:rPr>
          <w:rFonts w:hint="eastAsia" w:ascii="宋体" w:hAnsi="宋体" w:eastAsia="宋体" w:cs="宋体"/>
          <w:i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有关法律法规</w:t>
      </w:r>
      <w:r>
        <w:rPr>
          <w:rFonts w:hint="eastAsia" w:ascii="宋体" w:hAnsi="宋体" w:eastAsia="宋体" w:cs="宋体"/>
          <w:color w:val="000000" w:themeColor="text1"/>
          <w:sz w:val="24"/>
          <w:szCs w:val="24"/>
          <w:highlight w:val="none"/>
          <w:lang w:val="en-US" w:eastAsia="zh-CN"/>
          <w14:textFill>
            <w14:solidFill>
              <w14:schemeClr w14:val="tx1"/>
            </w14:solidFill>
          </w14:textFill>
        </w:rPr>
        <w:t>规定收取采购代理服务费，</w:t>
      </w:r>
      <w:r>
        <w:rPr>
          <w:rFonts w:hint="eastAsia" w:ascii="宋体" w:hAnsi="宋体" w:eastAsia="宋体" w:cs="宋体"/>
          <w:color w:val="000000" w:themeColor="text1"/>
          <w:sz w:val="24"/>
          <w:szCs w:val="24"/>
          <w:highlight w:val="none"/>
          <w14:textFill>
            <w14:solidFill>
              <w14:schemeClr w14:val="tx1"/>
            </w14:solidFill>
          </w14:textFill>
        </w:rPr>
        <w:t>成交供应商应在成交通知书发出时将本项目采购代理服务费一次性支付给采购代理机构。</w:t>
      </w:r>
    </w:p>
    <w:p w14:paraId="38A008A6">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10.5</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供应商联系方式：详见供应商须知前附表。</w:t>
      </w:r>
    </w:p>
    <w:p w14:paraId="59E5B996">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10.6</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特殊情况处置程序</w:t>
      </w:r>
    </w:p>
    <w:p w14:paraId="1F6654F6">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10.6.1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评审活动终止</w:t>
      </w:r>
    </w:p>
    <w:p w14:paraId="02170B61">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磋商小组应当执行连续评审的原则，按照磋商文件规定的程序、内容、方法、标准完成全 部评审工作。岀现评审专家临时缺席、回避等情形导致评审现场专家数量不符合法定标准的，采购 人或者采购代理机构要按照有关程序及时补抽专家，继续组织评审。如无法及时补齐专家，则要立 即停止评审工作，封存磋商文件和所有响应文件，择期重新组建磋商小组进行评审，前期参加评审 的磋商小组成员应回避。</w:t>
      </w:r>
    </w:p>
    <w:p w14:paraId="7AA954BE">
      <w:pPr>
        <w:pStyle w:val="8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32" w:name="bookmark201"/>
      <w:bookmarkEnd w:id="132"/>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发生下列情况之一的，磋商小组应终止评审：</w:t>
      </w:r>
    </w:p>
    <w:p w14:paraId="208C1DED">
      <w:pPr>
        <w:pStyle w:val="81"/>
        <w:keepNext w:val="0"/>
        <w:keepLines w:val="0"/>
        <w:pageBreakBefore w:val="0"/>
        <w:widowControl w:val="0"/>
        <w:numPr>
          <w:ilvl w:val="0"/>
          <w:numId w:val="0"/>
        </w:numPr>
        <w:shd w:val="clear" w:color="auto" w:fill="auto"/>
        <w:tabs>
          <w:tab w:val="left" w:pos="832"/>
        </w:tabs>
        <w:kinsoku/>
        <w:wordWrap/>
        <w:overflowPunct/>
        <w:topLinePunct w:val="0"/>
        <w:autoSpaceDE/>
        <w:autoSpaceDN/>
        <w:bidi w:val="0"/>
        <w:adjustRightInd/>
        <w:snapToGrid/>
        <w:spacing w:before="0" w:after="0" w:line="500" w:lineRule="exact"/>
        <w:ind w:right="0" w:rightChars="0" w:firstLine="960" w:firstLineChars="4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33" w:name="bookmark202"/>
      <w:bookmarkEnd w:id="133"/>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①发生了不可抗力事件；</w:t>
      </w:r>
    </w:p>
    <w:p w14:paraId="6467E2DA">
      <w:pPr>
        <w:pStyle w:val="81"/>
        <w:keepNext w:val="0"/>
        <w:keepLines w:val="0"/>
        <w:pageBreakBefore w:val="0"/>
        <w:widowControl w:val="0"/>
        <w:numPr>
          <w:ilvl w:val="0"/>
          <w:numId w:val="0"/>
        </w:numPr>
        <w:shd w:val="clear" w:color="auto" w:fill="auto"/>
        <w:tabs>
          <w:tab w:val="left" w:pos="837"/>
        </w:tabs>
        <w:kinsoku/>
        <w:wordWrap/>
        <w:overflowPunct/>
        <w:topLinePunct w:val="0"/>
        <w:autoSpaceDE/>
        <w:autoSpaceDN/>
        <w:bidi w:val="0"/>
        <w:adjustRightInd/>
        <w:snapToGrid/>
        <w:spacing w:before="0" w:after="0" w:line="500" w:lineRule="exact"/>
        <w:ind w:right="0" w:rightChars="0" w:firstLine="960" w:firstLineChars="4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34" w:name="bookmark203"/>
      <w:bookmarkEnd w:id="134"/>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②发生磋商小组名单泄密、评审信息泄露；</w:t>
      </w:r>
    </w:p>
    <w:p w14:paraId="3BE902F0">
      <w:pPr>
        <w:pStyle w:val="81"/>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snapToGrid/>
        <w:spacing w:before="0" w:after="0" w:line="500" w:lineRule="exact"/>
        <w:ind w:right="0" w:rightChars="0" w:firstLine="960" w:firstLineChars="4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35" w:name="bookmark204"/>
      <w:bookmarkEnd w:id="135"/>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③岀现非法干预评审工作；</w:t>
      </w:r>
    </w:p>
    <w:p w14:paraId="1FB7DBE0">
      <w:pPr>
        <w:pStyle w:val="81"/>
        <w:keepNext w:val="0"/>
        <w:keepLines w:val="0"/>
        <w:pageBreakBefore w:val="0"/>
        <w:widowControl w:val="0"/>
        <w:numPr>
          <w:ilvl w:val="0"/>
          <w:numId w:val="0"/>
        </w:numPr>
        <w:shd w:val="clear" w:color="auto" w:fill="auto"/>
        <w:tabs>
          <w:tab w:val="left" w:pos="810"/>
        </w:tabs>
        <w:kinsoku/>
        <w:wordWrap/>
        <w:overflowPunct/>
        <w:topLinePunct w:val="0"/>
        <w:autoSpaceDE/>
        <w:autoSpaceDN/>
        <w:bidi w:val="0"/>
        <w:adjustRightInd/>
        <w:snapToGrid/>
        <w:spacing w:before="0" w:after="0" w:line="500" w:lineRule="exact"/>
        <w:ind w:right="0" w:rightChars="0" w:firstLine="960" w:firstLineChars="4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36" w:name="bookmark205"/>
      <w:bookmarkEnd w:id="136"/>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④发现磋商小组或者成员未按照磋商文件规定评审或者存在违反法律法规规定行为，且拒绝改正。</w:t>
      </w:r>
    </w:p>
    <w:p w14:paraId="623F55AB">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岀现上述情形的，政府采购监督管理部门有权予以废标或者建议采购人和采购代理机构封存磋 商文件和所有响应文件，择期重新组建磋商小组进行评审。</w:t>
      </w:r>
    </w:p>
    <w:p w14:paraId="7CF0FD6E">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10.6.2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磋商小组中途更换成员</w:t>
      </w:r>
    </w:p>
    <w:p w14:paraId="5CC435C1">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37" w:name="bookmark206"/>
      <w:bookmarkEnd w:id="137"/>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除非发生下列情况之一，磋商小组成员不得中途更换：</w:t>
      </w:r>
    </w:p>
    <w:p w14:paraId="3F66F67E">
      <w:pPr>
        <w:pStyle w:val="81"/>
        <w:keepNext w:val="0"/>
        <w:keepLines w:val="0"/>
        <w:pageBreakBefore w:val="0"/>
        <w:widowControl w:val="0"/>
        <w:numPr>
          <w:ilvl w:val="0"/>
          <w:numId w:val="0"/>
        </w:numPr>
        <w:shd w:val="clear" w:color="auto" w:fill="auto"/>
        <w:tabs>
          <w:tab w:val="left" w:pos="859"/>
        </w:tabs>
        <w:kinsoku/>
        <w:wordWrap/>
        <w:overflowPunct/>
        <w:topLinePunct w:val="0"/>
        <w:autoSpaceDE/>
        <w:autoSpaceDN/>
        <w:bidi w:val="0"/>
        <w:adjustRightInd/>
        <w:snapToGrid/>
        <w:spacing w:before="0" w:after="0" w:line="500" w:lineRule="exact"/>
        <w:ind w:right="0" w:rightChars="0" w:firstLine="960" w:firstLineChars="4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38" w:name="bookmark207"/>
      <w:bookmarkEnd w:id="138"/>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①因不可抗拒的客观原因，不能到场或者需在评审过程中退岀评审活动；</w:t>
      </w:r>
    </w:p>
    <w:p w14:paraId="0A935D3D">
      <w:pPr>
        <w:pStyle w:val="81"/>
        <w:keepNext w:val="0"/>
        <w:keepLines w:val="0"/>
        <w:pageBreakBefore w:val="0"/>
        <w:widowControl w:val="0"/>
        <w:numPr>
          <w:ilvl w:val="0"/>
          <w:numId w:val="0"/>
        </w:numPr>
        <w:shd w:val="clear" w:color="auto" w:fill="auto"/>
        <w:tabs>
          <w:tab w:val="left" w:pos="837"/>
        </w:tabs>
        <w:kinsoku/>
        <w:wordWrap/>
        <w:overflowPunct/>
        <w:topLinePunct w:val="0"/>
        <w:autoSpaceDE/>
        <w:autoSpaceDN/>
        <w:bidi w:val="0"/>
        <w:adjustRightInd/>
        <w:snapToGrid/>
        <w:spacing w:before="0" w:after="0" w:line="500" w:lineRule="exact"/>
        <w:ind w:right="0" w:rightChars="0" w:firstLine="960" w:firstLineChars="4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39" w:name="bookmark208"/>
      <w:bookmarkEnd w:id="139"/>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②根据法律法规规定，某个或者某几个磋商小组成员需要回避；</w:t>
      </w:r>
    </w:p>
    <w:p w14:paraId="2582BE67">
      <w:pPr>
        <w:pStyle w:val="81"/>
        <w:keepNext w:val="0"/>
        <w:keepLines w:val="0"/>
        <w:pageBreakBefore w:val="0"/>
        <w:widowControl w:val="0"/>
        <w:numPr>
          <w:ilvl w:val="0"/>
          <w:numId w:val="0"/>
        </w:numPr>
        <w:shd w:val="clear" w:color="auto" w:fill="auto"/>
        <w:tabs>
          <w:tab w:val="left" w:pos="1016"/>
        </w:tabs>
        <w:kinsoku/>
        <w:wordWrap/>
        <w:overflowPunct/>
        <w:topLinePunct w:val="0"/>
        <w:autoSpaceDE/>
        <w:autoSpaceDN/>
        <w:bidi w:val="0"/>
        <w:adjustRightInd/>
        <w:snapToGrid/>
        <w:spacing w:before="0" w:after="0" w:line="500" w:lineRule="exact"/>
        <w:ind w:right="0" w:rightChars="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40" w:name="bookmark209"/>
      <w:bookmarkEnd w:id="140"/>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退岀磋商小组的成员，其已完成的评审行为无效。由采购人向政府采购监督管理部门提岀更换磋商小组成员意见并获准后，根据本磋商文件规定的磋商小组成员产生方式另行确定替代者进行评审。</w:t>
      </w:r>
    </w:p>
    <w:p w14:paraId="57D278C4">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10.6.3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记名投票</w:t>
      </w:r>
    </w:p>
    <w:p w14:paraId="28C32EC9">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在评审过程中，磋商小组发生分歧或者评审结论有异议需表决的，按照少数服从多数的原则，由磋商小组全体成员以记名投票方式表决。</w:t>
      </w:r>
    </w:p>
    <w:p w14:paraId="09538EA8">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10.7</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违法违规情形</w:t>
      </w:r>
    </w:p>
    <w:p w14:paraId="7920446C">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10.7.1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有下列情形之一的，属于供应商相互串通报价：</w:t>
      </w:r>
    </w:p>
    <w:p w14:paraId="01D3ADF2">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41" w:name="bookmark210"/>
      <w:bookmarkEnd w:id="141"/>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供应商之间协商报价等响应文件的实质性内容；</w:t>
      </w:r>
    </w:p>
    <w:p w14:paraId="1B367D11">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42" w:name="bookmark211"/>
      <w:bookmarkEnd w:id="142"/>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供应商之间约定成交供应商；</w:t>
      </w:r>
    </w:p>
    <w:p w14:paraId="4155A1EC">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43" w:name="bookmark212"/>
      <w:bookmarkEnd w:id="143"/>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供应商之间约定部分供应商放弃报价或者成交；</w:t>
      </w:r>
    </w:p>
    <w:p w14:paraId="0A5A07FF">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44" w:name="bookmark213"/>
      <w:bookmarkEnd w:id="144"/>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属于同一集团、协会、商会等组织成员的供应商按照该组织要求协同报价；</w:t>
      </w:r>
    </w:p>
    <w:p w14:paraId="41CBC716">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45" w:name="bookmark214"/>
      <w:bookmarkEnd w:id="145"/>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供应商之间为谋取成交或者排斥特定供应商而采取的其他联合行动。</w:t>
      </w:r>
    </w:p>
    <w:p w14:paraId="4F1D43F1">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10.7.2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有下列情形之一的，视为供应商相互串通报价：</w:t>
      </w:r>
    </w:p>
    <w:p w14:paraId="13EDF0BB">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46" w:name="bookmark215"/>
      <w:bookmarkEnd w:id="146"/>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不同供应商的响应文件由同一单位或者个人编制；</w:t>
      </w:r>
    </w:p>
    <w:p w14:paraId="4BE042E1">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47" w:name="bookmark216"/>
      <w:bookmarkEnd w:id="147"/>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不同供应商委托同一单位或者个人办理报价事宜；</w:t>
      </w:r>
    </w:p>
    <w:p w14:paraId="246665FA">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48" w:name="bookmark217"/>
      <w:bookmarkEnd w:id="148"/>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不同供应商的响应文件载明的项目管理成员为同一人；</w:t>
      </w:r>
    </w:p>
    <w:p w14:paraId="0A0AA0E5">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49" w:name="bookmark218"/>
      <w:bookmarkEnd w:id="149"/>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不同供应商的响应文件异常一致或者报价呈规律性差异；</w:t>
      </w:r>
    </w:p>
    <w:p w14:paraId="2A1CC154">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50" w:name="bookmark219"/>
      <w:bookmarkEnd w:id="150"/>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不同供应商的响应文件相互混装；</w:t>
      </w:r>
    </w:p>
    <w:p w14:paraId="50BC50DC">
      <w:pPr>
        <w:pStyle w:val="81"/>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500" w:lineRule="exact"/>
        <w:ind w:right="0" w:rightChars="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51" w:name="bookmark220"/>
      <w:bookmarkEnd w:id="151"/>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不同供应商的磋商保证金从同一单位或者个人的账户转岀。</w:t>
      </w:r>
    </w:p>
    <w:p w14:paraId="7A9DD9D0">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10.7.3</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有下列情形之一的，属于采购人与供应商串通报价：</w:t>
      </w:r>
    </w:p>
    <w:p w14:paraId="1D829395">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采购人在二次报价前开启响应文件并将有关信息泄露给其他供应商；</w:t>
      </w:r>
    </w:p>
    <w:p w14:paraId="3E04A66F">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采购人直接或者间接向供应商泄露磋商小组成员等信息；</w:t>
      </w:r>
    </w:p>
    <w:p w14:paraId="341A3014">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采购人明示或者暗示供应商压低或者抬高报价；</w:t>
      </w:r>
    </w:p>
    <w:p w14:paraId="36CC3C86">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采购人授意供应商撤换、修改响应文件；</w:t>
      </w:r>
    </w:p>
    <w:p w14:paraId="58CCC6D4">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采购人明示或者暗示供应商为特定供应商成交提供方便；</w:t>
      </w:r>
    </w:p>
    <w:p w14:paraId="371D8E22">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采购人与供应商为谋求特定供应商成交而采取的其他串通行为。</w:t>
      </w:r>
    </w:p>
    <w:p w14:paraId="5314C132">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10.7.4</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供应商有下列情形之一的，属于供应商弄虚作假的行为：</w:t>
      </w:r>
    </w:p>
    <w:p w14:paraId="7FB5018B">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使用伪造、变造的许可证件；</w:t>
      </w:r>
    </w:p>
    <w:p w14:paraId="7F008821">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提供虚假的财务状况或者业绩；</w:t>
      </w:r>
    </w:p>
    <w:p w14:paraId="703CAA29">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right="0" w:firstLine="720" w:firstLineChars="3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提供虚假的项目负责人或者主要技术人员简历、劳动关系证明；</w:t>
      </w:r>
    </w:p>
    <w:p w14:paraId="69514885">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提供虚假的信用状况；</w:t>
      </w:r>
    </w:p>
    <w:p w14:paraId="3D3A5965">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其他弄虚作假的行为。</w:t>
      </w:r>
    </w:p>
    <w:p w14:paraId="12B7E030">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10.7.5</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违规处理</w:t>
      </w:r>
    </w:p>
    <w:p w14:paraId="286FF608">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供应商有下列情形之一的，列入不良行为记录名单，在一至三年内禁止参加政府采购活动：</w:t>
      </w:r>
    </w:p>
    <w:p w14:paraId="2024A1F5">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52" w:name="bookmark232"/>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bookmarkEnd w:id="152"/>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1）提供虚假材料谋取成交；</w:t>
      </w:r>
    </w:p>
    <w:p w14:paraId="1A87B08E">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53" w:name="bookmark233"/>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bookmarkEnd w:id="153"/>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2）采取不正当手段诋毁、排挤其他供应商；</w:t>
      </w:r>
    </w:p>
    <w:p w14:paraId="56B041A5">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right="0" w:firstLine="720" w:firstLineChars="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与采购人、其他供应商或者采购代理机构恶意串通；</w:t>
      </w:r>
    </w:p>
    <w:p w14:paraId="752ECDEE">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向采购人、采购代理机构行贿或者提供其他不正当利益；</w:t>
      </w:r>
    </w:p>
    <w:p w14:paraId="599B95D2">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在采购过程中与采购人进行协商磋商；</w:t>
      </w:r>
    </w:p>
    <w:p w14:paraId="54AAEE82">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拒绝有关部门监督检查或者提供虚假情况；</w:t>
      </w:r>
    </w:p>
    <w:p w14:paraId="542F9C7B">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一年内累计三次以上投诉均查无实据，并带有明显故意行为；</w:t>
      </w:r>
    </w:p>
    <w:p w14:paraId="4514776F">
      <w:pPr>
        <w:pStyle w:val="81"/>
        <w:keepNext w:val="0"/>
        <w:keepLines w:val="0"/>
        <w:pageBreakBefore w:val="0"/>
        <w:widowControl w:val="0"/>
        <w:shd w:val="clear" w:color="auto" w:fill="auto"/>
        <w:tabs>
          <w:tab w:val="left" w:pos="923"/>
        </w:tabs>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捏造事实或者提供虚假投诉材料；</w:t>
      </w:r>
    </w:p>
    <w:p w14:paraId="539A2E51">
      <w:pPr>
        <w:pStyle w:val="81"/>
        <w:keepNext w:val="0"/>
        <w:keepLines w:val="0"/>
        <w:pageBreakBefore w:val="0"/>
        <w:widowControl w:val="0"/>
        <w:shd w:val="clear" w:color="auto" w:fill="auto"/>
        <w:tabs>
          <w:tab w:val="left" w:pos="1016"/>
        </w:tabs>
        <w:kinsoku/>
        <w:wordWrap/>
        <w:overflowPunct/>
        <w:topLinePunct w:val="0"/>
        <w:autoSpaceDE/>
        <w:autoSpaceDN/>
        <w:bidi w:val="0"/>
        <w:adjustRightInd/>
        <w:snapToGrid/>
        <w:spacing w:before="0" w:after="0" w:line="500" w:lineRule="exact"/>
        <w:ind w:left="0" w:right="0" w:firstLine="741" w:firstLineChars="309"/>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不按照规定程序以及正常途径质疑、投诉，采用匿名信、匿名电话、短信等手段，威胁、恫吓、辱骂、恶意中伤其他相关当事人；</w:t>
      </w:r>
    </w:p>
    <w:p w14:paraId="2A91BF8B">
      <w:pPr>
        <w:pStyle w:val="81"/>
        <w:keepNext w:val="0"/>
        <w:keepLines w:val="0"/>
        <w:pageBreakBefore w:val="0"/>
        <w:widowControl w:val="0"/>
        <w:shd w:val="clear" w:color="auto" w:fill="auto"/>
        <w:tabs>
          <w:tab w:val="left" w:pos="1029"/>
        </w:tabs>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法律、法规和磋商文件中规定的其他情形。</w:t>
      </w:r>
    </w:p>
    <w:p w14:paraId="4B15865C">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10.8</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关于成交供应商瑕疵滞后发现的处理规则</w:t>
      </w:r>
    </w:p>
    <w:p w14:paraId="5550E282">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10.8.1</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 要求，磋商小组可以维持既定结果并要求成交供应商岀具补救、纠正措施等承诺，由此产生的一切费用由成交供应商承担；若通过补救、纠正措施仍不能够满足磋商文件或者采购人要求，磋商小组应岀具取消该供应商的此前评议结果的复审结论，并予以废标，由此产生的一切损失均由成交供应商承担。</w:t>
      </w:r>
    </w:p>
    <w:p w14:paraId="0B6E0B03">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磋商小组认定成交供应商报价无效、废标或成交供应商的此前评议结果被取消的，应予以废标,由采购人依法重新组织采购，成交供应商按照相关规定处理。岀现上述情形的一切损失均由被取消成交资格的供应商承担。</w:t>
      </w:r>
    </w:p>
    <w:p w14:paraId="33028D83">
      <w:pPr>
        <w:pStyle w:val="81"/>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1" w:firstLineChars="309"/>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10.8.2</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须岀具维持成交结果以及是否要求提供特别担保金的书面意见，磋商小组可以维持既定结果并要求成交供应商岀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p>
    <w:p w14:paraId="059F39D2">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en-US" w:bidi="en-US"/>
          <w14:textFill>
            <w14:solidFill>
              <w14:schemeClr w14:val="tx1"/>
            </w14:solidFill>
          </w14:textFill>
        </w:rPr>
        <w:t>10.</w:t>
      </w:r>
      <w:r>
        <w:rPr>
          <w:rFonts w:hint="eastAsia" w:ascii="宋体" w:hAnsi="宋体" w:eastAsia="宋体" w:cs="宋体"/>
          <w:color w:val="000000" w:themeColor="text1"/>
          <w:spacing w:val="0"/>
          <w:w w:val="100"/>
          <w:position w:val="0"/>
          <w:sz w:val="24"/>
          <w:szCs w:val="24"/>
          <w:highlight w:val="none"/>
          <w:lang w:val="en-US" w:eastAsia="zh-CN" w:bidi="en-US"/>
          <w14:textFill>
            <w14:solidFill>
              <w14:schemeClr w14:val="tx1"/>
            </w14:solidFill>
          </w14:textFill>
        </w:rPr>
        <w:t>9</w:t>
      </w:r>
      <w:r>
        <w:rPr>
          <w:rFonts w:hint="eastAsia" w:ascii="宋体" w:hAnsi="宋体" w:eastAsia="宋体" w:cs="宋体"/>
          <w:kern w:val="0"/>
          <w:sz w:val="24"/>
        </w:rPr>
        <w:t>相同品牌投标的要求</w:t>
      </w:r>
      <w:r>
        <w:rPr>
          <w:rFonts w:hint="eastAsia" w:ascii="宋体" w:hAnsi="宋体" w:eastAsia="宋体" w:cs="宋体"/>
          <w:kern w:val="0"/>
          <w:sz w:val="24"/>
          <w:lang w:eastAsia="zh-CN"/>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见供应商须知前附表。</w:t>
      </w:r>
    </w:p>
    <w:p w14:paraId="44AED3D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10.10是否采用电子招标投标：</w:t>
      </w:r>
      <w:r>
        <w:rPr>
          <w:rFonts w:hint="eastAsia" w:ascii="宋体" w:hAnsi="宋体" w:eastAsia="宋体" w:cs="宋体"/>
          <w:b w:val="0"/>
          <w:bCs/>
          <w:color w:val="000000" w:themeColor="text1"/>
          <w:spacing w:val="0"/>
          <w:w w:val="100"/>
          <w:position w:val="0"/>
          <w:sz w:val="24"/>
          <w:szCs w:val="24"/>
          <w:highlight w:val="none"/>
          <w14:textFill>
            <w14:solidFill>
              <w14:schemeClr w14:val="tx1"/>
            </w14:solidFill>
          </w14:textFill>
        </w:rPr>
        <w:t>见供应商须知前附表。</w:t>
      </w:r>
    </w:p>
    <w:p w14:paraId="27113B13">
      <w:pPr>
        <w:spacing w:line="360" w:lineRule="auto"/>
        <w:rPr>
          <w:rFonts w:hint="eastAsia" w:ascii="宋体" w:hAnsi="宋体" w:eastAsia="宋体" w:cs="宋体"/>
          <w:b/>
          <w:color w:val="000000" w:themeColor="text1"/>
          <w14:textFill>
            <w14:solidFill>
              <w14:schemeClr w14:val="tx1"/>
            </w14:solidFill>
          </w14:textFill>
        </w:rPr>
      </w:pPr>
    </w:p>
    <w:p w14:paraId="5B5CCB85">
      <w:pPr>
        <w:spacing w:line="360" w:lineRule="auto"/>
        <w:rPr>
          <w:rFonts w:hint="eastAsia" w:ascii="宋体" w:hAnsi="宋体" w:eastAsia="宋体" w:cs="宋体"/>
          <w:b/>
          <w:color w:val="000000" w:themeColor="text1"/>
          <w14:textFill>
            <w14:solidFill>
              <w14:schemeClr w14:val="tx1"/>
            </w14:solidFill>
          </w14:textFill>
        </w:rPr>
      </w:pPr>
    </w:p>
    <w:p w14:paraId="49EB13F8">
      <w:pPr>
        <w:spacing w:line="360" w:lineRule="auto"/>
        <w:rPr>
          <w:rFonts w:hint="eastAsia" w:ascii="宋体" w:hAnsi="宋体" w:eastAsia="宋体" w:cs="宋体"/>
          <w:b/>
          <w:color w:val="000000" w:themeColor="text1"/>
          <w14:textFill>
            <w14:solidFill>
              <w14:schemeClr w14:val="tx1"/>
            </w14:solidFill>
          </w14:textFill>
        </w:rPr>
      </w:pPr>
    </w:p>
    <w:p w14:paraId="49122999">
      <w:pPr>
        <w:spacing w:line="360" w:lineRule="auto"/>
        <w:rPr>
          <w:rFonts w:hint="eastAsia" w:ascii="宋体" w:hAnsi="宋体" w:eastAsia="宋体" w:cs="宋体"/>
          <w:b/>
          <w:color w:val="000000" w:themeColor="text1"/>
          <w14:textFill>
            <w14:solidFill>
              <w14:schemeClr w14:val="tx1"/>
            </w14:solidFill>
          </w14:textFill>
        </w:rPr>
      </w:pPr>
    </w:p>
    <w:p w14:paraId="1320DA52">
      <w:pPr>
        <w:spacing w:line="360" w:lineRule="auto"/>
        <w:rPr>
          <w:rFonts w:hint="eastAsia" w:ascii="宋体" w:hAnsi="宋体" w:eastAsia="宋体" w:cs="宋体"/>
          <w:b/>
          <w:color w:val="000000" w:themeColor="text1"/>
          <w14:textFill>
            <w14:solidFill>
              <w14:schemeClr w14:val="tx1"/>
            </w14:solidFill>
          </w14:textFill>
        </w:rPr>
      </w:pPr>
    </w:p>
    <w:p w14:paraId="0A2CCC18">
      <w:pPr>
        <w:spacing w:line="360" w:lineRule="auto"/>
        <w:rPr>
          <w:rFonts w:hint="eastAsia" w:ascii="宋体" w:hAnsi="宋体" w:eastAsia="宋体" w:cs="宋体"/>
          <w:b/>
          <w:color w:val="000000" w:themeColor="text1"/>
          <w14:textFill>
            <w14:solidFill>
              <w14:schemeClr w14:val="tx1"/>
            </w14:solidFill>
          </w14:textFill>
        </w:rPr>
      </w:pPr>
    </w:p>
    <w:p w14:paraId="7328BA28">
      <w:pPr>
        <w:rPr>
          <w:rFonts w:hint="eastAsia" w:ascii="宋体" w:hAnsi="宋体" w:eastAsia="宋体" w:cs="宋体"/>
          <w:b/>
          <w:color w:val="000000" w:themeColor="text1"/>
          <w14:textFill>
            <w14:solidFill>
              <w14:schemeClr w14:val="tx1"/>
            </w14:solidFill>
          </w14:textFill>
        </w:rPr>
      </w:pPr>
    </w:p>
    <w:p w14:paraId="056E2B05">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附表一：问题澄清通知</w:t>
      </w:r>
    </w:p>
    <w:p w14:paraId="73E95A0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z w:val="32"/>
          <w:szCs w:val="18"/>
          <w:highlight w:val="none"/>
          <w:lang w:val="zh-CN"/>
          <w14:textFill>
            <w14:solidFill>
              <w14:schemeClr w14:val="tx1"/>
            </w14:solidFill>
          </w14:textFill>
        </w:rPr>
      </w:pPr>
    </w:p>
    <w:p w14:paraId="7572C48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b/>
          <w:bCs/>
          <w:color w:val="000000" w:themeColor="text1"/>
          <w:sz w:val="32"/>
          <w:szCs w:val="18"/>
          <w:highlight w:val="none"/>
          <w:lang w:val="zh-CN"/>
          <w14:textFill>
            <w14:solidFill>
              <w14:schemeClr w14:val="tx1"/>
            </w14:solidFill>
          </w14:textFill>
        </w:rPr>
      </w:pPr>
      <w:bookmarkStart w:id="154" w:name="_Toc28701"/>
      <w:bookmarkStart w:id="155" w:name="_Toc11907"/>
      <w:r>
        <w:rPr>
          <w:rFonts w:hint="eastAsia" w:ascii="宋体" w:hAnsi="宋体" w:eastAsia="宋体" w:cs="宋体"/>
          <w:b/>
          <w:bCs/>
          <w:color w:val="000000" w:themeColor="text1"/>
          <w:sz w:val="32"/>
          <w:szCs w:val="18"/>
          <w:highlight w:val="none"/>
          <w:lang w:val="zh-CN"/>
          <w14:textFill>
            <w14:solidFill>
              <w14:schemeClr w14:val="tx1"/>
            </w14:solidFill>
          </w14:textFill>
        </w:rPr>
        <w:t>问题澄清通知</w:t>
      </w:r>
      <w:bookmarkEnd w:id="154"/>
      <w:bookmarkEnd w:id="155"/>
    </w:p>
    <w:p w14:paraId="5D1D538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highlight w:val="none"/>
          <w:lang w:val="zh-CN"/>
          <w14:textFill>
            <w14:solidFill>
              <w14:schemeClr w14:val="tx1"/>
            </w14:solidFill>
          </w14:textFill>
        </w:rPr>
      </w:pPr>
    </w:p>
    <w:p w14:paraId="0739C57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编号：</w:t>
      </w:r>
    </w:p>
    <w:p w14:paraId="767E581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（供应商名称）：</w:t>
      </w:r>
    </w:p>
    <w:p w14:paraId="5D3DE26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(项目名称)       </w:t>
      </w:r>
      <w:r>
        <w:rPr>
          <w:rFonts w:hint="eastAsia" w:ascii="宋体" w:hAnsi="宋体" w:eastAsia="宋体" w:cs="宋体"/>
          <w:color w:val="000000" w:themeColor="text1"/>
          <w:sz w:val="24"/>
          <w:szCs w:val="24"/>
          <w:highlight w:val="none"/>
          <w:lang w:val="zh-CN"/>
          <w14:textFill>
            <w14:solidFill>
              <w14:schemeClr w14:val="tx1"/>
            </w14:solidFill>
          </w14:textFill>
        </w:rPr>
        <w:t>的磋商小组，对你方的响应文件进行了仔细的审查，现需你方对下列问题以书面形式予以澄清：</w:t>
      </w:r>
    </w:p>
    <w:p w14:paraId="6EE16DA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p>
    <w:p w14:paraId="135337D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p>
    <w:p w14:paraId="3A54AB7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p>
    <w:p w14:paraId="455938C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请将上述问题的澄清于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时前递交至</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（详细地址）或传真至</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（传真号码），采用传真方式的，应在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时前将原件递交至</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（详细地址）。</w:t>
      </w:r>
    </w:p>
    <w:p w14:paraId="47A933B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79FE366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084C8BC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5E920CB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righ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评审工作组负责人：</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（签字）</w:t>
      </w:r>
    </w:p>
    <w:p w14:paraId="33C1636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43E288A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righ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14:paraId="1C167711">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righ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p>
    <w:p w14:paraId="202F4EB9">
      <w:pPr>
        <w:autoSpaceDE w:val="0"/>
        <w:autoSpaceDN w:val="0"/>
        <w:adjustRightInd w:val="0"/>
        <w:spacing w:line="360" w:lineRule="auto"/>
        <w:jc w:val="left"/>
        <w:rPr>
          <w:rFonts w:hint="eastAsia" w:ascii="宋体" w:hAnsi="宋体" w:eastAsia="宋体" w:cs="宋体"/>
          <w:color w:val="000000" w:themeColor="text1"/>
          <w:szCs w:val="18"/>
          <w:lang w:val="zh-CN"/>
          <w14:textFill>
            <w14:solidFill>
              <w14:schemeClr w14:val="tx1"/>
            </w14:solidFill>
          </w14:textFill>
        </w:rPr>
      </w:pPr>
    </w:p>
    <w:p w14:paraId="128AA41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sz w:val="28"/>
          <w:szCs w:val="18"/>
          <w:lang w:val="zh-CN"/>
          <w14:textFill>
            <w14:solidFill>
              <w14:schemeClr w14:val="tx1"/>
            </w14:solidFill>
          </w14:textFill>
        </w:rPr>
        <w:br w:type="page"/>
      </w:r>
      <w:r>
        <w:rPr>
          <w:rFonts w:hint="eastAsia" w:ascii="宋体" w:hAnsi="宋体" w:eastAsia="宋体" w:cs="宋体"/>
          <w:b/>
          <w:color w:val="000000" w:themeColor="text1"/>
          <w:highlight w:val="none"/>
          <w14:textFill>
            <w14:solidFill>
              <w14:schemeClr w14:val="tx1"/>
            </w14:solidFill>
          </w14:textFill>
        </w:rPr>
        <w:t>附表二</w:t>
      </w:r>
      <w:r>
        <w:rPr>
          <w:rFonts w:hint="eastAsia" w:ascii="宋体" w:hAnsi="宋体" w:eastAsia="宋体" w:cs="宋体"/>
          <w:b/>
          <w:color w:val="000000" w:themeColor="text1"/>
          <w:highlight w:val="none"/>
          <w:lang w:eastAsia="zh-CN"/>
          <w14:textFill>
            <w14:solidFill>
              <w14:schemeClr w14:val="tx1"/>
            </w14:solidFill>
          </w14:textFill>
        </w:rPr>
        <w:t>：</w:t>
      </w:r>
      <w:r>
        <w:rPr>
          <w:rFonts w:hint="eastAsia" w:ascii="宋体" w:hAnsi="宋体" w:eastAsia="宋体" w:cs="宋体"/>
          <w:b/>
          <w:color w:val="000000" w:themeColor="text1"/>
          <w:highlight w:val="none"/>
          <w14:textFill>
            <w14:solidFill>
              <w14:schemeClr w14:val="tx1"/>
            </w14:solidFill>
          </w14:textFill>
        </w:rPr>
        <w:t>问题的澄清</w:t>
      </w:r>
    </w:p>
    <w:p w14:paraId="66E6446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themeColor="text1"/>
          <w:sz w:val="32"/>
          <w:szCs w:val="18"/>
          <w:highlight w:val="none"/>
          <w:lang w:val="zh-CN"/>
          <w14:textFill>
            <w14:solidFill>
              <w14:schemeClr w14:val="tx1"/>
            </w14:solidFill>
          </w14:textFill>
        </w:rPr>
      </w:pPr>
    </w:p>
    <w:p w14:paraId="5051A6A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z w:val="32"/>
          <w:szCs w:val="18"/>
          <w:highlight w:val="none"/>
          <w:lang w:val="zh-CN"/>
          <w14:textFill>
            <w14:solidFill>
              <w14:schemeClr w14:val="tx1"/>
            </w14:solidFill>
          </w14:textFill>
        </w:rPr>
      </w:pPr>
      <w:r>
        <w:rPr>
          <w:rFonts w:hint="eastAsia" w:ascii="宋体" w:hAnsi="宋体" w:eastAsia="宋体" w:cs="宋体"/>
          <w:b/>
          <w:bCs/>
          <w:color w:val="000000" w:themeColor="text1"/>
          <w:sz w:val="32"/>
          <w:szCs w:val="18"/>
          <w:highlight w:val="none"/>
          <w:lang w:val="zh-CN"/>
          <w14:textFill>
            <w14:solidFill>
              <w14:schemeClr w14:val="tx1"/>
            </w14:solidFill>
          </w14:textFill>
        </w:rPr>
        <w:t>问题的澄清</w:t>
      </w:r>
    </w:p>
    <w:p w14:paraId="7DE248D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000000" w:themeColor="text1"/>
          <w:highlight w:val="none"/>
          <w:lang w:val="zh-CN"/>
          <w14:textFill>
            <w14:solidFill>
              <w14:schemeClr w14:val="tx1"/>
            </w14:solidFill>
          </w14:textFill>
        </w:rPr>
      </w:pPr>
    </w:p>
    <w:p w14:paraId="0AD4611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编号：</w:t>
      </w:r>
    </w:p>
    <w:p w14:paraId="6F79FCD4">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u w:val="single"/>
          <w:lang w:val="zh-CN"/>
          <w14:textFill>
            <w14:solidFill>
              <w14:schemeClr w14:val="tx1"/>
            </w14:solidFill>
          </w14:textFill>
        </w:rPr>
      </w:pPr>
    </w:p>
    <w:p w14:paraId="69F718F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(项目名称)         </w:t>
      </w:r>
      <w:r>
        <w:rPr>
          <w:rFonts w:hint="eastAsia" w:ascii="宋体" w:hAnsi="宋体" w:eastAsia="宋体" w:cs="宋体"/>
          <w:color w:val="000000" w:themeColor="text1"/>
          <w:sz w:val="24"/>
          <w:szCs w:val="24"/>
          <w:highlight w:val="none"/>
          <w:lang w:val="zh-CN"/>
          <w14:textFill>
            <w14:solidFill>
              <w14:schemeClr w14:val="tx1"/>
            </w14:solidFill>
          </w14:textFill>
        </w:rPr>
        <w:t>磋商小组：</w:t>
      </w:r>
    </w:p>
    <w:p w14:paraId="22184E5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7C6BCC4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问题澄清通知</w:t>
      </w:r>
      <w:r>
        <w:rPr>
          <w:rFonts w:hint="eastAsia" w:ascii="宋体" w:hAnsi="宋体" w:eastAsia="宋体" w:cs="宋体"/>
          <w:color w:val="000000" w:themeColor="text1"/>
          <w:sz w:val="24"/>
          <w:szCs w:val="24"/>
          <w:highlight w:val="none"/>
          <w:u w:val="single"/>
          <w:lang w:val="zh-CN"/>
          <w14:textFill>
            <w14:solidFill>
              <w14:schemeClr w14:val="tx1"/>
            </w14:solidFill>
          </w14:textFill>
        </w:rPr>
        <w:t>(编号：            )</w:t>
      </w:r>
      <w:r>
        <w:rPr>
          <w:rFonts w:hint="eastAsia" w:ascii="宋体" w:hAnsi="宋体" w:eastAsia="宋体" w:cs="宋体"/>
          <w:color w:val="000000" w:themeColor="text1"/>
          <w:sz w:val="24"/>
          <w:szCs w:val="24"/>
          <w:highlight w:val="none"/>
          <w:lang w:val="zh-CN"/>
          <w14:textFill>
            <w14:solidFill>
              <w14:schemeClr w14:val="tx1"/>
            </w14:solidFill>
          </w14:textFill>
        </w:rPr>
        <w:t>已收悉，现澄清如下：</w:t>
      </w:r>
    </w:p>
    <w:p w14:paraId="05D06F30">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p>
    <w:p w14:paraId="5E281047">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p>
    <w:p w14:paraId="5DEE61DF">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p>
    <w:p w14:paraId="4DDE344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26D8393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7F188DE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137E8B9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4C0382F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righ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(盖单位章)</w:t>
      </w:r>
    </w:p>
    <w:p w14:paraId="4408DDF3">
      <w:pPr>
        <w:keepNext w:val="0"/>
        <w:keepLines w:val="0"/>
        <w:pageBreakBefore w:val="0"/>
        <w:widowControl w:val="0"/>
        <w:kinsoku/>
        <w:wordWrap/>
        <w:overflowPunct/>
        <w:topLinePunct w:val="0"/>
        <w:autoSpaceDE w:val="0"/>
        <w:autoSpaceDN w:val="0"/>
        <w:bidi w:val="0"/>
        <w:adjustRightInd w:val="0"/>
        <w:snapToGrid/>
        <w:spacing w:line="360" w:lineRule="auto"/>
        <w:ind w:firstLine="4560" w:firstLineChars="19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77CD10D8">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(签字)</w:t>
      </w:r>
    </w:p>
    <w:p w14:paraId="3E6100B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6830BE2B">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both"/>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14:paraId="1B2E052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righ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p>
    <w:p w14:paraId="6306F44A">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br w:type="page"/>
      </w:r>
      <w:r>
        <w:rPr>
          <w:rFonts w:hint="eastAsia" w:ascii="宋体" w:hAnsi="宋体" w:eastAsia="宋体" w:cs="宋体"/>
          <w:b/>
          <w:color w:val="000000" w:themeColor="text1"/>
          <w:highlight w:val="none"/>
          <w14:textFill>
            <w14:solidFill>
              <w14:schemeClr w14:val="tx1"/>
            </w14:solidFill>
          </w14:textFill>
        </w:rPr>
        <w:t>附表三</w:t>
      </w:r>
      <w:r>
        <w:rPr>
          <w:rFonts w:hint="eastAsia" w:ascii="宋体" w:hAnsi="宋体" w:eastAsia="宋体" w:cs="宋体"/>
          <w:b/>
          <w:color w:val="000000" w:themeColor="text1"/>
          <w:highlight w:val="none"/>
          <w:lang w:eastAsia="zh-CN"/>
          <w14:textFill>
            <w14:solidFill>
              <w14:schemeClr w14:val="tx1"/>
            </w14:solidFill>
          </w14:textFill>
        </w:rPr>
        <w:t>：</w:t>
      </w:r>
      <w:r>
        <w:rPr>
          <w:rFonts w:hint="eastAsia" w:ascii="宋体" w:hAnsi="宋体" w:eastAsia="宋体" w:cs="宋体"/>
          <w:b/>
          <w:color w:val="000000" w:themeColor="text1"/>
          <w:highlight w:val="none"/>
          <w14:textFill>
            <w14:solidFill>
              <w14:schemeClr w14:val="tx1"/>
            </w14:solidFill>
          </w14:textFill>
        </w:rPr>
        <w:t>成交通知书</w:t>
      </w:r>
    </w:p>
    <w:p w14:paraId="2136537E">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z w:val="32"/>
          <w:szCs w:val="32"/>
          <w:highlight w:val="none"/>
          <w:lang w:val="zh-CN"/>
          <w14:textFill>
            <w14:solidFill>
              <w14:schemeClr w14:val="tx1"/>
            </w14:solidFill>
          </w14:textFill>
        </w:rPr>
      </w:pPr>
    </w:p>
    <w:p w14:paraId="0E239BD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t>成交通知书</w:t>
      </w:r>
    </w:p>
    <w:p w14:paraId="79BA9ED2">
      <w:pPr>
        <w:keepNext w:val="0"/>
        <w:keepLines w:val="0"/>
        <w:pageBreakBefore w:val="0"/>
        <w:widowControl/>
        <w:kinsoku/>
        <w:wordWrap/>
        <w:overflowPunct/>
        <w:topLinePunct w:val="0"/>
        <w:bidi w:val="0"/>
        <w:snapToGrid/>
        <w:spacing w:line="360" w:lineRule="auto"/>
        <w:ind w:firstLine="42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p>
    <w:p w14:paraId="3AC9F80D">
      <w:pPr>
        <w:keepNext w:val="0"/>
        <w:keepLines w:val="0"/>
        <w:pageBreakBefore w:val="0"/>
        <w:widowControl/>
        <w:kinsoku/>
        <w:wordWrap/>
        <w:overflowPunct/>
        <w:topLinePunct w:val="0"/>
        <w:bidi w:val="0"/>
        <w:snapToGrid/>
        <w:spacing w:line="360" w:lineRule="auto"/>
        <w:ind w:firstLine="4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（成交人名称）：</w:t>
      </w:r>
    </w:p>
    <w:p w14:paraId="737A83B7">
      <w:pPr>
        <w:keepNext w:val="0"/>
        <w:keepLines w:val="0"/>
        <w:pageBreakBefore w:val="0"/>
        <w:widowControl/>
        <w:kinsoku/>
        <w:wordWrap/>
        <w:overflowPunct/>
        <w:topLinePunct w:val="0"/>
        <w:bidi w:val="0"/>
        <w:snapToGrid/>
        <w:spacing w:line="360" w:lineRule="auto"/>
        <w:ind w:firstLine="4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你方于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日所递交的</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（项目名称）竞争性磋商响应文件已被我方接受，被确定为成交人。</w:t>
      </w:r>
    </w:p>
    <w:p w14:paraId="1B908636">
      <w:pPr>
        <w:keepNext w:val="0"/>
        <w:keepLines w:val="0"/>
        <w:pageBreakBefore w:val="0"/>
        <w:widowControl/>
        <w:kinsoku/>
        <w:wordWrap/>
        <w:overflowPunct/>
        <w:topLinePunct w:val="0"/>
        <w:bidi w:val="0"/>
        <w:snapToGrid/>
        <w:spacing w:line="360" w:lineRule="auto"/>
        <w:ind w:firstLine="4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成交价：</w:t>
      </w:r>
      <w:r>
        <w:rPr>
          <w:rFonts w:hint="eastAsia" w:ascii="宋体" w:hAnsi="宋体" w:eastAsia="宋体" w:cs="宋体"/>
          <w:b/>
          <w:bCs/>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14:textFill>
            <w14:solidFill>
              <w14:schemeClr w14:val="tx1"/>
            </w14:solidFill>
          </w14:textFill>
        </w:rPr>
        <w:t>。</w:t>
      </w:r>
    </w:p>
    <w:p w14:paraId="54291708">
      <w:pPr>
        <w:keepNext w:val="0"/>
        <w:keepLines w:val="0"/>
        <w:pageBreakBefore w:val="0"/>
        <w:widowControl/>
        <w:kinsoku/>
        <w:wordWrap/>
        <w:overflowPunct/>
        <w:topLinePunct w:val="0"/>
        <w:bidi w:val="0"/>
        <w:snapToGrid/>
        <w:spacing w:line="360" w:lineRule="auto"/>
        <w:ind w:firstLine="42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合同期限：签订合同后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w:t>
      </w:r>
      <w:r>
        <w:rPr>
          <w:rFonts w:hint="eastAsia" w:ascii="宋体" w:hAnsi="宋体" w:eastAsia="宋体" w:cs="宋体"/>
          <w:color w:val="000000" w:themeColor="text1"/>
          <w:sz w:val="24"/>
          <w:szCs w:val="24"/>
          <w:highlight w:val="none"/>
          <w14:textFill>
            <w14:solidFill>
              <w14:schemeClr w14:val="tx1"/>
            </w14:solidFill>
          </w14:textFill>
        </w:rPr>
        <w:t>完成</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77536336">
      <w:pPr>
        <w:keepNext w:val="0"/>
        <w:keepLines w:val="0"/>
        <w:pageBreakBefore w:val="0"/>
        <w:widowControl/>
        <w:kinsoku/>
        <w:wordWrap/>
        <w:overflowPunct/>
        <w:topLinePunct w:val="0"/>
        <w:bidi w:val="0"/>
        <w:snapToGrid/>
        <w:spacing w:line="360" w:lineRule="auto"/>
        <w:ind w:firstLine="4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请你方在接到本通知书后的</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日内到</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（指定地点）与我方签订合同。</w:t>
      </w:r>
    </w:p>
    <w:p w14:paraId="7DE95311">
      <w:pPr>
        <w:keepNext w:val="0"/>
        <w:keepLines w:val="0"/>
        <w:pageBreakBefore w:val="0"/>
        <w:widowControl/>
        <w:kinsoku/>
        <w:wordWrap/>
        <w:overflowPunct/>
        <w:topLinePunct w:val="0"/>
        <w:bidi w:val="0"/>
        <w:snapToGrid/>
        <w:spacing w:line="360" w:lineRule="auto"/>
        <w:ind w:firstLine="4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特此通知。</w:t>
      </w:r>
    </w:p>
    <w:p w14:paraId="0BFBA0BE">
      <w:pPr>
        <w:keepNext w:val="0"/>
        <w:keepLines w:val="0"/>
        <w:pageBreakBefore w:val="0"/>
        <w:widowControl/>
        <w:kinsoku/>
        <w:wordWrap/>
        <w:overflowPunct/>
        <w:topLinePunct w:val="0"/>
        <w:bidi w:val="0"/>
        <w:snapToGrid/>
        <w:spacing w:line="360" w:lineRule="auto"/>
        <w:ind w:firstLine="4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D54EEE0">
      <w:pPr>
        <w:keepNext w:val="0"/>
        <w:keepLines w:val="0"/>
        <w:pageBreakBefore w:val="0"/>
        <w:widowControl/>
        <w:kinsoku/>
        <w:wordWrap/>
        <w:overflowPunct/>
        <w:topLinePunct w:val="0"/>
        <w:bidi w:val="0"/>
        <w:snapToGrid/>
        <w:spacing w:line="360" w:lineRule="auto"/>
        <w:ind w:right="-94"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（盖单位章）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采购代理机构：</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6D0BE8DB">
      <w:pPr>
        <w:keepNext w:val="0"/>
        <w:keepLines w:val="0"/>
        <w:pageBreakBefore w:val="0"/>
        <w:widowControl/>
        <w:kinsoku/>
        <w:wordWrap/>
        <w:overflowPunct/>
        <w:topLinePunct w:val="0"/>
        <w:bidi w:val="0"/>
        <w:snapToGrid/>
        <w:spacing w:line="360" w:lineRule="auto"/>
        <w:ind w:right="42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02EAC0A">
      <w:pPr>
        <w:keepNext w:val="0"/>
        <w:keepLines w:val="0"/>
        <w:pageBreakBefore w:val="0"/>
        <w:widowControl/>
        <w:kinsoku/>
        <w:wordWrap/>
        <w:overflowPunct/>
        <w:topLinePunct w:val="0"/>
        <w:bidi w:val="0"/>
        <w:snapToGrid/>
        <w:spacing w:line="360" w:lineRule="auto"/>
        <w:ind w:right="-3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BB7C1FC">
      <w:pPr>
        <w:keepNext w:val="0"/>
        <w:keepLines w:val="0"/>
        <w:pageBreakBefore w:val="0"/>
        <w:widowControl/>
        <w:kinsoku/>
        <w:wordWrap/>
        <w:overflowPunct/>
        <w:topLinePunct w:val="0"/>
        <w:bidi w:val="0"/>
        <w:snapToGrid/>
        <w:spacing w:line="360" w:lineRule="auto"/>
        <w:ind w:right="-3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（签字或盖章）法定代表人：</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33A49E5F">
      <w:pPr>
        <w:keepNext w:val="0"/>
        <w:keepLines w:val="0"/>
        <w:pageBreakBefore w:val="0"/>
        <w:widowControl/>
        <w:kinsoku/>
        <w:wordWrap/>
        <w:overflowPunct/>
        <w:topLinePunct w:val="0"/>
        <w:bidi w:val="0"/>
        <w:snapToGrid/>
        <w:spacing w:line="360" w:lineRule="auto"/>
        <w:ind w:right="420" w:firstLine="2428" w:firstLineChars="1012"/>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348B8FA">
      <w:pPr>
        <w:keepNext w:val="0"/>
        <w:keepLines w:val="0"/>
        <w:pageBreakBefore w:val="0"/>
        <w:widowControl/>
        <w:kinsoku/>
        <w:wordWrap/>
        <w:overflowPunct/>
        <w:topLinePunct w:val="0"/>
        <w:bidi w:val="0"/>
        <w:snapToGrid/>
        <w:spacing w:line="360" w:lineRule="auto"/>
        <w:ind w:right="420" w:firstLine="4212" w:firstLineChars="1755"/>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p>
    <w:p w14:paraId="0FE5391A">
      <w:pPr>
        <w:keepNext w:val="0"/>
        <w:keepLines w:val="0"/>
        <w:pageBreakBefore w:val="0"/>
        <w:widowControl/>
        <w:kinsoku/>
        <w:wordWrap/>
        <w:overflowPunct/>
        <w:topLinePunct w:val="0"/>
        <w:bidi w:val="0"/>
        <w:snapToGrid/>
        <w:spacing w:line="360" w:lineRule="auto"/>
        <w:ind w:right="420" w:firstLine="4212" w:firstLineChars="1755"/>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6BDACC6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p>
    <w:p w14:paraId="1ABCF8F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3D99D7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[注]此《成交通知书》一式叁份，采购人、采购代理机构、成交供应商各执一份备案。</w:t>
      </w:r>
    </w:p>
    <w:p w14:paraId="77CB5187">
      <w:pPr>
        <w:spacing w:line="360" w:lineRule="auto"/>
        <w:rPr>
          <w:rFonts w:hint="eastAsia" w:ascii="宋体" w:hAnsi="宋体" w:eastAsia="宋体" w:cs="宋体"/>
          <w:color w:val="000000" w:themeColor="text1"/>
          <w:sz w:val="24"/>
          <w:szCs w:val="24"/>
          <w14:textFill>
            <w14:solidFill>
              <w14:schemeClr w14:val="tx1"/>
            </w14:solidFill>
          </w14:textFill>
        </w:rPr>
      </w:pPr>
    </w:p>
    <w:p w14:paraId="3669C95B">
      <w:pPr>
        <w:autoSpaceDE w:val="0"/>
        <w:autoSpaceDN w:val="0"/>
        <w:adjustRightInd w:val="0"/>
        <w:spacing w:line="360" w:lineRule="auto"/>
        <w:rPr>
          <w:rFonts w:hint="eastAsia" w:ascii="宋体" w:hAnsi="宋体" w:eastAsia="宋体" w:cs="宋体"/>
          <w:b/>
          <w:bCs/>
          <w:color w:val="000000" w:themeColor="text1"/>
          <w:sz w:val="28"/>
          <w:szCs w:val="16"/>
          <w:lang w:val="zh-CN"/>
          <w14:textFill>
            <w14:solidFill>
              <w14:schemeClr w14:val="tx1"/>
            </w14:solidFill>
          </w14:textFill>
        </w:rPr>
      </w:pPr>
    </w:p>
    <w:p w14:paraId="41DF7CA4">
      <w:pPr>
        <w:pStyle w:val="14"/>
        <w:rPr>
          <w:rFonts w:hint="eastAsia" w:ascii="宋体" w:hAnsi="宋体" w:eastAsia="宋体" w:cs="宋体"/>
          <w:b w:val="0"/>
          <w:bCs w:val="0"/>
          <w:color w:val="000000" w:themeColor="text1"/>
          <w:szCs w:val="16"/>
          <w:lang w:val="zh-CN"/>
          <w14:textFill>
            <w14:solidFill>
              <w14:schemeClr w14:val="tx1"/>
            </w14:solidFill>
          </w14:textFill>
        </w:rPr>
      </w:pPr>
    </w:p>
    <w:p w14:paraId="50A755A3">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r>
        <w:rPr>
          <w:rFonts w:hint="eastAsia" w:ascii="宋体" w:hAnsi="宋体" w:eastAsia="宋体" w:cs="宋体"/>
          <w:b/>
          <w:color w:val="000000" w:themeColor="text1"/>
          <w:highlight w:val="none"/>
          <w14:textFill>
            <w14:solidFill>
              <w14:schemeClr w14:val="tx1"/>
            </w14:solidFill>
          </w14:textFill>
        </w:rPr>
        <w:t>附表四</w:t>
      </w:r>
      <w:r>
        <w:rPr>
          <w:rFonts w:hint="eastAsia" w:ascii="宋体" w:hAnsi="宋体" w:eastAsia="宋体" w:cs="宋体"/>
          <w:b/>
          <w:color w:val="000000" w:themeColor="text1"/>
          <w:highlight w:val="none"/>
          <w:lang w:eastAsia="zh-CN"/>
          <w14:textFill>
            <w14:solidFill>
              <w14:schemeClr w14:val="tx1"/>
            </w14:solidFill>
          </w14:textFill>
        </w:rPr>
        <w:t>：</w:t>
      </w:r>
      <w:r>
        <w:rPr>
          <w:rFonts w:hint="eastAsia" w:ascii="宋体" w:hAnsi="宋体" w:eastAsia="宋体" w:cs="宋体"/>
          <w:b/>
          <w:color w:val="000000" w:themeColor="text1"/>
          <w:highlight w:val="none"/>
          <w14:textFill>
            <w14:solidFill>
              <w14:schemeClr w14:val="tx1"/>
            </w14:solidFill>
          </w14:textFill>
        </w:rPr>
        <w:t>确认通知</w:t>
      </w:r>
    </w:p>
    <w:p w14:paraId="0BBC0A36">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31B8A4A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t>确认通知</w:t>
      </w:r>
    </w:p>
    <w:p w14:paraId="0839425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Cs w:val="18"/>
          <w:highlight w:val="none"/>
          <w:u w:val="single"/>
          <w:lang w:val="zh-CN"/>
          <w14:textFill>
            <w14:solidFill>
              <w14:schemeClr w14:val="tx1"/>
            </w14:solidFill>
          </w14:textFill>
        </w:rPr>
      </w:pPr>
    </w:p>
    <w:p w14:paraId="3227FE1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(采购人名称)：</w:t>
      </w:r>
    </w:p>
    <w:p w14:paraId="0838C42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070B60D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我方已接到你方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日发出的</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(项目名称)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关于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的通知，我方已于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日收到。</w:t>
      </w:r>
    </w:p>
    <w:p w14:paraId="71B1BA4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4040CC5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特此确认。</w:t>
      </w:r>
    </w:p>
    <w:p w14:paraId="32A28902">
      <w:pPr>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04941AB6">
      <w:pPr>
        <w:keepNext w:val="0"/>
        <w:keepLines w:val="0"/>
        <w:pageBreakBefore w:val="0"/>
        <w:widowControl w:val="0"/>
        <w:kinsoku/>
        <w:wordWrap/>
        <w:overflowPunct/>
        <w:topLinePunct w:val="0"/>
        <w:autoSpaceDE w:val="0"/>
        <w:autoSpaceDN w:val="0"/>
        <w:bidi w:val="0"/>
        <w:adjustRightInd w:val="0"/>
        <w:snapToGrid/>
        <w:spacing w:line="480" w:lineRule="auto"/>
        <w:ind w:left="0" w:leftChars="0" w:firstLine="0" w:firstLineChars="0"/>
        <w:jc w:val="right"/>
        <w:textAlignment w:val="auto"/>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(盖单位章)</w:t>
      </w:r>
    </w:p>
    <w:p w14:paraId="70FC4A92">
      <w:pPr>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p w14:paraId="220E5C51">
      <w:pPr>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eastAsia="宋体" w:cs="宋体"/>
          <w:color w:val="000000" w:themeColor="text1"/>
          <w:sz w:val="24"/>
          <w:szCs w:val="24"/>
          <w:highlight w:val="none"/>
          <w:lang w:val="en-US"/>
          <w14:textFill>
            <w14:solidFill>
              <w14:schemeClr w14:val="tx1"/>
            </w14:solidFill>
          </w14:textFill>
        </w:rPr>
        <w:sectPr>
          <w:footerReference r:id="rId12" w:type="default"/>
          <w:pgSz w:w="11905" w:h="16838"/>
          <w:pgMar w:top="1440" w:right="1803" w:bottom="1440" w:left="1803" w:header="1140" w:footer="720" w:gutter="0"/>
          <w:pgNumType w:fmt="decimal"/>
          <w:cols w:space="0" w:num="1"/>
          <w:rtlGutter w:val="0"/>
          <w:docGrid w:type="lines" w:linePitch="317" w:charSpace="0"/>
        </w:sect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w:t>
      </w:r>
    </w:p>
    <w:p w14:paraId="34661EA1">
      <w:pPr>
        <w:pStyle w:val="2"/>
        <w:spacing w:line="500" w:lineRule="exact"/>
        <w:jc w:val="center"/>
        <w:rPr>
          <w:rFonts w:hint="eastAsia" w:ascii="宋体" w:hAnsi="宋体" w:eastAsia="宋体" w:cs="宋体"/>
          <w:b/>
          <w:bCs/>
          <w:color w:val="000000" w:themeColor="text1"/>
          <w:sz w:val="44"/>
          <w:szCs w:val="44"/>
          <w14:textFill>
            <w14:solidFill>
              <w14:schemeClr w14:val="tx1"/>
            </w14:solidFill>
          </w14:textFill>
        </w:rPr>
      </w:pPr>
      <w:bookmarkStart w:id="156" w:name="_Toc4788"/>
      <w:r>
        <w:rPr>
          <w:rFonts w:hint="eastAsia" w:ascii="宋体" w:hAnsi="宋体" w:eastAsia="宋体" w:cs="宋体"/>
          <w:b/>
          <w:bCs/>
          <w:color w:val="000000" w:themeColor="text1"/>
          <w14:textFill>
            <w14:solidFill>
              <w14:schemeClr w14:val="tx1"/>
            </w14:solidFill>
          </w14:textFill>
        </w:rPr>
        <w:t>第三章 竞争性磋商评标办法</w:t>
      </w:r>
      <w:bookmarkEnd w:id="42"/>
      <w:bookmarkEnd w:id="43"/>
      <w:bookmarkEnd w:id="156"/>
    </w:p>
    <w:p w14:paraId="2F5D5553">
      <w:pPr>
        <w:pStyle w:val="2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1.响应文件初审：分为形式性评审和资格性评审。</w:t>
      </w:r>
    </w:p>
    <w:p w14:paraId="51073918">
      <w:pPr>
        <w:pStyle w:val="2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2.响应文件递交截止后，首先由磋商小组依法对供应商的形式性、资格性进行审查，并详细填写下表。合格供应商不足3家的，不进行综合评审。</w:t>
      </w:r>
    </w:p>
    <w:p w14:paraId="44A16592">
      <w:pPr>
        <w:spacing w:line="360" w:lineRule="auto"/>
        <w:jc w:val="center"/>
        <w:outlineLvl w:val="1"/>
        <w:rPr>
          <w:rFonts w:hint="eastAsia" w:ascii="宋体" w:hAnsi="宋体" w:eastAsia="宋体" w:cs="宋体"/>
          <w:b/>
          <w:bCs/>
          <w:color w:val="000000" w:themeColor="text1"/>
          <w:sz w:val="32"/>
          <w:szCs w:val="32"/>
          <w14:textFill>
            <w14:solidFill>
              <w14:schemeClr w14:val="tx1"/>
            </w14:solidFill>
          </w14:textFill>
        </w:rPr>
      </w:pPr>
      <w:bookmarkStart w:id="157" w:name="_Toc21319"/>
      <w:r>
        <w:rPr>
          <w:rFonts w:hint="eastAsia" w:ascii="宋体" w:hAnsi="宋体" w:eastAsia="宋体" w:cs="宋体"/>
          <w:b/>
          <w:bCs/>
          <w:color w:val="000000" w:themeColor="text1"/>
          <w:sz w:val="32"/>
          <w:szCs w:val="32"/>
          <w14:textFill>
            <w14:solidFill>
              <w14:schemeClr w14:val="tx1"/>
            </w14:solidFill>
          </w14:textFill>
        </w:rPr>
        <w:t>一、评标办法前附表</w:t>
      </w:r>
      <w:bookmarkEnd w:id="157"/>
    </w:p>
    <w:p w14:paraId="2C02D084">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（所有评审中要求的材料，复印件装订在响应文件中。）</w:t>
      </w:r>
    </w:p>
    <w:tbl>
      <w:tblPr>
        <w:tblStyle w:val="36"/>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44"/>
        <w:gridCol w:w="1510"/>
        <w:gridCol w:w="4591"/>
        <w:gridCol w:w="946"/>
      </w:tblGrid>
      <w:tr w14:paraId="1E6E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02" w:type="dxa"/>
            <w:gridSpan w:val="2"/>
            <w:noWrap/>
            <w:vAlign w:val="center"/>
          </w:tcPr>
          <w:p w14:paraId="563E8749">
            <w:pPr>
              <w:widowControl/>
              <w:adjustRightInd w:val="0"/>
              <w:snapToGrid w:val="0"/>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条款号</w:t>
            </w:r>
          </w:p>
        </w:tc>
        <w:tc>
          <w:tcPr>
            <w:tcW w:w="1510" w:type="dxa"/>
            <w:noWrap/>
            <w:vAlign w:val="center"/>
          </w:tcPr>
          <w:p w14:paraId="34DB27E9">
            <w:pPr>
              <w:widowControl/>
              <w:adjustRightInd w:val="0"/>
              <w:snapToGrid w:val="0"/>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评审因素</w:t>
            </w:r>
          </w:p>
        </w:tc>
        <w:tc>
          <w:tcPr>
            <w:tcW w:w="4591" w:type="dxa"/>
            <w:noWrap/>
            <w:vAlign w:val="center"/>
          </w:tcPr>
          <w:p w14:paraId="118267AC">
            <w:pPr>
              <w:widowControl/>
              <w:adjustRightInd w:val="0"/>
              <w:snapToGrid w:val="0"/>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评审标准</w:t>
            </w:r>
          </w:p>
        </w:tc>
        <w:tc>
          <w:tcPr>
            <w:tcW w:w="946" w:type="dxa"/>
            <w:noWrap/>
            <w:vAlign w:val="center"/>
          </w:tcPr>
          <w:p w14:paraId="19031CB6">
            <w:pPr>
              <w:widowControl/>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供应商简称</w:t>
            </w:r>
          </w:p>
        </w:tc>
      </w:tr>
      <w:tr w14:paraId="5B91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58" w:type="dxa"/>
            <w:vMerge w:val="restart"/>
            <w:noWrap/>
            <w:vAlign w:val="center"/>
          </w:tcPr>
          <w:p w14:paraId="35A584AB">
            <w:pPr>
              <w:widowControl/>
              <w:adjustRightInd w:val="0"/>
              <w:snapToGrid w:val="0"/>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p>
        </w:tc>
        <w:tc>
          <w:tcPr>
            <w:tcW w:w="444" w:type="dxa"/>
            <w:vMerge w:val="restart"/>
            <w:noWrap/>
            <w:vAlign w:val="center"/>
          </w:tcPr>
          <w:p w14:paraId="6C7C3F0A">
            <w:pPr>
              <w:widowControl/>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形式评审标准</w:t>
            </w:r>
          </w:p>
        </w:tc>
        <w:tc>
          <w:tcPr>
            <w:tcW w:w="1510" w:type="dxa"/>
            <w:noWrap/>
            <w:vAlign w:val="center"/>
          </w:tcPr>
          <w:p w14:paraId="1F2460DA">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w:t>
            </w:r>
          </w:p>
        </w:tc>
        <w:tc>
          <w:tcPr>
            <w:tcW w:w="4591" w:type="dxa"/>
            <w:noWrap/>
            <w:vAlign w:val="center"/>
          </w:tcPr>
          <w:p w14:paraId="52534D00">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与营业执照一致。</w:t>
            </w:r>
          </w:p>
        </w:tc>
        <w:tc>
          <w:tcPr>
            <w:tcW w:w="946" w:type="dxa"/>
            <w:noWrap/>
            <w:vAlign w:val="center"/>
          </w:tcPr>
          <w:p w14:paraId="11D53D62">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4145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7" w:hRule="atLeast"/>
          <w:jc w:val="center"/>
        </w:trPr>
        <w:tc>
          <w:tcPr>
            <w:tcW w:w="858" w:type="dxa"/>
            <w:vMerge w:val="continue"/>
            <w:noWrap/>
            <w:vAlign w:val="center"/>
          </w:tcPr>
          <w:p w14:paraId="7D488470">
            <w:pPr>
              <w:widowControl/>
              <w:adjustRightInd w:val="0"/>
              <w:snapToGrid w:val="0"/>
              <w:spacing w:line="300" w:lineRule="exact"/>
              <w:jc w:val="center"/>
              <w:rPr>
                <w:rFonts w:hint="eastAsia" w:ascii="宋体" w:hAnsi="宋体" w:eastAsia="宋体" w:cs="宋体"/>
                <w:color w:val="000000" w:themeColor="text1"/>
                <w:sz w:val="24"/>
                <w:szCs w:val="24"/>
                <w14:textFill>
                  <w14:solidFill>
                    <w14:schemeClr w14:val="tx1"/>
                  </w14:solidFill>
                </w14:textFill>
              </w:rPr>
            </w:pPr>
          </w:p>
        </w:tc>
        <w:tc>
          <w:tcPr>
            <w:tcW w:w="444" w:type="dxa"/>
            <w:vMerge w:val="continue"/>
            <w:noWrap/>
            <w:vAlign w:val="center"/>
          </w:tcPr>
          <w:p w14:paraId="321A7C77">
            <w:pPr>
              <w:widowControl/>
              <w:spacing w:line="300" w:lineRule="exact"/>
              <w:jc w:val="center"/>
              <w:rPr>
                <w:rFonts w:hint="eastAsia" w:ascii="宋体" w:hAnsi="宋体" w:eastAsia="宋体" w:cs="宋体"/>
                <w:color w:val="000000" w:themeColor="text1"/>
                <w:sz w:val="24"/>
                <w:szCs w:val="24"/>
                <w14:textFill>
                  <w14:solidFill>
                    <w14:schemeClr w14:val="tx1"/>
                  </w14:solidFill>
                </w14:textFill>
              </w:rPr>
            </w:pPr>
          </w:p>
        </w:tc>
        <w:tc>
          <w:tcPr>
            <w:tcW w:w="1510" w:type="dxa"/>
            <w:noWrap/>
            <w:vAlign w:val="center"/>
          </w:tcPr>
          <w:p w14:paraId="6E632C35">
            <w:pPr>
              <w:pStyle w:val="12"/>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签字或盖章要求</w:t>
            </w:r>
          </w:p>
        </w:tc>
        <w:tc>
          <w:tcPr>
            <w:tcW w:w="4591" w:type="dxa"/>
            <w:noWrap/>
            <w:vAlign w:val="center"/>
          </w:tcPr>
          <w:p w14:paraId="64477985">
            <w:pPr>
              <w:keepNext w:val="0"/>
              <w:keepLines w:val="0"/>
              <w:pageBreakBefore w:val="0"/>
              <w:kinsoku/>
              <w:wordWrap/>
              <w:overflowPunct/>
              <w:topLinePunct w:val="0"/>
              <w:autoSpaceDE/>
              <w:autoSpaceDN/>
              <w:bidi w:val="0"/>
              <w:spacing w:line="3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封面、磋商函和其他需要签字或盖章的地方均应加盖公章应商印章并经法定代表人或其委托代理人签字或盖章。由委托代理人签字或盖章的在响应文件中须同时递交响应文件授权委托书。响应文件授权委托书格式、签字、盖章及内容均应符合要求，否则响应文件授权委托书无效。</w:t>
            </w:r>
          </w:p>
        </w:tc>
        <w:tc>
          <w:tcPr>
            <w:tcW w:w="946" w:type="dxa"/>
            <w:noWrap/>
            <w:vAlign w:val="center"/>
          </w:tcPr>
          <w:p w14:paraId="32E04A62">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70C6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858" w:type="dxa"/>
            <w:vMerge w:val="continue"/>
            <w:noWrap/>
            <w:vAlign w:val="center"/>
          </w:tcPr>
          <w:p w14:paraId="1632FA23">
            <w:pPr>
              <w:widowControl/>
              <w:adjustRightInd w:val="0"/>
              <w:snapToGrid w:val="0"/>
              <w:spacing w:line="300" w:lineRule="exact"/>
              <w:jc w:val="center"/>
              <w:rPr>
                <w:rFonts w:hint="eastAsia" w:ascii="宋体" w:hAnsi="宋体" w:eastAsia="宋体" w:cs="宋体"/>
                <w:color w:val="000000" w:themeColor="text1"/>
                <w:sz w:val="24"/>
                <w:szCs w:val="24"/>
                <w14:textFill>
                  <w14:solidFill>
                    <w14:schemeClr w14:val="tx1"/>
                  </w14:solidFill>
                </w14:textFill>
              </w:rPr>
            </w:pPr>
          </w:p>
        </w:tc>
        <w:tc>
          <w:tcPr>
            <w:tcW w:w="444" w:type="dxa"/>
            <w:vMerge w:val="continue"/>
            <w:noWrap/>
            <w:vAlign w:val="center"/>
          </w:tcPr>
          <w:p w14:paraId="6910B531">
            <w:pPr>
              <w:widowControl/>
              <w:spacing w:line="300" w:lineRule="exact"/>
              <w:jc w:val="center"/>
              <w:rPr>
                <w:rFonts w:hint="eastAsia" w:ascii="宋体" w:hAnsi="宋体" w:eastAsia="宋体" w:cs="宋体"/>
                <w:color w:val="000000" w:themeColor="text1"/>
                <w:sz w:val="24"/>
                <w:szCs w:val="24"/>
                <w14:textFill>
                  <w14:solidFill>
                    <w14:schemeClr w14:val="tx1"/>
                  </w14:solidFill>
                </w14:textFill>
              </w:rPr>
            </w:pPr>
          </w:p>
        </w:tc>
        <w:tc>
          <w:tcPr>
            <w:tcW w:w="1510" w:type="dxa"/>
            <w:noWrap/>
            <w:vAlign w:val="center"/>
          </w:tcPr>
          <w:p w14:paraId="5643DDE8">
            <w:pPr>
              <w:pStyle w:val="12"/>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w:t>
            </w:r>
          </w:p>
          <w:p w14:paraId="34E7A79E">
            <w:pPr>
              <w:pStyle w:val="12"/>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格式</w:t>
            </w:r>
          </w:p>
        </w:tc>
        <w:tc>
          <w:tcPr>
            <w:tcW w:w="4591" w:type="dxa"/>
            <w:noWrap/>
            <w:vAlign w:val="center"/>
          </w:tcPr>
          <w:p w14:paraId="1F9D5F3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按规定的“竞争性磋商文件格式”填写，内容齐全，字迹清楚。</w:t>
            </w:r>
          </w:p>
        </w:tc>
        <w:tc>
          <w:tcPr>
            <w:tcW w:w="946" w:type="dxa"/>
            <w:noWrap/>
            <w:vAlign w:val="center"/>
          </w:tcPr>
          <w:p w14:paraId="3C080921">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0F61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58" w:type="dxa"/>
            <w:vMerge w:val="continue"/>
            <w:noWrap/>
            <w:vAlign w:val="center"/>
          </w:tcPr>
          <w:p w14:paraId="4A74DA3C">
            <w:pPr>
              <w:widowControl/>
              <w:adjustRightInd w:val="0"/>
              <w:snapToGrid w:val="0"/>
              <w:spacing w:line="300" w:lineRule="exact"/>
              <w:jc w:val="center"/>
              <w:rPr>
                <w:rFonts w:hint="eastAsia" w:ascii="宋体" w:hAnsi="宋体" w:eastAsia="宋体" w:cs="宋体"/>
                <w:color w:val="000000" w:themeColor="text1"/>
                <w:sz w:val="24"/>
                <w:szCs w:val="24"/>
                <w14:textFill>
                  <w14:solidFill>
                    <w14:schemeClr w14:val="tx1"/>
                  </w14:solidFill>
                </w14:textFill>
              </w:rPr>
            </w:pPr>
          </w:p>
        </w:tc>
        <w:tc>
          <w:tcPr>
            <w:tcW w:w="444" w:type="dxa"/>
            <w:vMerge w:val="continue"/>
            <w:noWrap/>
            <w:vAlign w:val="center"/>
          </w:tcPr>
          <w:p w14:paraId="6136A597">
            <w:pPr>
              <w:widowControl/>
              <w:spacing w:line="300" w:lineRule="exact"/>
              <w:jc w:val="center"/>
              <w:rPr>
                <w:rFonts w:hint="eastAsia" w:ascii="宋体" w:hAnsi="宋体" w:eastAsia="宋体" w:cs="宋体"/>
                <w:color w:val="000000" w:themeColor="text1"/>
                <w:sz w:val="24"/>
                <w:szCs w:val="24"/>
                <w14:textFill>
                  <w14:solidFill>
                    <w14:schemeClr w14:val="tx1"/>
                  </w14:solidFill>
                </w14:textFill>
              </w:rPr>
            </w:pPr>
          </w:p>
        </w:tc>
        <w:tc>
          <w:tcPr>
            <w:tcW w:w="1510" w:type="dxa"/>
            <w:noWrap/>
            <w:vAlign w:val="center"/>
          </w:tcPr>
          <w:p w14:paraId="38D008CB">
            <w:pPr>
              <w:pStyle w:val="12"/>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报价唯一</w:t>
            </w:r>
          </w:p>
        </w:tc>
        <w:tc>
          <w:tcPr>
            <w:tcW w:w="4591" w:type="dxa"/>
            <w:noWrap/>
            <w:vAlign w:val="center"/>
          </w:tcPr>
          <w:p w14:paraId="21F1EA3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只能有一个有效报价。</w:t>
            </w:r>
          </w:p>
        </w:tc>
        <w:tc>
          <w:tcPr>
            <w:tcW w:w="946" w:type="dxa"/>
            <w:noWrap/>
            <w:vAlign w:val="center"/>
          </w:tcPr>
          <w:p w14:paraId="3F606D8E">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3E3E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jc w:val="center"/>
        </w:trPr>
        <w:tc>
          <w:tcPr>
            <w:tcW w:w="858" w:type="dxa"/>
            <w:vMerge w:val="restart"/>
            <w:noWrap/>
            <w:vAlign w:val="center"/>
          </w:tcPr>
          <w:p w14:paraId="3ECD3FC8">
            <w:pPr>
              <w:widowControl/>
              <w:adjustRightInd w:val="0"/>
              <w:snapToGrid w:val="0"/>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w:t>
            </w:r>
          </w:p>
        </w:tc>
        <w:tc>
          <w:tcPr>
            <w:tcW w:w="444" w:type="dxa"/>
            <w:vMerge w:val="restart"/>
            <w:noWrap/>
            <w:vAlign w:val="center"/>
          </w:tcPr>
          <w:p w14:paraId="2187F95F">
            <w:pPr>
              <w:widowControl/>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资格性审查标准</w:t>
            </w:r>
          </w:p>
        </w:tc>
        <w:tc>
          <w:tcPr>
            <w:tcW w:w="1510" w:type="dxa"/>
            <w:noWrap/>
            <w:vAlign w:val="center"/>
          </w:tcPr>
          <w:p w14:paraId="304D01C4">
            <w:pPr>
              <w:widowControl/>
              <w:adjustRightInd w:val="0"/>
              <w:snapToGrid w:val="0"/>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企业资质</w:t>
            </w:r>
          </w:p>
          <w:p w14:paraId="056357FA">
            <w:pPr>
              <w:widowControl/>
              <w:adjustRightInd w:val="0"/>
              <w:snapToGrid w:val="0"/>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条件</w:t>
            </w:r>
          </w:p>
        </w:tc>
        <w:tc>
          <w:tcPr>
            <w:tcW w:w="4591" w:type="dxa"/>
            <w:noWrap/>
            <w:vAlign w:val="center"/>
          </w:tcPr>
          <w:p w14:paraId="1957DC46">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供应商必须是具有独立承担民事责任能力的在中华人民共和国境内注册的法人或其他组织，投标时提交有效的</w:t>
            </w:r>
            <w:r>
              <w:rPr>
                <w:rFonts w:hint="eastAsia" w:ascii="宋体" w:hAnsi="宋体" w:eastAsia="宋体" w:cs="宋体"/>
                <w:b/>
                <w:bCs/>
                <w:color w:val="000000" w:themeColor="text1"/>
                <w:sz w:val="24"/>
                <w:szCs w:val="24"/>
                <w14:textFill>
                  <w14:solidFill>
                    <w14:schemeClr w14:val="tx1"/>
                  </w14:solidFill>
                </w14:textFill>
              </w:rPr>
              <w:t>营业执照副本</w:t>
            </w:r>
            <w:r>
              <w:rPr>
                <w:rFonts w:hint="eastAsia" w:ascii="宋体" w:hAnsi="宋体" w:eastAsia="宋体" w:cs="宋体"/>
                <w:color w:val="000000" w:themeColor="text1"/>
                <w:sz w:val="24"/>
                <w:szCs w:val="24"/>
                <w14:textFill>
                  <w14:solidFill>
                    <w14:schemeClr w14:val="tx1"/>
                  </w14:solidFill>
                </w14:textFill>
              </w:rPr>
              <w:t>，并要求</w:t>
            </w:r>
            <w:r>
              <w:rPr>
                <w:rFonts w:hint="eastAsia" w:ascii="宋体" w:hAnsi="宋体" w:eastAsia="宋体" w:cs="宋体"/>
                <w:b w:val="0"/>
                <w:bCs w:val="0"/>
                <w:color w:val="000000" w:themeColor="text1"/>
                <w:sz w:val="24"/>
                <w:szCs w:val="24"/>
                <w14:textFill>
                  <w14:solidFill>
                    <w14:schemeClr w14:val="tx1"/>
                  </w14:solidFill>
                </w14:textFill>
              </w:rPr>
              <w:t>本项目相适应的相关经营范围，</w:t>
            </w:r>
            <w:r>
              <w:rPr>
                <w:rFonts w:hint="eastAsia" w:ascii="宋体" w:hAnsi="宋体" w:eastAsia="宋体" w:cs="宋体"/>
                <w:b/>
                <w:bCs/>
                <w:color w:val="000000" w:themeColor="text1"/>
                <w:sz w:val="24"/>
                <w:szCs w:val="24"/>
                <w14:textFill>
                  <w14:solidFill>
                    <w14:schemeClr w14:val="tx1"/>
                  </w14:solidFill>
                </w14:textFill>
              </w:rPr>
              <w:t>具有相应的安装、人员组织、技术支持服务等方面维保能力。</w:t>
            </w:r>
          </w:p>
        </w:tc>
        <w:tc>
          <w:tcPr>
            <w:tcW w:w="946" w:type="dxa"/>
            <w:noWrap/>
            <w:vAlign w:val="center"/>
          </w:tcPr>
          <w:p w14:paraId="2DF30361">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52F7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7" w:hRule="atLeast"/>
          <w:jc w:val="center"/>
        </w:trPr>
        <w:tc>
          <w:tcPr>
            <w:tcW w:w="858" w:type="dxa"/>
            <w:vMerge w:val="continue"/>
            <w:noWrap/>
            <w:vAlign w:val="center"/>
          </w:tcPr>
          <w:p w14:paraId="3976CB99">
            <w:pPr>
              <w:widowControl/>
              <w:adjustRightInd w:val="0"/>
              <w:snapToGrid w:val="0"/>
              <w:spacing w:line="300" w:lineRule="exact"/>
              <w:rPr>
                <w:rFonts w:hint="eastAsia" w:ascii="宋体" w:hAnsi="宋体" w:eastAsia="宋体" w:cs="宋体"/>
                <w:color w:val="000000" w:themeColor="text1"/>
                <w:sz w:val="24"/>
                <w:szCs w:val="24"/>
                <w14:textFill>
                  <w14:solidFill>
                    <w14:schemeClr w14:val="tx1"/>
                  </w14:solidFill>
                </w14:textFill>
              </w:rPr>
            </w:pPr>
          </w:p>
        </w:tc>
        <w:tc>
          <w:tcPr>
            <w:tcW w:w="444" w:type="dxa"/>
            <w:vMerge w:val="continue"/>
            <w:noWrap/>
            <w:vAlign w:val="center"/>
          </w:tcPr>
          <w:p w14:paraId="7B514C97">
            <w:pPr>
              <w:widowControl/>
              <w:spacing w:line="300" w:lineRule="exact"/>
              <w:rPr>
                <w:rFonts w:hint="eastAsia" w:ascii="宋体" w:hAnsi="宋体" w:eastAsia="宋体" w:cs="宋体"/>
                <w:color w:val="000000" w:themeColor="text1"/>
                <w:sz w:val="24"/>
                <w:szCs w:val="24"/>
                <w14:textFill>
                  <w14:solidFill>
                    <w14:schemeClr w14:val="tx1"/>
                  </w14:solidFill>
                </w14:textFill>
              </w:rPr>
            </w:pPr>
          </w:p>
        </w:tc>
        <w:tc>
          <w:tcPr>
            <w:tcW w:w="1510" w:type="dxa"/>
            <w:noWrap/>
            <w:vAlign w:val="center"/>
          </w:tcPr>
          <w:p w14:paraId="46D410DF">
            <w:pPr>
              <w:widowControl/>
              <w:adjustRightInd w:val="0"/>
              <w:snapToGrid w:val="0"/>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财务要求</w:t>
            </w:r>
          </w:p>
        </w:tc>
        <w:tc>
          <w:tcPr>
            <w:tcW w:w="4591" w:type="dxa"/>
            <w:noWrap/>
            <w:vAlign w:val="center"/>
          </w:tcPr>
          <w:p w14:paraId="09CAD86E">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近年（</w:t>
            </w:r>
            <w:r>
              <w:rPr>
                <w:rFonts w:hint="eastAsia" w:ascii="宋体" w:hAnsi="宋体" w:eastAsia="宋体" w:cs="宋体"/>
                <w:b/>
                <w:bCs/>
                <w:color w:val="000000" w:themeColor="text1"/>
                <w:sz w:val="24"/>
                <w:szCs w:val="24"/>
                <w:lang w:val="zh-CN"/>
                <w14:textFill>
                  <w14:solidFill>
                    <w14:schemeClr w14:val="tx1"/>
                  </w14:solidFill>
                </w14:textFill>
              </w:rPr>
              <w:t>202</w:t>
            </w: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lang w:val="zh-CN"/>
                <w14:textFill>
                  <w14:solidFill>
                    <w14:schemeClr w14:val="tx1"/>
                  </w14:solidFill>
                </w14:textFill>
              </w:rPr>
              <w:t>年度</w:t>
            </w:r>
            <w:r>
              <w:rPr>
                <w:rFonts w:hint="eastAsia" w:ascii="宋体" w:hAnsi="宋体" w:eastAsia="宋体" w:cs="宋体"/>
                <w:color w:val="000000" w:themeColor="text1"/>
                <w:sz w:val="24"/>
                <w:szCs w:val="24"/>
                <w:lang w:val="zh-CN"/>
                <w14:textFill>
                  <w14:solidFill>
                    <w14:schemeClr w14:val="tx1"/>
                  </w14:solidFill>
                </w14:textFill>
              </w:rPr>
              <w:t>）财务审计报告或财务报表（含资产负债表、现金流量表、利润表），新成立企业提供当年验资报告或银行出具的供应商资信证明。</w:t>
            </w:r>
          </w:p>
        </w:tc>
        <w:tc>
          <w:tcPr>
            <w:tcW w:w="946" w:type="dxa"/>
            <w:noWrap/>
            <w:vAlign w:val="center"/>
          </w:tcPr>
          <w:p w14:paraId="0D00C97E">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6917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6" w:hRule="atLeast"/>
          <w:jc w:val="center"/>
        </w:trPr>
        <w:tc>
          <w:tcPr>
            <w:tcW w:w="858" w:type="dxa"/>
            <w:vMerge w:val="continue"/>
            <w:noWrap/>
            <w:vAlign w:val="center"/>
          </w:tcPr>
          <w:p w14:paraId="68BC8DC0">
            <w:pPr>
              <w:widowControl/>
              <w:adjustRightInd w:val="0"/>
              <w:snapToGrid w:val="0"/>
              <w:spacing w:line="300" w:lineRule="exact"/>
              <w:rPr>
                <w:rFonts w:hint="eastAsia" w:ascii="宋体" w:hAnsi="宋体" w:eastAsia="宋体" w:cs="宋体"/>
                <w:color w:val="000000" w:themeColor="text1"/>
                <w:sz w:val="24"/>
                <w:szCs w:val="24"/>
                <w14:textFill>
                  <w14:solidFill>
                    <w14:schemeClr w14:val="tx1"/>
                  </w14:solidFill>
                </w14:textFill>
              </w:rPr>
            </w:pPr>
          </w:p>
        </w:tc>
        <w:tc>
          <w:tcPr>
            <w:tcW w:w="444" w:type="dxa"/>
            <w:vMerge w:val="continue"/>
            <w:noWrap/>
            <w:vAlign w:val="center"/>
          </w:tcPr>
          <w:p w14:paraId="509F51E2">
            <w:pPr>
              <w:widowControl/>
              <w:spacing w:line="300" w:lineRule="exact"/>
              <w:rPr>
                <w:rFonts w:hint="eastAsia" w:ascii="宋体" w:hAnsi="宋体" w:eastAsia="宋体" w:cs="宋体"/>
                <w:color w:val="000000" w:themeColor="text1"/>
                <w:sz w:val="24"/>
                <w:szCs w:val="24"/>
                <w14:textFill>
                  <w14:solidFill>
                    <w14:schemeClr w14:val="tx1"/>
                  </w14:solidFill>
                </w14:textFill>
              </w:rPr>
            </w:pPr>
          </w:p>
        </w:tc>
        <w:tc>
          <w:tcPr>
            <w:tcW w:w="1510" w:type="dxa"/>
            <w:noWrap/>
            <w:vAlign w:val="center"/>
          </w:tcPr>
          <w:p w14:paraId="2B6817F6">
            <w:pPr>
              <w:widowControl/>
              <w:adjustRightInd w:val="0"/>
              <w:snapToGrid w:val="0"/>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企业信誉</w:t>
            </w:r>
          </w:p>
          <w:p w14:paraId="0E79D539">
            <w:pPr>
              <w:widowControl/>
              <w:adjustRightInd w:val="0"/>
              <w:snapToGrid w:val="0"/>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w:t>
            </w:r>
          </w:p>
        </w:tc>
        <w:tc>
          <w:tcPr>
            <w:tcW w:w="4591" w:type="dxa"/>
            <w:noWrap/>
            <w:vAlign w:val="center"/>
          </w:tcPr>
          <w:p w14:paraId="73FC4F68">
            <w:pPr>
              <w:pStyle w:val="83"/>
              <w:keepNext w:val="0"/>
              <w:keepLines w:val="0"/>
              <w:pageBreakBefore w:val="0"/>
              <w:numPr>
                <w:ilvl w:val="0"/>
                <w:numId w:val="2"/>
              </w:numPr>
              <w:tabs>
                <w:tab w:val="left" w:pos="422"/>
              </w:tabs>
              <w:kinsoku/>
              <w:wordWrap/>
              <w:overflowPunct/>
              <w:topLinePunct w:val="0"/>
              <w:autoSpaceDE/>
              <w:autoSpaceDN/>
              <w:bidi w:val="0"/>
              <w:spacing w:after="0" w:line="360" w:lineRule="exact"/>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拒绝列入政府取消投标资格记录期间的企业或个人投标（提供由法定代表人或其委托代理人签字并加盖单位公章的承诺书）</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14:paraId="2310B681">
            <w:pPr>
              <w:pStyle w:val="83"/>
              <w:keepNext w:val="0"/>
              <w:keepLines w:val="0"/>
              <w:pageBreakBefore w:val="0"/>
              <w:numPr>
                <w:ilvl w:val="0"/>
                <w:numId w:val="0"/>
              </w:numPr>
              <w:tabs>
                <w:tab w:val="left" w:pos="422"/>
              </w:tabs>
              <w:kinsoku/>
              <w:wordWrap/>
              <w:overflowPunct/>
              <w:topLinePunct w:val="0"/>
              <w:autoSpaceDE/>
              <w:autoSpaceDN/>
              <w:bidi w:val="0"/>
              <w:spacing w:after="0"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cs="宋体"/>
                <w:b w:val="0"/>
                <w:bCs w:val="0"/>
                <w:color w:val="000000" w:themeColor="text1"/>
                <w:sz w:val="24"/>
                <w:szCs w:val="24"/>
                <w:lang w:eastAsia="zh-CN"/>
                <w14:textFill>
                  <w14:solidFill>
                    <w14:schemeClr w14:val="tx1"/>
                  </w14:solidFill>
                </w14:textFill>
              </w:rPr>
              <w:t>未被工商行政管理机关在全国企业信用信息公示系统（</w:t>
            </w:r>
            <w:r>
              <w:rPr>
                <w:rFonts w:hint="eastAsia" w:ascii="宋体" w:hAnsi="宋体" w:eastAsia="宋体" w:cs="宋体"/>
                <w:b w:val="0"/>
                <w:bCs w:val="0"/>
                <w:color w:val="000000" w:themeColor="text1"/>
                <w:sz w:val="24"/>
                <w:szCs w:val="24"/>
                <w:lang w:bidi="en-US"/>
                <w14:textFill>
                  <w14:solidFill>
                    <w14:schemeClr w14:val="tx1"/>
                  </w14:solidFill>
                </w14:textFill>
              </w:rPr>
              <w:t>http：//www.gsxt.gov.cn/</w:t>
            </w:r>
            <w:r>
              <w:rPr>
                <w:rFonts w:hint="eastAsia" w:cs="宋体"/>
                <w:b w:val="0"/>
                <w:bCs w:val="0"/>
                <w:color w:val="000000" w:themeColor="text1"/>
                <w:sz w:val="24"/>
                <w:szCs w:val="24"/>
                <w:lang w:eastAsia="zh-CN" w:bidi="en-US"/>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中列入严重违法失信企业名单；（</w:t>
            </w:r>
            <w:r>
              <w:rPr>
                <w:rFonts w:hint="eastAsia" w:ascii="宋体" w:hAnsi="宋体" w:eastAsia="宋体" w:cs="宋体"/>
                <w:b w:val="0"/>
                <w:bCs w:val="0"/>
                <w:color w:val="000000" w:themeColor="text1"/>
                <w:sz w:val="24"/>
                <w:szCs w:val="24"/>
                <w:lang w:eastAsia="zh-CN"/>
                <w14:textFill>
                  <w14:solidFill>
                    <w14:schemeClr w14:val="tx1"/>
                  </w14:solidFill>
                </w14:textFill>
              </w:rPr>
              <w:t>须提供网络截图加盖公章</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14:paraId="5FF188C5">
            <w:pPr>
              <w:pStyle w:val="83"/>
              <w:keepNext w:val="0"/>
              <w:keepLines w:val="0"/>
              <w:pageBreakBefore w:val="0"/>
              <w:tabs>
                <w:tab w:val="left" w:pos="422"/>
              </w:tabs>
              <w:kinsoku/>
              <w:wordWrap/>
              <w:overflowPunct/>
              <w:topLinePunct w:val="0"/>
              <w:autoSpaceDE/>
              <w:autoSpaceDN/>
              <w:bidi w:val="0"/>
              <w:spacing w:after="0"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）供应商未被列入"信用</w:t>
            </w:r>
            <w:r>
              <w:rPr>
                <w:rFonts w:hint="eastAsia" w:ascii="宋体" w:hAnsi="宋体" w:eastAsia="宋体" w:cs="宋体"/>
                <w:b w:val="0"/>
                <w:bCs w:val="0"/>
                <w:color w:val="000000" w:themeColor="text1"/>
                <w:sz w:val="24"/>
                <w:szCs w:val="24"/>
                <w:lang w:val="zh-CN" w:eastAsia="zh-CN" w:bidi="zh-CN"/>
                <w14:textFill>
                  <w14:solidFill>
                    <w14:schemeClr w14:val="tx1"/>
                  </w14:solidFill>
                </w14:textFill>
              </w:rPr>
              <w:t>中国”</w:t>
            </w:r>
            <w:r>
              <w:rPr>
                <w:rFonts w:hint="eastAsia" w:ascii="宋体" w:hAnsi="宋体" w:eastAsia="宋体" w:cs="宋体"/>
                <w:b w:val="0"/>
                <w:bCs w:val="0"/>
                <w:color w:val="000000" w:themeColor="text1"/>
                <w:sz w:val="24"/>
                <w:szCs w:val="24"/>
                <w14:textFill>
                  <w14:solidFill>
                    <w14:schemeClr w14:val="tx1"/>
                  </w14:solidFill>
                </w14:textFill>
              </w:rPr>
              <w:t>网站</w:t>
            </w:r>
          </w:p>
          <w:p w14:paraId="2D051721">
            <w:pPr>
              <w:pStyle w:val="83"/>
              <w:keepNext w:val="0"/>
              <w:keepLines w:val="0"/>
              <w:pageBreakBefore w:val="0"/>
              <w:kinsoku/>
              <w:wordWrap/>
              <w:overflowPunct/>
              <w:topLinePunct w:val="0"/>
              <w:autoSpaceDE/>
              <w:autoSpaceDN/>
              <w:bidi w:val="0"/>
              <w:spacing w:after="0"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bidi="en-US"/>
                <w14:textFill>
                  <w14:solidFill>
                    <w14:schemeClr w14:val="tx1"/>
                  </w14:solidFill>
                </w14:textFill>
              </w:rPr>
              <w:t>（www.creditchina.gov.cn）</w:t>
            </w:r>
            <w:r>
              <w:rPr>
                <w:rFonts w:hint="eastAsia" w:ascii="宋体" w:hAnsi="宋体" w:eastAsia="宋体" w:cs="宋体"/>
                <w:b w:val="0"/>
                <w:bCs w:val="0"/>
                <w:color w:val="000000" w:themeColor="text1"/>
                <w:sz w:val="24"/>
                <w:szCs w:val="24"/>
                <w14:textFill>
                  <w14:solidFill>
                    <w14:schemeClr w14:val="tx1"/>
                  </w14:solidFill>
                </w14:textFill>
              </w:rPr>
              <w:t>、中国政府采购网</w:t>
            </w:r>
            <w:r>
              <w:rPr>
                <w:rFonts w:hint="eastAsia" w:ascii="宋体" w:hAnsi="宋体" w:eastAsia="宋体" w:cs="宋体"/>
                <w:b w:val="0"/>
                <w:bCs w:val="0"/>
                <w:color w:val="000000" w:themeColor="text1"/>
                <w:sz w:val="24"/>
                <w:szCs w:val="24"/>
                <w:lang w:val="en-US" w:bidi="en-US"/>
                <w14:textFill>
                  <w14:solidFill>
                    <w14:schemeClr w14:val="tx1"/>
                  </w14:solidFill>
                </w14:textFill>
              </w:rPr>
              <w:t>（www.ccgp.gov.cn）</w:t>
            </w:r>
            <w:r>
              <w:rPr>
                <w:rFonts w:hint="eastAsia" w:ascii="宋体" w:hAnsi="宋体" w:eastAsia="宋体" w:cs="宋体"/>
                <w:b w:val="0"/>
                <w:bCs w:val="0"/>
                <w:color w:val="000000" w:themeColor="text1"/>
                <w:sz w:val="24"/>
                <w:szCs w:val="24"/>
                <w14:textFill>
                  <w14:solidFill>
                    <w14:schemeClr w14:val="tx1"/>
                  </w14:solidFill>
                </w14:textFill>
              </w:rPr>
              <w:t>等渠道信用记录失信被执行人、重大税收违法案件当事人名单、政府采购严重违法失信行为记录名单；（须提供网络截图加盖公章）。</w:t>
            </w:r>
          </w:p>
        </w:tc>
        <w:tc>
          <w:tcPr>
            <w:tcW w:w="946" w:type="dxa"/>
            <w:noWrap/>
            <w:vAlign w:val="center"/>
          </w:tcPr>
          <w:p w14:paraId="4DC37006">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1B49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858" w:type="dxa"/>
            <w:vMerge w:val="continue"/>
            <w:noWrap/>
            <w:vAlign w:val="center"/>
          </w:tcPr>
          <w:p w14:paraId="5DE27EB9">
            <w:pPr>
              <w:widowControl/>
              <w:adjustRightInd w:val="0"/>
              <w:snapToGrid w:val="0"/>
              <w:spacing w:line="300" w:lineRule="exact"/>
              <w:rPr>
                <w:rFonts w:hint="eastAsia" w:ascii="宋体" w:hAnsi="宋体" w:eastAsia="宋体" w:cs="宋体"/>
                <w:color w:val="000000" w:themeColor="text1"/>
                <w:sz w:val="24"/>
                <w:szCs w:val="24"/>
                <w14:textFill>
                  <w14:solidFill>
                    <w14:schemeClr w14:val="tx1"/>
                  </w14:solidFill>
                </w14:textFill>
              </w:rPr>
            </w:pPr>
          </w:p>
        </w:tc>
        <w:tc>
          <w:tcPr>
            <w:tcW w:w="444" w:type="dxa"/>
            <w:vMerge w:val="continue"/>
            <w:noWrap/>
            <w:vAlign w:val="center"/>
          </w:tcPr>
          <w:p w14:paraId="604F9A21">
            <w:pPr>
              <w:widowControl/>
              <w:adjustRightInd w:val="0"/>
              <w:snapToGrid w:val="0"/>
              <w:spacing w:line="300" w:lineRule="exact"/>
              <w:rPr>
                <w:rFonts w:hint="eastAsia" w:ascii="宋体" w:hAnsi="宋体" w:eastAsia="宋体" w:cs="宋体"/>
                <w:color w:val="000000" w:themeColor="text1"/>
                <w:sz w:val="24"/>
                <w:szCs w:val="24"/>
                <w14:textFill>
                  <w14:solidFill>
                    <w14:schemeClr w14:val="tx1"/>
                  </w14:solidFill>
                </w14:textFill>
              </w:rPr>
            </w:pPr>
          </w:p>
        </w:tc>
        <w:tc>
          <w:tcPr>
            <w:tcW w:w="1510" w:type="dxa"/>
            <w:noWrap/>
            <w:vAlign w:val="center"/>
          </w:tcPr>
          <w:p w14:paraId="2C526CF7">
            <w:pPr>
              <w:widowControl/>
              <w:adjustRightInd w:val="0"/>
              <w:snapToGrid w:val="0"/>
              <w:spacing w:line="30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无行贿犯罪证明</w:t>
            </w:r>
          </w:p>
        </w:tc>
        <w:tc>
          <w:tcPr>
            <w:tcW w:w="4591" w:type="dxa"/>
            <w:noWrap/>
            <w:vAlign w:val="center"/>
          </w:tcPr>
          <w:p w14:paraId="0EEE585E">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应当提供通过“中国裁判文书网”网站查询相关主体信用记录（企业、法人及项目经理），网址上公布的相关证明截图加盖公章</w:t>
            </w:r>
            <w:r>
              <w:rPr>
                <w:rFonts w:hint="eastAsia" w:ascii="宋体" w:hAnsi="宋体" w:cs="宋体"/>
                <w:bCs/>
                <w:color w:val="000000" w:themeColor="text1"/>
                <w:sz w:val="24"/>
                <w:szCs w:val="24"/>
                <w:lang w:eastAsia="zh-CN"/>
                <w14:textFill>
                  <w14:solidFill>
                    <w14:schemeClr w14:val="tx1"/>
                  </w14:solidFill>
                </w14:textFill>
              </w:rPr>
              <w:t>。</w:t>
            </w:r>
          </w:p>
        </w:tc>
        <w:tc>
          <w:tcPr>
            <w:tcW w:w="946" w:type="dxa"/>
            <w:noWrap/>
          </w:tcPr>
          <w:p w14:paraId="513AAC14">
            <w:pPr>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p>
        </w:tc>
      </w:tr>
      <w:tr w14:paraId="0537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858" w:type="dxa"/>
            <w:vMerge w:val="continue"/>
            <w:noWrap/>
            <w:vAlign w:val="center"/>
          </w:tcPr>
          <w:p w14:paraId="2E0D2748">
            <w:pPr>
              <w:widowControl/>
              <w:adjustRightInd w:val="0"/>
              <w:snapToGrid w:val="0"/>
              <w:spacing w:line="300" w:lineRule="exact"/>
              <w:rPr>
                <w:rFonts w:hint="eastAsia" w:ascii="宋体" w:hAnsi="宋体" w:eastAsia="宋体" w:cs="宋体"/>
                <w:color w:val="000000" w:themeColor="text1"/>
                <w:sz w:val="24"/>
                <w:szCs w:val="24"/>
                <w14:textFill>
                  <w14:solidFill>
                    <w14:schemeClr w14:val="tx1"/>
                  </w14:solidFill>
                </w14:textFill>
              </w:rPr>
            </w:pPr>
          </w:p>
        </w:tc>
        <w:tc>
          <w:tcPr>
            <w:tcW w:w="444" w:type="dxa"/>
            <w:vMerge w:val="continue"/>
            <w:noWrap/>
            <w:vAlign w:val="center"/>
          </w:tcPr>
          <w:p w14:paraId="6650247D">
            <w:pPr>
              <w:widowControl/>
              <w:adjustRightInd w:val="0"/>
              <w:snapToGrid w:val="0"/>
              <w:spacing w:line="300" w:lineRule="exact"/>
              <w:rPr>
                <w:rFonts w:hint="eastAsia" w:ascii="宋体" w:hAnsi="宋体" w:eastAsia="宋体" w:cs="宋体"/>
                <w:color w:val="000000" w:themeColor="text1"/>
                <w:sz w:val="24"/>
                <w:szCs w:val="24"/>
                <w14:textFill>
                  <w14:solidFill>
                    <w14:schemeClr w14:val="tx1"/>
                  </w14:solidFill>
                </w14:textFill>
              </w:rPr>
            </w:pPr>
          </w:p>
        </w:tc>
        <w:tc>
          <w:tcPr>
            <w:tcW w:w="1510" w:type="dxa"/>
            <w:noWrap/>
            <w:vAlign w:val="center"/>
          </w:tcPr>
          <w:p w14:paraId="44DB525C">
            <w:pPr>
              <w:widowControl/>
              <w:adjustRightInd w:val="0"/>
              <w:snapToGrid w:val="0"/>
              <w:spacing w:line="30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依法缴纳税收和社会保障资金的良好记录</w:t>
            </w:r>
          </w:p>
        </w:tc>
        <w:tc>
          <w:tcPr>
            <w:tcW w:w="4591" w:type="dxa"/>
            <w:noWrap/>
            <w:vAlign w:val="center"/>
          </w:tcPr>
          <w:p w14:paraId="3AA1FC94">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供应商须提供投标截止日期前六个月内任意一个月的依法缴纳税收和社会保障资金相关证明材料。</w:t>
            </w:r>
          </w:p>
        </w:tc>
        <w:tc>
          <w:tcPr>
            <w:tcW w:w="946" w:type="dxa"/>
            <w:noWrap/>
          </w:tcPr>
          <w:p w14:paraId="5EA9E98D">
            <w:pPr>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p>
        </w:tc>
      </w:tr>
      <w:tr w14:paraId="54AE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403" w:type="dxa"/>
            <w:gridSpan w:val="4"/>
            <w:noWrap/>
            <w:vAlign w:val="center"/>
          </w:tcPr>
          <w:p w14:paraId="262EE964">
            <w:pPr>
              <w:widowControl/>
              <w:adjustRightInd w:val="0"/>
              <w:snapToGrid w:val="0"/>
              <w:spacing w:line="30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结论</w:t>
            </w:r>
          </w:p>
        </w:tc>
        <w:tc>
          <w:tcPr>
            <w:tcW w:w="946" w:type="dxa"/>
            <w:noWrap/>
            <w:vAlign w:val="center"/>
          </w:tcPr>
          <w:p w14:paraId="38204EFC">
            <w:pPr>
              <w:widowControl/>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7C1F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8349" w:type="dxa"/>
            <w:gridSpan w:val="5"/>
            <w:noWrap/>
            <w:vAlign w:val="center"/>
          </w:tcPr>
          <w:p w14:paraId="655B3EDA">
            <w:pPr>
              <w:widowControl/>
              <w:adjustRightInd w:val="0"/>
              <w:snapToGrid w:val="0"/>
              <w:spacing w:line="30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全体评委签字：</w:t>
            </w:r>
          </w:p>
        </w:tc>
      </w:tr>
    </w:tbl>
    <w:p w14:paraId="39FF7568">
      <w:pPr>
        <w:pStyle w:val="2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注：本表中符合评审内容要求的写“√”，不符合评审内容要求的写“×”。结论为“合格”或“不合格。结论不合格的不进入符合性审查阶段。</w:t>
      </w:r>
    </w:p>
    <w:p w14:paraId="07EF93CF">
      <w:pPr>
        <w:pStyle w:val="2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511A6328">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26D878D4">
      <w:pPr>
        <w:pStyle w:val="2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磋商小组将对符合资格的供应商的响应文件进行资格性审查，以确定其是否满足磋商文件的实质性要求。</w:t>
      </w:r>
    </w:p>
    <w:p w14:paraId="6A26B267">
      <w:pPr>
        <w:pStyle w:val="20"/>
        <w:spacing w:line="360" w:lineRule="auto"/>
        <w:rPr>
          <w:rFonts w:hint="eastAsia" w:ascii="宋体" w:hAnsi="宋体" w:eastAsia="宋体" w:cs="宋体"/>
          <w:color w:val="000000" w:themeColor="text1"/>
          <w:sz w:val="24"/>
          <w:szCs w:val="24"/>
          <w14:textFill>
            <w14:solidFill>
              <w14:schemeClr w14:val="tx1"/>
            </w14:solidFill>
          </w14:textFill>
        </w:rPr>
      </w:pPr>
    </w:p>
    <w:tbl>
      <w:tblPr>
        <w:tblStyle w:val="36"/>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50"/>
        <w:gridCol w:w="1800"/>
        <w:gridCol w:w="4274"/>
        <w:gridCol w:w="967"/>
      </w:tblGrid>
      <w:tr w14:paraId="3207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74" w:type="dxa"/>
            <w:gridSpan w:val="2"/>
            <w:noWrap/>
            <w:vAlign w:val="center"/>
          </w:tcPr>
          <w:p w14:paraId="40CD80F7">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条款号</w:t>
            </w:r>
          </w:p>
        </w:tc>
        <w:tc>
          <w:tcPr>
            <w:tcW w:w="1800" w:type="dxa"/>
            <w:noWrap/>
            <w:vAlign w:val="center"/>
          </w:tcPr>
          <w:p w14:paraId="173230AF">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评审因素</w:t>
            </w:r>
          </w:p>
        </w:tc>
        <w:tc>
          <w:tcPr>
            <w:tcW w:w="4274" w:type="dxa"/>
            <w:noWrap/>
            <w:vAlign w:val="center"/>
          </w:tcPr>
          <w:p w14:paraId="5A87509D">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评审标准</w:t>
            </w:r>
          </w:p>
        </w:tc>
        <w:tc>
          <w:tcPr>
            <w:tcW w:w="967" w:type="dxa"/>
            <w:noWrap/>
            <w:vAlign w:val="center"/>
          </w:tcPr>
          <w:p w14:paraId="6491DF88">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供应商简称</w:t>
            </w:r>
          </w:p>
        </w:tc>
      </w:tr>
      <w:tr w14:paraId="6757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24" w:type="dxa"/>
            <w:vMerge w:val="restart"/>
            <w:noWrap/>
            <w:vAlign w:val="center"/>
          </w:tcPr>
          <w:p w14:paraId="530CB530">
            <w:pPr>
              <w:widowControl/>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w:t>
            </w:r>
          </w:p>
        </w:tc>
        <w:tc>
          <w:tcPr>
            <w:tcW w:w="450" w:type="dxa"/>
            <w:vMerge w:val="restart"/>
            <w:noWrap/>
            <w:vAlign w:val="center"/>
          </w:tcPr>
          <w:p w14:paraId="038DA768">
            <w:pPr>
              <w:widowControl/>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响应性评审标准</w:t>
            </w:r>
          </w:p>
        </w:tc>
        <w:tc>
          <w:tcPr>
            <w:tcW w:w="1800" w:type="dxa"/>
            <w:noWrap/>
            <w:vAlign w:val="center"/>
          </w:tcPr>
          <w:p w14:paraId="63B37363">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投标内容</w:t>
            </w:r>
          </w:p>
        </w:tc>
        <w:tc>
          <w:tcPr>
            <w:tcW w:w="4274" w:type="dxa"/>
            <w:noWrap/>
            <w:vAlign w:val="center"/>
          </w:tcPr>
          <w:p w14:paraId="55B98577">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符合文件给出的招标范围及要求</w:t>
            </w:r>
          </w:p>
        </w:tc>
        <w:tc>
          <w:tcPr>
            <w:tcW w:w="967" w:type="dxa"/>
            <w:noWrap/>
            <w:vAlign w:val="center"/>
          </w:tcPr>
          <w:p w14:paraId="33598E41">
            <w:pPr>
              <w:widowControl/>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459E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24" w:type="dxa"/>
            <w:vMerge w:val="continue"/>
            <w:noWrap/>
            <w:vAlign w:val="center"/>
          </w:tcPr>
          <w:p w14:paraId="602AD305">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450" w:type="dxa"/>
            <w:vMerge w:val="continue"/>
            <w:noWrap/>
            <w:vAlign w:val="center"/>
          </w:tcPr>
          <w:p w14:paraId="30E7587C">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800" w:type="dxa"/>
            <w:noWrap/>
            <w:vAlign w:val="center"/>
          </w:tcPr>
          <w:p w14:paraId="54EF82D6">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合同履行期限</w:t>
            </w:r>
          </w:p>
        </w:tc>
        <w:tc>
          <w:tcPr>
            <w:tcW w:w="4274" w:type="dxa"/>
            <w:noWrap/>
            <w:vAlign w:val="center"/>
          </w:tcPr>
          <w:p w14:paraId="336D1D18">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符合文件要求</w:t>
            </w:r>
          </w:p>
        </w:tc>
        <w:tc>
          <w:tcPr>
            <w:tcW w:w="967" w:type="dxa"/>
            <w:noWrap/>
            <w:vAlign w:val="center"/>
          </w:tcPr>
          <w:p w14:paraId="119019CF">
            <w:pPr>
              <w:widowControl/>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14ED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24" w:type="dxa"/>
            <w:vMerge w:val="continue"/>
            <w:noWrap/>
            <w:vAlign w:val="center"/>
          </w:tcPr>
          <w:p w14:paraId="2D6F2B7C">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450" w:type="dxa"/>
            <w:vMerge w:val="continue"/>
            <w:noWrap/>
            <w:vAlign w:val="center"/>
          </w:tcPr>
          <w:p w14:paraId="6C0CF2FE">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800" w:type="dxa"/>
            <w:noWrap/>
            <w:vAlign w:val="center"/>
          </w:tcPr>
          <w:p w14:paraId="55706776">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质量要求</w:t>
            </w:r>
          </w:p>
        </w:tc>
        <w:tc>
          <w:tcPr>
            <w:tcW w:w="4274" w:type="dxa"/>
            <w:noWrap/>
            <w:vAlign w:val="center"/>
          </w:tcPr>
          <w:p w14:paraId="1CBF15FB">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符合文件要求(合格)</w:t>
            </w:r>
          </w:p>
        </w:tc>
        <w:tc>
          <w:tcPr>
            <w:tcW w:w="967" w:type="dxa"/>
            <w:noWrap/>
            <w:vAlign w:val="center"/>
          </w:tcPr>
          <w:p w14:paraId="63C32DCF">
            <w:pPr>
              <w:widowControl/>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0FF1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824" w:type="dxa"/>
            <w:vMerge w:val="continue"/>
            <w:noWrap/>
            <w:vAlign w:val="center"/>
          </w:tcPr>
          <w:p w14:paraId="6BF31F7E">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450" w:type="dxa"/>
            <w:vMerge w:val="continue"/>
            <w:noWrap/>
            <w:vAlign w:val="center"/>
          </w:tcPr>
          <w:p w14:paraId="28B1D6F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800" w:type="dxa"/>
            <w:noWrap/>
            <w:vAlign w:val="center"/>
          </w:tcPr>
          <w:p w14:paraId="737151BA">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4274" w:type="dxa"/>
            <w:noWrap/>
            <w:vAlign w:val="center"/>
          </w:tcPr>
          <w:p w14:paraId="24BDE166">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符合文件的要求(60日历天)</w:t>
            </w:r>
          </w:p>
        </w:tc>
        <w:tc>
          <w:tcPr>
            <w:tcW w:w="967" w:type="dxa"/>
            <w:noWrap/>
            <w:vAlign w:val="center"/>
          </w:tcPr>
          <w:p w14:paraId="6EB0404B">
            <w:pPr>
              <w:widowControl/>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0AA2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24" w:type="dxa"/>
            <w:vMerge w:val="continue"/>
            <w:noWrap/>
            <w:vAlign w:val="center"/>
          </w:tcPr>
          <w:p w14:paraId="39B95843">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450" w:type="dxa"/>
            <w:vMerge w:val="continue"/>
            <w:noWrap/>
            <w:vAlign w:val="center"/>
          </w:tcPr>
          <w:p w14:paraId="6316C32C">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800" w:type="dxa"/>
            <w:noWrap/>
            <w:vAlign w:val="center"/>
          </w:tcPr>
          <w:p w14:paraId="24D50A0B">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4274" w:type="dxa"/>
            <w:noWrap/>
            <w:vAlign w:val="center"/>
          </w:tcPr>
          <w:p w14:paraId="707EA40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按照文件要求提交</w:t>
            </w:r>
          </w:p>
        </w:tc>
        <w:tc>
          <w:tcPr>
            <w:tcW w:w="967" w:type="dxa"/>
            <w:noWrap/>
            <w:vAlign w:val="center"/>
          </w:tcPr>
          <w:p w14:paraId="64871334">
            <w:pPr>
              <w:widowControl/>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5F14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24" w:type="dxa"/>
            <w:vMerge w:val="continue"/>
            <w:noWrap/>
            <w:vAlign w:val="center"/>
          </w:tcPr>
          <w:p w14:paraId="2DDAB2D1">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450" w:type="dxa"/>
            <w:vMerge w:val="continue"/>
            <w:noWrap/>
            <w:vAlign w:val="center"/>
          </w:tcPr>
          <w:p w14:paraId="14745908">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800" w:type="dxa"/>
            <w:noWrap/>
            <w:vAlign w:val="center"/>
          </w:tcPr>
          <w:p w14:paraId="07BC1E06">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项目采购需求</w:t>
            </w:r>
          </w:p>
        </w:tc>
        <w:tc>
          <w:tcPr>
            <w:tcW w:w="4274" w:type="dxa"/>
            <w:noWrap/>
            <w:vAlign w:val="center"/>
          </w:tcPr>
          <w:p w14:paraId="71BEEC59">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符合“项目采购需求”给出的范围及数量。</w:t>
            </w:r>
          </w:p>
        </w:tc>
        <w:tc>
          <w:tcPr>
            <w:tcW w:w="967" w:type="dxa"/>
            <w:noWrap/>
            <w:vAlign w:val="center"/>
          </w:tcPr>
          <w:p w14:paraId="0B9745CD">
            <w:pPr>
              <w:widowControl/>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tc>
      </w:tr>
      <w:tr w14:paraId="42C6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348" w:type="dxa"/>
            <w:gridSpan w:val="4"/>
            <w:noWrap/>
            <w:vAlign w:val="center"/>
          </w:tcPr>
          <w:p w14:paraId="2086C566">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结论</w:t>
            </w:r>
          </w:p>
        </w:tc>
        <w:tc>
          <w:tcPr>
            <w:tcW w:w="967" w:type="dxa"/>
            <w:noWrap/>
            <w:vAlign w:val="center"/>
          </w:tcPr>
          <w:p w14:paraId="1C0CA73E">
            <w:pPr>
              <w:widowControl/>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p>
        </w:tc>
      </w:tr>
      <w:tr w14:paraId="7B8B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8315" w:type="dxa"/>
            <w:gridSpan w:val="5"/>
            <w:noWrap/>
            <w:vAlign w:val="center"/>
          </w:tcPr>
          <w:p w14:paraId="4542BB56">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全体评委签字：</w:t>
            </w:r>
          </w:p>
        </w:tc>
      </w:tr>
    </w:tbl>
    <w:p w14:paraId="346533C5">
      <w:pPr>
        <w:pStyle w:val="20"/>
        <w:spacing w:line="36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注：本表中符合评审内容要求的写“√”，不符合评审内容要求的写“×”。结论为“合格”或“不合格。结论不合格的不进入综合评审阶段。</w:t>
      </w:r>
    </w:p>
    <w:p w14:paraId="4A02A778">
      <w:pPr>
        <w:pStyle w:val="20"/>
        <w:spacing w:line="360" w:lineRule="auto"/>
        <w:rPr>
          <w:rFonts w:hint="eastAsia" w:ascii="宋体" w:hAnsi="宋体" w:eastAsia="宋体" w:cs="宋体"/>
          <w:color w:val="000000" w:themeColor="text1"/>
          <w:sz w:val="20"/>
          <w:szCs w:val="20"/>
          <w14:textFill>
            <w14:solidFill>
              <w14:schemeClr w14:val="tx1"/>
            </w14:solidFill>
          </w14:textFill>
        </w:rPr>
      </w:pPr>
    </w:p>
    <w:p w14:paraId="1121358A">
      <w:pPr>
        <w:pStyle w:val="28"/>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sectPr>
          <w:footerReference r:id="rId13" w:type="default"/>
          <w:pgSz w:w="11905" w:h="16838"/>
          <w:pgMar w:top="1440" w:right="1803" w:bottom="1440" w:left="1803" w:header="1140" w:footer="720" w:gutter="0"/>
          <w:cols w:space="0" w:num="1"/>
          <w:docGrid w:type="lines" w:linePitch="317" w:charSpace="0"/>
        </w:sectPr>
      </w:pPr>
    </w:p>
    <w:p w14:paraId="298594A2">
      <w:pPr>
        <w:pStyle w:val="14"/>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color w:val="000000" w:themeColor="text1"/>
          <w:sz w:val="32"/>
          <w:szCs w:val="32"/>
          <w:highlight w:val="none"/>
          <w14:textFill>
            <w14:solidFill>
              <w14:schemeClr w14:val="tx1"/>
            </w14:solidFill>
          </w14:textFill>
        </w:rPr>
      </w:pPr>
      <w:bookmarkStart w:id="158" w:name="_Toc11448"/>
      <w:bookmarkStart w:id="159" w:name="_Toc530036533"/>
      <w:bookmarkStart w:id="160" w:name="_Toc4201"/>
      <w:bookmarkStart w:id="161" w:name="_Toc32455"/>
      <w:bookmarkStart w:id="162" w:name="_Toc3854"/>
      <w:r>
        <w:rPr>
          <w:rFonts w:hint="eastAsia" w:ascii="宋体" w:hAnsi="宋体" w:eastAsia="宋体" w:cs="宋体"/>
          <w:b/>
          <w:bCs/>
          <w:color w:val="000000" w:themeColor="text1"/>
          <w:sz w:val="32"/>
          <w:szCs w:val="32"/>
          <w:highlight w:val="none"/>
          <w:lang w:eastAsia="zh-CN"/>
          <w14:textFill>
            <w14:solidFill>
              <w14:schemeClr w14:val="tx1"/>
            </w14:solidFill>
          </w14:textFill>
        </w:rPr>
        <w:t>二、</w:t>
      </w:r>
      <w:r>
        <w:rPr>
          <w:rFonts w:hint="eastAsia" w:ascii="宋体" w:hAnsi="宋体" w:eastAsia="宋体" w:cs="宋体"/>
          <w:b/>
          <w:bCs/>
          <w:color w:val="000000" w:themeColor="text1"/>
          <w:sz w:val="32"/>
          <w:szCs w:val="32"/>
          <w:highlight w:val="none"/>
          <w14:textFill>
            <w14:solidFill>
              <w14:schemeClr w14:val="tx1"/>
            </w14:solidFill>
          </w14:textFill>
        </w:rPr>
        <w:t>综合评分方法</w:t>
      </w:r>
      <w:bookmarkEnd w:id="158"/>
    </w:p>
    <w:p w14:paraId="450B715A">
      <w:pPr>
        <w:rPr>
          <w:rFonts w:hint="eastAsia" w:ascii="宋体" w:hAnsi="宋体" w:eastAsia="宋体" w:cs="宋体"/>
          <w:color w:val="000000" w:themeColor="text1"/>
          <w14:textFill>
            <w14:solidFill>
              <w14:schemeClr w14:val="tx1"/>
            </w14:solidFill>
          </w14:textFill>
        </w:rPr>
      </w:pPr>
    </w:p>
    <w:tbl>
      <w:tblPr>
        <w:tblStyle w:val="36"/>
        <w:tblpPr w:leftFromText="180" w:rightFromText="180" w:vertAnchor="text" w:horzAnchor="page" w:tblpX="1911" w:tblpY="85"/>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9"/>
        <w:gridCol w:w="5275"/>
      </w:tblGrid>
      <w:tr w14:paraId="1E00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59" w:type="dxa"/>
            <w:noWrap/>
            <w:vAlign w:val="center"/>
          </w:tcPr>
          <w:p w14:paraId="1FEC96FB">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评审因素</w:t>
            </w:r>
          </w:p>
        </w:tc>
        <w:tc>
          <w:tcPr>
            <w:tcW w:w="5275" w:type="dxa"/>
            <w:noWrap/>
            <w:vAlign w:val="center"/>
          </w:tcPr>
          <w:p w14:paraId="066AFEBE">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评审标准</w:t>
            </w:r>
          </w:p>
        </w:tc>
      </w:tr>
      <w:tr w14:paraId="69AE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3059" w:type="dxa"/>
            <w:noWrap/>
            <w:vAlign w:val="center"/>
          </w:tcPr>
          <w:p w14:paraId="6735FC65">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评标方法</w:t>
            </w:r>
          </w:p>
        </w:tc>
        <w:tc>
          <w:tcPr>
            <w:tcW w:w="5275" w:type="dxa"/>
            <w:noWrap/>
            <w:vAlign w:val="center"/>
          </w:tcPr>
          <w:p w14:paraId="4F1CC13E">
            <w:pPr>
              <w:keepNext w:val="0"/>
              <w:keepLines w:val="0"/>
              <w:widowControl/>
              <w:suppressLineNumbers w:val="0"/>
              <w:adjustRightInd w:val="0"/>
              <w:snapToGrid w:val="0"/>
              <w:spacing w:before="0" w:beforeAutospacing="0" w:after="0" w:afterAutospacing="0" w:line="300" w:lineRule="exact"/>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综合评分法</w:t>
            </w:r>
          </w:p>
        </w:tc>
      </w:tr>
      <w:tr w14:paraId="3D33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3059" w:type="dxa"/>
            <w:vMerge w:val="restart"/>
            <w:noWrap/>
            <w:vAlign w:val="center"/>
          </w:tcPr>
          <w:p w14:paraId="1ADBDA3C">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综合评分法的分值构成</w:t>
            </w:r>
          </w:p>
          <w:p w14:paraId="6833C47B">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(总分100分)　</w:t>
            </w:r>
          </w:p>
        </w:tc>
        <w:tc>
          <w:tcPr>
            <w:tcW w:w="5275" w:type="dxa"/>
            <w:noWrap/>
            <w:vAlign w:val="center"/>
          </w:tcPr>
          <w:p w14:paraId="0FFDD478">
            <w:pPr>
              <w:keepNext w:val="0"/>
              <w:keepLines w:val="0"/>
              <w:widowControl/>
              <w:suppressLineNumbers w:val="0"/>
              <w:adjustRightInd w:val="0"/>
              <w:snapToGrid w:val="0"/>
              <w:spacing w:before="0" w:beforeAutospacing="0" w:after="0" w:afterAutospacing="0" w:line="300" w:lineRule="exact"/>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分</w:t>
            </w:r>
          </w:p>
        </w:tc>
      </w:tr>
      <w:tr w14:paraId="4A38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3059" w:type="dxa"/>
            <w:vMerge w:val="continue"/>
            <w:noWrap/>
            <w:vAlign w:val="center"/>
          </w:tcPr>
          <w:p w14:paraId="08E878CB">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5275" w:type="dxa"/>
            <w:noWrap/>
            <w:vAlign w:val="center"/>
          </w:tcPr>
          <w:p w14:paraId="32761987">
            <w:pPr>
              <w:keepNext w:val="0"/>
              <w:keepLines w:val="0"/>
              <w:widowControl/>
              <w:suppressLineNumbers w:val="0"/>
              <w:adjustRightInd w:val="0"/>
              <w:snapToGrid w:val="0"/>
              <w:spacing w:before="0" w:beforeAutospacing="0" w:after="0" w:afterAutospacing="0" w:line="300" w:lineRule="exact"/>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商务部分：</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p>
        </w:tc>
      </w:tr>
      <w:tr w14:paraId="447F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3059" w:type="dxa"/>
            <w:vMerge w:val="continue"/>
            <w:noWrap/>
            <w:vAlign w:val="center"/>
          </w:tcPr>
          <w:p w14:paraId="3B896D88">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5275" w:type="dxa"/>
            <w:noWrap/>
            <w:vAlign w:val="center"/>
          </w:tcPr>
          <w:p w14:paraId="02C8BF53">
            <w:pPr>
              <w:keepNext w:val="0"/>
              <w:keepLines w:val="0"/>
              <w:widowControl/>
              <w:suppressLineNumbers w:val="0"/>
              <w:adjustRightInd w:val="0"/>
              <w:snapToGrid w:val="0"/>
              <w:spacing w:before="0" w:beforeAutospacing="0" w:after="0" w:afterAutospacing="0" w:line="300" w:lineRule="exact"/>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技术部分：</w:t>
            </w:r>
            <w:r>
              <w:rPr>
                <w:rFonts w:hint="eastAsia" w:ascii="宋体" w:hAnsi="宋体" w:eastAsia="宋体" w:cs="宋体"/>
                <w:color w:val="000000" w:themeColor="text1"/>
                <w:sz w:val="24"/>
                <w:szCs w:val="24"/>
                <w:lang w:val="en-US" w:eastAsia="zh-CN"/>
                <w14:textFill>
                  <w14:solidFill>
                    <w14:schemeClr w14:val="tx1"/>
                  </w14:solidFill>
                </w14:textFill>
              </w:rPr>
              <w:t>40</w:t>
            </w:r>
            <w:r>
              <w:rPr>
                <w:rFonts w:hint="eastAsia" w:ascii="宋体" w:hAnsi="宋体" w:eastAsia="宋体" w:cs="宋体"/>
                <w:color w:val="000000" w:themeColor="text1"/>
                <w:sz w:val="24"/>
                <w:szCs w:val="24"/>
                <w14:textFill>
                  <w14:solidFill>
                    <w14:schemeClr w14:val="tx1"/>
                  </w14:solidFill>
                </w14:textFill>
              </w:rPr>
              <w:t>分</w:t>
            </w:r>
          </w:p>
        </w:tc>
      </w:tr>
      <w:tr w14:paraId="1A23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3059" w:type="dxa"/>
            <w:vMerge w:val="continue"/>
            <w:noWrap/>
            <w:vAlign w:val="center"/>
          </w:tcPr>
          <w:p w14:paraId="5D53C6A6">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5275" w:type="dxa"/>
            <w:noWrap/>
            <w:vAlign w:val="center"/>
          </w:tcPr>
          <w:p w14:paraId="435BE7C4">
            <w:pPr>
              <w:keepNext w:val="0"/>
              <w:keepLines w:val="0"/>
              <w:widowControl/>
              <w:suppressLineNumbers w:val="0"/>
              <w:adjustRightInd w:val="0"/>
              <w:snapToGrid w:val="0"/>
              <w:spacing w:before="0" w:beforeAutospacing="0" w:after="0" w:afterAutospacing="0" w:line="300" w:lineRule="exact"/>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其他因素部分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r>
    </w:tbl>
    <w:p w14:paraId="14257839">
      <w:pPr>
        <w:jc w:val="left"/>
        <w:rPr>
          <w:rFonts w:hint="eastAsia" w:ascii="宋体" w:hAnsi="宋体" w:eastAsia="宋体" w:cs="宋体"/>
          <w:color w:val="000000" w:themeColor="text1"/>
          <w:sz w:val="24"/>
          <w:szCs w:val="24"/>
          <w14:textFill>
            <w14:solidFill>
              <w14:schemeClr w14:val="tx1"/>
            </w14:solidFill>
          </w14:textFill>
        </w:rPr>
      </w:pPr>
      <w:bookmarkStart w:id="163" w:name="_Toc8017"/>
    </w:p>
    <w:p w14:paraId="20C029A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14:textFill>
            <w14:solidFill>
              <w14:schemeClr w14:val="tx1"/>
            </w14:solidFill>
          </w14:textFill>
        </w:rPr>
      </w:pPr>
      <w:bookmarkStart w:id="164" w:name="_Toc7848"/>
      <w:r>
        <w:rPr>
          <w:rFonts w:hint="eastAsia" w:ascii="宋体" w:hAnsi="宋体" w:eastAsia="宋体" w:cs="宋体"/>
          <w:color w:val="000000" w:themeColor="text1"/>
          <w:sz w:val="24"/>
          <w:szCs w:val="24"/>
          <w14:textFill>
            <w14:solidFill>
              <w14:schemeClr w14:val="tx1"/>
            </w14:solidFill>
          </w14:textFill>
        </w:rPr>
        <w:t>评审因素见下表：</w:t>
      </w:r>
      <w:bookmarkEnd w:id="163"/>
      <w:bookmarkEnd w:id="164"/>
    </w:p>
    <w:tbl>
      <w:tblPr>
        <w:tblStyle w:val="36"/>
        <w:tblpPr w:leftFromText="180" w:rightFromText="180" w:vertAnchor="text" w:horzAnchor="page" w:tblpXSpec="center" w:tblpY="699"/>
        <w:tblOverlap w:val="never"/>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00"/>
        <w:gridCol w:w="1200"/>
        <w:gridCol w:w="5262"/>
      </w:tblGrid>
      <w:tr w14:paraId="120A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35" w:type="dxa"/>
            <w:tcBorders>
              <w:top w:val="single" w:color="auto" w:sz="4" w:space="0"/>
              <w:left w:val="single" w:color="auto" w:sz="4" w:space="0"/>
              <w:right w:val="single" w:color="auto" w:sz="4" w:space="0"/>
            </w:tcBorders>
            <w:vAlign w:val="center"/>
          </w:tcPr>
          <w:p w14:paraId="0752CD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序号</w:t>
            </w:r>
          </w:p>
        </w:tc>
        <w:tc>
          <w:tcPr>
            <w:tcW w:w="1200" w:type="dxa"/>
            <w:tcBorders>
              <w:top w:val="single" w:color="auto" w:sz="4" w:space="0"/>
              <w:left w:val="single" w:color="auto" w:sz="4" w:space="0"/>
              <w:right w:val="single" w:color="auto" w:sz="4" w:space="0"/>
            </w:tcBorders>
            <w:vAlign w:val="center"/>
          </w:tcPr>
          <w:p w14:paraId="50894F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评分项目</w:t>
            </w:r>
          </w:p>
        </w:tc>
        <w:tc>
          <w:tcPr>
            <w:tcW w:w="1200" w:type="dxa"/>
            <w:tcBorders>
              <w:top w:val="single" w:color="auto" w:sz="4" w:space="0"/>
              <w:left w:val="single" w:color="auto" w:sz="4" w:space="0"/>
              <w:right w:val="single" w:color="auto" w:sz="4" w:space="0"/>
            </w:tcBorders>
            <w:vAlign w:val="center"/>
          </w:tcPr>
          <w:p w14:paraId="2738D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auto"/>
                <w:sz w:val="24"/>
                <w:szCs w:val="24"/>
                <w:highlight w:val="none"/>
              </w:rPr>
              <w:t>基准分值</w:t>
            </w:r>
          </w:p>
        </w:tc>
        <w:tc>
          <w:tcPr>
            <w:tcW w:w="5262" w:type="dxa"/>
            <w:tcBorders>
              <w:top w:val="single" w:color="auto" w:sz="4" w:space="0"/>
              <w:left w:val="single" w:color="auto" w:sz="4" w:space="0"/>
              <w:bottom w:val="single" w:color="auto" w:sz="4" w:space="0"/>
              <w:right w:val="single" w:color="auto" w:sz="4" w:space="0"/>
            </w:tcBorders>
            <w:vAlign w:val="center"/>
          </w:tcPr>
          <w:p w14:paraId="285047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评分标准</w:t>
            </w:r>
          </w:p>
        </w:tc>
      </w:tr>
      <w:tr w14:paraId="3713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35" w:type="dxa"/>
            <w:tcBorders>
              <w:top w:val="single" w:color="auto" w:sz="4" w:space="0"/>
              <w:left w:val="single" w:color="auto" w:sz="4" w:space="0"/>
              <w:right w:val="single" w:color="auto" w:sz="4" w:space="0"/>
            </w:tcBorders>
            <w:vAlign w:val="center"/>
          </w:tcPr>
          <w:p w14:paraId="71AD69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200" w:type="dxa"/>
            <w:tcBorders>
              <w:top w:val="single" w:color="auto" w:sz="4" w:space="0"/>
              <w:left w:val="single" w:color="auto" w:sz="4" w:space="0"/>
              <w:right w:val="single" w:color="auto" w:sz="4" w:space="0"/>
            </w:tcBorders>
            <w:vAlign w:val="center"/>
          </w:tcPr>
          <w:p w14:paraId="029EBB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报价部分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1200" w:type="dxa"/>
            <w:tcBorders>
              <w:top w:val="single" w:color="auto" w:sz="4" w:space="0"/>
              <w:left w:val="single" w:color="auto" w:sz="4" w:space="0"/>
              <w:right w:val="single" w:color="auto" w:sz="4" w:space="0"/>
            </w:tcBorders>
            <w:vAlign w:val="center"/>
          </w:tcPr>
          <w:p w14:paraId="316B62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磋商报价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30分</w:t>
            </w:r>
          </w:p>
        </w:tc>
        <w:tc>
          <w:tcPr>
            <w:tcW w:w="5262" w:type="dxa"/>
            <w:tcBorders>
              <w:top w:val="single" w:color="auto" w:sz="4" w:space="0"/>
              <w:left w:val="single" w:color="auto" w:sz="4" w:space="0"/>
              <w:bottom w:val="single" w:color="auto" w:sz="4" w:space="0"/>
              <w:right w:val="single" w:color="auto" w:sz="4" w:space="0"/>
            </w:tcBorders>
            <w:vAlign w:val="center"/>
          </w:tcPr>
          <w:p w14:paraId="7902A0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以满足招标文件要求且有效投标价格的最低的投标报价为评标基准价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其得分为</w:t>
            </w:r>
            <w:r>
              <w:rPr>
                <w:rFonts w:hint="eastAsia" w:ascii="宋体" w:hAnsi="宋体" w:eastAsia="宋体" w:cs="宋体"/>
                <w:color w:val="000000" w:themeColor="text1"/>
                <w:sz w:val="24"/>
                <w:szCs w:val="24"/>
                <w:highlight w:val="none"/>
                <w:lang w:val="en-US" w:eastAsia="zh-CN"/>
                <w14:textFill>
                  <w14:solidFill>
                    <w14:schemeClr w14:val="tx1"/>
                  </w14:solidFill>
                </w14:textFill>
              </w:rPr>
              <w:t>30分。投标标价得分=</w:t>
            </w:r>
            <w:r>
              <w:rPr>
                <w:rFonts w:hint="eastAsia" w:ascii="宋体" w:hAnsi="宋体" w:eastAsia="宋体" w:cs="宋体"/>
                <w:color w:val="000000" w:themeColor="text1"/>
                <w:sz w:val="24"/>
                <w:szCs w:val="24"/>
                <w:highlight w:val="none"/>
                <w14:textFill>
                  <w14:solidFill>
                    <w14:schemeClr w14:val="tx1"/>
                  </w14:solidFill>
                </w14:textFill>
              </w:rPr>
              <w:t>（评标基准价/</w:t>
            </w:r>
            <w:r>
              <w:rPr>
                <w:rFonts w:hint="eastAsia" w:ascii="宋体" w:hAnsi="宋体" w:eastAsia="宋体" w:cs="宋体"/>
                <w:color w:val="000000" w:themeColor="text1"/>
                <w:sz w:val="24"/>
                <w:szCs w:val="24"/>
                <w:highlight w:val="none"/>
                <w:lang w:eastAsia="zh-CN"/>
                <w14:textFill>
                  <w14:solidFill>
                    <w14:schemeClr w14:val="tx1"/>
                  </w14:solidFill>
                </w14:textFill>
              </w:rPr>
              <w:t>有效</w:t>
            </w:r>
            <w:r>
              <w:rPr>
                <w:rFonts w:hint="eastAsia" w:ascii="宋体" w:hAnsi="宋体" w:eastAsia="宋体" w:cs="宋体"/>
                <w:color w:val="000000" w:themeColor="text1"/>
                <w:sz w:val="24"/>
                <w:szCs w:val="24"/>
                <w:highlight w:val="none"/>
                <w14:textFill>
                  <w14:solidFill>
                    <w14:schemeClr w14:val="tx1"/>
                  </w14:solidFill>
                </w14:textFill>
              </w:rPr>
              <w:t>投标报价）×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eastAsia="zh-CN"/>
                <w14:textFill>
                  <w14:solidFill>
                    <w14:schemeClr w14:val="tx1"/>
                  </w14:solidFill>
                </w14:textFill>
              </w:rPr>
              <w:t>（精确到小数点后二位）。</w:t>
            </w:r>
          </w:p>
        </w:tc>
      </w:tr>
      <w:tr w14:paraId="1DF2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jc w:val="center"/>
        </w:trPr>
        <w:tc>
          <w:tcPr>
            <w:tcW w:w="735" w:type="dxa"/>
            <w:vMerge w:val="restart"/>
            <w:tcBorders>
              <w:top w:val="single" w:color="auto" w:sz="4" w:space="0"/>
              <w:left w:val="single" w:color="auto" w:sz="4" w:space="0"/>
              <w:right w:val="single" w:color="auto" w:sz="4" w:space="0"/>
            </w:tcBorders>
            <w:vAlign w:val="center"/>
          </w:tcPr>
          <w:p w14:paraId="1C0F60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200" w:type="dxa"/>
            <w:vMerge w:val="restart"/>
            <w:tcBorders>
              <w:top w:val="single" w:color="auto" w:sz="4" w:space="0"/>
              <w:left w:val="single" w:color="auto" w:sz="4" w:space="0"/>
              <w:right w:val="single" w:color="auto" w:sz="4" w:space="0"/>
            </w:tcBorders>
            <w:vAlign w:val="center"/>
          </w:tcPr>
          <w:p w14:paraId="139202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2E5CF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200" w:type="dxa"/>
            <w:tcBorders>
              <w:top w:val="single" w:color="auto" w:sz="4" w:space="0"/>
              <w:left w:val="single" w:color="auto" w:sz="4" w:space="0"/>
              <w:right w:val="single" w:color="auto" w:sz="4" w:space="0"/>
            </w:tcBorders>
            <w:vAlign w:val="center"/>
          </w:tcPr>
          <w:p w14:paraId="2E8756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编制</w:t>
            </w:r>
          </w:p>
          <w:p w14:paraId="1DC6B6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10分</w:t>
            </w:r>
          </w:p>
        </w:tc>
        <w:tc>
          <w:tcPr>
            <w:tcW w:w="5262" w:type="dxa"/>
            <w:tcBorders>
              <w:top w:val="single" w:color="auto" w:sz="4" w:space="0"/>
              <w:left w:val="single" w:color="auto" w:sz="4" w:space="0"/>
              <w:right w:val="single" w:color="auto" w:sz="4" w:space="0"/>
            </w:tcBorders>
            <w:vAlign w:val="center"/>
          </w:tcPr>
          <w:p w14:paraId="7A2D7075">
            <w:pPr>
              <w:keepNext w:val="0"/>
              <w:keepLines w:val="0"/>
              <w:pageBreakBefore w:val="0"/>
              <w:suppressLineNumbers w:val="0"/>
              <w:kinsoku/>
              <w:wordWrap/>
              <w:overflowPunct/>
              <w:topLinePunct w:val="0"/>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编制完整、规范、有序，装订</w:t>
            </w:r>
            <w:r>
              <w:rPr>
                <w:rFonts w:hint="eastAsia" w:ascii="宋体" w:hAnsi="宋体" w:eastAsia="宋体" w:cs="宋体"/>
                <w:color w:val="000000" w:themeColor="text1"/>
                <w:sz w:val="24"/>
                <w:szCs w:val="24"/>
                <w:highlight w:val="none"/>
                <w:lang w:eastAsia="zh-CN"/>
                <w14:textFill>
                  <w14:solidFill>
                    <w14:schemeClr w14:val="tx1"/>
                  </w14:solidFill>
                </w14:textFill>
              </w:rPr>
              <w:t>完善</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b/>
                <w:bCs/>
                <w:color w:val="000000" w:themeColor="text1"/>
                <w:sz w:val="24"/>
                <w:szCs w:val="24"/>
                <w:highlight w:val="none"/>
                <w14:textFill>
                  <w14:solidFill>
                    <w14:schemeClr w14:val="tx1"/>
                  </w14:solidFill>
                </w14:textFill>
              </w:rPr>
              <w:t>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09FD59E2">
            <w:pPr>
              <w:keepNext w:val="0"/>
              <w:keepLines w:val="0"/>
              <w:pageBreakBefore w:val="0"/>
              <w:suppressLineNumbers w:val="0"/>
              <w:kinsoku/>
              <w:wordWrap/>
              <w:overflowPunct/>
              <w:topLinePunct w:val="0"/>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无目录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12D3D9C">
            <w:pPr>
              <w:keepNext w:val="0"/>
              <w:keepLines w:val="0"/>
              <w:pageBreakBefore w:val="0"/>
              <w:suppressLineNumbers w:val="0"/>
              <w:kinsoku/>
              <w:wordWrap/>
              <w:overflowPunct/>
              <w:topLinePunct w:val="0"/>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未按照</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格式要求或未按详细评审项目编制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B46F810">
            <w:pPr>
              <w:keepNext w:val="0"/>
              <w:keepLines w:val="0"/>
              <w:pageBreakBefore w:val="0"/>
              <w:suppressLineNumbers w:val="0"/>
              <w:kinsoku/>
              <w:wordWrap/>
              <w:overflowPunct/>
              <w:topLinePunct w:val="0"/>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页码不连续</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D9E2E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打印（书写）不清晰的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9C77C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发生前后矛盾与</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要求不一致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所要求以外的不必要证明材料的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D3982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每有一项扣</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分，扣完为止</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6C0A0D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2.综合比较</w:t>
            </w:r>
            <w:r>
              <w:rPr>
                <w:rFonts w:hint="eastAsia" w:ascii="宋体" w:hAnsi="宋体" w:eastAsia="宋体" w:cs="宋体"/>
                <w:color w:val="000000" w:themeColor="text1"/>
                <w:sz w:val="24"/>
                <w:szCs w:val="24"/>
                <w:highlight w:val="none"/>
                <w14:textFill>
                  <w14:solidFill>
                    <w14:schemeClr w14:val="tx1"/>
                  </w14:solidFill>
                </w14:textFill>
              </w:rPr>
              <w:t>响应全面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内容整齐</w:t>
            </w:r>
            <w:r>
              <w:rPr>
                <w:rFonts w:hint="eastAsia" w:ascii="宋体" w:hAnsi="宋体" w:eastAsia="宋体" w:cs="宋体"/>
                <w:color w:val="000000" w:themeColor="text1"/>
                <w:sz w:val="24"/>
                <w:szCs w:val="24"/>
                <w:highlight w:val="none"/>
                <w:lang w:eastAsia="zh-CN"/>
                <w14:textFill>
                  <w14:solidFill>
                    <w14:schemeClr w14:val="tx1"/>
                  </w14:solidFill>
                </w14:textFill>
              </w:rPr>
              <w:t>、条例清楚，</w:t>
            </w:r>
            <w:r>
              <w:rPr>
                <w:rFonts w:hint="eastAsia" w:ascii="宋体" w:hAnsi="宋体" w:eastAsia="宋体" w:cs="宋体"/>
                <w:b/>
                <w:bCs/>
                <w:color w:val="000000" w:themeColor="text1"/>
                <w:sz w:val="24"/>
                <w:szCs w:val="24"/>
                <w:highlight w:val="none"/>
                <w14:textFill>
                  <w14:solidFill>
                    <w14:schemeClr w14:val="tx1"/>
                  </w14:solidFill>
                </w14:textFill>
              </w:rPr>
              <w:t>优得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5-3.1</w:t>
            </w:r>
            <w:r>
              <w:rPr>
                <w:rFonts w:hint="eastAsia" w:ascii="宋体" w:hAnsi="宋体" w:eastAsia="宋体" w:cs="宋体"/>
                <w:b/>
                <w:bCs/>
                <w:color w:val="000000" w:themeColor="text1"/>
                <w:sz w:val="24"/>
                <w:szCs w:val="24"/>
                <w:highlight w:val="none"/>
                <w14:textFill>
                  <w14:solidFill>
                    <w14:schemeClr w14:val="tx1"/>
                  </w14:solidFill>
                </w14:textFill>
              </w:rPr>
              <w:t>分、良得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3-1.1</w:t>
            </w:r>
            <w:r>
              <w:rPr>
                <w:rFonts w:hint="eastAsia" w:ascii="宋体" w:hAnsi="宋体" w:eastAsia="宋体" w:cs="宋体"/>
                <w:b/>
                <w:bCs/>
                <w:color w:val="000000" w:themeColor="text1"/>
                <w:sz w:val="24"/>
                <w:szCs w:val="24"/>
                <w:highlight w:val="none"/>
                <w14:textFill>
                  <w14:solidFill>
                    <w14:schemeClr w14:val="tx1"/>
                  </w14:solidFill>
                </w14:textFill>
              </w:rPr>
              <w:t>分、一般得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1-0.1</w:t>
            </w:r>
            <w:r>
              <w:rPr>
                <w:rFonts w:hint="eastAsia" w:ascii="宋体" w:hAnsi="宋体" w:eastAsia="宋体" w:cs="宋体"/>
                <w:b/>
                <w:bCs/>
                <w:color w:val="000000" w:themeColor="text1"/>
                <w:sz w:val="24"/>
                <w:szCs w:val="24"/>
                <w:highlight w:val="none"/>
                <w14:textFill>
                  <w14:solidFill>
                    <w14:schemeClr w14:val="tx1"/>
                  </w14:solidFill>
                </w14:textFill>
              </w:rPr>
              <w:t>分、较差不得分。</w:t>
            </w:r>
          </w:p>
        </w:tc>
      </w:tr>
      <w:tr w14:paraId="1B6E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735" w:type="dxa"/>
            <w:vMerge w:val="continue"/>
            <w:tcBorders>
              <w:left w:val="single" w:color="auto" w:sz="4" w:space="0"/>
              <w:right w:val="single" w:color="auto" w:sz="4" w:space="0"/>
            </w:tcBorders>
            <w:vAlign w:val="center"/>
          </w:tcPr>
          <w:p w14:paraId="4AF054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vMerge w:val="continue"/>
            <w:tcBorders>
              <w:left w:val="single" w:color="auto" w:sz="4" w:space="0"/>
              <w:right w:val="single" w:color="auto" w:sz="4" w:space="0"/>
            </w:tcBorders>
            <w:vAlign w:val="center"/>
          </w:tcPr>
          <w:p w14:paraId="457E72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tcBorders>
              <w:top w:val="single" w:color="auto" w:sz="4" w:space="0"/>
              <w:left w:val="single" w:color="auto" w:sz="4" w:space="0"/>
              <w:right w:val="single" w:color="auto" w:sz="4" w:space="0"/>
            </w:tcBorders>
            <w:vAlign w:val="center"/>
          </w:tcPr>
          <w:p w14:paraId="5D5E2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类似</w:t>
            </w:r>
            <w:r>
              <w:rPr>
                <w:rFonts w:hint="eastAsia" w:ascii="宋体" w:hAnsi="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业绩</w:t>
            </w:r>
          </w:p>
          <w:p w14:paraId="39CAC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p w14:paraId="11CC0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5262" w:type="dxa"/>
            <w:tcBorders>
              <w:top w:val="single" w:color="auto" w:sz="4" w:space="0"/>
              <w:left w:val="single" w:color="auto" w:sz="4" w:space="0"/>
              <w:right w:val="single" w:color="auto" w:sz="4" w:space="0"/>
            </w:tcBorders>
            <w:vAlign w:val="center"/>
          </w:tcPr>
          <w:p w14:paraId="5FF02C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投标单位近年（</w:t>
            </w:r>
            <w:r>
              <w:rPr>
                <w:rFonts w:hint="eastAsia" w:ascii="宋体" w:hAnsi="宋体" w:eastAsia="宋体" w:cs="宋体"/>
                <w:color w:val="000000" w:themeColor="text1"/>
                <w:sz w:val="24"/>
                <w:szCs w:val="24"/>
                <w:highlight w:val="none"/>
                <w:lang w:val="en-US" w:eastAsia="zh-CN"/>
                <w14:textFill>
                  <w14:solidFill>
                    <w14:schemeClr w14:val="tx1"/>
                  </w14:solidFill>
                </w14:textFill>
              </w:rPr>
              <w:t>2021年</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月份-至今</w:t>
            </w:r>
            <w:r>
              <w:rPr>
                <w:rFonts w:hint="eastAsia" w:ascii="宋体" w:hAnsi="宋体" w:eastAsia="宋体" w:cs="宋体"/>
                <w:color w:val="000000" w:themeColor="text1"/>
                <w:sz w:val="24"/>
                <w:szCs w:val="24"/>
                <w:highlight w:val="none"/>
                <w:lang w:eastAsia="zh-CN"/>
                <w14:textFill>
                  <w14:solidFill>
                    <w14:schemeClr w14:val="tx1"/>
                  </w14:solidFill>
                </w14:textFill>
              </w:rPr>
              <w:t>）完成过类似项目业绩的</w:t>
            </w:r>
            <w:r>
              <w:rPr>
                <w:rFonts w:hint="eastAsia" w:ascii="宋体" w:hAnsi="宋体" w:eastAsia="宋体" w:cs="宋体"/>
                <w:b/>
                <w:bCs/>
                <w:color w:val="000000" w:themeColor="text1"/>
                <w:sz w:val="24"/>
                <w:szCs w:val="24"/>
                <w:highlight w:val="none"/>
                <w:lang w:eastAsia="zh-CN"/>
                <w14:textFill>
                  <w14:solidFill>
                    <w14:schemeClr w14:val="tx1"/>
                  </w14:solidFill>
                </w14:textFill>
              </w:rPr>
              <w:t>每提供一项业绩的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1分，最多得5分，没有则不得分。（提供中标通知书或合同协议书等有效证明材料原件，投标文件附复印件加盖公章）</w:t>
            </w:r>
          </w:p>
        </w:tc>
      </w:tr>
      <w:tr w14:paraId="78AE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5" w:type="dxa"/>
            <w:vMerge w:val="continue"/>
            <w:tcBorders>
              <w:left w:val="single" w:color="auto" w:sz="4" w:space="0"/>
              <w:right w:val="single" w:color="auto" w:sz="4" w:space="0"/>
            </w:tcBorders>
            <w:vAlign w:val="center"/>
          </w:tcPr>
          <w:p w14:paraId="7724DE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vMerge w:val="continue"/>
            <w:tcBorders>
              <w:left w:val="single" w:color="auto" w:sz="4" w:space="0"/>
              <w:right w:val="single" w:color="auto" w:sz="4" w:space="0"/>
            </w:tcBorders>
            <w:vAlign w:val="center"/>
          </w:tcPr>
          <w:p w14:paraId="0261C9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tcBorders>
              <w:top w:val="single" w:color="auto" w:sz="4" w:space="0"/>
              <w:left w:val="single" w:color="auto" w:sz="4" w:space="0"/>
              <w:right w:val="single" w:color="auto" w:sz="4" w:space="0"/>
            </w:tcBorders>
            <w:vAlign w:val="center"/>
          </w:tcPr>
          <w:p w14:paraId="3C0B89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人员配备</w:t>
            </w: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c>
          <w:tcPr>
            <w:tcW w:w="5262" w:type="dxa"/>
            <w:tcBorders>
              <w:top w:val="single" w:color="auto" w:sz="4" w:space="0"/>
              <w:left w:val="single" w:color="auto" w:sz="4" w:space="0"/>
              <w:right w:val="single" w:color="auto" w:sz="4" w:space="0"/>
            </w:tcBorders>
            <w:vAlign w:val="center"/>
          </w:tcPr>
          <w:p w14:paraId="1A0318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人员力量充足，</w:t>
            </w:r>
            <w:r>
              <w:rPr>
                <w:rFonts w:hint="eastAsia" w:ascii="宋体" w:hAnsi="宋体" w:eastAsia="宋体" w:cs="宋体"/>
                <w:color w:val="000000" w:themeColor="text1"/>
                <w:spacing w:val="-2"/>
                <w:sz w:val="24"/>
                <w:szCs w:val="24"/>
                <w:highlight w:val="none"/>
                <w14:textFill>
                  <w14:solidFill>
                    <w14:schemeClr w14:val="tx1"/>
                  </w14:solidFill>
                </w14:textFill>
              </w:rPr>
              <w:t>人员综合实力强</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内部管理严密，团队经验丰富，各专业有固定的人员，</w:t>
            </w:r>
            <w:r>
              <w:rPr>
                <w:rFonts w:hint="eastAsia" w:ascii="宋体" w:hAnsi="宋体" w:eastAsia="宋体" w:cs="宋体"/>
                <w:color w:val="000000" w:themeColor="text1"/>
                <w:spacing w:val="-3"/>
                <w:sz w:val="24"/>
                <w:szCs w:val="24"/>
                <w:highlight w:val="none"/>
                <w14:textFill>
                  <w14:solidFill>
                    <w14:schemeClr w14:val="tx1"/>
                  </w14:solidFill>
                </w14:textFill>
              </w:rPr>
              <w:t>业务熟练度高</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5-3.1分；</w:t>
            </w:r>
          </w:p>
          <w:p w14:paraId="791ABC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人员力量</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lang w:eastAsia="zh-CN"/>
                <w14:textFill>
                  <w14:solidFill>
                    <w14:schemeClr w14:val="tx1"/>
                  </w14:solidFill>
                </w14:textFill>
              </w:rPr>
              <w:t>足，</w:t>
            </w:r>
            <w:r>
              <w:rPr>
                <w:rFonts w:hint="eastAsia" w:ascii="宋体" w:hAnsi="宋体" w:eastAsia="宋体" w:cs="宋体"/>
                <w:color w:val="000000" w:themeColor="text1"/>
                <w:spacing w:val="-2"/>
                <w:sz w:val="24"/>
                <w:szCs w:val="24"/>
                <w:highlight w:val="none"/>
                <w14:textFill>
                  <w14:solidFill>
                    <w14:schemeClr w14:val="tx1"/>
                  </w14:solidFill>
                </w14:textFill>
              </w:rPr>
              <w:t>人员综合实力</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较</w:t>
            </w:r>
            <w:r>
              <w:rPr>
                <w:rFonts w:hint="eastAsia" w:ascii="宋体" w:hAnsi="宋体" w:eastAsia="宋体" w:cs="宋体"/>
                <w:color w:val="000000" w:themeColor="text1"/>
                <w:spacing w:val="-2"/>
                <w:sz w:val="24"/>
                <w:szCs w:val="24"/>
                <w:highlight w:val="none"/>
                <w14:textFill>
                  <w14:solidFill>
                    <w14:schemeClr w14:val="tx1"/>
                  </w14:solidFill>
                </w14:textFill>
              </w:rPr>
              <w:t>强</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内部管理严密，团队经验</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lang w:eastAsia="zh-CN"/>
                <w14:textFill>
                  <w14:solidFill>
                    <w14:schemeClr w14:val="tx1"/>
                  </w14:solidFill>
                </w14:textFill>
              </w:rPr>
              <w:t>丰富，各专业有固定的人员，</w:t>
            </w:r>
            <w:r>
              <w:rPr>
                <w:rFonts w:hint="eastAsia" w:ascii="宋体" w:hAnsi="宋体" w:eastAsia="宋体" w:cs="宋体"/>
                <w:color w:val="000000" w:themeColor="text1"/>
                <w:spacing w:val="-3"/>
                <w:sz w:val="24"/>
                <w:szCs w:val="24"/>
                <w:highlight w:val="none"/>
                <w14:textFill>
                  <w14:solidFill>
                    <w14:schemeClr w14:val="tx1"/>
                  </w14:solidFill>
                </w14:textFill>
              </w:rPr>
              <w:t>业务熟练度</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较</w:t>
            </w:r>
            <w:r>
              <w:rPr>
                <w:rFonts w:hint="eastAsia" w:ascii="宋体" w:hAnsi="宋体" w:eastAsia="宋体" w:cs="宋体"/>
                <w:color w:val="000000" w:themeColor="text1"/>
                <w:spacing w:val="-3"/>
                <w:sz w:val="24"/>
                <w:szCs w:val="24"/>
                <w:highlight w:val="none"/>
                <w14:textFill>
                  <w14:solidFill>
                    <w14:schemeClr w14:val="tx1"/>
                  </w14:solidFill>
                </w14:textFill>
              </w:rPr>
              <w:t>高</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3-1.1分；</w:t>
            </w:r>
          </w:p>
          <w:p w14:paraId="6C777C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人员力量</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一般</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人员综合实力</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一般，</w:t>
            </w:r>
            <w:r>
              <w:rPr>
                <w:rFonts w:hint="eastAsia" w:ascii="宋体" w:hAnsi="宋体" w:eastAsia="宋体" w:cs="宋体"/>
                <w:color w:val="000000" w:themeColor="text1"/>
                <w:sz w:val="24"/>
                <w:szCs w:val="24"/>
                <w:highlight w:val="none"/>
                <w:lang w:eastAsia="zh-CN"/>
                <w14:textFill>
                  <w14:solidFill>
                    <w14:schemeClr w14:val="tx1"/>
                  </w14:solidFill>
                </w14:textFill>
              </w:rPr>
              <w:t>内部管理严密，团队经验</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一般</w:t>
            </w:r>
            <w:r>
              <w:rPr>
                <w:rFonts w:hint="eastAsia" w:ascii="宋体" w:hAnsi="宋体" w:eastAsia="宋体" w:cs="宋体"/>
                <w:color w:val="000000" w:themeColor="text1"/>
                <w:sz w:val="24"/>
                <w:szCs w:val="24"/>
                <w:highlight w:val="none"/>
                <w:lang w:eastAsia="zh-CN"/>
                <w14:textFill>
                  <w14:solidFill>
                    <w14:schemeClr w14:val="tx1"/>
                  </w14:solidFill>
                </w14:textFill>
              </w:rPr>
              <w:t>，各专业有固定的人员，</w:t>
            </w:r>
            <w:r>
              <w:rPr>
                <w:rFonts w:hint="eastAsia" w:ascii="宋体" w:hAnsi="宋体" w:eastAsia="宋体" w:cs="宋体"/>
                <w:color w:val="000000" w:themeColor="text1"/>
                <w:spacing w:val="-3"/>
                <w:sz w:val="24"/>
                <w:szCs w:val="24"/>
                <w:highlight w:val="none"/>
                <w14:textFill>
                  <w14:solidFill>
                    <w14:schemeClr w14:val="tx1"/>
                  </w14:solidFill>
                </w14:textFill>
              </w:rPr>
              <w:t>业务熟练度</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一般</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得1-0.1分；</w:t>
            </w:r>
          </w:p>
          <w:p w14:paraId="11FC29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tc>
      </w:tr>
      <w:tr w14:paraId="41A8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735" w:type="dxa"/>
            <w:vMerge w:val="restart"/>
            <w:tcBorders>
              <w:left w:val="single" w:color="auto" w:sz="4" w:space="0"/>
              <w:right w:val="single" w:color="auto" w:sz="4" w:space="0"/>
            </w:tcBorders>
            <w:vAlign w:val="center"/>
          </w:tcPr>
          <w:p w14:paraId="189613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p w14:paraId="7655D865">
            <w:pPr>
              <w:pStyle w:val="35"/>
              <w:rPr>
                <w:rFonts w:hint="eastAsia" w:ascii="宋体" w:hAnsi="宋体" w:eastAsia="宋体" w:cs="宋体"/>
                <w:lang w:val="en-US" w:eastAsia="zh-CN"/>
              </w:rPr>
            </w:pPr>
          </w:p>
        </w:tc>
        <w:tc>
          <w:tcPr>
            <w:tcW w:w="1200" w:type="dxa"/>
            <w:vMerge w:val="restart"/>
            <w:tcBorders>
              <w:left w:val="single" w:color="auto" w:sz="4" w:space="0"/>
              <w:right w:val="single" w:color="auto" w:sz="4" w:space="0"/>
            </w:tcBorders>
            <w:vAlign w:val="center"/>
          </w:tcPr>
          <w:p w14:paraId="53EA87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38444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7D87E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200" w:type="dxa"/>
            <w:tcBorders>
              <w:left w:val="single" w:color="auto" w:sz="4" w:space="0"/>
              <w:right w:val="single" w:color="auto" w:sz="4" w:space="0"/>
            </w:tcBorders>
            <w:vAlign w:val="center"/>
          </w:tcPr>
          <w:p w14:paraId="68A941ED">
            <w:pPr>
              <w:keepNext w:val="0"/>
              <w:keepLines w:val="0"/>
              <w:pageBreakBefore w:val="0"/>
              <w:suppressLineNumbers w:val="0"/>
              <w:kinsoku/>
              <w:wordWrap/>
              <w:overflowPunct/>
              <w:topLinePunct w:val="0"/>
              <w:autoSpaceDE w:val="0"/>
              <w:autoSpaceDN w:val="0"/>
              <w:bidi w:val="0"/>
              <w:adjustRightInd w:val="0"/>
              <w:snapToGrid w:val="0"/>
              <w:spacing w:before="0" w:beforeLines="10" w:beforeAutospacing="0" w:after="0" w:afterAutospacing="0" w:line="400" w:lineRule="exact"/>
              <w:ind w:left="0" w:right="0"/>
              <w:jc w:val="center"/>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总体供货</w:t>
            </w:r>
            <w:r>
              <w:rPr>
                <w:rFonts w:hint="eastAsia" w:ascii="宋体" w:hAnsi="宋体" w:eastAsia="宋体" w:cs="宋体"/>
                <w:bCs/>
                <w:color w:val="000000" w:themeColor="text1"/>
                <w:sz w:val="24"/>
                <w:szCs w:val="24"/>
                <w:highlight w:val="none"/>
                <w:lang w:eastAsia="zh-CN"/>
                <w14:textFill>
                  <w14:solidFill>
                    <w14:schemeClr w14:val="tx1"/>
                  </w14:solidFill>
                </w14:textFill>
              </w:rPr>
              <w:t>、安装</w:t>
            </w:r>
          </w:p>
          <w:p w14:paraId="480023D4">
            <w:pPr>
              <w:keepNext w:val="0"/>
              <w:keepLines w:val="0"/>
              <w:pageBreakBefore w:val="0"/>
              <w:suppressLineNumbers w:val="0"/>
              <w:kinsoku/>
              <w:wordWrap/>
              <w:overflowPunct/>
              <w:topLinePunct w:val="0"/>
              <w:autoSpaceDE w:val="0"/>
              <w:autoSpaceDN w:val="0"/>
              <w:bidi w:val="0"/>
              <w:adjustRightInd w:val="0"/>
              <w:snapToGrid w:val="0"/>
              <w:spacing w:before="0" w:beforeLines="10" w:beforeAutospacing="0" w:after="0" w:afterAutospacing="0" w:line="400" w:lineRule="exact"/>
              <w:ind w:left="0" w:right="0"/>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服务方案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10分</w:t>
            </w:r>
          </w:p>
          <w:p w14:paraId="5B399CD2">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5262" w:type="dxa"/>
            <w:tcBorders>
              <w:top w:val="single" w:color="auto" w:sz="4" w:space="0"/>
              <w:left w:val="single" w:color="auto" w:sz="4" w:space="0"/>
              <w:right w:val="single" w:color="auto" w:sz="4" w:space="0"/>
            </w:tcBorders>
            <w:vAlign w:val="center"/>
          </w:tcPr>
          <w:p w14:paraId="7D765F78">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综合比较各供应商编制的</w:t>
            </w:r>
            <w:r>
              <w:rPr>
                <w:rFonts w:hint="eastAsia" w:ascii="宋体" w:hAnsi="宋体" w:eastAsia="宋体" w:cs="宋体"/>
                <w:bCs/>
                <w:color w:val="000000" w:themeColor="text1"/>
                <w:sz w:val="24"/>
                <w:szCs w:val="24"/>
                <w:highlight w:val="none"/>
                <w14:textFill>
                  <w14:solidFill>
                    <w14:schemeClr w14:val="tx1"/>
                  </w14:solidFill>
                </w14:textFill>
              </w:rPr>
              <w:t>总体供货</w:t>
            </w:r>
            <w:r>
              <w:rPr>
                <w:rFonts w:hint="eastAsia" w:ascii="宋体" w:hAnsi="宋体" w:eastAsia="宋体" w:cs="宋体"/>
                <w:bCs/>
                <w:color w:val="000000" w:themeColor="text1"/>
                <w:sz w:val="24"/>
                <w:szCs w:val="24"/>
                <w:highlight w:val="none"/>
                <w:lang w:eastAsia="zh-CN"/>
                <w14:textFill>
                  <w14:solidFill>
                    <w14:schemeClr w14:val="tx1"/>
                  </w14:solidFill>
                </w14:textFill>
              </w:rPr>
              <w:t>、安装</w:t>
            </w:r>
            <w:r>
              <w:rPr>
                <w:rFonts w:hint="eastAsia" w:ascii="宋体" w:hAnsi="宋体" w:eastAsia="宋体" w:cs="宋体"/>
                <w:bCs/>
                <w:color w:val="000000" w:themeColor="text1"/>
                <w:sz w:val="24"/>
                <w:szCs w:val="24"/>
                <w:highlight w:val="none"/>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eastAsia="宋体" w:cs="宋体"/>
                <w:color w:val="000000" w:themeColor="text1"/>
                <w:sz w:val="24"/>
                <w:szCs w:val="24"/>
                <w:highlight w:val="none"/>
                <w:lang w:eastAsia="zh-CN"/>
                <w14:textFill>
                  <w14:solidFill>
                    <w14:schemeClr w14:val="tx1"/>
                  </w14:solidFill>
                </w14:textFill>
              </w:rPr>
              <w:t>（保证交货期等）</w:t>
            </w:r>
            <w:r>
              <w:rPr>
                <w:rFonts w:hint="eastAsia" w:ascii="宋体" w:hAnsi="宋体" w:eastAsia="宋体" w:cs="宋体"/>
                <w:b/>
                <w:bCs/>
                <w:color w:val="000000" w:themeColor="text1"/>
                <w:sz w:val="24"/>
                <w:szCs w:val="24"/>
                <w:highlight w:val="none"/>
                <w14:textFill>
                  <w14:solidFill>
                    <w14:schemeClr w14:val="tx1"/>
                  </w14:solidFill>
                </w14:textFill>
              </w:rPr>
              <w:t>科学合理得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10-8.1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6540D2A3">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综合比较各供应商编制的</w:t>
            </w:r>
            <w:r>
              <w:rPr>
                <w:rFonts w:hint="eastAsia" w:ascii="宋体" w:hAnsi="宋体" w:eastAsia="宋体" w:cs="宋体"/>
                <w:bCs/>
                <w:color w:val="000000" w:themeColor="text1"/>
                <w:sz w:val="24"/>
                <w:szCs w:val="24"/>
                <w:highlight w:val="none"/>
                <w14:textFill>
                  <w14:solidFill>
                    <w14:schemeClr w14:val="tx1"/>
                  </w14:solidFill>
                </w14:textFill>
              </w:rPr>
              <w:t>总体供货</w:t>
            </w:r>
            <w:r>
              <w:rPr>
                <w:rFonts w:hint="eastAsia" w:ascii="宋体" w:hAnsi="宋体" w:eastAsia="宋体" w:cs="宋体"/>
                <w:bCs/>
                <w:color w:val="000000" w:themeColor="text1"/>
                <w:sz w:val="24"/>
                <w:szCs w:val="24"/>
                <w:highlight w:val="none"/>
                <w:lang w:eastAsia="zh-CN"/>
                <w14:textFill>
                  <w14:solidFill>
                    <w14:schemeClr w14:val="tx1"/>
                  </w14:solidFill>
                </w14:textFill>
              </w:rPr>
              <w:t>、安装</w:t>
            </w:r>
            <w:r>
              <w:rPr>
                <w:rFonts w:hint="eastAsia" w:ascii="宋体" w:hAnsi="宋体" w:eastAsia="宋体" w:cs="宋体"/>
                <w:bCs/>
                <w:color w:val="000000" w:themeColor="text1"/>
                <w:sz w:val="24"/>
                <w:szCs w:val="24"/>
                <w:highlight w:val="none"/>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eastAsia="宋体" w:cs="宋体"/>
                <w:color w:val="000000" w:themeColor="text1"/>
                <w:sz w:val="24"/>
                <w:szCs w:val="24"/>
                <w:highlight w:val="none"/>
                <w:lang w:eastAsia="zh-CN"/>
                <w14:textFill>
                  <w14:solidFill>
                    <w14:schemeClr w14:val="tx1"/>
                  </w14:solidFill>
                </w14:textFill>
              </w:rPr>
              <w:t>（保证交货期等）</w:t>
            </w:r>
            <w:r>
              <w:rPr>
                <w:rFonts w:hint="eastAsia" w:ascii="宋体" w:hAnsi="宋体" w:eastAsia="宋体" w:cs="宋体"/>
                <w:b/>
                <w:bCs/>
                <w:color w:val="000000" w:themeColor="text1"/>
                <w:sz w:val="24"/>
                <w:szCs w:val="24"/>
                <w:highlight w:val="none"/>
                <w14:textFill>
                  <w14:solidFill>
                    <w14:schemeClr w14:val="tx1"/>
                  </w14:solidFill>
                </w14:textFill>
              </w:rPr>
              <w:t>相对合理得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8-5.1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70EFB8F3">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综合比较各供应商编制的</w:t>
            </w:r>
            <w:r>
              <w:rPr>
                <w:rFonts w:hint="eastAsia" w:ascii="宋体" w:hAnsi="宋体" w:eastAsia="宋体" w:cs="宋体"/>
                <w:bCs/>
                <w:color w:val="000000" w:themeColor="text1"/>
                <w:sz w:val="24"/>
                <w:szCs w:val="24"/>
                <w:highlight w:val="none"/>
                <w14:textFill>
                  <w14:solidFill>
                    <w14:schemeClr w14:val="tx1"/>
                  </w14:solidFill>
                </w14:textFill>
              </w:rPr>
              <w:t>总体供货</w:t>
            </w:r>
            <w:r>
              <w:rPr>
                <w:rFonts w:hint="eastAsia" w:ascii="宋体" w:hAnsi="宋体" w:eastAsia="宋体" w:cs="宋体"/>
                <w:bCs/>
                <w:color w:val="000000" w:themeColor="text1"/>
                <w:sz w:val="24"/>
                <w:szCs w:val="24"/>
                <w:highlight w:val="none"/>
                <w:lang w:eastAsia="zh-CN"/>
                <w14:textFill>
                  <w14:solidFill>
                    <w14:schemeClr w14:val="tx1"/>
                  </w14:solidFill>
                </w14:textFill>
              </w:rPr>
              <w:t>、安装</w:t>
            </w:r>
            <w:r>
              <w:rPr>
                <w:rFonts w:hint="eastAsia" w:ascii="宋体" w:hAnsi="宋体" w:eastAsia="宋体" w:cs="宋体"/>
                <w:bCs/>
                <w:color w:val="000000" w:themeColor="text1"/>
                <w:sz w:val="24"/>
                <w:szCs w:val="24"/>
                <w:highlight w:val="none"/>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eastAsia="宋体" w:cs="宋体"/>
                <w:color w:val="000000" w:themeColor="text1"/>
                <w:sz w:val="24"/>
                <w:szCs w:val="24"/>
                <w:highlight w:val="none"/>
                <w:lang w:eastAsia="zh-CN"/>
                <w14:textFill>
                  <w14:solidFill>
                    <w14:schemeClr w14:val="tx1"/>
                  </w14:solidFill>
                </w14:textFill>
              </w:rPr>
              <w:t>（保证交货期等）</w:t>
            </w:r>
            <w:r>
              <w:rPr>
                <w:rFonts w:hint="eastAsia" w:ascii="宋体" w:hAnsi="宋体" w:eastAsia="宋体" w:cs="宋体"/>
                <w:b/>
                <w:bCs/>
                <w:color w:val="000000" w:themeColor="text1"/>
                <w:sz w:val="24"/>
                <w:szCs w:val="24"/>
                <w:highlight w:val="none"/>
                <w14:textFill>
                  <w14:solidFill>
                    <w14:schemeClr w14:val="tx1"/>
                  </w14:solidFill>
                </w14:textFill>
              </w:rPr>
              <w:t>基本合理得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5-2.1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0C897891">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综合比较各供应商编制的</w:t>
            </w:r>
            <w:r>
              <w:rPr>
                <w:rFonts w:hint="eastAsia" w:ascii="宋体" w:hAnsi="宋体" w:eastAsia="宋体" w:cs="宋体"/>
                <w:bCs/>
                <w:color w:val="000000" w:themeColor="text1"/>
                <w:sz w:val="24"/>
                <w:szCs w:val="24"/>
                <w:highlight w:val="none"/>
                <w14:textFill>
                  <w14:solidFill>
                    <w14:schemeClr w14:val="tx1"/>
                  </w14:solidFill>
                </w14:textFill>
              </w:rPr>
              <w:t>总体供货</w:t>
            </w:r>
            <w:r>
              <w:rPr>
                <w:rFonts w:hint="eastAsia" w:ascii="宋体" w:hAnsi="宋体" w:eastAsia="宋体" w:cs="宋体"/>
                <w:bCs/>
                <w:color w:val="000000" w:themeColor="text1"/>
                <w:sz w:val="24"/>
                <w:szCs w:val="24"/>
                <w:highlight w:val="none"/>
                <w:lang w:eastAsia="zh-CN"/>
                <w14:textFill>
                  <w14:solidFill>
                    <w14:schemeClr w14:val="tx1"/>
                  </w14:solidFill>
                </w14:textFill>
              </w:rPr>
              <w:t>、安装</w:t>
            </w:r>
            <w:r>
              <w:rPr>
                <w:rFonts w:hint="eastAsia" w:ascii="宋体" w:hAnsi="宋体" w:eastAsia="宋体" w:cs="宋体"/>
                <w:bCs/>
                <w:color w:val="000000" w:themeColor="text1"/>
                <w:sz w:val="24"/>
                <w:szCs w:val="24"/>
                <w:highlight w:val="none"/>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eastAsia="宋体" w:cs="宋体"/>
                <w:color w:val="000000" w:themeColor="text1"/>
                <w:sz w:val="24"/>
                <w:szCs w:val="24"/>
                <w:highlight w:val="none"/>
                <w:lang w:eastAsia="zh-CN"/>
                <w14:textFill>
                  <w14:solidFill>
                    <w14:schemeClr w14:val="tx1"/>
                  </w14:solidFill>
                </w14:textFill>
              </w:rPr>
              <w:t>（保证交货期等）</w:t>
            </w:r>
            <w:r>
              <w:rPr>
                <w:rFonts w:hint="eastAsia" w:ascii="宋体" w:hAnsi="宋体" w:eastAsia="宋体" w:cs="宋体"/>
                <w:b/>
                <w:bCs/>
                <w:color w:val="000000" w:themeColor="text1"/>
                <w:sz w:val="24"/>
                <w:szCs w:val="24"/>
                <w:highlight w:val="none"/>
                <w14:textFill>
                  <w14:solidFill>
                    <w14:schemeClr w14:val="tx1"/>
                  </w14:solidFill>
                </w14:textFill>
              </w:rPr>
              <w:t>方案内容较差得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CCC2207">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14:textFill>
                  <w14:solidFill>
                    <w14:schemeClr w14:val="tx1"/>
                  </w14:solidFill>
                </w14:textFill>
              </w:rPr>
              <w:t>无不得分。</w:t>
            </w:r>
          </w:p>
        </w:tc>
      </w:tr>
      <w:tr w14:paraId="6E4A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35" w:type="dxa"/>
            <w:vMerge w:val="continue"/>
            <w:tcBorders>
              <w:left w:val="single" w:color="auto" w:sz="4" w:space="0"/>
              <w:right w:val="single" w:color="auto" w:sz="4" w:space="0"/>
            </w:tcBorders>
            <w:vAlign w:val="center"/>
          </w:tcPr>
          <w:p w14:paraId="691756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vMerge w:val="continue"/>
            <w:tcBorders>
              <w:left w:val="single" w:color="auto" w:sz="4" w:space="0"/>
              <w:right w:val="single" w:color="auto" w:sz="4" w:space="0"/>
            </w:tcBorders>
            <w:vAlign w:val="center"/>
          </w:tcPr>
          <w:p w14:paraId="4947D4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tcBorders>
              <w:left w:val="single" w:color="auto" w:sz="4" w:space="0"/>
              <w:right w:val="single" w:color="auto" w:sz="4" w:space="0"/>
            </w:tcBorders>
            <w:vAlign w:val="center"/>
          </w:tcPr>
          <w:p w14:paraId="076A7B9C">
            <w:pPr>
              <w:keepNext w:val="0"/>
              <w:keepLines w:val="0"/>
              <w:pageBreakBefore w:val="0"/>
              <w:suppressLineNumbers w:val="0"/>
              <w:kinsoku/>
              <w:wordWrap/>
              <w:overflowPunct/>
              <w:topLinePunct w:val="0"/>
              <w:autoSpaceDE w:val="0"/>
              <w:autoSpaceDN w:val="0"/>
              <w:bidi w:val="0"/>
              <w:adjustRightInd w:val="0"/>
              <w:snapToGrid w:val="0"/>
              <w:spacing w:before="0" w:beforeLines="1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供货质量</w:t>
            </w:r>
          </w:p>
          <w:p w14:paraId="10FF6646">
            <w:pPr>
              <w:keepNext w:val="0"/>
              <w:keepLines w:val="0"/>
              <w:pageBreakBefore w:val="0"/>
              <w:suppressLineNumbers w:val="0"/>
              <w:kinsoku/>
              <w:wordWrap/>
              <w:overflowPunct/>
              <w:topLinePunct w:val="0"/>
              <w:autoSpaceDE w:val="0"/>
              <w:autoSpaceDN w:val="0"/>
              <w:bidi w:val="0"/>
              <w:adjustRightInd w:val="0"/>
              <w:snapToGrid w:val="0"/>
              <w:spacing w:before="0" w:beforeLines="1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及可靠性</w:t>
            </w: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p w14:paraId="5EAF1537">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5262" w:type="dxa"/>
            <w:tcBorders>
              <w:top w:val="single" w:color="auto" w:sz="4" w:space="0"/>
              <w:left w:val="single" w:color="auto" w:sz="4" w:space="0"/>
              <w:right w:val="single" w:color="auto" w:sz="4" w:space="0"/>
            </w:tcBorders>
            <w:vAlign w:val="center"/>
          </w:tcPr>
          <w:p w14:paraId="4446A01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综合比较各供应商编制的投标供货质量及可靠性</w:t>
            </w:r>
            <w:r>
              <w:rPr>
                <w:rFonts w:hint="eastAsia" w:ascii="宋体" w:hAnsi="宋体" w:eastAsia="宋体" w:cs="宋体"/>
                <w:b/>
                <w:bCs/>
                <w:color w:val="000000" w:themeColor="text1"/>
                <w:sz w:val="24"/>
                <w:szCs w:val="24"/>
                <w:highlight w:val="none"/>
                <w14:textFill>
                  <w14:solidFill>
                    <w14:schemeClr w14:val="tx1"/>
                  </w14:solidFill>
                </w14:textFill>
              </w:rPr>
              <w:t>科学</w:t>
            </w:r>
            <w:r>
              <w:rPr>
                <w:rFonts w:hint="eastAsia" w:ascii="宋体" w:hAnsi="宋体" w:eastAsia="宋体" w:cs="宋体"/>
                <w:b/>
                <w:bCs/>
                <w:color w:val="000000" w:themeColor="text1"/>
                <w:sz w:val="24"/>
                <w:szCs w:val="24"/>
                <w:highlight w:val="none"/>
                <w:lang w:val="zh-CN"/>
                <w14:textFill>
                  <w14:solidFill>
                    <w14:schemeClr w14:val="tx1"/>
                  </w14:solidFill>
                </w14:textFill>
              </w:rPr>
              <w:t>合理得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5-3.1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034EEF1D">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综合比较各供应商编制的投标供货质量及可靠性</w:t>
            </w:r>
            <w:r>
              <w:rPr>
                <w:rFonts w:hint="eastAsia" w:ascii="宋体" w:hAnsi="宋体" w:eastAsia="宋体" w:cs="宋体"/>
                <w:b/>
                <w:bCs/>
                <w:color w:val="000000" w:themeColor="text1"/>
                <w:sz w:val="24"/>
                <w:szCs w:val="24"/>
                <w:highlight w:val="none"/>
                <w14:textFill>
                  <w14:solidFill>
                    <w14:schemeClr w14:val="tx1"/>
                  </w14:solidFill>
                </w14:textFill>
              </w:rPr>
              <w:t>相对合理得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3-1.1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1CE9F424">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综合比较各供应商编制的投标供货质量及可靠性</w:t>
            </w:r>
            <w:r>
              <w:rPr>
                <w:rFonts w:hint="eastAsia" w:ascii="宋体" w:hAnsi="宋体" w:eastAsia="宋体" w:cs="宋体"/>
                <w:b/>
                <w:bCs/>
                <w:color w:val="000000" w:themeColor="text1"/>
                <w:kern w:val="0"/>
                <w:sz w:val="24"/>
                <w:szCs w:val="24"/>
                <w:highlight w:val="none"/>
                <w14:textFill>
                  <w14:solidFill>
                    <w14:schemeClr w14:val="tx1"/>
                  </w14:solidFill>
                </w14:textFill>
              </w:rPr>
              <w:t>内容较少，较合理得</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1-0.1</w:t>
            </w:r>
            <w:r>
              <w:rPr>
                <w:rFonts w:hint="eastAsia" w:ascii="宋体" w:hAnsi="宋体" w:eastAsia="宋体" w:cs="宋体"/>
                <w:b/>
                <w:bCs/>
                <w:color w:val="000000" w:themeColor="text1"/>
                <w:kern w:val="0"/>
                <w:sz w:val="24"/>
                <w:szCs w:val="24"/>
                <w:highlight w:val="none"/>
                <w14:textFill>
                  <w14:solidFill>
                    <w14:schemeClr w14:val="tx1"/>
                  </w14:solidFill>
                </w14:textFill>
              </w:rPr>
              <w:t>分</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18ABBA51">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kern w:val="0"/>
                <w:sz w:val="24"/>
                <w:szCs w:val="24"/>
                <w:highlight w:val="none"/>
                <w14:textFill>
                  <w14:solidFill>
                    <w14:schemeClr w14:val="tx1"/>
                  </w14:solidFill>
                </w14:textFill>
              </w:rPr>
              <w:t>无不得分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61C0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35" w:type="dxa"/>
            <w:vMerge w:val="continue"/>
            <w:tcBorders>
              <w:left w:val="single" w:color="auto" w:sz="4" w:space="0"/>
              <w:right w:val="single" w:color="auto" w:sz="4" w:space="0"/>
            </w:tcBorders>
            <w:vAlign w:val="center"/>
          </w:tcPr>
          <w:p w14:paraId="3E45DD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vMerge w:val="continue"/>
            <w:tcBorders>
              <w:left w:val="single" w:color="auto" w:sz="4" w:space="0"/>
              <w:right w:val="single" w:color="auto" w:sz="4" w:space="0"/>
            </w:tcBorders>
            <w:vAlign w:val="center"/>
          </w:tcPr>
          <w:p w14:paraId="65ADF4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tcBorders>
              <w:left w:val="single" w:color="auto" w:sz="4" w:space="0"/>
              <w:right w:val="single" w:color="auto" w:sz="4" w:space="0"/>
            </w:tcBorders>
            <w:vAlign w:val="center"/>
          </w:tcPr>
          <w:p w14:paraId="481E1202">
            <w:pPr>
              <w:keepNext w:val="0"/>
              <w:keepLines w:val="0"/>
              <w:pageBreakBefore w:val="0"/>
              <w:suppressLineNumbers w:val="0"/>
              <w:kinsoku/>
              <w:wordWrap/>
              <w:overflowPunct/>
              <w:topLinePunct w:val="0"/>
              <w:autoSpaceDE w:val="0"/>
              <w:autoSpaceDN w:val="0"/>
              <w:bidi w:val="0"/>
              <w:adjustRightInd w:val="0"/>
              <w:snapToGrid w:val="0"/>
              <w:spacing w:before="0" w:beforeLines="10" w:beforeAutospacing="0" w:after="0" w:afterAutospacing="0" w:line="400" w:lineRule="exact"/>
              <w:ind w:left="0" w:leftChars="0" w:right="0" w:righ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供货包装、运输实施方案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10分</w:t>
            </w:r>
          </w:p>
          <w:p w14:paraId="24B0943F">
            <w:pPr>
              <w:keepNext w:val="0"/>
              <w:keepLines w:val="0"/>
              <w:pageBreakBefore w:val="0"/>
              <w:suppressLineNumbers w:val="0"/>
              <w:kinsoku/>
              <w:wordWrap/>
              <w:overflowPunct/>
              <w:topLinePunct w:val="0"/>
              <w:autoSpaceDE w:val="0"/>
              <w:autoSpaceDN w:val="0"/>
              <w:bidi w:val="0"/>
              <w:adjustRightInd w:val="0"/>
              <w:snapToGrid w:val="0"/>
              <w:spacing w:before="0" w:beforeLines="10" w:beforeAutospacing="0" w:after="0" w:afterAutospacing="0" w:line="400" w:lineRule="exact"/>
              <w:ind w:left="0" w:leftChars="0" w:right="0" w:right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5262" w:type="dxa"/>
            <w:tcBorders>
              <w:top w:val="single" w:color="auto" w:sz="4" w:space="0"/>
              <w:left w:val="single" w:color="auto" w:sz="4" w:space="0"/>
              <w:right w:val="single" w:color="auto" w:sz="4" w:space="0"/>
            </w:tcBorders>
            <w:vAlign w:val="center"/>
          </w:tcPr>
          <w:p w14:paraId="705670B8">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综合比较各供应商编制的货物包装、运输实施方案</w:t>
            </w:r>
            <w:r>
              <w:rPr>
                <w:rFonts w:hint="eastAsia" w:ascii="宋体" w:hAnsi="宋体" w:eastAsia="宋体" w:cs="宋体"/>
                <w:b/>
                <w:bCs/>
                <w:color w:val="000000" w:themeColor="text1"/>
                <w:sz w:val="24"/>
                <w:szCs w:val="24"/>
                <w:highlight w:val="none"/>
                <w14:textFill>
                  <w14:solidFill>
                    <w14:schemeClr w14:val="tx1"/>
                  </w14:solidFill>
                </w14:textFill>
              </w:rPr>
              <w:t>科学</w:t>
            </w:r>
            <w:r>
              <w:rPr>
                <w:rFonts w:hint="eastAsia" w:ascii="宋体" w:hAnsi="宋体" w:eastAsia="宋体" w:cs="宋体"/>
                <w:b/>
                <w:bCs/>
                <w:color w:val="000000" w:themeColor="text1"/>
                <w:sz w:val="24"/>
                <w:szCs w:val="24"/>
                <w:highlight w:val="none"/>
                <w:lang w:val="zh-CN"/>
                <w14:textFill>
                  <w14:solidFill>
                    <w14:schemeClr w14:val="tx1"/>
                  </w14:solidFill>
                </w14:textFill>
              </w:rPr>
              <w:t>合理</w:t>
            </w:r>
            <w:r>
              <w:rPr>
                <w:rFonts w:hint="eastAsia" w:ascii="宋体" w:hAnsi="宋体" w:eastAsia="宋体" w:cs="宋体"/>
                <w:b/>
                <w:bCs/>
                <w:color w:val="000000" w:themeColor="text1"/>
                <w:sz w:val="24"/>
                <w:szCs w:val="24"/>
                <w:highlight w:val="none"/>
                <w14:textFill>
                  <w14:solidFill>
                    <w14:schemeClr w14:val="tx1"/>
                  </w14:solidFill>
                </w14:textFill>
              </w:rPr>
              <w:t>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10-8.1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AB7AE0A">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综合比较各供应商编制的货物包装、运输实施方案</w:t>
            </w:r>
            <w:r>
              <w:rPr>
                <w:rFonts w:hint="eastAsia" w:ascii="宋体" w:hAnsi="宋体" w:eastAsia="宋体" w:cs="宋体"/>
                <w:b/>
                <w:bCs/>
                <w:color w:val="000000" w:themeColor="text1"/>
                <w:sz w:val="24"/>
                <w:szCs w:val="24"/>
                <w:highlight w:val="none"/>
                <w14:textFill>
                  <w14:solidFill>
                    <w14:schemeClr w14:val="tx1"/>
                  </w14:solidFill>
                </w14:textFill>
              </w:rPr>
              <w:t>相对合理得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8-5.1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69F7C303">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综合比较各供应商编制的货物包装、运输实施方案</w:t>
            </w:r>
            <w:r>
              <w:rPr>
                <w:rFonts w:hint="eastAsia" w:ascii="宋体" w:hAnsi="宋体" w:eastAsia="宋体" w:cs="宋体"/>
                <w:b/>
                <w:bCs/>
                <w:color w:val="000000" w:themeColor="text1"/>
                <w:sz w:val="24"/>
                <w:szCs w:val="24"/>
                <w:highlight w:val="none"/>
                <w14:textFill>
                  <w14:solidFill>
                    <w14:schemeClr w14:val="tx1"/>
                  </w14:solidFill>
                </w14:textFill>
              </w:rPr>
              <w:t>基本合理得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5-2.1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7F3557B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综合比较各供应商编制的货物包装、运输实施方案</w:t>
            </w:r>
            <w:r>
              <w:rPr>
                <w:rFonts w:hint="eastAsia" w:ascii="宋体" w:hAnsi="宋体" w:eastAsia="宋体" w:cs="宋体"/>
                <w:b/>
                <w:bCs/>
                <w:color w:val="000000" w:themeColor="text1"/>
                <w:sz w:val="24"/>
                <w:szCs w:val="24"/>
                <w:highlight w:val="none"/>
                <w14:textFill>
                  <w14:solidFill>
                    <w14:schemeClr w14:val="tx1"/>
                  </w14:solidFill>
                </w14:textFill>
              </w:rPr>
              <w:t>方案内容较差得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40BD0430">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kern w:val="0"/>
                <w:sz w:val="24"/>
                <w:szCs w:val="24"/>
                <w:highlight w:val="none"/>
                <w14:textFill>
                  <w14:solidFill>
                    <w14:schemeClr w14:val="tx1"/>
                  </w14:solidFill>
                </w14:textFill>
              </w:rPr>
              <w:t>无不得分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1751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35" w:type="dxa"/>
            <w:vMerge w:val="continue"/>
            <w:tcBorders>
              <w:left w:val="single" w:color="auto" w:sz="4" w:space="0"/>
              <w:right w:val="single" w:color="auto" w:sz="4" w:space="0"/>
            </w:tcBorders>
            <w:vAlign w:val="center"/>
          </w:tcPr>
          <w:p w14:paraId="5818F1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vMerge w:val="continue"/>
            <w:tcBorders>
              <w:left w:val="single" w:color="auto" w:sz="4" w:space="0"/>
              <w:right w:val="single" w:color="auto" w:sz="4" w:space="0"/>
            </w:tcBorders>
            <w:vAlign w:val="center"/>
          </w:tcPr>
          <w:p w14:paraId="775B3B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tcBorders>
              <w:left w:val="single" w:color="auto" w:sz="4" w:space="0"/>
              <w:right w:val="single" w:color="auto" w:sz="4" w:space="0"/>
            </w:tcBorders>
            <w:vAlign w:val="center"/>
          </w:tcPr>
          <w:p w14:paraId="23C7A492">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进度计划方案</w:t>
            </w:r>
          </w:p>
          <w:p w14:paraId="554BA3B6">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5262" w:type="dxa"/>
            <w:tcBorders>
              <w:top w:val="single" w:color="auto" w:sz="4" w:space="0"/>
              <w:left w:val="single" w:color="auto" w:sz="4" w:space="0"/>
              <w:right w:val="single" w:color="auto" w:sz="4" w:space="0"/>
            </w:tcBorders>
            <w:vAlign w:val="center"/>
          </w:tcPr>
          <w:p w14:paraId="6D9A9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1.针对本项目的实施进度计划方案详细、计划进度</w:t>
            </w:r>
            <w:r>
              <w:rPr>
                <w:rFonts w:hint="eastAsia" w:ascii="宋体" w:hAnsi="宋体" w:eastAsia="宋体" w:cs="宋体"/>
                <w:b/>
                <w:bCs/>
                <w:color w:val="000000" w:themeColor="text1"/>
                <w:sz w:val="24"/>
                <w:szCs w:val="24"/>
                <w:highlight w:val="none"/>
                <w14:textFill>
                  <w14:solidFill>
                    <w14:schemeClr w14:val="tx1"/>
                  </w14:solidFill>
                </w14:textFill>
              </w:rPr>
              <w:t>科学</w:t>
            </w:r>
            <w:r>
              <w:rPr>
                <w:rFonts w:hint="eastAsia" w:ascii="宋体" w:hAnsi="宋体" w:eastAsia="宋体" w:cs="宋体"/>
                <w:b/>
                <w:bCs/>
                <w:color w:val="000000" w:themeColor="text1"/>
                <w:sz w:val="24"/>
                <w:szCs w:val="24"/>
                <w:highlight w:val="none"/>
                <w:lang w:val="zh-CN"/>
                <w14:textFill>
                  <w14:solidFill>
                    <w14:schemeClr w14:val="tx1"/>
                  </w14:solidFill>
                </w14:textFill>
              </w:rPr>
              <w:t>合理</w:t>
            </w:r>
            <w:r>
              <w:rPr>
                <w:rFonts w:hint="eastAsia" w:ascii="宋体" w:hAnsi="宋体" w:eastAsia="宋体" w:cs="宋体"/>
                <w:b/>
                <w:bCs/>
                <w:color w:val="000000" w:themeColor="text1"/>
                <w:sz w:val="24"/>
                <w:szCs w:val="24"/>
                <w:highlight w:val="none"/>
                <w14:textFill>
                  <w14:solidFill>
                    <w14:schemeClr w14:val="tx1"/>
                  </w14:solidFill>
                </w14:textFill>
              </w:rPr>
              <w:t>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5-3.1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sz w:val="24"/>
                <w:szCs w:val="24"/>
                <w:highlight w:val="none"/>
                <w:lang w:val="en-US" w:eastAsia="zh-CN"/>
              </w:rPr>
              <w:t>；</w:t>
            </w:r>
          </w:p>
          <w:p w14:paraId="2A377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2.针对本项目的实施进度计划方案详细、计划进度</w:t>
            </w:r>
            <w:r>
              <w:rPr>
                <w:rFonts w:hint="eastAsia" w:ascii="宋体" w:hAnsi="宋体" w:eastAsia="宋体" w:cs="宋体"/>
                <w:b/>
                <w:bCs/>
                <w:color w:val="000000" w:themeColor="text1"/>
                <w:sz w:val="24"/>
                <w:szCs w:val="24"/>
                <w:highlight w:val="none"/>
                <w14:textFill>
                  <w14:solidFill>
                    <w14:schemeClr w14:val="tx1"/>
                  </w14:solidFill>
                </w14:textFill>
              </w:rPr>
              <w:t>相对合理得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3-1.1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sz w:val="24"/>
                <w:szCs w:val="24"/>
                <w:highlight w:val="none"/>
                <w:lang w:val="en-US" w:eastAsia="zh-CN"/>
              </w:rPr>
              <w:t>；</w:t>
            </w:r>
          </w:p>
          <w:p w14:paraId="0351EF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3.针对本项目的实施进度计划方案详细、计划进度</w:t>
            </w:r>
            <w:r>
              <w:rPr>
                <w:rFonts w:hint="eastAsia" w:ascii="宋体" w:hAnsi="宋体" w:eastAsia="宋体" w:cs="宋体"/>
                <w:b/>
                <w:bCs/>
                <w:color w:val="000000" w:themeColor="text1"/>
                <w:kern w:val="0"/>
                <w:sz w:val="24"/>
                <w:szCs w:val="24"/>
                <w:highlight w:val="none"/>
                <w14:textFill>
                  <w14:solidFill>
                    <w14:schemeClr w14:val="tx1"/>
                  </w14:solidFill>
                </w14:textFill>
              </w:rPr>
              <w:t>内容较少，较合理得</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1-0.1</w:t>
            </w:r>
            <w:r>
              <w:rPr>
                <w:rFonts w:hint="eastAsia" w:ascii="宋体" w:hAnsi="宋体" w:eastAsia="宋体" w:cs="宋体"/>
                <w:b/>
                <w:bCs/>
                <w:color w:val="000000" w:themeColor="text1"/>
                <w:kern w:val="0"/>
                <w:sz w:val="24"/>
                <w:szCs w:val="24"/>
                <w:highlight w:val="none"/>
                <w14:textFill>
                  <w14:solidFill>
                    <w14:schemeClr w14:val="tx1"/>
                  </w14:solidFill>
                </w14:textFill>
              </w:rPr>
              <w:t>分</w:t>
            </w:r>
            <w:r>
              <w:rPr>
                <w:rFonts w:hint="eastAsia" w:ascii="宋体" w:hAnsi="宋体" w:eastAsia="宋体" w:cs="宋体"/>
                <w:sz w:val="24"/>
                <w:szCs w:val="24"/>
                <w:highlight w:val="none"/>
                <w:lang w:val="en-US" w:eastAsia="zh-CN"/>
              </w:rPr>
              <w:t>；</w:t>
            </w:r>
          </w:p>
          <w:p w14:paraId="69F34A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sz w:val="24"/>
                <w:szCs w:val="24"/>
                <w:highlight w:val="none"/>
              </w:rPr>
              <w:t>无不得分。</w:t>
            </w:r>
          </w:p>
        </w:tc>
      </w:tr>
      <w:tr w14:paraId="401D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735" w:type="dxa"/>
            <w:vMerge w:val="continue"/>
            <w:tcBorders>
              <w:left w:val="single" w:color="auto" w:sz="4" w:space="0"/>
              <w:right w:val="single" w:color="auto" w:sz="4" w:space="0"/>
            </w:tcBorders>
            <w:vAlign w:val="center"/>
          </w:tcPr>
          <w:p w14:paraId="0CF4EB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vMerge w:val="continue"/>
            <w:tcBorders>
              <w:left w:val="single" w:color="auto" w:sz="4" w:space="0"/>
              <w:right w:val="single" w:color="auto" w:sz="4" w:space="0"/>
            </w:tcBorders>
            <w:vAlign w:val="center"/>
          </w:tcPr>
          <w:p w14:paraId="591757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tcBorders>
              <w:left w:val="single" w:color="auto" w:sz="4" w:space="0"/>
              <w:right w:val="single" w:color="auto" w:sz="4" w:space="0"/>
            </w:tcBorders>
            <w:vAlign w:val="center"/>
          </w:tcPr>
          <w:p w14:paraId="5B1D9145">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rPr>
              <w:t>产品寿命及维护</w:t>
            </w:r>
            <w:r>
              <w:rPr>
                <w:rFonts w:hint="eastAsia" w:ascii="宋体" w:hAnsi="宋体" w:eastAsia="宋体" w:cs="宋体"/>
                <w:sz w:val="24"/>
                <w:szCs w:val="24"/>
                <w:highlight w:val="none"/>
                <w:lang w:val="en-US" w:eastAsia="zh-CN"/>
              </w:rPr>
              <w:t>10分</w:t>
            </w:r>
          </w:p>
        </w:tc>
        <w:tc>
          <w:tcPr>
            <w:tcW w:w="5262" w:type="dxa"/>
            <w:tcBorders>
              <w:top w:val="single" w:color="auto" w:sz="4" w:space="0"/>
              <w:left w:val="single" w:color="auto" w:sz="4" w:space="0"/>
              <w:right w:val="single" w:color="auto" w:sz="4" w:space="0"/>
            </w:tcBorders>
            <w:vAlign w:val="center"/>
          </w:tcPr>
          <w:p w14:paraId="2A051BCE">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针对本项目投标产品的寿命及维护方案</w:t>
            </w:r>
            <w:r>
              <w:rPr>
                <w:rFonts w:hint="eastAsia" w:ascii="宋体" w:hAnsi="宋体" w:eastAsia="宋体" w:cs="宋体"/>
                <w:b/>
                <w:bCs/>
                <w:sz w:val="24"/>
                <w:szCs w:val="24"/>
                <w:highlight w:val="none"/>
              </w:rPr>
              <w:t>科学合理得</w:t>
            </w:r>
            <w:r>
              <w:rPr>
                <w:rFonts w:hint="eastAsia" w:ascii="宋体" w:hAnsi="宋体" w:eastAsia="宋体" w:cs="宋体"/>
                <w:b/>
                <w:bCs/>
                <w:sz w:val="24"/>
                <w:szCs w:val="24"/>
                <w:highlight w:val="none"/>
                <w:lang w:val="en-US" w:eastAsia="zh-CN"/>
              </w:rPr>
              <w:t>10-8.1</w:t>
            </w:r>
            <w:r>
              <w:rPr>
                <w:rFonts w:hint="eastAsia" w:ascii="宋体" w:hAnsi="宋体" w:eastAsia="宋体" w:cs="宋体"/>
                <w:b/>
                <w:bCs/>
                <w:sz w:val="24"/>
                <w:szCs w:val="24"/>
                <w:highlight w:val="none"/>
              </w:rPr>
              <w:t>分</w:t>
            </w:r>
            <w:r>
              <w:rPr>
                <w:rFonts w:hint="eastAsia" w:ascii="宋体" w:hAnsi="宋体" w:eastAsia="宋体" w:cs="宋体"/>
                <w:b/>
                <w:bCs/>
                <w:sz w:val="24"/>
                <w:szCs w:val="24"/>
                <w:highlight w:val="none"/>
                <w:lang w:eastAsia="zh-CN"/>
              </w:rPr>
              <w:t>；</w:t>
            </w:r>
          </w:p>
          <w:p w14:paraId="32E422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sz w:val="24"/>
                <w:szCs w:val="24"/>
                <w:highlight w:val="none"/>
              </w:rPr>
              <w:t>针对本项目投标产品的寿命及维护方案</w:t>
            </w:r>
            <w:r>
              <w:rPr>
                <w:rFonts w:hint="eastAsia" w:ascii="宋体" w:hAnsi="宋体" w:eastAsia="宋体" w:cs="宋体"/>
                <w:b/>
                <w:bCs/>
                <w:sz w:val="24"/>
                <w:szCs w:val="24"/>
                <w:highlight w:val="none"/>
              </w:rPr>
              <w:t>相对合理得</w:t>
            </w:r>
            <w:r>
              <w:rPr>
                <w:rFonts w:hint="eastAsia" w:ascii="宋体" w:hAnsi="宋体" w:eastAsia="宋体" w:cs="宋体"/>
                <w:b/>
                <w:bCs/>
                <w:sz w:val="24"/>
                <w:szCs w:val="24"/>
                <w:highlight w:val="none"/>
                <w:lang w:val="en-US" w:eastAsia="zh-CN"/>
              </w:rPr>
              <w:t>8-5.1</w:t>
            </w:r>
            <w:r>
              <w:rPr>
                <w:rFonts w:hint="eastAsia" w:ascii="宋体" w:hAnsi="宋体" w:eastAsia="宋体" w:cs="宋体"/>
                <w:b/>
                <w:bCs/>
                <w:sz w:val="24"/>
                <w:szCs w:val="24"/>
                <w:highlight w:val="none"/>
              </w:rPr>
              <w:t>分</w:t>
            </w:r>
            <w:r>
              <w:rPr>
                <w:rFonts w:hint="eastAsia" w:ascii="宋体" w:hAnsi="宋体" w:eastAsia="宋体" w:cs="宋体"/>
                <w:b/>
                <w:bCs/>
                <w:sz w:val="24"/>
                <w:szCs w:val="24"/>
                <w:highlight w:val="none"/>
                <w:lang w:eastAsia="zh-CN"/>
              </w:rPr>
              <w:t>；</w:t>
            </w:r>
          </w:p>
          <w:p w14:paraId="064D2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kern w:val="0"/>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针对本项目投标产品的寿命及维护方案</w:t>
            </w:r>
            <w:r>
              <w:rPr>
                <w:rFonts w:hint="eastAsia" w:ascii="宋体" w:hAnsi="宋体" w:eastAsia="宋体" w:cs="宋体"/>
                <w:b/>
                <w:bCs/>
                <w:color w:val="000000" w:themeColor="text1"/>
                <w:sz w:val="24"/>
                <w:szCs w:val="24"/>
                <w:highlight w:val="none"/>
                <w14:textFill>
                  <w14:solidFill>
                    <w14:schemeClr w14:val="tx1"/>
                  </w14:solidFill>
                </w14:textFill>
              </w:rPr>
              <w:t>基本合理得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5-2.1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kern w:val="0"/>
                <w:sz w:val="24"/>
                <w:szCs w:val="24"/>
                <w:highlight w:val="none"/>
                <w:lang w:eastAsia="zh-CN"/>
              </w:rPr>
              <w:t>；</w:t>
            </w:r>
          </w:p>
          <w:p w14:paraId="1EB4A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针对本项目投标产品的寿命及维护方案</w:t>
            </w:r>
            <w:r>
              <w:rPr>
                <w:rFonts w:hint="eastAsia" w:ascii="宋体" w:hAnsi="宋体" w:eastAsia="宋体" w:cs="宋体"/>
                <w:b/>
                <w:bCs/>
                <w:color w:val="000000" w:themeColor="text1"/>
                <w:sz w:val="24"/>
                <w:szCs w:val="24"/>
                <w:highlight w:val="none"/>
                <w14:textFill>
                  <w14:solidFill>
                    <w14:schemeClr w14:val="tx1"/>
                  </w14:solidFill>
                </w14:textFill>
              </w:rPr>
              <w:t>方案内容较差得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4B3B5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kern w:val="0"/>
                <w:sz w:val="24"/>
                <w:szCs w:val="24"/>
                <w:highlight w:val="none"/>
                <w14:textFill>
                  <w14:solidFill>
                    <w14:schemeClr w14:val="tx1"/>
                  </w14:solidFill>
                </w14:textFill>
              </w:rPr>
              <w:t>无不得分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7069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5" w:type="dxa"/>
            <w:vMerge w:val="restart"/>
            <w:tcBorders>
              <w:left w:val="single" w:color="auto" w:sz="4" w:space="0"/>
              <w:right w:val="single" w:color="auto" w:sz="4" w:space="0"/>
            </w:tcBorders>
            <w:vAlign w:val="center"/>
          </w:tcPr>
          <w:p w14:paraId="0064DE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200" w:type="dxa"/>
            <w:vMerge w:val="restart"/>
            <w:tcBorders>
              <w:left w:val="single" w:color="auto" w:sz="4" w:space="0"/>
              <w:right w:val="single" w:color="auto" w:sz="4" w:space="0"/>
            </w:tcBorders>
            <w:vAlign w:val="center"/>
          </w:tcPr>
          <w:p w14:paraId="037FF5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其他因素部分</w:t>
            </w:r>
          </w:p>
          <w:p w14:paraId="140FBE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200" w:type="dxa"/>
            <w:tcBorders>
              <w:left w:val="single" w:color="auto" w:sz="4" w:space="0"/>
              <w:right w:val="single" w:color="auto" w:sz="4" w:space="0"/>
            </w:tcBorders>
            <w:vAlign w:val="center"/>
          </w:tcPr>
          <w:p w14:paraId="1753A3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优惠条件</w:t>
            </w: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p w14:paraId="2C337C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5262" w:type="dxa"/>
            <w:tcBorders>
              <w:top w:val="single" w:color="auto" w:sz="4" w:space="0"/>
              <w:left w:val="single" w:color="auto" w:sz="4" w:space="0"/>
              <w:bottom w:val="single" w:color="auto" w:sz="4" w:space="0"/>
              <w:right w:val="single" w:color="auto" w:sz="4" w:space="0"/>
            </w:tcBorders>
            <w:vAlign w:val="center"/>
          </w:tcPr>
          <w:p w14:paraId="6E48BF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根据</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提出的优惠条件及其可实现程度</w:t>
            </w:r>
            <w:r>
              <w:rPr>
                <w:rFonts w:hint="eastAsia" w:ascii="宋体" w:hAnsi="宋体" w:eastAsia="宋体" w:cs="宋体"/>
                <w:bCs/>
                <w:color w:val="000000" w:themeColor="text1"/>
                <w:sz w:val="24"/>
                <w:szCs w:val="24"/>
                <w:highlight w:val="none"/>
                <w:lang w:eastAsia="zh-CN"/>
                <w14:textFill>
                  <w14:solidFill>
                    <w14:schemeClr w14:val="tx1"/>
                  </w14:solidFill>
                </w14:textFill>
              </w:rPr>
              <w:t>，并</w:t>
            </w:r>
            <w:r>
              <w:rPr>
                <w:rFonts w:hint="eastAsia" w:ascii="宋体" w:hAnsi="宋体" w:eastAsia="宋体" w:cs="宋体"/>
                <w:bCs/>
                <w:color w:val="000000" w:themeColor="text1"/>
                <w:sz w:val="24"/>
                <w:szCs w:val="24"/>
                <w:highlight w:val="none"/>
                <w14:textFill>
                  <w14:solidFill>
                    <w14:schemeClr w14:val="tx1"/>
                  </w14:solidFill>
                </w14:textFill>
              </w:rPr>
              <w:t>针对本</w:t>
            </w:r>
            <w:r>
              <w:rPr>
                <w:rFonts w:hint="eastAsia" w:ascii="宋体" w:hAnsi="宋体" w:eastAsia="宋体" w:cs="宋体"/>
                <w:bCs/>
                <w:color w:val="000000" w:themeColor="text1"/>
                <w:sz w:val="24"/>
                <w:szCs w:val="24"/>
                <w:highlight w:val="none"/>
                <w:lang w:eastAsia="zh-CN"/>
                <w14:textFill>
                  <w14:solidFill>
                    <w14:schemeClr w14:val="tx1"/>
                  </w14:solidFill>
                </w14:textFill>
              </w:rPr>
              <w:t>项目的</w:t>
            </w:r>
            <w:r>
              <w:rPr>
                <w:rFonts w:hint="eastAsia" w:ascii="宋体" w:hAnsi="宋体" w:eastAsia="宋体" w:cs="宋体"/>
                <w:bCs/>
                <w:color w:val="000000" w:themeColor="text1"/>
                <w:sz w:val="24"/>
                <w:szCs w:val="24"/>
                <w:highlight w:val="none"/>
                <w14:textFill>
                  <w14:solidFill>
                    <w14:schemeClr w14:val="tx1"/>
                  </w14:solidFill>
                </w14:textFill>
              </w:rPr>
              <w:t>其他特殊优惠承诺等情况进行综合评价，</w:t>
            </w:r>
            <w:r>
              <w:rPr>
                <w:rFonts w:hint="eastAsia" w:ascii="宋体" w:hAnsi="宋体" w:eastAsia="宋体" w:cs="宋体"/>
                <w:color w:val="000000" w:themeColor="text1"/>
                <w:sz w:val="24"/>
                <w:szCs w:val="24"/>
                <w:highlight w:val="none"/>
                <w14:textFill>
                  <w14:solidFill>
                    <w14:schemeClr w14:val="tx1"/>
                  </w14:solidFill>
                </w14:textFill>
              </w:rPr>
              <w:t>每条实质性</w:t>
            </w:r>
            <w:r>
              <w:rPr>
                <w:rFonts w:hint="eastAsia" w:ascii="宋体" w:hAnsi="宋体" w:eastAsia="宋体" w:cs="宋体"/>
                <w:color w:val="000000" w:themeColor="text1"/>
                <w:spacing w:val="-5"/>
                <w:sz w:val="24"/>
                <w:szCs w:val="24"/>
                <w:highlight w:val="none"/>
                <w14:textFill>
                  <w14:solidFill>
                    <w14:schemeClr w14:val="tx1"/>
                  </w14:solidFill>
                </w14:textFill>
              </w:rPr>
              <w:t>优惠条件</w:t>
            </w:r>
            <w:r>
              <w:rPr>
                <w:rFonts w:hint="eastAsia" w:ascii="宋体" w:hAnsi="宋体" w:eastAsia="宋体" w:cs="宋体"/>
                <w:b/>
                <w:bCs/>
                <w:color w:val="000000" w:themeColor="text1"/>
                <w:sz w:val="24"/>
                <w:szCs w:val="24"/>
                <w:highlight w:val="none"/>
                <w:lang w:eastAsia="zh-CN"/>
                <w14:textFill>
                  <w14:solidFill>
                    <w14:schemeClr w14:val="tx1"/>
                  </w14:solidFill>
                </w14:textFill>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最高</w:t>
            </w:r>
            <w:r>
              <w:rPr>
                <w:rFonts w:hint="eastAsia" w:ascii="宋体" w:hAnsi="宋体" w:eastAsia="宋体" w:cs="宋体"/>
                <w:b/>
                <w:bCs w:val="0"/>
                <w:color w:val="000000" w:themeColor="text1"/>
                <w:sz w:val="24"/>
                <w:szCs w:val="24"/>
                <w:highlight w:val="none"/>
                <w14:textFill>
                  <w14:solidFill>
                    <w14:schemeClr w14:val="tx1"/>
                  </w14:solidFill>
                </w14:textFill>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val="0"/>
                <w:color w:val="000000" w:themeColor="text1"/>
                <w:sz w:val="24"/>
                <w:szCs w:val="24"/>
                <w:highlight w:val="none"/>
                <w14:textFill>
                  <w14:solidFill>
                    <w14:schemeClr w14:val="tx1"/>
                  </w14:solidFill>
                </w14:textFill>
              </w:rPr>
              <w:t>分，无此项内容不得分。</w:t>
            </w:r>
          </w:p>
        </w:tc>
      </w:tr>
      <w:tr w14:paraId="7962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735" w:type="dxa"/>
            <w:vMerge w:val="continue"/>
            <w:tcBorders>
              <w:left w:val="single" w:color="auto" w:sz="4" w:space="0"/>
              <w:right w:val="single" w:color="auto" w:sz="4" w:space="0"/>
            </w:tcBorders>
            <w:vAlign w:val="center"/>
          </w:tcPr>
          <w:p w14:paraId="2D2DCF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vMerge w:val="continue"/>
            <w:tcBorders>
              <w:left w:val="single" w:color="auto" w:sz="4" w:space="0"/>
              <w:right w:val="single" w:color="auto" w:sz="4" w:space="0"/>
            </w:tcBorders>
            <w:vAlign w:val="center"/>
          </w:tcPr>
          <w:p w14:paraId="7822DC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00" w:type="dxa"/>
            <w:tcBorders>
              <w:left w:val="single" w:color="auto" w:sz="4" w:space="0"/>
              <w:right w:val="single" w:color="auto" w:sz="4" w:space="0"/>
            </w:tcBorders>
            <w:vAlign w:val="center"/>
          </w:tcPr>
          <w:p w14:paraId="735C4F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服务承诺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5262" w:type="dxa"/>
            <w:tcBorders>
              <w:top w:val="single" w:color="auto" w:sz="4" w:space="0"/>
              <w:left w:val="single" w:color="auto" w:sz="4" w:space="0"/>
              <w:right w:val="single" w:color="auto" w:sz="4" w:space="0"/>
            </w:tcBorders>
            <w:vAlign w:val="center"/>
          </w:tcPr>
          <w:p w14:paraId="2AB598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评委对供应商提供的服务承诺进行综合</w:t>
            </w:r>
            <w:r>
              <w:rPr>
                <w:rFonts w:hint="eastAsia" w:ascii="宋体" w:hAnsi="宋体" w:eastAsia="宋体" w:cs="宋体"/>
                <w:color w:val="000000" w:themeColor="text1"/>
                <w:sz w:val="24"/>
                <w:szCs w:val="24"/>
                <w:highlight w:val="none"/>
                <w:lang w:eastAsia="zh-CN"/>
                <w14:textFill>
                  <w14:solidFill>
                    <w14:schemeClr w14:val="tx1"/>
                  </w14:solidFill>
                </w14:textFill>
              </w:rPr>
              <w:t>评价比较：</w:t>
            </w:r>
          </w:p>
          <w:p w14:paraId="6B319C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服务承诺内容完整，可操作性和针对性强且优于其他供应商的</w:t>
            </w:r>
            <w:r>
              <w:rPr>
                <w:rFonts w:hint="eastAsia" w:ascii="宋体" w:hAnsi="宋体" w:eastAsia="宋体" w:cs="宋体"/>
                <w:b/>
                <w:bCs/>
                <w:color w:val="000000" w:themeColor="text1"/>
                <w:sz w:val="24"/>
                <w:szCs w:val="24"/>
                <w:highlight w:val="none"/>
                <w14:textFill>
                  <w14:solidFill>
                    <w14:schemeClr w14:val="tx1"/>
                  </w14:solidFill>
                </w14:textFill>
              </w:rPr>
              <w:t>得5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0196AE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服务承诺内容</w:t>
            </w:r>
            <w:r>
              <w:rPr>
                <w:rFonts w:hint="eastAsia" w:ascii="宋体" w:hAnsi="宋体" w:eastAsia="宋体" w:cs="宋体"/>
                <w:color w:val="000000" w:themeColor="text1"/>
                <w:sz w:val="24"/>
                <w:szCs w:val="24"/>
                <w:highlight w:val="none"/>
                <w:lang w:eastAsia="zh-CN"/>
                <w14:textFill>
                  <w14:solidFill>
                    <w14:schemeClr w14:val="tx1"/>
                  </w14:solidFill>
                </w14:textFill>
              </w:rPr>
              <w:t>一般</w:t>
            </w:r>
            <w:r>
              <w:rPr>
                <w:rFonts w:hint="eastAsia" w:ascii="宋体" w:hAnsi="宋体" w:eastAsia="宋体" w:cs="宋体"/>
                <w:color w:val="000000" w:themeColor="text1"/>
                <w:sz w:val="24"/>
                <w:szCs w:val="24"/>
                <w:highlight w:val="none"/>
                <w14:textFill>
                  <w14:solidFill>
                    <w14:schemeClr w14:val="tx1"/>
                  </w14:solidFill>
                </w14:textFill>
              </w:rPr>
              <w:t>，可操作性和针对性一般的</w:t>
            </w:r>
            <w:r>
              <w:rPr>
                <w:rFonts w:hint="eastAsia" w:ascii="宋体" w:hAnsi="宋体" w:eastAsia="宋体" w:cs="宋体"/>
                <w:b/>
                <w:bCs/>
                <w:color w:val="000000" w:themeColor="text1"/>
                <w:sz w:val="24"/>
                <w:szCs w:val="24"/>
                <w:highlight w:val="none"/>
                <w14:textFill>
                  <w14:solidFill>
                    <w14:schemeClr w14:val="tx1"/>
                  </w14:solidFill>
                </w14:textFill>
              </w:rPr>
              <w:t>得3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4B2180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服务承诺内容</w:t>
            </w:r>
            <w:r>
              <w:rPr>
                <w:rFonts w:hint="eastAsia" w:ascii="宋体" w:hAnsi="宋体" w:eastAsia="宋体" w:cs="宋体"/>
                <w:color w:val="000000" w:themeColor="text1"/>
                <w:sz w:val="24"/>
                <w:szCs w:val="24"/>
                <w:highlight w:val="none"/>
                <w:lang w:eastAsia="zh-CN"/>
                <w14:textFill>
                  <w14:solidFill>
                    <w14:schemeClr w14:val="tx1"/>
                  </w14:solidFill>
                </w14:textFill>
              </w:rPr>
              <w:t>简单</w:t>
            </w:r>
            <w:r>
              <w:rPr>
                <w:rFonts w:hint="eastAsia" w:ascii="宋体" w:hAnsi="宋体" w:eastAsia="宋体" w:cs="宋体"/>
                <w:color w:val="000000" w:themeColor="text1"/>
                <w:sz w:val="24"/>
                <w:szCs w:val="24"/>
                <w:highlight w:val="none"/>
                <w14:textFill>
                  <w14:solidFill>
                    <w14:schemeClr w14:val="tx1"/>
                  </w14:solidFill>
                </w14:textFill>
              </w:rPr>
              <w:t>针对性和可操作性</w:t>
            </w:r>
            <w:r>
              <w:rPr>
                <w:rFonts w:hint="eastAsia" w:ascii="宋体" w:hAnsi="宋体" w:eastAsia="宋体" w:cs="宋体"/>
                <w:color w:val="000000" w:themeColor="text1"/>
                <w:sz w:val="24"/>
                <w:szCs w:val="24"/>
                <w:highlight w:val="none"/>
                <w:lang w:eastAsia="zh-CN"/>
                <w14:textFill>
                  <w14:solidFill>
                    <w14:schemeClr w14:val="tx1"/>
                  </w14:solidFill>
                </w14:textFill>
              </w:rPr>
              <w:t>简单的</w:t>
            </w:r>
            <w:r>
              <w:rPr>
                <w:rFonts w:hint="eastAsia" w:ascii="宋体" w:hAnsi="宋体" w:eastAsia="宋体" w:cs="宋体"/>
                <w:b/>
                <w:bCs/>
                <w:color w:val="000000" w:themeColor="text1"/>
                <w:sz w:val="24"/>
                <w:szCs w:val="24"/>
                <w:highlight w:val="none"/>
                <w:lang w:eastAsia="zh-CN"/>
                <w14:textFill>
                  <w14:solidFill>
                    <w14:schemeClr w14:val="tx1"/>
                  </w14:solidFill>
                </w14:textFill>
              </w:rPr>
              <w:t>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9131F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tc>
      </w:tr>
    </w:tbl>
    <w:p w14:paraId="2060D801">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1.评标方法</w:t>
      </w:r>
    </w:p>
    <w:p w14:paraId="42A036B2">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本次评标采用综合评估法。评标委员会对满足招标文件实质性要求的投标文件，按照本章2.2 款规定的评分标准进行打分，并按得分由高到低顺序推荐中标候选人，或根据采购人授权直接确定中标人。综合评分相等时，以</w:t>
      </w:r>
      <w:r>
        <w:rPr>
          <w:rFonts w:hint="eastAsia" w:ascii="宋体" w:hAnsi="宋体" w:eastAsia="宋体" w:cs="宋体"/>
          <w:color w:val="000000" w:themeColor="text1"/>
          <w:sz w:val="24"/>
          <w:szCs w:val="24"/>
          <w:lang w:val="en-US" w:eastAsia="zh-CN"/>
          <w14:textFill>
            <w14:solidFill>
              <w14:schemeClr w14:val="tx1"/>
            </w14:solidFill>
          </w14:textFill>
        </w:rPr>
        <w:t>商务部分得分</w:t>
      </w:r>
      <w:r>
        <w:rPr>
          <w:rFonts w:hint="eastAsia" w:ascii="宋体" w:hAnsi="宋体" w:eastAsia="宋体" w:cs="宋体"/>
          <w:color w:val="000000" w:themeColor="text1"/>
          <w:sz w:val="24"/>
          <w:szCs w:val="24"/>
          <w14:textFill>
            <w14:solidFill>
              <w14:schemeClr w14:val="tx1"/>
            </w14:solidFill>
          </w14:textFill>
        </w:rPr>
        <w:t>高的优先；</w:t>
      </w:r>
      <w:r>
        <w:rPr>
          <w:rFonts w:hint="eastAsia" w:ascii="宋体" w:hAnsi="宋体" w:eastAsia="宋体" w:cs="宋体"/>
          <w:color w:val="000000" w:themeColor="text1"/>
          <w:sz w:val="24"/>
          <w:szCs w:val="24"/>
          <w:lang w:val="en-US" w:eastAsia="zh-CN"/>
          <w14:textFill>
            <w14:solidFill>
              <w14:schemeClr w14:val="tx1"/>
            </w14:solidFill>
          </w14:textFill>
        </w:rPr>
        <w:t>商务部分得分</w:t>
      </w:r>
      <w:r>
        <w:rPr>
          <w:rFonts w:hint="eastAsia" w:ascii="宋体" w:hAnsi="宋体" w:eastAsia="宋体" w:cs="宋体"/>
          <w:color w:val="000000" w:themeColor="text1"/>
          <w:sz w:val="24"/>
          <w:szCs w:val="24"/>
          <w14:textFill>
            <w14:solidFill>
              <w14:schemeClr w14:val="tx1"/>
            </w14:solidFill>
          </w14:textFill>
        </w:rPr>
        <w:t>也相等的，以</w:t>
      </w:r>
      <w:r>
        <w:rPr>
          <w:rFonts w:hint="eastAsia" w:ascii="宋体" w:hAnsi="宋体" w:eastAsia="宋体" w:cs="宋体"/>
          <w:color w:val="000000" w:themeColor="text1"/>
          <w:sz w:val="24"/>
          <w:szCs w:val="24"/>
          <w:lang w:val="en-US" w:eastAsia="zh-CN"/>
          <w14:textFill>
            <w14:solidFill>
              <w14:schemeClr w14:val="tx1"/>
            </w14:solidFill>
          </w14:textFill>
        </w:rPr>
        <w:t>技术部分</w:t>
      </w:r>
      <w:r>
        <w:rPr>
          <w:rFonts w:hint="eastAsia" w:ascii="宋体" w:hAnsi="宋体" w:eastAsia="宋体" w:cs="宋体"/>
          <w:color w:val="000000" w:themeColor="text1"/>
          <w:sz w:val="24"/>
          <w:szCs w:val="24"/>
          <w14:textFill>
            <w14:solidFill>
              <w14:schemeClr w14:val="tx1"/>
            </w14:solidFill>
          </w14:textFill>
        </w:rPr>
        <w:t>得分高的优先；如果</w:t>
      </w:r>
      <w:r>
        <w:rPr>
          <w:rFonts w:hint="eastAsia" w:ascii="宋体" w:hAnsi="宋体" w:eastAsia="宋体" w:cs="宋体"/>
          <w:color w:val="000000" w:themeColor="text1"/>
          <w:sz w:val="24"/>
          <w:szCs w:val="24"/>
          <w:lang w:val="en-US" w:eastAsia="zh-CN"/>
          <w14:textFill>
            <w14:solidFill>
              <w14:schemeClr w14:val="tx1"/>
            </w14:solidFill>
          </w14:textFill>
        </w:rPr>
        <w:t>技术部分</w:t>
      </w:r>
      <w:r>
        <w:rPr>
          <w:rFonts w:hint="eastAsia" w:ascii="宋体" w:hAnsi="宋体" w:eastAsia="宋体" w:cs="宋体"/>
          <w:color w:val="000000" w:themeColor="text1"/>
          <w:sz w:val="24"/>
          <w:szCs w:val="24"/>
          <w14:textFill>
            <w14:solidFill>
              <w14:schemeClr w14:val="tx1"/>
            </w14:solidFill>
          </w14:textFill>
        </w:rPr>
        <w:t>得分也相等，由采购人确定。</w:t>
      </w:r>
    </w:p>
    <w:p w14:paraId="6C92147E">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2.评审标准</w:t>
      </w:r>
    </w:p>
    <w:p w14:paraId="288A6A36">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 初步评审标准</w:t>
      </w:r>
    </w:p>
    <w:p w14:paraId="78D434F6">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形式评审标准：见评标办法前附表。</w:t>
      </w:r>
    </w:p>
    <w:p w14:paraId="25BF7764">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 资格评审标准：见评标办法前附表。</w:t>
      </w:r>
    </w:p>
    <w:p w14:paraId="01E613D5">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 响应性评审标准：见评标办法前附表。</w:t>
      </w:r>
    </w:p>
    <w:p w14:paraId="1DCF26E8">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 分值构成与评分标准</w:t>
      </w:r>
    </w:p>
    <w:p w14:paraId="775F05C2">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 分值构成</w:t>
      </w:r>
    </w:p>
    <w:p w14:paraId="7B1AA793">
      <w:pPr>
        <w:keepNext w:val="0"/>
        <w:keepLines w:val="0"/>
        <w:pageBreakBefore w:val="0"/>
        <w:widowControl w:val="0"/>
        <w:kinsoku/>
        <w:wordWrap/>
        <w:overflowPunct/>
        <w:topLinePunct w:val="0"/>
        <w:autoSpaceDE/>
        <w:autoSpaceDN/>
        <w:bidi w:val="0"/>
        <w:adjustRightInd/>
        <w:snapToGrid/>
        <w:spacing w:line="46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报价部分</w:t>
      </w:r>
      <w:r>
        <w:rPr>
          <w:rFonts w:hint="eastAsia" w:ascii="宋体" w:hAnsi="宋体" w:eastAsia="宋体" w:cs="宋体"/>
          <w:color w:val="000000" w:themeColor="text1"/>
          <w:sz w:val="24"/>
          <w:szCs w:val="24"/>
          <w:highlight w:val="none"/>
          <w14:textFill>
            <w14:solidFill>
              <w14:schemeClr w14:val="tx1"/>
            </w14:solidFill>
          </w14:textFill>
        </w:rPr>
        <w:t>：见评标办法前附表；</w:t>
      </w:r>
    </w:p>
    <w:p w14:paraId="2EFDBF5E">
      <w:pPr>
        <w:keepNext w:val="0"/>
        <w:keepLines w:val="0"/>
        <w:pageBreakBefore w:val="0"/>
        <w:widowControl w:val="0"/>
        <w:kinsoku/>
        <w:wordWrap/>
        <w:overflowPunct/>
        <w:topLinePunct w:val="0"/>
        <w:autoSpaceDE/>
        <w:autoSpaceDN/>
        <w:bidi w:val="0"/>
        <w:adjustRightInd/>
        <w:snapToGrid/>
        <w:spacing w:line="46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商务部</w:t>
      </w:r>
      <w:r>
        <w:rPr>
          <w:rFonts w:hint="eastAsia" w:ascii="宋体" w:hAnsi="宋体" w:eastAsia="宋体" w:cs="宋体"/>
          <w:color w:val="000000" w:themeColor="text1"/>
          <w:sz w:val="24"/>
          <w:szCs w:val="24"/>
          <w:highlight w:val="none"/>
          <w14:textFill>
            <w14:solidFill>
              <w14:schemeClr w14:val="tx1"/>
            </w14:solidFill>
          </w14:textFill>
        </w:rPr>
        <w:t>分：见评标办法前附表；</w:t>
      </w:r>
    </w:p>
    <w:p w14:paraId="54D67AC0">
      <w:pPr>
        <w:keepNext w:val="0"/>
        <w:keepLines w:val="0"/>
        <w:pageBreakBefore w:val="0"/>
        <w:widowControl w:val="0"/>
        <w:kinsoku/>
        <w:wordWrap/>
        <w:overflowPunct/>
        <w:topLinePunct w:val="0"/>
        <w:autoSpaceDE/>
        <w:autoSpaceDN/>
        <w:bidi w:val="0"/>
        <w:adjustRightInd/>
        <w:snapToGrid/>
        <w:spacing w:line="460" w:lineRule="exact"/>
        <w:ind w:left="-2" w:leftChars="-1"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技术部</w:t>
      </w:r>
      <w:r>
        <w:rPr>
          <w:rFonts w:hint="eastAsia" w:ascii="宋体" w:hAnsi="宋体" w:eastAsia="宋体" w:cs="宋体"/>
          <w:color w:val="000000" w:themeColor="text1"/>
          <w:sz w:val="24"/>
          <w:szCs w:val="24"/>
          <w:highlight w:val="none"/>
          <w14:textFill>
            <w14:solidFill>
              <w14:schemeClr w14:val="tx1"/>
            </w14:solidFill>
          </w14:textFill>
        </w:rPr>
        <w:t>分：见评标办法前附表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AD92002">
      <w:pPr>
        <w:pStyle w:val="29"/>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）其他因素部分：</w:t>
      </w:r>
      <w:r>
        <w:rPr>
          <w:rFonts w:hint="eastAsia" w:ascii="宋体" w:hAnsi="宋体" w:eastAsia="宋体" w:cs="宋体"/>
          <w:color w:val="000000" w:themeColor="text1"/>
          <w:sz w:val="24"/>
          <w:szCs w:val="24"/>
          <w:highlight w:val="none"/>
          <w14:textFill>
            <w14:solidFill>
              <w14:schemeClr w14:val="tx1"/>
            </w14:solidFill>
          </w14:textFill>
        </w:rPr>
        <w:t>见评标办法前附表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3CD3B3E">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评标基准价计算</w:t>
      </w:r>
    </w:p>
    <w:p w14:paraId="50331E37">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评标基准价计算方法：见评标办法前附表。</w:t>
      </w:r>
    </w:p>
    <w:p w14:paraId="61794202">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 投标报价的偏差率计算</w:t>
      </w:r>
    </w:p>
    <w:p w14:paraId="6163C468">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投标报价的偏差率计算公式：见评标办法前附表。</w:t>
      </w:r>
    </w:p>
    <w:p w14:paraId="65341DF5">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 评分标准</w:t>
      </w:r>
    </w:p>
    <w:p w14:paraId="6A417807">
      <w:pPr>
        <w:keepNext w:val="0"/>
        <w:keepLines w:val="0"/>
        <w:pageBreakBefore w:val="0"/>
        <w:widowControl w:val="0"/>
        <w:kinsoku/>
        <w:wordWrap/>
        <w:overflowPunct/>
        <w:topLinePunct w:val="0"/>
        <w:autoSpaceDE/>
        <w:autoSpaceDN/>
        <w:bidi w:val="0"/>
        <w:adjustRightInd/>
        <w:snapToGrid/>
        <w:spacing w:line="46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报价部分</w:t>
      </w:r>
      <w:r>
        <w:rPr>
          <w:rFonts w:hint="eastAsia" w:ascii="宋体" w:hAnsi="宋体" w:eastAsia="宋体" w:cs="宋体"/>
          <w:color w:val="000000" w:themeColor="text1"/>
          <w:sz w:val="24"/>
          <w:szCs w:val="24"/>
          <w:highlight w:val="none"/>
          <w14:textFill>
            <w14:solidFill>
              <w14:schemeClr w14:val="tx1"/>
            </w14:solidFill>
          </w14:textFill>
        </w:rPr>
        <w:t>：见评标办法前附表；</w:t>
      </w:r>
    </w:p>
    <w:p w14:paraId="1C65A689">
      <w:pPr>
        <w:keepNext w:val="0"/>
        <w:keepLines w:val="0"/>
        <w:pageBreakBefore w:val="0"/>
        <w:widowControl w:val="0"/>
        <w:kinsoku/>
        <w:wordWrap/>
        <w:overflowPunct/>
        <w:topLinePunct w:val="0"/>
        <w:autoSpaceDE/>
        <w:autoSpaceDN/>
        <w:bidi w:val="0"/>
        <w:adjustRightInd/>
        <w:snapToGrid/>
        <w:spacing w:line="46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商务部</w:t>
      </w:r>
      <w:r>
        <w:rPr>
          <w:rFonts w:hint="eastAsia" w:ascii="宋体" w:hAnsi="宋体" w:eastAsia="宋体" w:cs="宋体"/>
          <w:color w:val="000000" w:themeColor="text1"/>
          <w:sz w:val="24"/>
          <w:szCs w:val="24"/>
          <w:highlight w:val="none"/>
          <w14:textFill>
            <w14:solidFill>
              <w14:schemeClr w14:val="tx1"/>
            </w14:solidFill>
          </w14:textFill>
        </w:rPr>
        <w:t>分：见评标办法前附表；</w:t>
      </w:r>
    </w:p>
    <w:p w14:paraId="7FBDB765">
      <w:pPr>
        <w:keepNext w:val="0"/>
        <w:keepLines w:val="0"/>
        <w:pageBreakBefore w:val="0"/>
        <w:widowControl w:val="0"/>
        <w:kinsoku/>
        <w:wordWrap/>
        <w:overflowPunct/>
        <w:topLinePunct w:val="0"/>
        <w:autoSpaceDE/>
        <w:autoSpaceDN/>
        <w:bidi w:val="0"/>
        <w:adjustRightInd/>
        <w:snapToGrid/>
        <w:spacing w:line="460" w:lineRule="exact"/>
        <w:ind w:left="-2" w:leftChars="-1"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技术部</w:t>
      </w:r>
      <w:r>
        <w:rPr>
          <w:rFonts w:hint="eastAsia" w:ascii="宋体" w:hAnsi="宋体" w:eastAsia="宋体" w:cs="宋体"/>
          <w:color w:val="000000" w:themeColor="text1"/>
          <w:sz w:val="24"/>
          <w:szCs w:val="24"/>
          <w:highlight w:val="none"/>
          <w14:textFill>
            <w14:solidFill>
              <w14:schemeClr w14:val="tx1"/>
            </w14:solidFill>
          </w14:textFill>
        </w:rPr>
        <w:t>分：见评标办法前附表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705C479">
      <w:pPr>
        <w:pStyle w:val="29"/>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）其他因素部分：</w:t>
      </w:r>
      <w:r>
        <w:rPr>
          <w:rFonts w:hint="eastAsia" w:ascii="宋体" w:hAnsi="宋体" w:eastAsia="宋体" w:cs="宋体"/>
          <w:color w:val="000000" w:themeColor="text1"/>
          <w:sz w:val="24"/>
          <w:szCs w:val="24"/>
          <w:highlight w:val="none"/>
          <w14:textFill>
            <w14:solidFill>
              <w14:schemeClr w14:val="tx1"/>
            </w14:solidFill>
          </w14:textFill>
        </w:rPr>
        <w:t>见评标办法前附表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5B24B6E">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3.评标程序</w:t>
      </w:r>
    </w:p>
    <w:p w14:paraId="60C0DE18">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3.1 初步评审</w:t>
      </w:r>
    </w:p>
    <w:p w14:paraId="68653A30">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 评标委员会可以要求</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提交第二章“</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须知”规定的有关证明和证件的原件，以便核验。评标委员会依据本章第 2.1 款规定的标准对投标文件进行初步评审。有一项不符合评审标准的，评标委员会应当否决其投标。</w:t>
      </w:r>
    </w:p>
    <w:p w14:paraId="29021FDD">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3.1.2 </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有以下情形之一的，评标委员会应当否决其投标：</w:t>
      </w:r>
    </w:p>
    <w:p w14:paraId="1508345E">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（1）投标文件没有对招标文件的实质性要求和条件作出响应，或者对招标文件的偏差超出招标文件规定的偏差范围或最高项数；</w:t>
      </w:r>
    </w:p>
    <w:p w14:paraId="05B58459">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（2）有串通投标、弄虚作假、行贿等违法行为。</w:t>
      </w:r>
    </w:p>
    <w:p w14:paraId="643D2520">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3.2 详细评审</w:t>
      </w:r>
    </w:p>
    <w:p w14:paraId="5654D7BA">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 评标委员会按本章第 2.2 款规定的量化因素和分值进行打分，并计算出综合评估得分。</w:t>
      </w:r>
    </w:p>
    <w:p w14:paraId="4842947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（1）按本章第 2.2.4（1）目规定的评审因素和分值对</w:t>
      </w:r>
      <w:r>
        <w:rPr>
          <w:rFonts w:hint="eastAsia" w:ascii="宋体" w:hAnsi="宋体" w:eastAsia="宋体" w:cs="宋体"/>
          <w:color w:val="000000" w:themeColor="text1"/>
          <w:sz w:val="24"/>
          <w:szCs w:val="24"/>
          <w:lang w:eastAsia="zh-CN"/>
          <w14:textFill>
            <w14:solidFill>
              <w14:schemeClr w14:val="tx1"/>
            </w14:solidFill>
          </w14:textFill>
        </w:rPr>
        <w:t>商务部分</w:t>
      </w:r>
      <w:r>
        <w:rPr>
          <w:rFonts w:hint="eastAsia" w:ascii="宋体" w:hAnsi="宋体" w:eastAsia="宋体" w:cs="宋体"/>
          <w:color w:val="000000" w:themeColor="text1"/>
          <w:sz w:val="24"/>
          <w:szCs w:val="24"/>
          <w14:textFill>
            <w14:solidFill>
              <w14:schemeClr w14:val="tx1"/>
            </w14:solidFill>
          </w14:textFill>
        </w:rPr>
        <w:t>计算出得分 A；</w:t>
      </w:r>
    </w:p>
    <w:p w14:paraId="6DB9873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（2）按本章第 2.2.4（2）目规定的评审因素和分值对</w:t>
      </w:r>
      <w:r>
        <w:rPr>
          <w:rFonts w:hint="eastAsia" w:ascii="宋体" w:hAnsi="宋体" w:eastAsia="宋体" w:cs="宋体"/>
          <w:color w:val="000000" w:themeColor="text1"/>
          <w:sz w:val="24"/>
          <w:szCs w:val="24"/>
          <w:lang w:eastAsia="zh-CN"/>
          <w14:textFill>
            <w14:solidFill>
              <w14:schemeClr w14:val="tx1"/>
            </w14:solidFill>
          </w14:textFill>
        </w:rPr>
        <w:t>技术部</w:t>
      </w:r>
      <w:r>
        <w:rPr>
          <w:rFonts w:hint="eastAsia" w:ascii="宋体" w:hAnsi="宋体" w:eastAsia="宋体" w:cs="宋体"/>
          <w:color w:val="000000" w:themeColor="text1"/>
          <w:sz w:val="24"/>
          <w:szCs w:val="24"/>
          <w14:textFill>
            <w14:solidFill>
              <w14:schemeClr w14:val="tx1"/>
            </w14:solidFill>
          </w14:textFill>
        </w:rPr>
        <w:t>分计算出得分 B；</w:t>
      </w:r>
    </w:p>
    <w:p w14:paraId="5E1C238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（3）按本章第 2.2.4（3）目规定的评审因素和分值对</w:t>
      </w:r>
      <w:r>
        <w:rPr>
          <w:rFonts w:hint="eastAsia" w:ascii="宋体" w:hAnsi="宋体" w:eastAsia="宋体" w:cs="宋体"/>
          <w:color w:val="000000" w:themeColor="text1"/>
          <w:sz w:val="24"/>
          <w:szCs w:val="24"/>
          <w:lang w:eastAsia="zh-CN"/>
          <w14:textFill>
            <w14:solidFill>
              <w14:schemeClr w14:val="tx1"/>
            </w14:solidFill>
          </w14:textFill>
        </w:rPr>
        <w:t>报价部分</w:t>
      </w:r>
      <w:r>
        <w:rPr>
          <w:rFonts w:hint="eastAsia" w:ascii="宋体" w:hAnsi="宋体" w:eastAsia="宋体" w:cs="宋体"/>
          <w:color w:val="000000" w:themeColor="text1"/>
          <w:sz w:val="24"/>
          <w:szCs w:val="24"/>
          <w14:textFill>
            <w14:solidFill>
              <w14:schemeClr w14:val="tx1"/>
            </w14:solidFill>
          </w14:textFill>
        </w:rPr>
        <w:t>计算出得分 C；</w:t>
      </w:r>
    </w:p>
    <w:p w14:paraId="7D1E771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）按本章第 2.2.4（</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）目规定的评审因素和分值对</w:t>
      </w:r>
      <w:r>
        <w:rPr>
          <w:rFonts w:hint="eastAsia" w:ascii="宋体" w:hAnsi="宋体" w:eastAsia="宋体" w:cs="宋体"/>
          <w:color w:val="000000" w:themeColor="text1"/>
          <w:sz w:val="24"/>
          <w:szCs w:val="24"/>
          <w:lang w:eastAsia="zh-CN"/>
          <w14:textFill>
            <w14:solidFill>
              <w14:schemeClr w14:val="tx1"/>
            </w14:solidFill>
          </w14:textFill>
        </w:rPr>
        <w:t>其他部分</w:t>
      </w:r>
      <w:r>
        <w:rPr>
          <w:rFonts w:hint="eastAsia" w:ascii="宋体" w:hAnsi="宋体" w:eastAsia="宋体" w:cs="宋体"/>
          <w:color w:val="000000" w:themeColor="text1"/>
          <w:sz w:val="24"/>
          <w:szCs w:val="24"/>
          <w14:textFill>
            <w14:solidFill>
              <w14:schemeClr w14:val="tx1"/>
            </w14:solidFill>
          </w14:textFill>
        </w:rPr>
        <w:t xml:space="preserve">计算出得分 </w:t>
      </w:r>
      <w:r>
        <w:rPr>
          <w:rFonts w:hint="eastAsia" w:ascii="宋体" w:hAnsi="宋体" w:eastAsia="宋体" w:cs="宋体"/>
          <w:color w:val="000000" w:themeColor="text1"/>
          <w:sz w:val="24"/>
          <w:szCs w:val="24"/>
          <w:lang w:val="en-US" w:eastAsia="zh-CN"/>
          <w14:textFill>
            <w14:solidFill>
              <w14:schemeClr w14:val="tx1"/>
            </w14:solidFill>
          </w14:textFill>
        </w:rPr>
        <w:t>D</w:t>
      </w:r>
      <w:r>
        <w:rPr>
          <w:rFonts w:hint="eastAsia" w:ascii="宋体" w:hAnsi="宋体" w:eastAsia="宋体" w:cs="宋体"/>
          <w:color w:val="000000" w:themeColor="text1"/>
          <w:sz w:val="24"/>
          <w:szCs w:val="24"/>
          <w14:textFill>
            <w14:solidFill>
              <w14:schemeClr w14:val="tx1"/>
            </w14:solidFill>
          </w14:textFill>
        </w:rPr>
        <w:t>；</w:t>
      </w:r>
    </w:p>
    <w:p w14:paraId="5F9A1F6B">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 评分分值计算保留小数点后两位，小数点后第三位“四舍五入”。</w:t>
      </w:r>
    </w:p>
    <w:p w14:paraId="40582BFF">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3.2.3 </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得分=A+B+C</w:t>
      </w:r>
      <w:r>
        <w:rPr>
          <w:rFonts w:hint="eastAsia" w:ascii="宋体" w:hAnsi="宋体" w:eastAsia="宋体" w:cs="宋体"/>
          <w:color w:val="000000" w:themeColor="text1"/>
          <w:sz w:val="24"/>
          <w:szCs w:val="24"/>
          <w:highlight w:val="none"/>
          <w:lang w:val="en-US" w:eastAsia="zh-CN"/>
          <w14:textFill>
            <w14:solidFill>
              <w14:schemeClr w14:val="tx1"/>
            </w14:solidFill>
          </w14:textFill>
        </w:rPr>
        <w:t>+D</w:t>
      </w:r>
      <w:r>
        <w:rPr>
          <w:rFonts w:hint="eastAsia" w:ascii="宋体" w:hAnsi="宋体" w:eastAsia="宋体" w:cs="宋体"/>
          <w:color w:val="000000" w:themeColor="text1"/>
          <w:sz w:val="24"/>
          <w:szCs w:val="24"/>
          <w:highlight w:val="none"/>
          <w14:textFill>
            <w14:solidFill>
              <w14:schemeClr w14:val="tx1"/>
            </w14:solidFill>
          </w14:textFill>
        </w:rPr>
        <w:t>。</w:t>
      </w:r>
    </w:p>
    <w:p w14:paraId="6102FC8B">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3.3 投标文件的澄清</w:t>
      </w:r>
    </w:p>
    <w:p w14:paraId="730BF810">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 在评标过程中，评标委员会可以书面形式要求</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对投标文件中含义不明确、对同类问题表述不一致或者有明显文字和计算错误的内容作必要的澄清、说明或补正。澄清、说明或补正应以书面方式进行。评标委员会不接受</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主动提出的澄清、说明或补正。</w:t>
      </w:r>
    </w:p>
    <w:p w14:paraId="32B81A7D">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3.3.2 澄清、说明或补正不得超出投标文件的范围且不得改变投标文件的实质性内容，并构成投标文件的组成部分。</w:t>
      </w:r>
    </w:p>
    <w:p w14:paraId="6B1F41F2">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3.3.3 评标委员会对</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提交的澄清、说明或补正有疑问的，可以要求</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进一步澄清、说明或补正，直至满足评标委员会的要求。</w:t>
      </w:r>
    </w:p>
    <w:p w14:paraId="4B2DEC87">
      <w:pPr>
        <w:keepNext w:val="0"/>
        <w:keepLines w:val="0"/>
        <w:pageBreakBefore w:val="0"/>
        <w:widowControl w:val="0"/>
        <w:kinsoku/>
        <w:wordWrap/>
        <w:overflowPunct/>
        <w:topLinePunct w:val="0"/>
        <w:bidi w:val="0"/>
        <w:snapToGrid/>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3.4 评标结果</w:t>
      </w:r>
    </w:p>
    <w:p w14:paraId="30721DEB">
      <w:pPr>
        <w:keepNext w:val="0"/>
        <w:keepLines w:val="0"/>
        <w:pageBreakBefore w:val="0"/>
        <w:widowControl w:val="0"/>
        <w:kinsoku/>
        <w:wordWrap/>
        <w:overflowPunct/>
        <w:topLinePunct w:val="0"/>
        <w:bidi w:val="0"/>
        <w:snapToGrid/>
        <w:spacing w:line="46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 除第二章“</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须知”前附表授权直接确定中标人外，评标委员会按照得分由高到低的顺序推荐中标候选人，并标明排序。</w:t>
      </w:r>
    </w:p>
    <w:p w14:paraId="18AE455F">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3.4.2 评标委员会完成评标后，应当向采购人提交书面评标报告和中标候选人名</w:t>
      </w:r>
      <w:r>
        <w:rPr>
          <w:rFonts w:hint="eastAsia" w:ascii="宋体" w:hAnsi="宋体" w:eastAsia="宋体" w:cs="宋体"/>
          <w:color w:val="000000" w:themeColor="text1"/>
          <w:sz w:val="24"/>
          <w:szCs w:val="24"/>
          <w14:textFill>
            <w14:solidFill>
              <w14:schemeClr w14:val="tx1"/>
            </w14:solidFill>
          </w14:textFill>
        </w:rPr>
        <w:t>单</w:t>
      </w:r>
      <w:r>
        <w:rPr>
          <w:rFonts w:hint="eastAsia" w:ascii="宋体" w:hAnsi="宋体" w:eastAsia="宋体" w:cs="宋体"/>
          <w:color w:val="000000" w:themeColor="text1"/>
          <w:sz w:val="24"/>
          <w:szCs w:val="24"/>
          <w:lang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拟中标人名单</w:t>
      </w:r>
      <w:r>
        <w:rPr>
          <w:rFonts w:hint="eastAsia" w:ascii="宋体" w:hAnsi="宋体" w:eastAsia="宋体" w:cs="宋体"/>
          <w:color w:val="000000" w:themeColor="text1"/>
          <w:sz w:val="24"/>
          <w:szCs w:val="24"/>
          <w:highlight w:val="none"/>
          <w14:textFill>
            <w14:solidFill>
              <w14:schemeClr w14:val="tx1"/>
            </w14:solidFill>
          </w14:textFill>
        </w:rPr>
        <w:t>。</w:t>
      </w:r>
    </w:p>
    <w:p w14:paraId="52BF8B04">
      <w:pPr>
        <w:jc w:val="both"/>
        <w:rPr>
          <w:rFonts w:hint="eastAsia" w:ascii="宋体" w:hAnsi="宋体" w:eastAsia="宋体" w:cs="宋体"/>
          <w:b/>
          <w:bCs/>
          <w:color w:val="000000" w:themeColor="text1"/>
          <w:sz w:val="44"/>
          <w:szCs w:val="44"/>
          <w:highlight w:val="none"/>
          <w14:textFill>
            <w14:solidFill>
              <w14:schemeClr w14:val="tx1"/>
            </w14:solidFill>
          </w14:textFill>
        </w:rPr>
      </w:pPr>
      <w:bookmarkStart w:id="165" w:name="_Toc21080"/>
    </w:p>
    <w:p w14:paraId="12336630">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据财政部《关于印发《政府釆购促进中小企业发展管理办法》的通知》（财库〔2020〕 46号） 规定本项目对小型和微型企业产品的价格给予扣除，用扣除后的价格参与评审，但参加本次采购活动的中小企业应当提供本办法规定的《中小企业声明函》。小型、微型企业提供中型企业制造货物的，视同为中型企业。</w:t>
      </w:r>
    </w:p>
    <w:p w14:paraId="1E1A01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pPr>
      <w:bookmarkStart w:id="166" w:name="bookmark350"/>
      <w:bookmarkStart w:id="167" w:name="bookmark348"/>
      <w:bookmarkStart w:id="168" w:name="bookmark349"/>
      <w:r>
        <w:rPr>
          <w:rFonts w:hint="eastAsia" w:asciiTheme="majorEastAsia" w:hAnsiTheme="majorEastAsia" w:eastAsiaTheme="majorEastAsia" w:cstheme="majorEastAsia"/>
          <w:b/>
          <w:bCs/>
          <w:color w:val="000000" w:themeColor="text1"/>
          <w:sz w:val="32"/>
          <w:szCs w:val="32"/>
          <w:highlight w:val="none"/>
          <w14:textFill>
            <w14:solidFill>
              <w14:schemeClr w14:val="tx1"/>
            </w14:solidFill>
          </w14:textFill>
        </w:rPr>
        <w:t>关于印发《政府采购促进中小企业发展管理办法》的通知</w:t>
      </w:r>
      <w:bookmarkEnd w:id="166"/>
      <w:bookmarkEnd w:id="167"/>
      <w:bookmarkEnd w:id="168"/>
    </w:p>
    <w:p w14:paraId="0A00B4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14:textFill>
            <w14:solidFill>
              <w14:schemeClr w14:val="tx1"/>
            </w14:solidFill>
          </w14:textFill>
        </w:rPr>
        <w:t>财库〔2020） 46号</w:t>
      </w:r>
    </w:p>
    <w:p w14:paraId="44839D7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各中央预算单位办公厅（室），各省、自治区、直辖市、计划单列市财政厅（局）、 工业和信息化主管部门，新疆生产建设兵团财政局、工业和信息化主管部门：</w:t>
      </w:r>
    </w:p>
    <w:p w14:paraId="4DB0782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 业发展管理办法》。现印发给你们，请遵照执行。</w:t>
      </w:r>
    </w:p>
    <w:p w14:paraId="54760268">
      <w:pPr>
        <w:spacing w:line="500" w:lineRule="exact"/>
        <w:rPr>
          <w:rFonts w:ascii="宋体" w:hAnsi="宋体" w:cs="宋体"/>
          <w:color w:val="000000" w:themeColor="text1"/>
          <w:sz w:val="24"/>
          <w:szCs w:val="24"/>
          <w:highlight w:val="none"/>
          <w14:textFill>
            <w14:solidFill>
              <w14:schemeClr w14:val="tx1"/>
            </w14:solidFill>
          </w14:textFill>
        </w:rPr>
      </w:pPr>
      <w:bookmarkStart w:id="169" w:name="bookmark351"/>
      <w:bookmarkStart w:id="170" w:name="bookmark353"/>
      <w:bookmarkStart w:id="171" w:name="bookmark352"/>
    </w:p>
    <w:p w14:paraId="1AC50B54">
      <w:pPr>
        <w:spacing w:line="500" w:lineRule="exact"/>
        <w:rPr>
          <w:rFonts w:ascii="宋体" w:hAnsi="宋体" w:cs="宋体"/>
          <w:color w:val="000000" w:themeColor="text1"/>
          <w:sz w:val="28"/>
          <w:szCs w:val="28"/>
          <w:highlight w:val="none"/>
          <w14:textFill>
            <w14:solidFill>
              <w14:schemeClr w14:val="tx1"/>
            </w14:solidFill>
          </w14:textFill>
        </w:rPr>
      </w:pPr>
    </w:p>
    <w:p w14:paraId="3FDAD44C">
      <w:pPr>
        <w:spacing w:line="500" w:lineRule="exact"/>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财政部</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工业和信息化部</w:t>
      </w:r>
      <w:bookmarkEnd w:id="169"/>
      <w:bookmarkEnd w:id="170"/>
      <w:bookmarkEnd w:id="171"/>
    </w:p>
    <w:p w14:paraId="6CD69CDA">
      <w:pPr>
        <w:spacing w:line="500" w:lineRule="exact"/>
        <w:jc w:val="right"/>
        <w:rPr>
          <w:rFonts w:ascii="宋体" w:hAnsi="宋体" w:cs="宋体"/>
          <w:color w:val="000000" w:themeColor="text1"/>
          <w:sz w:val="24"/>
          <w:szCs w:val="24"/>
          <w:highlight w:val="none"/>
          <w14:textFill>
            <w14:solidFill>
              <w14:schemeClr w14:val="tx1"/>
            </w14:solidFill>
          </w14:textFill>
        </w:rPr>
      </w:pPr>
    </w:p>
    <w:p w14:paraId="5C332777">
      <w:pPr>
        <w:spacing w:line="500" w:lineRule="exact"/>
        <w:ind w:firstLine="480" w:firstLineChars="200"/>
        <w:jc w:val="right"/>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2020年12月18日</w:t>
      </w:r>
    </w:p>
    <w:p w14:paraId="7308910E">
      <w:pPr>
        <w:jc w:val="center"/>
        <w:rPr>
          <w:rFonts w:ascii="宋体" w:hAnsi="宋体" w:cs="宋体"/>
          <w:b/>
          <w:bCs/>
          <w:color w:val="000000" w:themeColor="text1"/>
          <w:sz w:val="44"/>
          <w:szCs w:val="44"/>
          <w:highlight w:val="none"/>
          <w14:textFill>
            <w14:solidFill>
              <w14:schemeClr w14:val="tx1"/>
            </w14:solidFill>
          </w14:textFill>
        </w:rPr>
      </w:pPr>
    </w:p>
    <w:p w14:paraId="489C1134">
      <w:pPr>
        <w:jc w:val="center"/>
        <w:rPr>
          <w:rFonts w:ascii="宋体" w:hAnsi="宋体" w:cs="宋体"/>
          <w:b/>
          <w:bCs/>
          <w:color w:val="000000" w:themeColor="text1"/>
          <w:sz w:val="44"/>
          <w:szCs w:val="44"/>
          <w:highlight w:val="none"/>
          <w14:textFill>
            <w14:solidFill>
              <w14:schemeClr w14:val="tx1"/>
            </w14:solidFill>
          </w14:textFill>
        </w:rPr>
      </w:pPr>
    </w:p>
    <w:p w14:paraId="1AAED129">
      <w:pPr>
        <w:jc w:val="center"/>
        <w:rPr>
          <w:rFonts w:ascii="宋体" w:hAnsi="宋体" w:cs="宋体"/>
          <w:b/>
          <w:bCs/>
          <w:color w:val="000000" w:themeColor="text1"/>
          <w:sz w:val="44"/>
          <w:szCs w:val="44"/>
          <w:highlight w:val="none"/>
          <w14:textFill>
            <w14:solidFill>
              <w14:schemeClr w14:val="tx1"/>
            </w14:solidFill>
          </w14:textFill>
        </w:rPr>
      </w:pPr>
    </w:p>
    <w:p w14:paraId="2CE31F01">
      <w:pPr>
        <w:jc w:val="center"/>
        <w:rPr>
          <w:rFonts w:ascii="宋体" w:hAnsi="宋体" w:cs="宋体"/>
          <w:b/>
          <w:bCs/>
          <w:color w:val="000000" w:themeColor="text1"/>
          <w:sz w:val="44"/>
          <w:szCs w:val="44"/>
          <w:highlight w:val="none"/>
          <w14:textFill>
            <w14:solidFill>
              <w14:schemeClr w14:val="tx1"/>
            </w14:solidFill>
          </w14:textFill>
        </w:rPr>
      </w:pPr>
    </w:p>
    <w:p w14:paraId="050D9627">
      <w:pPr>
        <w:jc w:val="center"/>
        <w:rPr>
          <w:rFonts w:ascii="宋体" w:hAnsi="宋体" w:cs="宋体"/>
          <w:b/>
          <w:bCs/>
          <w:color w:val="000000" w:themeColor="text1"/>
          <w:sz w:val="44"/>
          <w:szCs w:val="44"/>
          <w:highlight w:val="none"/>
          <w14:textFill>
            <w14:solidFill>
              <w14:schemeClr w14:val="tx1"/>
            </w14:solidFill>
          </w14:textFill>
        </w:rPr>
      </w:pPr>
    </w:p>
    <w:p w14:paraId="21A502C8">
      <w:pPr>
        <w:pStyle w:val="29"/>
        <w:ind w:left="1303" w:hanging="883"/>
        <w:rPr>
          <w:rFonts w:ascii="宋体" w:hAnsi="宋体" w:cs="宋体"/>
          <w:b/>
          <w:bCs/>
          <w:color w:val="000000" w:themeColor="text1"/>
          <w:sz w:val="44"/>
          <w:szCs w:val="44"/>
          <w:highlight w:val="none"/>
          <w14:textFill>
            <w14:solidFill>
              <w14:schemeClr w14:val="tx1"/>
            </w14:solidFill>
          </w14:textFill>
        </w:rPr>
      </w:pPr>
    </w:p>
    <w:p w14:paraId="4C81F629">
      <w:pPr>
        <w:rPr>
          <w:rFonts w:hint="eastAsia" w:ascii="宋体" w:hAnsi="宋体" w:cs="宋体"/>
          <w:b/>
          <w:bCs/>
          <w:sz w:val="28"/>
          <w:szCs w:val="36"/>
          <w:highlight w:val="none"/>
        </w:rPr>
      </w:pPr>
    </w:p>
    <w:p w14:paraId="1D95CB1B">
      <w:pPr>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br w:type="page"/>
      </w:r>
    </w:p>
    <w:p w14:paraId="40F679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关于进一步加大政府采购支持中小企业力度的通知</w:t>
      </w:r>
    </w:p>
    <w:p w14:paraId="0BB7F2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财库〔2022〕19号</w:t>
      </w:r>
    </w:p>
    <w:p w14:paraId="0448BA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各中央预算单位，各省、自治区、直辖市、计划单列市财政厅（局），新疆生产建设兵团财政局：</w:t>
      </w:r>
    </w:p>
    <w:p w14:paraId="5F4080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F735CC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6437D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201773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661544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四、认真做好组织实施。各地区、各部门应当加强组织领导，明确工作责任，细化执行要求，强化监督检查，确保国务院部署落实到位，对通知执行中出现的问题要及时向财政部报告。</w:t>
      </w:r>
    </w:p>
    <w:p w14:paraId="66C3750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本通知自2022年7月1日起执行。</w:t>
      </w:r>
    </w:p>
    <w:p w14:paraId="219B14B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highlight w:val="none"/>
        </w:rPr>
      </w:pPr>
      <w:r>
        <w:rPr>
          <w:rFonts w:hint="eastAsia" w:ascii="宋体" w:hAnsi="宋体" w:cs="宋体"/>
          <w:highlight w:val="none"/>
        </w:rPr>
        <w:t> </w:t>
      </w:r>
    </w:p>
    <w:p w14:paraId="50488871">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财  政  部</w:t>
      </w:r>
    </w:p>
    <w:p w14:paraId="410B8B60">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2022年5月30日</w:t>
      </w:r>
    </w:p>
    <w:p w14:paraId="2577F084">
      <w:pPr>
        <w:rPr>
          <w:rFonts w:hint="eastAsia" w:ascii="宋体" w:hAnsi="宋体" w:cs="宋体"/>
          <w:b/>
          <w:bCs/>
          <w:sz w:val="28"/>
          <w:szCs w:val="36"/>
          <w:highlight w:val="none"/>
        </w:rPr>
      </w:pPr>
      <w:r>
        <w:rPr>
          <w:rFonts w:hint="eastAsia" w:ascii="宋体" w:hAnsi="宋体" w:cs="宋体"/>
          <w:b/>
          <w:bCs/>
          <w:sz w:val="28"/>
          <w:szCs w:val="36"/>
          <w:highlight w:val="none"/>
        </w:rPr>
        <w:br w:type="page"/>
      </w:r>
    </w:p>
    <w:p w14:paraId="6770E435">
      <w:pPr>
        <w:pStyle w:val="14"/>
        <w:rPr>
          <w:rFonts w:hint="eastAsia"/>
        </w:rPr>
      </w:pPr>
    </w:p>
    <w:p w14:paraId="3EF085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sz w:val="30"/>
          <w:szCs w:val="30"/>
          <w:highlight w:val="none"/>
        </w:rPr>
      </w:pPr>
      <w:r>
        <w:rPr>
          <w:rFonts w:hint="eastAsia" w:asciiTheme="majorEastAsia" w:hAnsiTheme="majorEastAsia" w:eastAsiaTheme="majorEastAsia" w:cstheme="majorEastAsia"/>
          <w:b/>
          <w:bCs/>
          <w:sz w:val="30"/>
          <w:szCs w:val="30"/>
          <w:highlight w:val="none"/>
        </w:rPr>
        <w:t>关于印发《吉林省强化政府采购政策支持中小企业发展落实举措》的通知</w:t>
      </w:r>
    </w:p>
    <w:p w14:paraId="6BA69D6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sz w:val="30"/>
          <w:szCs w:val="30"/>
          <w:highlight w:val="none"/>
        </w:rPr>
      </w:pPr>
      <w:r>
        <w:rPr>
          <w:rFonts w:hint="eastAsia" w:asciiTheme="majorEastAsia" w:hAnsiTheme="majorEastAsia" w:eastAsiaTheme="majorEastAsia" w:cstheme="majorEastAsia"/>
          <w:b/>
          <w:bCs/>
          <w:sz w:val="30"/>
          <w:szCs w:val="30"/>
          <w:highlight w:val="none"/>
        </w:rPr>
        <w:t>吉财采购〔2022〕478号</w:t>
      </w:r>
    </w:p>
    <w:p w14:paraId="0D55A88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各省级主管预算单位，各市（州）、县（市、区）财政局，长白山管委会、长春新区、中韩（长春）国际合作示范区管委会财政局，各政府采购代理机构：</w:t>
      </w:r>
    </w:p>
    <w:p w14:paraId="52D254F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现将《吉林省强化政府采购政策支持中小企业发展落实举措》印发给你们，请遵照执行。</w:t>
      </w:r>
    </w:p>
    <w:p w14:paraId="5D69E07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附件：吉林省强化政府采购政策支持中小企业发展落实举措</w:t>
      </w:r>
    </w:p>
    <w:p w14:paraId="0A454A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w:t>
      </w:r>
    </w:p>
    <w:p w14:paraId="206B8F01">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吉林省财政厅</w:t>
      </w:r>
    </w:p>
    <w:p w14:paraId="1AD82EBE">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2022年6月6日</w:t>
      </w:r>
    </w:p>
    <w:p w14:paraId="03150D0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highlight w:val="none"/>
        </w:rPr>
      </w:pPr>
    </w:p>
    <w:p w14:paraId="0A7E882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附件：</w:t>
      </w:r>
    </w:p>
    <w:p w14:paraId="11AD178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 </w:t>
      </w:r>
    </w:p>
    <w:p w14:paraId="5616BB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吉林省强化政府采购政策支持中小企业发展落实举措</w:t>
      </w:r>
    </w:p>
    <w:p w14:paraId="31A3D9C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 </w:t>
      </w:r>
    </w:p>
    <w:p w14:paraId="01E0531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72ECCB6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一、强化政策落实支持中小企业发展</w:t>
      </w:r>
    </w:p>
    <w:p w14:paraId="59A3CBD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6835E9C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w:t>
      </w:r>
    </w:p>
    <w:p w14:paraId="23D6694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二、提高政府采购项目价格评审优惠幅度</w:t>
      </w:r>
    </w:p>
    <w:p w14:paraId="6080869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2E349E8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三、提高政府采购工程项目预留份额比例</w:t>
      </w:r>
    </w:p>
    <w:p w14:paraId="585AC96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5DE05A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四、降低经营成本提高履约能力</w:t>
      </w:r>
    </w:p>
    <w:p w14:paraId="3C1E435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19FFAE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五、优化政府采购程序推进全流程电子化</w:t>
      </w:r>
    </w:p>
    <w:p w14:paraId="423DEC6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0CB88F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六、加强项目执行管理提升政府采购透明度</w:t>
      </w:r>
    </w:p>
    <w:p w14:paraId="430395E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6F2DBA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60241618">
      <w:pPr>
        <w:jc w:val="center"/>
        <w:rPr>
          <w:rFonts w:hint="eastAsia" w:ascii="宋体" w:hAnsi="宋体" w:eastAsia="宋体" w:cs="宋体"/>
          <w:b/>
          <w:bCs/>
          <w:color w:val="000000" w:themeColor="text1"/>
          <w:sz w:val="44"/>
          <w:szCs w:val="44"/>
          <w:highlight w:val="none"/>
          <w14:textFill>
            <w14:solidFill>
              <w14:schemeClr w14:val="tx1"/>
            </w14:solidFill>
          </w14:textFill>
        </w:rPr>
      </w:pPr>
    </w:p>
    <w:p w14:paraId="0057E5F0">
      <w:pPr>
        <w:widowControl/>
        <w:shd w:val="clear" w:color="auto" w:fill="FFFFFF"/>
        <w:spacing w:line="360" w:lineRule="atLeast"/>
        <w:jc w:val="both"/>
        <w:outlineLvl w:val="1"/>
        <w:rPr>
          <w:rFonts w:hint="eastAsia" w:ascii="宋体" w:hAnsi="宋体" w:eastAsia="宋体" w:cs="宋体"/>
          <w:b/>
          <w:bCs/>
          <w:color w:val="000000" w:themeColor="text1"/>
          <w:sz w:val="36"/>
          <w:szCs w:val="36"/>
          <w14:textFill>
            <w14:solidFill>
              <w14:schemeClr w14:val="tx1"/>
            </w14:solidFill>
          </w14:textFill>
        </w:rPr>
      </w:pPr>
    </w:p>
    <w:p w14:paraId="18FA952B">
      <w:pPr>
        <w:pStyle w:val="14"/>
        <w:rPr>
          <w:rFonts w:hint="eastAsia" w:ascii="宋体" w:hAnsi="宋体" w:eastAsia="宋体" w:cs="宋体"/>
          <w:b/>
          <w:bCs/>
          <w:color w:val="000000" w:themeColor="text1"/>
          <w:sz w:val="36"/>
          <w:szCs w:val="36"/>
          <w14:textFill>
            <w14:solidFill>
              <w14:schemeClr w14:val="tx1"/>
            </w14:solidFill>
          </w14:textFill>
        </w:rPr>
      </w:pPr>
    </w:p>
    <w:p w14:paraId="0E7FEC56">
      <w:pPr>
        <w:widowControl/>
        <w:shd w:val="clear" w:color="auto" w:fill="FFFFFF"/>
        <w:spacing w:line="360" w:lineRule="atLeast"/>
        <w:jc w:val="both"/>
        <w:outlineLvl w:val="1"/>
        <w:rPr>
          <w:rFonts w:hint="eastAsia" w:ascii="宋体" w:hAnsi="宋体" w:eastAsia="宋体" w:cs="宋体"/>
          <w:b/>
          <w:bCs/>
          <w:color w:val="000000" w:themeColor="text1"/>
          <w:sz w:val="36"/>
          <w:szCs w:val="36"/>
          <w14:textFill>
            <w14:solidFill>
              <w14:schemeClr w14:val="tx1"/>
            </w14:solidFill>
          </w14:textFill>
        </w:rPr>
      </w:pPr>
    </w:p>
    <w:p w14:paraId="7F130E93">
      <w:pP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br w:type="page"/>
      </w:r>
    </w:p>
    <w:p w14:paraId="5FD59AC4">
      <w:pPr>
        <w:widowControl/>
        <w:shd w:val="clear" w:color="auto" w:fill="FFFFFF"/>
        <w:spacing w:line="360" w:lineRule="atLeast"/>
        <w:jc w:val="center"/>
        <w:outlineLvl w:val="1"/>
        <w:rPr>
          <w:rFonts w:hint="eastAsia" w:ascii="宋体" w:hAnsi="宋体" w:eastAsia="宋体" w:cs="宋体"/>
          <w:b/>
          <w:bCs/>
          <w:color w:val="000000" w:themeColor="text1"/>
          <w:sz w:val="36"/>
          <w:szCs w:val="36"/>
          <w14:textFill>
            <w14:solidFill>
              <w14:schemeClr w14:val="tx1"/>
            </w14:solidFill>
          </w14:textFill>
        </w:rPr>
      </w:pPr>
    </w:p>
    <w:p w14:paraId="10953971">
      <w:pPr>
        <w:widowControl/>
        <w:shd w:val="clear" w:color="auto" w:fill="FFFFFF"/>
        <w:spacing w:line="360" w:lineRule="atLeast"/>
        <w:jc w:val="center"/>
        <w:outlineLvl w:val="1"/>
        <w:rPr>
          <w:rFonts w:hint="eastAsia" w:ascii="宋体" w:hAnsi="宋体" w:eastAsia="宋体" w:cs="宋体"/>
          <w:b/>
          <w:bCs/>
          <w:color w:val="000000" w:themeColor="text1"/>
          <w:sz w:val="36"/>
          <w:szCs w:val="36"/>
          <w14:textFill>
            <w14:solidFill>
              <w14:schemeClr w14:val="tx1"/>
            </w14:solidFill>
          </w14:textFill>
        </w:rPr>
      </w:pPr>
    </w:p>
    <w:p w14:paraId="6F8AA182">
      <w:pPr>
        <w:widowControl/>
        <w:shd w:val="clear" w:color="auto" w:fill="FFFFFF"/>
        <w:spacing w:line="360" w:lineRule="atLeast"/>
        <w:jc w:val="center"/>
        <w:outlineLvl w:val="1"/>
        <w:rPr>
          <w:rFonts w:hint="eastAsia" w:ascii="宋体" w:hAnsi="宋体" w:eastAsia="宋体" w:cs="宋体"/>
          <w:b/>
          <w:bCs/>
          <w:color w:val="000000" w:themeColor="text1"/>
          <w:sz w:val="36"/>
          <w:szCs w:val="36"/>
          <w14:textFill>
            <w14:solidFill>
              <w14:schemeClr w14:val="tx1"/>
            </w14:solidFill>
          </w14:textFill>
        </w:rPr>
      </w:pPr>
    </w:p>
    <w:p w14:paraId="40EA0993">
      <w:pPr>
        <w:widowControl/>
        <w:shd w:val="clear" w:color="auto" w:fill="FFFFFF"/>
        <w:spacing w:line="360" w:lineRule="atLeast"/>
        <w:jc w:val="center"/>
        <w:outlineLvl w:val="1"/>
        <w:rPr>
          <w:rFonts w:hint="eastAsia" w:ascii="宋体" w:hAnsi="宋体" w:eastAsia="宋体" w:cs="宋体"/>
          <w:b/>
          <w:bCs/>
          <w:color w:val="000000" w:themeColor="text1"/>
          <w:sz w:val="36"/>
          <w:szCs w:val="36"/>
          <w14:textFill>
            <w14:solidFill>
              <w14:schemeClr w14:val="tx1"/>
            </w14:solidFill>
          </w14:textFill>
        </w:rPr>
      </w:pPr>
    </w:p>
    <w:p w14:paraId="664535EB">
      <w:pPr>
        <w:widowControl/>
        <w:shd w:val="clear" w:color="auto" w:fill="FFFFFF"/>
        <w:spacing w:line="360" w:lineRule="atLeast"/>
        <w:jc w:val="center"/>
        <w:outlineLvl w:val="1"/>
        <w:rPr>
          <w:rFonts w:hint="eastAsia"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第二轮磋商报价（最终报价）格式</w:t>
      </w:r>
      <w:bookmarkEnd w:id="159"/>
      <w:bookmarkEnd w:id="165"/>
    </w:p>
    <w:p w14:paraId="2AAB66A6">
      <w:pPr>
        <w:widowControl/>
        <w:shd w:val="clear" w:color="auto" w:fill="FFFFFF"/>
        <w:spacing w:line="360"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52"/>
          <w:szCs w:val="52"/>
          <w14:textFill>
            <w14:solidFill>
              <w14:schemeClr w14:val="tx1"/>
            </w14:solidFill>
          </w14:textFill>
        </w:rPr>
        <w:br w:type="page"/>
      </w:r>
    </w:p>
    <w:bookmarkEnd w:id="160"/>
    <w:bookmarkEnd w:id="161"/>
    <w:bookmarkEnd w:id="162"/>
    <w:p w14:paraId="1DF43D66">
      <w:pPr>
        <w:widowControl/>
        <w:autoSpaceDE w:val="0"/>
        <w:autoSpaceDN w:val="0"/>
        <w:adjustRightInd w:val="0"/>
        <w:jc w:val="right"/>
        <w:rPr>
          <w:rFonts w:hint="eastAsia" w:ascii="宋体" w:hAnsi="宋体" w:eastAsia="宋体" w:cs="宋体"/>
          <w:color w:val="000000" w:themeColor="text1"/>
          <w:sz w:val="30"/>
          <w:szCs w:val="30"/>
          <w:highlight w:val="none"/>
          <w14:textFill>
            <w14:solidFill>
              <w14:schemeClr w14:val="tx1"/>
            </w14:solidFill>
          </w14:textFill>
        </w:rPr>
      </w:pPr>
      <w:bookmarkStart w:id="172" w:name="_Toc15294"/>
      <w:bookmarkStart w:id="173" w:name="_Toc466466381"/>
      <w:bookmarkStart w:id="174" w:name="_Toc465257486"/>
      <w:bookmarkStart w:id="175" w:name="_Toc466454737"/>
      <w:bookmarkStart w:id="176" w:name="_Toc20913"/>
      <w:bookmarkStart w:id="177" w:name="_Toc5590"/>
      <w:r>
        <w:rPr>
          <w:rFonts w:hint="eastAsia" w:ascii="宋体" w:hAnsi="宋体" w:eastAsia="宋体" w:cs="宋体"/>
          <w:bCs/>
          <w:color w:val="000000" w:themeColor="text1"/>
          <w:kern w:val="0"/>
          <w:sz w:val="30"/>
          <w:szCs w:val="30"/>
          <w:highlight w:val="none"/>
          <w14:textFill>
            <w14:solidFill>
              <w14:schemeClr w14:val="tx1"/>
            </w14:solidFill>
          </w14:textFill>
        </w:rPr>
        <w:t>正本或副本</w:t>
      </w:r>
    </w:p>
    <w:p w14:paraId="438C7E8E">
      <w:pPr>
        <w:widowControl/>
        <w:shd w:val="clear" w:color="auto" w:fill="FFFFFF"/>
        <w:spacing w:line="360" w:lineRule="atLeast"/>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第二轮磋商报价（最终报价）</w:t>
      </w:r>
    </w:p>
    <w:p w14:paraId="6E0B5DF3">
      <w:pPr>
        <w:spacing w:before="312" w:beforeLines="100" w:after="312" w:afterLines="100" w:line="5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w:t>
      </w:r>
      <w:r>
        <w:rPr>
          <w:rFonts w:hint="eastAsia" w:ascii="宋体" w:hAnsi="宋体" w:eastAsia="宋体" w:cs="宋体"/>
          <w:b w:val="0"/>
          <w:bCs w:val="0"/>
          <w:color w:val="000000" w:themeColor="text1"/>
          <w:sz w:val="24"/>
          <w:szCs w:val="24"/>
          <w:highlight w:val="none"/>
          <w14:textFill>
            <w14:solidFill>
              <w14:schemeClr w14:val="tx1"/>
            </w14:solidFill>
          </w14:textFill>
        </w:rPr>
        <w:t>目名称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w:t>
      </w:r>
    </w:p>
    <w:p w14:paraId="3CC4C315">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3919C8D">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bl>
      <w:tblPr>
        <w:tblStyle w:val="36"/>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3272"/>
        <w:gridCol w:w="1983"/>
        <w:gridCol w:w="1896"/>
      </w:tblGrid>
      <w:tr w14:paraId="30A0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41" w:type="dxa"/>
            <w:noWrap w:val="0"/>
            <w:vAlign w:val="center"/>
          </w:tcPr>
          <w:p w14:paraId="40D1EA3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p>
        </w:tc>
        <w:tc>
          <w:tcPr>
            <w:tcW w:w="3272" w:type="dxa"/>
            <w:noWrap w:val="0"/>
            <w:vAlign w:val="center"/>
          </w:tcPr>
          <w:p w14:paraId="125E70F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磋商报价（元）</w:t>
            </w:r>
          </w:p>
        </w:tc>
        <w:tc>
          <w:tcPr>
            <w:tcW w:w="1983" w:type="dxa"/>
            <w:noWrap w:val="0"/>
            <w:vAlign w:val="center"/>
          </w:tcPr>
          <w:p w14:paraId="071C0F8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合同履行期限</w:t>
            </w:r>
          </w:p>
        </w:tc>
        <w:tc>
          <w:tcPr>
            <w:tcW w:w="1896" w:type="dxa"/>
            <w:noWrap w:val="0"/>
            <w:vAlign w:val="center"/>
          </w:tcPr>
          <w:p w14:paraId="704E312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质量要求</w:t>
            </w:r>
          </w:p>
        </w:tc>
      </w:tr>
      <w:tr w14:paraId="3646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41" w:type="dxa"/>
            <w:vMerge w:val="restart"/>
            <w:noWrap w:val="0"/>
            <w:vAlign w:val="center"/>
          </w:tcPr>
          <w:p w14:paraId="40A6CAFB">
            <w:pPr>
              <w:keepNext w:val="0"/>
              <w:keepLines w:val="0"/>
              <w:suppressLineNumbers w:val="0"/>
              <w:spacing w:before="0" w:beforeAutospacing="0" w:after="0" w:afterAutospacing="0" w:line="460" w:lineRule="exact"/>
              <w:ind w:left="57" w:right="57" w:firstLine="57"/>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3272" w:type="dxa"/>
            <w:noWrap w:val="0"/>
            <w:vAlign w:val="center"/>
          </w:tcPr>
          <w:p w14:paraId="01E35377">
            <w:pPr>
              <w:keepNext w:val="0"/>
              <w:keepLines w:val="0"/>
              <w:suppressLineNumbers w:val="0"/>
              <w:spacing w:before="0" w:beforeAutospacing="0" w:after="0" w:afterAutospacing="0" w:line="0" w:lineRule="atLeas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大写：</w:t>
            </w:r>
          </w:p>
        </w:tc>
        <w:tc>
          <w:tcPr>
            <w:tcW w:w="1983" w:type="dxa"/>
            <w:vMerge w:val="restart"/>
            <w:noWrap w:val="0"/>
            <w:vAlign w:val="center"/>
          </w:tcPr>
          <w:p w14:paraId="38347C26">
            <w:pPr>
              <w:keepNext w:val="0"/>
              <w:keepLines w:val="0"/>
              <w:suppressLineNumbers w:val="0"/>
              <w:spacing w:before="0" w:beforeAutospacing="0" w:after="0" w:afterAutospacing="0" w:line="460" w:lineRule="exact"/>
              <w:ind w:left="57" w:right="57" w:firstLine="57"/>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896" w:type="dxa"/>
            <w:vMerge w:val="restart"/>
            <w:noWrap w:val="0"/>
            <w:vAlign w:val="center"/>
          </w:tcPr>
          <w:p w14:paraId="31B13741">
            <w:pPr>
              <w:keepNext w:val="0"/>
              <w:keepLines w:val="0"/>
              <w:suppressLineNumbers w:val="0"/>
              <w:spacing w:before="0" w:beforeAutospacing="0" w:after="0" w:afterAutospacing="0" w:line="460" w:lineRule="exact"/>
              <w:ind w:left="57" w:right="57" w:firstLine="57"/>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0270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41" w:type="dxa"/>
            <w:vMerge w:val="continue"/>
            <w:noWrap w:val="0"/>
            <w:vAlign w:val="center"/>
          </w:tcPr>
          <w:p w14:paraId="704BE822">
            <w:pPr>
              <w:keepNext w:val="0"/>
              <w:keepLines w:val="0"/>
              <w:suppressLineNumbers w:val="0"/>
              <w:spacing w:before="0" w:beforeAutospacing="0" w:after="0" w:afterAutospacing="0" w:line="460" w:lineRule="exact"/>
              <w:ind w:left="57" w:right="57" w:firstLine="57"/>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3272" w:type="dxa"/>
            <w:noWrap w:val="0"/>
            <w:vAlign w:val="center"/>
          </w:tcPr>
          <w:p w14:paraId="733E841A">
            <w:pPr>
              <w:keepNext w:val="0"/>
              <w:keepLines w:val="0"/>
              <w:suppressLineNumbers w:val="0"/>
              <w:spacing w:before="0" w:beforeAutospacing="0" w:after="0" w:afterAutospacing="0" w:line="0" w:lineRule="atLeas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小写：</w:t>
            </w:r>
          </w:p>
        </w:tc>
        <w:tc>
          <w:tcPr>
            <w:tcW w:w="1983" w:type="dxa"/>
            <w:vMerge w:val="continue"/>
            <w:noWrap w:val="0"/>
            <w:vAlign w:val="center"/>
          </w:tcPr>
          <w:p w14:paraId="68AFB0ED">
            <w:pPr>
              <w:keepNext w:val="0"/>
              <w:keepLines w:val="0"/>
              <w:suppressLineNumbers w:val="0"/>
              <w:spacing w:before="0" w:beforeAutospacing="0" w:after="0" w:afterAutospacing="0" w:line="460" w:lineRule="exact"/>
              <w:ind w:left="57" w:right="57" w:firstLine="57"/>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896" w:type="dxa"/>
            <w:vMerge w:val="continue"/>
            <w:noWrap w:val="0"/>
            <w:vAlign w:val="center"/>
          </w:tcPr>
          <w:p w14:paraId="777A19C2">
            <w:pPr>
              <w:keepNext w:val="0"/>
              <w:keepLines w:val="0"/>
              <w:suppressLineNumbers w:val="0"/>
              <w:spacing w:before="0" w:beforeAutospacing="0" w:after="0" w:afterAutospacing="0" w:line="460" w:lineRule="exact"/>
              <w:ind w:left="57" w:right="57" w:firstLine="57"/>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3153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41" w:type="dxa"/>
            <w:noWrap w:val="0"/>
            <w:vAlign w:val="center"/>
          </w:tcPr>
          <w:p w14:paraId="09D4A3B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7151" w:type="dxa"/>
            <w:gridSpan w:val="3"/>
            <w:noWrap w:val="0"/>
            <w:vAlign w:val="center"/>
          </w:tcPr>
          <w:p w14:paraId="5A3CBF0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报价中包含利润、管理费、税金及合同包含的所有风险、责任等各项应有费用。</w:t>
            </w:r>
          </w:p>
        </w:tc>
      </w:tr>
    </w:tbl>
    <w:p w14:paraId="3B9010D0">
      <w:pPr>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4821DEB">
      <w:pPr>
        <w:keepNext w:val="0"/>
        <w:keepLines w:val="0"/>
        <w:pageBreakBefore w:val="0"/>
        <w:kinsoku/>
        <w:wordWrap/>
        <w:overflowPunct/>
        <w:topLinePunct w:val="0"/>
        <w:autoSpaceDE w:val="0"/>
        <w:autoSpaceDN w:val="0"/>
        <w:bidi w:val="0"/>
        <w:adjustRightInd w:val="0"/>
        <w:snapToGrid/>
        <w:spacing w:line="360" w:lineRule="auto"/>
        <w:ind w:firstLine="480" w:firstLineChars="200"/>
        <w:jc w:val="righ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供应商名称：</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(盖单位公章)</w:t>
      </w:r>
    </w:p>
    <w:p w14:paraId="6969C5F3">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7CA6495F">
      <w:pPr>
        <w:keepNext w:val="0"/>
        <w:keepLines w:val="0"/>
        <w:pageBreakBefore w:val="0"/>
        <w:kinsoku/>
        <w:wordWrap/>
        <w:overflowPunct/>
        <w:topLinePunct w:val="0"/>
        <w:autoSpaceDE w:val="0"/>
        <w:autoSpaceDN w:val="0"/>
        <w:bidi w:val="0"/>
        <w:adjustRightInd w:val="0"/>
        <w:snapToGrid/>
        <w:spacing w:line="360" w:lineRule="auto"/>
        <w:ind w:firstLine="480" w:firstLineChars="200"/>
        <w:jc w:val="righ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(签</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字)</w:t>
      </w:r>
    </w:p>
    <w:p w14:paraId="4F132C46">
      <w:pPr>
        <w:keepNext w:val="0"/>
        <w:keepLines w:val="0"/>
        <w:pageBreakBefore w:val="0"/>
        <w:kinsoku/>
        <w:wordWrap/>
        <w:overflowPunct/>
        <w:topLinePunct w:val="0"/>
        <w:autoSpaceDE w:val="0"/>
        <w:autoSpaceDN w:val="0"/>
        <w:bidi w:val="0"/>
        <w:adjustRightInd w:val="0"/>
        <w:snapToGrid/>
        <w:spacing w:line="360" w:lineRule="auto"/>
        <w:ind w:firstLine="240" w:firstLineChars="100"/>
        <w:jc w:val="left"/>
        <w:textAlignment w:val="auto"/>
        <w:rPr>
          <w:rFonts w:hint="eastAsia" w:ascii="宋体" w:hAnsi="宋体" w:eastAsia="宋体" w:cs="宋体"/>
          <w:color w:val="000000" w:themeColor="text1"/>
          <w:sz w:val="24"/>
          <w:szCs w:val="24"/>
          <w:highlight w:val="none"/>
          <w:u w:val="single"/>
          <w:lang w:val="zh-CN"/>
          <w14:textFill>
            <w14:solidFill>
              <w14:schemeClr w14:val="tx1"/>
            </w14:solidFill>
          </w14:textFill>
        </w:rPr>
      </w:pPr>
    </w:p>
    <w:p w14:paraId="4F260011">
      <w:pPr>
        <w:keepNext w:val="0"/>
        <w:keepLines w:val="0"/>
        <w:pageBreakBefore w:val="0"/>
        <w:kinsoku/>
        <w:wordWrap/>
        <w:overflowPunct/>
        <w:topLinePunct w:val="0"/>
        <w:autoSpaceDE w:val="0"/>
        <w:autoSpaceDN w:val="0"/>
        <w:bidi w:val="0"/>
        <w:adjustRightInd w:val="0"/>
        <w:snapToGrid/>
        <w:spacing w:line="360" w:lineRule="auto"/>
        <w:ind w:firstLine="1800" w:firstLineChars="750"/>
        <w:jc w:val="righ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日</w:t>
      </w:r>
    </w:p>
    <w:p w14:paraId="4D7EB89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第二轮报价说明：</w:t>
      </w:r>
    </w:p>
    <w:p w14:paraId="78F2165A">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1.通过初步评审的磋商单位将被要求提供最终报价表，本磋商报价表（最终报价）不附在响应文件内，磋商申请人应依据磋商情况进行本表格的填报。</w:t>
      </w:r>
    </w:p>
    <w:p w14:paraId="6C75C203">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2.参与磋商的供应商应</w:t>
      </w:r>
      <w:r>
        <w:rPr>
          <w:rFonts w:hint="eastAsia" w:ascii="宋体" w:hAnsi="宋体" w:eastAsia="宋体" w:cs="宋体"/>
          <w:b/>
          <w:color w:val="000000" w:themeColor="text1"/>
          <w:sz w:val="24"/>
          <w:szCs w:val="24"/>
          <w:highlight w:val="none"/>
          <w14:textFill>
            <w14:solidFill>
              <w14:schemeClr w14:val="tx1"/>
            </w14:solidFill>
          </w14:textFill>
        </w:rPr>
        <w:t>提前准备第二轮磋商报价（最终报价表</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格式同第一轮报价），不附在首次响应文件内，单独手持，并在指定位置应事先签字加盖公章</w:t>
      </w:r>
      <w:r>
        <w:rPr>
          <w:rFonts w:hint="eastAsia" w:ascii="宋体" w:hAnsi="宋体" w:eastAsia="宋体" w:cs="宋体"/>
          <w:b/>
          <w:color w:val="000000" w:themeColor="text1"/>
          <w:sz w:val="24"/>
          <w:szCs w:val="24"/>
          <w:highlight w:val="none"/>
          <w:lang w:eastAsia="zh-CN"/>
          <w14:textFill>
            <w14:solidFill>
              <w14:schemeClr w14:val="tx1"/>
            </w14:solidFill>
          </w14:textFill>
        </w:rPr>
        <w:t>到现场填写</w:t>
      </w:r>
      <w:r>
        <w:rPr>
          <w:rFonts w:hint="eastAsia" w:ascii="宋体" w:hAnsi="宋体" w:eastAsia="宋体" w:cs="宋体"/>
          <w:b/>
          <w:color w:val="000000" w:themeColor="text1"/>
          <w:sz w:val="24"/>
          <w:szCs w:val="24"/>
          <w:highlight w:val="none"/>
          <w14:textFill>
            <w14:solidFill>
              <w14:schemeClr w14:val="tx1"/>
            </w14:solidFill>
          </w14:textFill>
        </w:rPr>
        <w:t>，份数为1正</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副，作为响应文件的组成部分。</w:t>
      </w:r>
    </w:p>
    <w:p w14:paraId="3080ED1B">
      <w:pPr>
        <w:pStyle w:val="29"/>
        <w:keepNext w:val="0"/>
        <w:keepLines w:val="0"/>
        <w:pageBreakBefore w:val="0"/>
        <w:kinsoku/>
        <w:wordWrap/>
        <w:overflowPunct/>
        <w:topLinePunct w:val="0"/>
        <w:autoSpaceDE/>
        <w:autoSpaceDN/>
        <w:bidi w:val="0"/>
        <w:adjustRightInd/>
        <w:snapToGrid/>
        <w:spacing w:line="360" w:lineRule="exact"/>
        <w:ind w:left="0" w:leftChars="0"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3.参加磋商的供应商最终报价不得高于其首轮报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rPr>
        <w:t>供应商在第二轮磋商报价 (最终报价) 时须以磋商报价明细表形式向采购人提供磋商报价明细</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，格式同第一轮报价。</w:t>
      </w:r>
    </w:p>
    <w:p w14:paraId="33B90E3E">
      <w:pPr>
        <w:rPr>
          <w:rFonts w:hint="eastAsia" w:ascii="宋体" w:hAnsi="宋体" w:eastAsia="宋体" w:cs="宋体"/>
          <w:color w:val="000000" w:themeColor="text1"/>
          <w:sz w:val="24"/>
          <w:szCs w:val="24"/>
          <w:highlight w:val="none"/>
          <w:lang w:eastAsia="zh-CN"/>
          <w14:textFill>
            <w14:solidFill>
              <w14:schemeClr w14:val="tx1"/>
            </w14:solidFill>
          </w14:textFill>
        </w:rPr>
      </w:pPr>
    </w:p>
    <w:p w14:paraId="11A420AA">
      <w:pPr>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bookmarkStart w:id="178" w:name="_Toc339"/>
      <w:bookmarkStart w:id="179" w:name="_Toc151"/>
      <w:bookmarkStart w:id="180" w:name="_Toc12514"/>
      <w:bookmarkStart w:id="181" w:name="_Toc20577"/>
      <w:bookmarkStart w:id="182" w:name="_Toc10450"/>
      <w:r>
        <w:rPr>
          <w:rFonts w:hint="eastAsia" w:ascii="宋体" w:hAnsi="宋体" w:eastAsia="宋体" w:cs="宋体"/>
          <w:b/>
          <w:bCs/>
          <w:color w:val="000000" w:themeColor="text1"/>
          <w:sz w:val="36"/>
          <w:szCs w:val="36"/>
          <w:highlight w:val="none"/>
          <w:lang w:val="en-US" w:eastAsia="zh-CN"/>
          <w14:textFill>
            <w14:solidFill>
              <w14:schemeClr w14:val="tx1"/>
            </w14:solidFill>
          </w14:textFill>
        </w:rPr>
        <w:br w:type="page"/>
      </w:r>
    </w:p>
    <w:p w14:paraId="60383DFF">
      <w:pPr>
        <w:pStyle w:val="2"/>
        <w:numPr>
          <w:ilvl w:val="0"/>
          <w:numId w:val="0"/>
        </w:numPr>
        <w:spacing w:before="0" w:after="0" w:line="24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第四章 政府采购合同书</w:t>
      </w:r>
      <w:r>
        <w:rPr>
          <w:rFonts w:hint="eastAsia" w:ascii="宋体" w:hAnsi="宋体" w:eastAsia="宋体" w:cs="宋体"/>
          <w:b/>
          <w:bCs/>
          <w:color w:val="000000" w:themeColor="text1"/>
          <w:sz w:val="36"/>
          <w:szCs w:val="36"/>
          <w:highlight w:val="none"/>
          <w14:textFill>
            <w14:solidFill>
              <w14:schemeClr w14:val="tx1"/>
            </w14:solidFill>
          </w14:textFill>
        </w:rPr>
        <w:t>格式及条款</w:t>
      </w:r>
      <w:bookmarkEnd w:id="178"/>
      <w:bookmarkEnd w:id="179"/>
      <w:bookmarkEnd w:id="180"/>
      <w:bookmarkEnd w:id="181"/>
      <w:bookmarkEnd w:id="182"/>
    </w:p>
    <w:p w14:paraId="1646C7C6">
      <w:pPr>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（以双方签订实际合同</w:t>
      </w:r>
      <w:r>
        <w:rPr>
          <w:rFonts w:hint="eastAsia" w:ascii="宋体" w:hAnsi="宋体" w:eastAsia="宋体" w:cs="宋体"/>
          <w:b/>
          <w:color w:val="000000" w:themeColor="text1"/>
          <w:sz w:val="32"/>
          <w:highlight w:val="none"/>
          <w:lang w:val="en-US" w:eastAsia="zh-CN"/>
          <w14:textFill>
            <w14:solidFill>
              <w14:schemeClr w14:val="tx1"/>
            </w14:solidFill>
          </w14:textFill>
        </w:rPr>
        <w:t>书格式</w:t>
      </w:r>
      <w:r>
        <w:rPr>
          <w:rFonts w:hint="eastAsia" w:ascii="宋体" w:hAnsi="宋体" w:eastAsia="宋体" w:cs="宋体"/>
          <w:b/>
          <w:color w:val="000000" w:themeColor="text1"/>
          <w:sz w:val="32"/>
          <w:highlight w:val="none"/>
          <w:lang w:eastAsia="zh-CN"/>
          <w14:textFill>
            <w14:solidFill>
              <w14:schemeClr w14:val="tx1"/>
            </w14:solidFill>
          </w14:textFill>
        </w:rPr>
        <w:t>、</w:t>
      </w:r>
      <w:r>
        <w:rPr>
          <w:rFonts w:hint="eastAsia" w:ascii="宋体" w:hAnsi="宋体" w:eastAsia="宋体" w:cs="宋体"/>
          <w:b/>
          <w:color w:val="000000" w:themeColor="text1"/>
          <w:sz w:val="32"/>
          <w:highlight w:val="none"/>
          <w:lang w:val="en-US" w:eastAsia="zh-CN"/>
          <w14:textFill>
            <w14:solidFill>
              <w14:schemeClr w14:val="tx1"/>
            </w14:solidFill>
          </w14:textFill>
        </w:rPr>
        <w:t>条款</w:t>
      </w:r>
      <w:r>
        <w:rPr>
          <w:rFonts w:hint="eastAsia" w:ascii="宋体" w:hAnsi="宋体" w:eastAsia="宋体" w:cs="宋体"/>
          <w:b/>
          <w:color w:val="000000" w:themeColor="text1"/>
          <w:sz w:val="32"/>
          <w:highlight w:val="none"/>
          <w14:textFill>
            <w14:solidFill>
              <w14:schemeClr w14:val="tx1"/>
            </w14:solidFill>
          </w14:textFill>
        </w:rPr>
        <w:t>为准）</w:t>
      </w:r>
    </w:p>
    <w:p w14:paraId="2D36E49E">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eastAsia" w:ascii="宋体" w:hAnsi="宋体" w:eastAsia="宋体" w:cs="宋体"/>
          <w:color w:val="000000" w:themeColor="text1"/>
          <w:sz w:val="36"/>
          <w:szCs w:val="36"/>
          <w:highlight w:val="none"/>
          <w:lang w:val="zh-CN"/>
          <w14:textFill>
            <w14:solidFill>
              <w14:schemeClr w14:val="tx1"/>
            </w14:solidFill>
          </w14:textFill>
        </w:rPr>
      </w:pPr>
      <w:bookmarkStart w:id="183" w:name="_Toc19871"/>
      <w:bookmarkStart w:id="184" w:name="_Toc2421"/>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第一节 </w:t>
      </w:r>
      <w:r>
        <w:rPr>
          <w:rFonts w:hint="eastAsia" w:ascii="宋体" w:hAnsi="宋体" w:eastAsia="宋体" w:cs="宋体"/>
          <w:b/>
          <w:bCs/>
          <w:color w:val="000000" w:themeColor="text1"/>
          <w:sz w:val="32"/>
          <w:szCs w:val="32"/>
          <w:highlight w:val="none"/>
          <w:lang w:val="zh-CN"/>
          <w14:textFill>
            <w14:solidFill>
              <w14:schemeClr w14:val="tx1"/>
            </w14:solidFill>
          </w14:textFill>
        </w:rPr>
        <w:t>政府采购合同书格式</w:t>
      </w:r>
      <w:bookmarkEnd w:id="183"/>
      <w:bookmarkEnd w:id="184"/>
    </w:p>
    <w:p w14:paraId="1682BE99">
      <w:pPr>
        <w:autoSpaceDE w:val="0"/>
        <w:autoSpaceDN w:val="0"/>
        <w:adjustRightInd w:val="0"/>
        <w:spacing w:line="360" w:lineRule="auto"/>
        <w:ind w:firstLine="1205" w:firstLineChars="500"/>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合同编号：</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F225215">
      <w:pPr>
        <w:autoSpaceDE w:val="0"/>
        <w:autoSpaceDN w:val="0"/>
        <w:adjustRightInd w:val="0"/>
        <w:spacing w:line="360" w:lineRule="auto"/>
        <w:ind w:firstLine="1205" w:firstLineChars="500"/>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签订地点：</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449B4A7">
      <w:pPr>
        <w:autoSpaceDE w:val="0"/>
        <w:autoSpaceDN w:val="0"/>
        <w:adjustRightInd w:val="0"/>
        <w:spacing w:line="360" w:lineRule="auto"/>
        <w:ind w:firstLine="1205" w:firstLineChars="5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签订日期：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日 </w:t>
      </w:r>
    </w:p>
    <w:p w14:paraId="78310234">
      <w:pPr>
        <w:autoSpaceDE w:val="0"/>
        <w:autoSpaceDN w:val="0"/>
        <w:adjustRightInd w:val="0"/>
        <w:spacing w:line="360" w:lineRule="auto"/>
        <w:ind w:firstLine="1205" w:firstLineChars="500"/>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采购任务通知书编号：</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14:paraId="287131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（需方）需求的</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（项目名称）经</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以编号为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的采购文件在国内公开招标，评标委员会评定（供方）为中标供应商。供需双方按照《中华人民共和国</w:t>
      </w:r>
      <w:r>
        <w:rPr>
          <w:rFonts w:hint="eastAsia" w:ascii="宋体" w:hAnsi="宋体" w:eastAsia="宋体" w:cs="宋体"/>
          <w:color w:val="000000" w:themeColor="text1"/>
          <w:sz w:val="24"/>
          <w:szCs w:val="24"/>
          <w:highlight w:val="none"/>
          <w:lang w:val="en-US" w:eastAsia="zh-CN"/>
          <w14:textFill>
            <w14:solidFill>
              <w14:schemeClr w14:val="tx1"/>
            </w14:solidFill>
          </w14:textFill>
        </w:rPr>
        <w:t>民法典</w:t>
      </w:r>
      <w:r>
        <w:rPr>
          <w:rFonts w:hint="eastAsia" w:ascii="宋体" w:hAnsi="宋体" w:eastAsia="宋体" w:cs="宋体"/>
          <w:color w:val="000000" w:themeColor="text1"/>
          <w:sz w:val="24"/>
          <w:szCs w:val="24"/>
          <w:highlight w:val="none"/>
          <w:lang w:val="zh-CN"/>
          <w14:textFill>
            <w14:solidFill>
              <w14:schemeClr w14:val="tx1"/>
            </w14:solidFill>
          </w14:textFill>
        </w:rPr>
        <w:t>》和有关法律法规，遵循平等、自愿、公平和诚实信用原则，同意按照下面的条款和条件订立本合同，共同信守。</w:t>
      </w:r>
    </w:p>
    <w:p w14:paraId="47DAFE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1.合同标的</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p>
    <w:tbl>
      <w:tblPr>
        <w:tblStyle w:val="36"/>
        <w:tblW w:w="0" w:type="auto"/>
        <w:jc w:val="center"/>
        <w:tblLayout w:type="fixed"/>
        <w:tblCellMar>
          <w:top w:w="0" w:type="dxa"/>
          <w:left w:w="10" w:type="dxa"/>
          <w:bottom w:w="0" w:type="dxa"/>
          <w:right w:w="10" w:type="dxa"/>
        </w:tblCellMar>
      </w:tblPr>
      <w:tblGrid>
        <w:gridCol w:w="2292"/>
        <w:gridCol w:w="3236"/>
        <w:gridCol w:w="698"/>
        <w:gridCol w:w="1238"/>
        <w:gridCol w:w="1627"/>
      </w:tblGrid>
      <w:tr w14:paraId="6E44B600">
        <w:tblPrEx>
          <w:tblCellMar>
            <w:top w:w="0" w:type="dxa"/>
            <w:left w:w="10" w:type="dxa"/>
            <w:bottom w:w="0" w:type="dxa"/>
            <w:right w:w="10" w:type="dxa"/>
          </w:tblCellMar>
        </w:tblPrEx>
        <w:trPr>
          <w:trHeight w:val="510" w:hRule="atLeast"/>
          <w:jc w:val="center"/>
        </w:trPr>
        <w:tc>
          <w:tcPr>
            <w:tcW w:w="2292" w:type="dxa"/>
            <w:tcBorders>
              <w:top w:val="single" w:color="000000" w:sz="6" w:space="0"/>
              <w:left w:val="single" w:color="000000" w:sz="6" w:space="0"/>
              <w:bottom w:val="single" w:color="000000" w:sz="6" w:space="0"/>
              <w:right w:val="single" w:color="000000" w:sz="6" w:space="0"/>
            </w:tcBorders>
            <w:vAlign w:val="center"/>
          </w:tcPr>
          <w:p w14:paraId="72A1B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货物名称</w:t>
            </w:r>
          </w:p>
        </w:tc>
        <w:tc>
          <w:tcPr>
            <w:tcW w:w="3236" w:type="dxa"/>
            <w:tcBorders>
              <w:top w:val="single" w:color="000000" w:sz="6" w:space="0"/>
              <w:left w:val="single" w:color="000000" w:sz="6" w:space="0"/>
              <w:bottom w:val="single" w:color="000000" w:sz="6" w:space="0"/>
              <w:right w:val="single" w:color="000000" w:sz="6" w:space="0"/>
            </w:tcBorders>
            <w:vAlign w:val="center"/>
          </w:tcPr>
          <w:p w14:paraId="2E0685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货物内容</w:t>
            </w:r>
          </w:p>
        </w:tc>
        <w:tc>
          <w:tcPr>
            <w:tcW w:w="698" w:type="dxa"/>
            <w:tcBorders>
              <w:top w:val="single" w:color="000000" w:sz="6" w:space="0"/>
              <w:left w:val="single" w:color="000000" w:sz="6" w:space="0"/>
              <w:bottom w:val="single" w:color="000000" w:sz="6" w:space="0"/>
              <w:right w:val="single" w:color="000000" w:sz="6" w:space="0"/>
            </w:tcBorders>
            <w:vAlign w:val="center"/>
          </w:tcPr>
          <w:p w14:paraId="2C9584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数量</w:t>
            </w:r>
          </w:p>
        </w:tc>
        <w:tc>
          <w:tcPr>
            <w:tcW w:w="1238" w:type="dxa"/>
            <w:tcBorders>
              <w:top w:val="single" w:color="000000" w:sz="6" w:space="0"/>
              <w:left w:val="single" w:color="000000" w:sz="6" w:space="0"/>
              <w:bottom w:val="single" w:color="000000" w:sz="6" w:space="0"/>
              <w:right w:val="single" w:color="000000" w:sz="6" w:space="0"/>
            </w:tcBorders>
            <w:vAlign w:val="center"/>
          </w:tcPr>
          <w:p w14:paraId="060665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单价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w:t>
            </w:r>
          </w:p>
        </w:tc>
        <w:tc>
          <w:tcPr>
            <w:tcW w:w="1627" w:type="dxa"/>
            <w:tcBorders>
              <w:top w:val="single" w:color="000000" w:sz="6" w:space="0"/>
              <w:left w:val="single" w:color="000000" w:sz="6" w:space="0"/>
              <w:bottom w:val="single" w:color="000000" w:sz="6" w:space="0"/>
              <w:right w:val="single" w:color="000000" w:sz="6" w:space="0"/>
            </w:tcBorders>
            <w:vAlign w:val="center"/>
          </w:tcPr>
          <w:p w14:paraId="77D384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小计金额</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w:t>
            </w:r>
          </w:p>
        </w:tc>
      </w:tr>
      <w:tr w14:paraId="1FB999D1">
        <w:tblPrEx>
          <w:tblCellMar>
            <w:top w:w="0" w:type="dxa"/>
            <w:left w:w="10" w:type="dxa"/>
            <w:bottom w:w="0" w:type="dxa"/>
            <w:right w:w="10" w:type="dxa"/>
          </w:tblCellMar>
        </w:tblPrEx>
        <w:trPr>
          <w:trHeight w:val="510" w:hRule="atLeast"/>
          <w:jc w:val="center"/>
        </w:trPr>
        <w:tc>
          <w:tcPr>
            <w:tcW w:w="2292" w:type="dxa"/>
            <w:tcBorders>
              <w:top w:val="single" w:color="000000" w:sz="6" w:space="0"/>
              <w:left w:val="single" w:color="000000" w:sz="6" w:space="0"/>
              <w:bottom w:val="single" w:color="000000" w:sz="6" w:space="0"/>
              <w:right w:val="single" w:color="000000" w:sz="6" w:space="0"/>
            </w:tcBorders>
            <w:vAlign w:val="center"/>
          </w:tcPr>
          <w:p w14:paraId="7CAD90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3236" w:type="dxa"/>
            <w:tcBorders>
              <w:top w:val="single" w:color="000000" w:sz="6" w:space="0"/>
              <w:left w:val="single" w:color="000000" w:sz="6" w:space="0"/>
              <w:bottom w:val="single" w:color="000000" w:sz="6" w:space="0"/>
              <w:right w:val="single" w:color="000000" w:sz="6" w:space="0"/>
            </w:tcBorders>
            <w:vAlign w:val="center"/>
          </w:tcPr>
          <w:p w14:paraId="73A079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698" w:type="dxa"/>
            <w:tcBorders>
              <w:top w:val="single" w:color="000000" w:sz="6" w:space="0"/>
              <w:left w:val="single" w:color="000000" w:sz="6" w:space="0"/>
              <w:bottom w:val="single" w:color="000000" w:sz="6" w:space="0"/>
              <w:right w:val="single" w:color="000000" w:sz="6" w:space="0"/>
            </w:tcBorders>
            <w:vAlign w:val="center"/>
          </w:tcPr>
          <w:p w14:paraId="433B33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238" w:type="dxa"/>
            <w:tcBorders>
              <w:top w:val="single" w:color="000000" w:sz="6" w:space="0"/>
              <w:left w:val="single" w:color="000000" w:sz="6" w:space="0"/>
              <w:bottom w:val="single" w:color="000000" w:sz="6" w:space="0"/>
              <w:right w:val="single" w:color="000000" w:sz="6" w:space="0"/>
            </w:tcBorders>
            <w:vAlign w:val="center"/>
          </w:tcPr>
          <w:p w14:paraId="21A5BD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627" w:type="dxa"/>
            <w:tcBorders>
              <w:top w:val="single" w:color="000000" w:sz="6" w:space="0"/>
              <w:left w:val="single" w:color="000000" w:sz="6" w:space="0"/>
              <w:bottom w:val="single" w:color="000000" w:sz="6" w:space="0"/>
              <w:right w:val="single" w:color="000000" w:sz="6" w:space="0"/>
            </w:tcBorders>
            <w:vAlign w:val="center"/>
          </w:tcPr>
          <w:p w14:paraId="07FF19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5B18C4F">
        <w:tblPrEx>
          <w:tblCellMar>
            <w:top w:w="0" w:type="dxa"/>
            <w:left w:w="10" w:type="dxa"/>
            <w:bottom w:w="0" w:type="dxa"/>
            <w:right w:w="10" w:type="dxa"/>
          </w:tblCellMar>
        </w:tblPrEx>
        <w:trPr>
          <w:trHeight w:val="510" w:hRule="atLeast"/>
          <w:jc w:val="center"/>
        </w:trPr>
        <w:tc>
          <w:tcPr>
            <w:tcW w:w="2292" w:type="dxa"/>
            <w:tcBorders>
              <w:top w:val="single" w:color="000000" w:sz="6" w:space="0"/>
              <w:left w:val="single" w:color="000000" w:sz="6" w:space="0"/>
              <w:bottom w:val="single" w:color="000000" w:sz="6" w:space="0"/>
              <w:right w:val="single" w:color="000000" w:sz="6" w:space="0"/>
            </w:tcBorders>
            <w:vAlign w:val="center"/>
          </w:tcPr>
          <w:p w14:paraId="4A522E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3236" w:type="dxa"/>
            <w:tcBorders>
              <w:top w:val="single" w:color="000000" w:sz="6" w:space="0"/>
              <w:left w:val="single" w:color="000000" w:sz="6" w:space="0"/>
              <w:bottom w:val="single" w:color="000000" w:sz="6" w:space="0"/>
              <w:right w:val="single" w:color="000000" w:sz="6" w:space="0"/>
            </w:tcBorders>
            <w:vAlign w:val="center"/>
          </w:tcPr>
          <w:p w14:paraId="13755B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98" w:type="dxa"/>
            <w:tcBorders>
              <w:top w:val="single" w:color="000000" w:sz="6" w:space="0"/>
              <w:left w:val="single" w:color="000000" w:sz="6" w:space="0"/>
              <w:bottom w:val="single" w:color="000000" w:sz="6" w:space="0"/>
              <w:right w:val="single" w:color="000000" w:sz="6" w:space="0"/>
            </w:tcBorders>
            <w:vAlign w:val="center"/>
          </w:tcPr>
          <w:p w14:paraId="45B8F8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38" w:type="dxa"/>
            <w:tcBorders>
              <w:top w:val="single" w:color="000000" w:sz="6" w:space="0"/>
              <w:left w:val="single" w:color="000000" w:sz="6" w:space="0"/>
              <w:bottom w:val="single" w:color="000000" w:sz="6" w:space="0"/>
              <w:right w:val="single" w:color="000000" w:sz="6" w:space="0"/>
            </w:tcBorders>
            <w:vAlign w:val="center"/>
          </w:tcPr>
          <w:p w14:paraId="6BF002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27" w:type="dxa"/>
            <w:tcBorders>
              <w:top w:val="single" w:color="000000" w:sz="6" w:space="0"/>
              <w:left w:val="single" w:color="000000" w:sz="6" w:space="0"/>
              <w:bottom w:val="single" w:color="000000" w:sz="6" w:space="0"/>
              <w:right w:val="single" w:color="000000" w:sz="6" w:space="0"/>
            </w:tcBorders>
            <w:vAlign w:val="center"/>
          </w:tcPr>
          <w:p w14:paraId="1FC2C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3DAE05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2.合同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价格</w:t>
      </w:r>
      <w:r>
        <w:rPr>
          <w:rFonts w:hint="eastAsia" w:ascii="宋体" w:hAnsi="宋体" w:eastAsia="宋体" w:cs="宋体"/>
          <w:color w:val="000000" w:themeColor="text1"/>
          <w:sz w:val="24"/>
          <w:szCs w:val="24"/>
          <w:highlight w:val="none"/>
          <w:lang w:val="zh-CN"/>
          <w14:textFill>
            <w14:solidFill>
              <w14:schemeClr w14:val="tx1"/>
            </w14:solidFill>
          </w14:textFill>
        </w:rPr>
        <w:t>：人民币（大写）</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元，（小写）￥：</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元。</w:t>
      </w:r>
    </w:p>
    <w:p w14:paraId="34762ED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合同</w:t>
      </w:r>
      <w:r>
        <w:rPr>
          <w:rFonts w:hint="eastAsia" w:ascii="宋体" w:hAnsi="宋体" w:eastAsia="宋体" w:cs="宋体"/>
          <w:b/>
          <w:bCs/>
          <w:color w:val="000000" w:themeColor="text1"/>
          <w:sz w:val="24"/>
          <w:szCs w:val="24"/>
          <w:highlight w:val="none"/>
          <w:lang w:val="zh-CN"/>
          <w14:textFill>
            <w14:solidFill>
              <w14:schemeClr w14:val="tx1"/>
            </w14:solidFill>
          </w14:textFill>
        </w:rPr>
        <w:t>周期、地点、方式</w:t>
      </w:r>
    </w:p>
    <w:p w14:paraId="05CDEFC7">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3.1</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w:t>
      </w:r>
      <w:r>
        <w:rPr>
          <w:rFonts w:hint="eastAsia" w:ascii="宋体" w:hAnsi="宋体" w:eastAsia="宋体" w:cs="宋体"/>
          <w:color w:val="000000" w:themeColor="text1"/>
          <w:sz w:val="24"/>
          <w:szCs w:val="24"/>
          <w:highlight w:val="none"/>
          <w:lang w:val="zh-CN"/>
          <w14:textFill>
            <w14:solidFill>
              <w14:schemeClr w14:val="tx1"/>
            </w14:solidFill>
          </w14:textFill>
        </w:rPr>
        <w:t>周期：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3637AD27">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3.2</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lang w:val="zh-CN"/>
          <w14:textFill>
            <w14:solidFill>
              <w14:schemeClr w14:val="tx1"/>
            </w14:solidFill>
          </w14:textFill>
        </w:rPr>
        <w:t>地点：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采购人指定地点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1B40E8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4.付款方式：</w:t>
      </w:r>
    </w:p>
    <w:p w14:paraId="55BF51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按合同约定。如果需方届时不能支付或者不能全额支付，由需方承担违约责任，供方承担全部收款责任，与招标机构无关。</w:t>
      </w:r>
    </w:p>
    <w:p w14:paraId="2ADE43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5.履约保证金</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5EDA945C">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5.1 在签署本合同之前，供方应向需方提交合同总价0%的履约保证金（人民币，取整数位到百元）。履约保证金可以采用银行转帐。</w:t>
      </w:r>
    </w:p>
    <w:p w14:paraId="2EB6F7E8">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5.2 履约保证金的有效期到供方提供的服务经需方验收合格并交付给需方之日止，以银行转帐方式返还，不计利息。</w:t>
      </w:r>
    </w:p>
    <w:p w14:paraId="1036DA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6.质量保证金</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p>
    <w:p w14:paraId="28B6DD19">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6.1质量保证金为合同总价款的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348BB145">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6.2供方提交的履约保证金到期后转作质量保证金。</w:t>
      </w:r>
    </w:p>
    <w:p w14:paraId="5391264F">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6.3质量保证金的有效期到合同规定的质量保证期期满之日止，扣除供方承担质量保证责任的费用后，剩余部分在质量保证期期满后</w:t>
      </w:r>
      <w:r>
        <w:rPr>
          <w:rFonts w:hint="eastAsia" w:ascii="宋体" w:hAnsi="宋体" w:eastAsia="宋体" w:cs="宋体"/>
          <w:color w:val="000000" w:themeColor="text1"/>
          <w:sz w:val="24"/>
          <w:szCs w:val="24"/>
          <w:highlight w:val="none"/>
          <w:u w:val="single"/>
          <w:lang w:val="zh-CN"/>
          <w14:textFill>
            <w14:solidFill>
              <w14:schemeClr w14:val="tx1"/>
            </w14:solidFill>
          </w14:textFill>
        </w:rPr>
        <w:t>20个</w:t>
      </w:r>
      <w:r>
        <w:rPr>
          <w:rFonts w:hint="eastAsia" w:ascii="宋体" w:hAnsi="宋体" w:eastAsia="宋体" w:cs="宋体"/>
          <w:color w:val="000000" w:themeColor="text1"/>
          <w:sz w:val="24"/>
          <w:szCs w:val="24"/>
          <w:highlight w:val="none"/>
          <w:lang w:val="zh-CN"/>
          <w14:textFill>
            <w14:solidFill>
              <w14:schemeClr w14:val="tx1"/>
            </w14:solidFill>
          </w14:textFill>
        </w:rPr>
        <w:t>工作日内返还，不计利息。</w:t>
      </w:r>
    </w:p>
    <w:p w14:paraId="422161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7.合同补充条款：</w:t>
      </w:r>
    </w:p>
    <w:p w14:paraId="719C510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8.争议解决方式：</w:t>
      </w:r>
      <w:r>
        <w:rPr>
          <w:rFonts w:hint="eastAsia" w:ascii="宋体" w:hAnsi="宋体" w:eastAsia="宋体" w:cs="宋体"/>
          <w:color w:val="000000" w:themeColor="text1"/>
          <w:sz w:val="24"/>
          <w:szCs w:val="24"/>
          <w:highlight w:val="none"/>
          <w:lang w:val="zh-CN"/>
          <w14:textFill>
            <w14:solidFill>
              <w14:schemeClr w14:val="tx1"/>
            </w14:solidFill>
          </w14:textFill>
        </w:rPr>
        <w:t>供需双方达成仲裁协议，向</w:t>
      </w:r>
      <w:r>
        <w:rPr>
          <w:rFonts w:hint="eastAsia" w:ascii="宋体" w:hAnsi="宋体" w:eastAsia="宋体" w:cs="宋体"/>
          <w:color w:val="000000" w:themeColor="text1"/>
          <w:sz w:val="24"/>
          <w:szCs w:val="24"/>
          <w:highlight w:val="none"/>
          <w14:textFill>
            <w14:solidFill>
              <w14:schemeClr w14:val="tx1"/>
            </w14:solidFill>
          </w14:textFill>
        </w:rPr>
        <w:t>延吉市</w:t>
      </w:r>
      <w:r>
        <w:rPr>
          <w:rFonts w:hint="eastAsia" w:ascii="宋体" w:hAnsi="宋体" w:eastAsia="宋体" w:cs="宋体"/>
          <w:color w:val="000000" w:themeColor="text1"/>
          <w:sz w:val="24"/>
          <w:szCs w:val="24"/>
          <w:highlight w:val="none"/>
          <w:lang w:val="zh-CN"/>
          <w14:textFill>
            <w14:solidFill>
              <w14:schemeClr w14:val="tx1"/>
            </w14:solidFill>
          </w14:textFill>
        </w:rPr>
        <w:t>仲裁委员会申请仲裁（向合同签定地人民法院提起诉讼）。</w:t>
      </w:r>
    </w:p>
    <w:p w14:paraId="1A12864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9合同构成：</w:t>
      </w:r>
      <w:r>
        <w:rPr>
          <w:rFonts w:hint="eastAsia" w:ascii="宋体" w:hAnsi="宋体" w:eastAsia="宋体" w:cs="宋体"/>
          <w:color w:val="000000" w:themeColor="text1"/>
          <w:sz w:val="24"/>
          <w:szCs w:val="24"/>
          <w:highlight w:val="none"/>
          <w:lang w:val="zh-CN"/>
          <w14:textFill>
            <w14:solidFill>
              <w14:schemeClr w14:val="tx1"/>
            </w14:solidFill>
          </w14:textFill>
        </w:rPr>
        <w:t>下列文件构成本合同不可分割的组成部分，与本合同具有同等法律效力：</w:t>
      </w:r>
    </w:p>
    <w:p w14:paraId="7028F066">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9.1本合同书；</w:t>
      </w:r>
    </w:p>
    <w:p w14:paraId="78427066">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9.2中标通知书；</w:t>
      </w:r>
    </w:p>
    <w:p w14:paraId="50F9DA62">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9.3采购文件及澄清、修改、补遗文件；</w:t>
      </w:r>
    </w:p>
    <w:p w14:paraId="3450CB10">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9.4供方的响应文件及书面澄清、说明、补正文件；</w:t>
      </w:r>
    </w:p>
    <w:p w14:paraId="48AAD709">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9.5</w:t>
      </w:r>
      <w:r>
        <w:rPr>
          <w:rFonts w:hint="eastAsia" w:ascii="宋体" w:hAnsi="宋体" w:eastAsia="宋体" w:cs="宋体"/>
          <w:color w:val="000000" w:themeColor="text1"/>
          <w:sz w:val="24"/>
          <w:szCs w:val="24"/>
          <w:highlight w:val="none"/>
          <w14:textFill>
            <w14:solidFill>
              <w14:schemeClr w14:val="tx1"/>
            </w14:solidFill>
          </w14:textFill>
        </w:rPr>
        <w:t>延吉市</w:t>
      </w:r>
      <w:r>
        <w:rPr>
          <w:rFonts w:hint="eastAsia" w:ascii="宋体" w:hAnsi="宋体" w:eastAsia="宋体" w:cs="宋体"/>
          <w:color w:val="000000" w:themeColor="text1"/>
          <w:sz w:val="24"/>
          <w:szCs w:val="24"/>
          <w:highlight w:val="none"/>
          <w:lang w:val="zh-CN"/>
          <w14:textFill>
            <w14:solidFill>
              <w14:schemeClr w14:val="tx1"/>
            </w14:solidFill>
          </w14:textFill>
        </w:rPr>
        <w:t>政府采购验收报告单；</w:t>
      </w:r>
    </w:p>
    <w:p w14:paraId="487F7F4A">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9.6合同的其它附件。</w:t>
      </w:r>
    </w:p>
    <w:p w14:paraId="1AB0F8FD">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上述组成合同的文件如有不一致之处，以日期在后的为准。</w:t>
      </w:r>
    </w:p>
    <w:p w14:paraId="30301E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10.合同份数</w:t>
      </w:r>
      <w:r>
        <w:rPr>
          <w:rFonts w:hint="eastAsia" w:ascii="宋体" w:hAnsi="宋体" w:eastAsia="宋体" w:cs="宋体"/>
          <w:color w:val="000000" w:themeColor="text1"/>
          <w:sz w:val="24"/>
          <w:szCs w:val="24"/>
          <w:highlight w:val="none"/>
          <w:lang w:val="zh-CN"/>
          <w14:textFill>
            <w14:solidFill>
              <w14:schemeClr w14:val="tx1"/>
            </w14:solidFill>
          </w14:textFill>
        </w:rPr>
        <w:t>：本合同一式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三</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份，供需双方各执</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份，另一份作为需方向</w:t>
      </w:r>
      <w:r>
        <w:rPr>
          <w:rFonts w:hint="eastAsia" w:ascii="宋体" w:hAnsi="宋体" w:eastAsia="宋体" w:cs="宋体"/>
          <w:color w:val="000000" w:themeColor="text1"/>
          <w:sz w:val="24"/>
          <w:szCs w:val="24"/>
          <w:highlight w:val="none"/>
          <w14:textFill>
            <w14:solidFill>
              <w14:schemeClr w14:val="tx1"/>
            </w14:solidFill>
          </w14:textFill>
        </w:rPr>
        <w:t>延吉市</w:t>
      </w:r>
      <w:r>
        <w:rPr>
          <w:rFonts w:hint="eastAsia" w:ascii="宋体" w:hAnsi="宋体" w:eastAsia="宋体" w:cs="宋体"/>
          <w:color w:val="000000" w:themeColor="text1"/>
          <w:sz w:val="24"/>
          <w:szCs w:val="24"/>
          <w:highlight w:val="none"/>
          <w:lang w:val="zh-CN"/>
          <w14:textFill>
            <w14:solidFill>
              <w14:schemeClr w14:val="tx1"/>
            </w14:solidFill>
          </w14:textFill>
        </w:rPr>
        <w:t xml:space="preserve">财政局提请付款的凭证。 </w:t>
      </w:r>
    </w:p>
    <w:p w14:paraId="6AD1C3C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11.合同生效：</w:t>
      </w:r>
      <w:r>
        <w:rPr>
          <w:rFonts w:hint="eastAsia" w:ascii="宋体" w:hAnsi="宋体" w:eastAsia="宋体" w:cs="宋体"/>
          <w:color w:val="000000" w:themeColor="text1"/>
          <w:sz w:val="24"/>
          <w:szCs w:val="24"/>
          <w:highlight w:val="none"/>
          <w:lang w:val="zh-CN"/>
          <w14:textFill>
            <w14:solidFill>
              <w14:schemeClr w14:val="tx1"/>
            </w14:solidFill>
          </w14:textFill>
        </w:rPr>
        <w:t>本合同在供需双方法定代表人或其授权代理人签字、加盖双方公章或者合同专用章，并且需方收到供方提交的履约保证金后生效。</w:t>
      </w:r>
    </w:p>
    <w:p w14:paraId="3DD529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12.合同修改：</w:t>
      </w:r>
      <w:r>
        <w:rPr>
          <w:rFonts w:hint="eastAsia" w:ascii="宋体" w:hAnsi="宋体" w:eastAsia="宋体" w:cs="宋体"/>
          <w:color w:val="000000" w:themeColor="text1"/>
          <w:sz w:val="24"/>
          <w:szCs w:val="24"/>
          <w:highlight w:val="none"/>
          <w:lang w:val="zh-CN"/>
          <w14:textFill>
            <w14:solidFill>
              <w14:schemeClr w14:val="tx1"/>
            </w14:solidFill>
          </w14:textFill>
        </w:rPr>
        <w:t>除供需双方签署书面修改、补充协议外，本合同条件不得有任何变化或修改。</w:t>
      </w:r>
    </w:p>
    <w:p w14:paraId="22A0927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4543086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p>
    <w:p w14:paraId="0A32CF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需方</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zh-CN"/>
          <w14:textFill>
            <w14:solidFill>
              <w14:schemeClr w14:val="tx1"/>
            </w14:solidFill>
          </w14:textFill>
        </w:rPr>
        <w:t>供方</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4391FB16">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（加盖公章或合同专用章）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（加盖公章或合同专用章）</w:t>
      </w:r>
    </w:p>
    <w:p w14:paraId="6AF27C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地址：</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地址：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024C94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法定代表人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法定代表人               </w:t>
      </w:r>
    </w:p>
    <w:p w14:paraId="296E8DD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或授权代理人签字：</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或授权代理人签字：</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A700F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签字日期：</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签字日期：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50EE18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邮政编码：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邮政编码：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102A9D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27DD8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传真：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传真：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2E6BA74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联系人</w:t>
      </w:r>
      <w:r>
        <w:rPr>
          <w:rFonts w:hint="eastAsia" w:ascii="宋体" w:hAnsi="宋体" w:eastAsia="宋体" w:cs="宋体"/>
          <w:color w:val="000000" w:themeColor="text1"/>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联系人：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026769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45737C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帐户名称：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帐户名称：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637F4A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帐号：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帐号：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55972D86">
      <w:pPr>
        <w:spacing w:line="500" w:lineRule="exact"/>
        <w:rPr>
          <w:rFonts w:hint="eastAsia" w:ascii="宋体" w:hAnsi="宋体" w:eastAsia="宋体" w:cs="宋体"/>
          <w:color w:val="000000" w:themeColor="text1"/>
          <w:sz w:val="24"/>
          <w:szCs w:val="24"/>
          <w:lang w:val="zh-CN"/>
          <w14:textFill>
            <w14:solidFill>
              <w14:schemeClr w14:val="tx1"/>
            </w14:solidFill>
          </w14:textFill>
        </w:rPr>
      </w:pPr>
    </w:p>
    <w:p w14:paraId="17986600">
      <w:pPr>
        <w:spacing w:line="500" w:lineRule="exact"/>
        <w:rPr>
          <w:rFonts w:hint="eastAsia" w:ascii="宋体" w:hAnsi="宋体" w:eastAsia="宋体" w:cs="宋体"/>
          <w:color w:val="000000" w:themeColor="text1"/>
          <w:sz w:val="24"/>
          <w:szCs w:val="24"/>
          <w:lang w:val="zh-CN"/>
          <w14:textFill>
            <w14:solidFill>
              <w14:schemeClr w14:val="tx1"/>
            </w14:solidFill>
          </w14:textFill>
        </w:rPr>
      </w:pPr>
    </w:p>
    <w:p w14:paraId="3238E39C">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r>
        <w:rPr>
          <w:rFonts w:hint="eastAsia" w:ascii="宋体" w:hAnsi="宋体" w:eastAsia="宋体" w:cs="宋体"/>
          <w:b/>
          <w:bCs/>
          <w:color w:val="000000" w:themeColor="text1"/>
          <w:sz w:val="32"/>
          <w:szCs w:val="32"/>
          <w14:textFill>
            <w14:solidFill>
              <w14:schemeClr w14:val="tx1"/>
            </w14:solidFill>
          </w14:textFill>
        </w:rPr>
        <w:t>第二节 通用合同条款</w:t>
      </w:r>
    </w:p>
    <w:p w14:paraId="4B2A8C58">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bookmarkStart w:id="185" w:name="_bookmark105"/>
      <w:bookmarkEnd w:id="185"/>
      <w:r>
        <w:rPr>
          <w:rFonts w:hint="eastAsia" w:ascii="宋体" w:hAnsi="宋体" w:eastAsia="宋体" w:cs="宋体"/>
          <w:b w:val="0"/>
          <w:bCs w:val="0"/>
          <w:color w:val="000000" w:themeColor="text1"/>
          <w:sz w:val="24"/>
          <w:szCs w:val="24"/>
          <w14:textFill>
            <w14:solidFill>
              <w14:schemeClr w14:val="tx1"/>
            </w14:solidFill>
          </w14:textFill>
        </w:rPr>
        <w:t>1.一般约定</w:t>
      </w:r>
      <w:bookmarkStart w:id="186" w:name="_bookmark106"/>
      <w:bookmarkEnd w:id="186"/>
    </w:p>
    <w:p w14:paraId="1CA4589A">
      <w:pPr>
        <w:pStyle w:val="89"/>
        <w:spacing w:line="500" w:lineRule="exact"/>
        <w:ind w:left="0" w:right="0" w:firstLine="480" w:firstLineChars="200"/>
        <w:outlineLvl w:val="3"/>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1.1 词语定义</w:t>
      </w:r>
    </w:p>
    <w:p w14:paraId="3C8424E1">
      <w:pPr>
        <w:pStyle w:val="89"/>
        <w:spacing w:line="500" w:lineRule="exact"/>
        <w:ind w:left="0" w:right="0" w:firstLine="480" w:firstLineChars="200"/>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除专用合同条款另有约定外，合同中的下列词语应具有本款所赋予的含义。</w:t>
      </w:r>
    </w:p>
    <w:p w14:paraId="733C118D">
      <w:pPr>
        <w:pStyle w:val="90"/>
        <w:numPr>
          <w:ilvl w:val="2"/>
          <w:numId w:val="4"/>
        </w:numPr>
        <w:spacing w:line="500" w:lineRule="exact"/>
        <w:ind w:right="0" w:firstLine="480" w:firstLineChars="200"/>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合同</w:t>
      </w:r>
    </w:p>
    <w:p w14:paraId="1045E3B7">
      <w:pPr>
        <w:pStyle w:val="90"/>
        <w:spacing w:line="500" w:lineRule="exact"/>
        <w:ind w:left="0" w:right="0" w:firstLine="480" w:firstLineChars="200"/>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1.1.1.1  </w:t>
      </w:r>
      <w:r>
        <w:rPr>
          <w:rFonts w:hint="eastAsia" w:ascii="宋体" w:hAnsi="宋体" w:eastAsia="宋体" w:cs="宋体"/>
          <w:b w:val="0"/>
          <w:bCs w:val="0"/>
          <w:color w:val="000000" w:themeColor="text1"/>
          <w:spacing w:val="-3"/>
          <w:sz w:val="24"/>
          <w:szCs w:val="24"/>
          <w14:textFill>
            <w14:solidFill>
              <w14:schemeClr w14:val="tx1"/>
            </w14:solidFill>
          </w14:textFill>
        </w:rPr>
        <w:t>合</w:t>
      </w:r>
      <w:r>
        <w:rPr>
          <w:rFonts w:hint="eastAsia" w:ascii="宋体" w:hAnsi="宋体" w:eastAsia="宋体" w:cs="宋体"/>
          <w:b w:val="0"/>
          <w:bCs w:val="0"/>
          <w:color w:val="000000" w:themeColor="text1"/>
          <w:sz w:val="24"/>
          <w:szCs w:val="24"/>
          <w14:textFill>
            <w14:solidFill>
              <w14:schemeClr w14:val="tx1"/>
            </w14:solidFill>
          </w14:textFill>
        </w:rPr>
        <w:t>同</w:t>
      </w:r>
      <w:r>
        <w:rPr>
          <w:rFonts w:hint="eastAsia" w:ascii="宋体" w:hAnsi="宋体" w:eastAsia="宋体" w:cs="宋体"/>
          <w:b w:val="0"/>
          <w:bCs w:val="0"/>
          <w:color w:val="000000" w:themeColor="text1"/>
          <w:spacing w:val="-3"/>
          <w:sz w:val="24"/>
          <w:szCs w:val="24"/>
          <w14:textFill>
            <w14:solidFill>
              <w14:schemeClr w14:val="tx1"/>
            </w14:solidFill>
          </w14:textFill>
        </w:rPr>
        <w:t>文</w:t>
      </w:r>
      <w:r>
        <w:rPr>
          <w:rFonts w:hint="eastAsia" w:ascii="宋体" w:hAnsi="宋体" w:eastAsia="宋体" w:cs="宋体"/>
          <w:b w:val="0"/>
          <w:bCs w:val="0"/>
          <w:color w:val="000000" w:themeColor="text1"/>
          <w:spacing w:val="-27"/>
          <w:sz w:val="24"/>
          <w:szCs w:val="24"/>
          <w14:textFill>
            <w14:solidFill>
              <w14:schemeClr w14:val="tx1"/>
            </w14:solidFill>
          </w14:textFill>
        </w:rPr>
        <w:t>件</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pacing w:val="-3"/>
          <w:sz w:val="24"/>
          <w:szCs w:val="24"/>
          <w14:textFill>
            <w14:solidFill>
              <w14:schemeClr w14:val="tx1"/>
            </w14:solidFill>
          </w14:textFill>
        </w:rPr>
        <w:t>或</w:t>
      </w:r>
      <w:r>
        <w:rPr>
          <w:rFonts w:hint="eastAsia" w:ascii="宋体" w:hAnsi="宋体" w:eastAsia="宋体" w:cs="宋体"/>
          <w:b w:val="0"/>
          <w:bCs w:val="0"/>
          <w:color w:val="000000" w:themeColor="text1"/>
          <w:sz w:val="24"/>
          <w:szCs w:val="24"/>
          <w14:textFill>
            <w14:solidFill>
              <w14:schemeClr w14:val="tx1"/>
            </w14:solidFill>
          </w14:textFill>
        </w:rPr>
        <w:t>称</w:t>
      </w:r>
      <w:r>
        <w:rPr>
          <w:rFonts w:hint="eastAsia" w:ascii="宋体" w:hAnsi="宋体" w:eastAsia="宋体" w:cs="宋体"/>
          <w:b w:val="0"/>
          <w:bCs w:val="0"/>
          <w:color w:val="000000" w:themeColor="text1"/>
          <w:spacing w:val="-3"/>
          <w:sz w:val="24"/>
          <w:szCs w:val="24"/>
          <w14:textFill>
            <w14:solidFill>
              <w14:schemeClr w14:val="tx1"/>
            </w14:solidFill>
          </w14:textFill>
        </w:rPr>
        <w:t>合</w:t>
      </w:r>
      <w:r>
        <w:rPr>
          <w:rFonts w:hint="eastAsia" w:ascii="宋体" w:hAnsi="宋体" w:eastAsia="宋体" w:cs="宋体"/>
          <w:b w:val="0"/>
          <w:bCs w:val="0"/>
          <w:color w:val="000000" w:themeColor="text1"/>
          <w:sz w:val="24"/>
          <w:szCs w:val="24"/>
          <w14:textFill>
            <w14:solidFill>
              <w14:schemeClr w14:val="tx1"/>
            </w14:solidFill>
          </w14:textFill>
        </w:rPr>
        <w:t>同</w:t>
      </w:r>
      <w:r>
        <w:rPr>
          <w:rFonts w:hint="eastAsia" w:ascii="宋体" w:hAnsi="宋体" w:eastAsia="宋体" w:cs="宋体"/>
          <w:b w:val="0"/>
          <w:bCs w:val="0"/>
          <w:color w:val="000000" w:themeColor="text1"/>
          <w:spacing w:val="-106"/>
          <w:sz w:val="24"/>
          <w:szCs w:val="24"/>
          <w14:textFill>
            <w14:solidFill>
              <w14:schemeClr w14:val="tx1"/>
            </w14:solidFill>
          </w14:textFill>
        </w:rPr>
        <w:t>）</w:t>
      </w:r>
      <w:r>
        <w:rPr>
          <w:rFonts w:hint="eastAsia" w:ascii="宋体" w:hAnsi="宋体" w:eastAsia="宋体" w:cs="宋体"/>
          <w:b w:val="0"/>
          <w:bCs w:val="0"/>
          <w:color w:val="000000" w:themeColor="text1"/>
          <w:spacing w:val="-27"/>
          <w:sz w:val="24"/>
          <w:szCs w:val="24"/>
          <w14:textFill>
            <w14:solidFill>
              <w14:schemeClr w14:val="tx1"/>
            </w14:solidFill>
          </w14:textFill>
        </w:rPr>
        <w:t>：</w:t>
      </w:r>
      <w:r>
        <w:rPr>
          <w:rFonts w:hint="eastAsia" w:ascii="宋体" w:hAnsi="宋体" w:eastAsia="宋体" w:cs="宋体"/>
          <w:b w:val="0"/>
          <w:bCs w:val="0"/>
          <w:color w:val="000000" w:themeColor="text1"/>
          <w:spacing w:val="-3"/>
          <w:sz w:val="24"/>
          <w:szCs w:val="24"/>
          <w14:textFill>
            <w14:solidFill>
              <w14:schemeClr w14:val="tx1"/>
            </w14:solidFill>
          </w14:textFill>
        </w:rPr>
        <w:t>指</w:t>
      </w:r>
      <w:r>
        <w:rPr>
          <w:rFonts w:hint="eastAsia" w:ascii="宋体" w:hAnsi="宋体" w:eastAsia="宋体" w:cs="宋体"/>
          <w:b w:val="0"/>
          <w:bCs w:val="0"/>
          <w:color w:val="000000" w:themeColor="text1"/>
          <w:sz w:val="24"/>
          <w:szCs w:val="24"/>
          <w14:textFill>
            <w14:solidFill>
              <w14:schemeClr w14:val="tx1"/>
            </w14:solidFill>
          </w14:textFill>
        </w:rPr>
        <w:t>合</w:t>
      </w:r>
      <w:r>
        <w:rPr>
          <w:rFonts w:hint="eastAsia" w:ascii="宋体" w:hAnsi="宋体" w:eastAsia="宋体" w:cs="宋体"/>
          <w:b w:val="0"/>
          <w:bCs w:val="0"/>
          <w:color w:val="000000" w:themeColor="text1"/>
          <w:spacing w:val="-3"/>
          <w:sz w:val="24"/>
          <w:szCs w:val="24"/>
          <w14:textFill>
            <w14:solidFill>
              <w14:schemeClr w14:val="tx1"/>
            </w14:solidFill>
          </w14:textFill>
        </w:rPr>
        <w:t>同</w:t>
      </w:r>
      <w:r>
        <w:rPr>
          <w:rFonts w:hint="eastAsia" w:ascii="宋体" w:hAnsi="宋体" w:eastAsia="宋体" w:cs="宋体"/>
          <w:b w:val="0"/>
          <w:bCs w:val="0"/>
          <w:color w:val="000000" w:themeColor="text1"/>
          <w:sz w:val="24"/>
          <w:szCs w:val="24"/>
          <w14:textFill>
            <w14:solidFill>
              <w14:schemeClr w14:val="tx1"/>
            </w14:solidFill>
          </w14:textFill>
        </w:rPr>
        <w:t>协</w:t>
      </w:r>
      <w:r>
        <w:rPr>
          <w:rFonts w:hint="eastAsia" w:ascii="宋体" w:hAnsi="宋体" w:eastAsia="宋体" w:cs="宋体"/>
          <w:b w:val="0"/>
          <w:bCs w:val="0"/>
          <w:color w:val="000000" w:themeColor="text1"/>
          <w:spacing w:val="-3"/>
          <w:sz w:val="24"/>
          <w:szCs w:val="24"/>
          <w14:textFill>
            <w14:solidFill>
              <w14:schemeClr w14:val="tx1"/>
            </w14:solidFill>
          </w14:textFill>
        </w:rPr>
        <w:t>议</w:t>
      </w:r>
      <w:r>
        <w:rPr>
          <w:rFonts w:hint="eastAsia" w:ascii="宋体" w:hAnsi="宋体" w:eastAsia="宋体" w:cs="宋体"/>
          <w:b w:val="0"/>
          <w:bCs w:val="0"/>
          <w:color w:val="000000" w:themeColor="text1"/>
          <w:sz w:val="24"/>
          <w:szCs w:val="24"/>
          <w14:textFill>
            <w14:solidFill>
              <w14:schemeClr w14:val="tx1"/>
            </w14:solidFill>
          </w14:textFill>
        </w:rPr>
        <w:t>书</w:t>
      </w:r>
      <w:r>
        <w:rPr>
          <w:rFonts w:hint="eastAsia" w:ascii="宋体" w:hAnsi="宋体" w:eastAsia="宋体" w:cs="宋体"/>
          <w:b w:val="0"/>
          <w:bCs w:val="0"/>
          <w:color w:val="000000" w:themeColor="text1"/>
          <w:spacing w:val="-27"/>
          <w:sz w:val="24"/>
          <w:szCs w:val="24"/>
          <w14:textFill>
            <w14:solidFill>
              <w14:schemeClr w14:val="tx1"/>
            </w14:solidFill>
          </w14:textFill>
        </w:rPr>
        <w:t>、</w:t>
      </w:r>
      <w:r>
        <w:rPr>
          <w:rFonts w:hint="eastAsia" w:ascii="宋体" w:hAnsi="宋体" w:eastAsia="宋体" w:cs="宋体"/>
          <w:b w:val="0"/>
          <w:bCs w:val="0"/>
          <w:color w:val="000000" w:themeColor="text1"/>
          <w:spacing w:val="-3"/>
          <w:sz w:val="24"/>
          <w:szCs w:val="24"/>
          <w14:textFill>
            <w14:solidFill>
              <w14:schemeClr w14:val="tx1"/>
            </w14:solidFill>
          </w14:textFill>
        </w:rPr>
        <w:t>中标</w:t>
      </w:r>
      <w:r>
        <w:rPr>
          <w:rFonts w:hint="eastAsia" w:ascii="宋体" w:hAnsi="宋体" w:eastAsia="宋体" w:cs="宋体"/>
          <w:b w:val="0"/>
          <w:bCs w:val="0"/>
          <w:color w:val="000000" w:themeColor="text1"/>
          <w:sz w:val="24"/>
          <w:szCs w:val="24"/>
          <w14:textFill>
            <w14:solidFill>
              <w14:schemeClr w14:val="tx1"/>
            </w14:solidFill>
          </w14:textFill>
        </w:rPr>
        <w:t>通知</w:t>
      </w:r>
      <w:r>
        <w:rPr>
          <w:rFonts w:hint="eastAsia" w:ascii="宋体" w:hAnsi="宋体" w:eastAsia="宋体" w:cs="宋体"/>
          <w:b w:val="0"/>
          <w:bCs w:val="0"/>
          <w:color w:val="000000" w:themeColor="text1"/>
          <w:spacing w:val="-3"/>
          <w:sz w:val="24"/>
          <w:szCs w:val="24"/>
          <w14:textFill>
            <w14:solidFill>
              <w14:schemeClr w14:val="tx1"/>
            </w14:solidFill>
          </w14:textFill>
        </w:rPr>
        <w:t>书</w:t>
      </w:r>
      <w:r>
        <w:rPr>
          <w:rFonts w:hint="eastAsia" w:ascii="宋体" w:hAnsi="宋体" w:eastAsia="宋体" w:cs="宋体"/>
          <w:b w:val="0"/>
          <w:bCs w:val="0"/>
          <w:color w:val="000000" w:themeColor="text1"/>
          <w:spacing w:val="-27"/>
          <w:sz w:val="24"/>
          <w:szCs w:val="24"/>
          <w14:textFill>
            <w14:solidFill>
              <w14:schemeClr w14:val="tx1"/>
            </w14:solidFill>
          </w14:textFill>
        </w:rPr>
        <w:t>、</w:t>
      </w:r>
      <w:r>
        <w:rPr>
          <w:rFonts w:hint="eastAsia" w:ascii="宋体" w:hAnsi="宋体" w:eastAsia="宋体" w:cs="宋体"/>
          <w:b w:val="0"/>
          <w:bCs w:val="0"/>
          <w:color w:val="000000" w:themeColor="text1"/>
          <w:spacing w:val="-3"/>
          <w:sz w:val="24"/>
          <w:szCs w:val="24"/>
          <w14:textFill>
            <w14:solidFill>
              <w14:schemeClr w14:val="tx1"/>
            </w14:solidFill>
          </w14:textFill>
        </w:rPr>
        <w:t>投</w:t>
      </w:r>
      <w:r>
        <w:rPr>
          <w:rFonts w:hint="eastAsia" w:ascii="宋体" w:hAnsi="宋体" w:eastAsia="宋体" w:cs="宋体"/>
          <w:b w:val="0"/>
          <w:bCs w:val="0"/>
          <w:color w:val="000000" w:themeColor="text1"/>
          <w:sz w:val="24"/>
          <w:szCs w:val="24"/>
          <w14:textFill>
            <w14:solidFill>
              <w14:schemeClr w14:val="tx1"/>
            </w14:solidFill>
          </w14:textFill>
        </w:rPr>
        <w:t>标函</w:t>
      </w:r>
      <w:r>
        <w:rPr>
          <w:rFonts w:hint="eastAsia" w:ascii="宋体" w:hAnsi="宋体" w:eastAsia="宋体" w:cs="宋体"/>
          <w:b w:val="0"/>
          <w:bCs w:val="0"/>
          <w:color w:val="000000" w:themeColor="text1"/>
          <w:spacing w:val="-29"/>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商</w:t>
      </w:r>
      <w:r>
        <w:rPr>
          <w:rFonts w:hint="eastAsia" w:ascii="宋体" w:hAnsi="宋体" w:eastAsia="宋体" w:cs="宋体"/>
          <w:b w:val="0"/>
          <w:bCs w:val="0"/>
          <w:color w:val="000000" w:themeColor="text1"/>
          <w:spacing w:val="-3"/>
          <w:sz w:val="24"/>
          <w:szCs w:val="24"/>
          <w14:textFill>
            <w14:solidFill>
              <w14:schemeClr w14:val="tx1"/>
            </w14:solidFill>
          </w14:textFill>
        </w:rPr>
        <w:t>务和</w:t>
      </w:r>
      <w:r>
        <w:rPr>
          <w:rFonts w:hint="eastAsia" w:ascii="宋体" w:hAnsi="宋体" w:eastAsia="宋体" w:cs="宋体"/>
          <w:b w:val="0"/>
          <w:bCs w:val="0"/>
          <w:color w:val="000000" w:themeColor="text1"/>
          <w:sz w:val="24"/>
          <w:szCs w:val="24"/>
          <w14:textFill>
            <w14:solidFill>
              <w14:schemeClr w14:val="tx1"/>
            </w14:solidFill>
          </w14:textFill>
        </w:rPr>
        <w:t>技术</w:t>
      </w:r>
      <w:r>
        <w:rPr>
          <w:rFonts w:hint="eastAsia" w:ascii="宋体" w:hAnsi="宋体" w:eastAsia="宋体" w:cs="宋体"/>
          <w:b w:val="0"/>
          <w:bCs w:val="0"/>
          <w:color w:val="000000" w:themeColor="text1"/>
          <w:spacing w:val="-3"/>
          <w:sz w:val="24"/>
          <w:szCs w:val="24"/>
          <w14:textFill>
            <w14:solidFill>
              <w14:schemeClr w14:val="tx1"/>
            </w14:solidFill>
          </w14:textFill>
        </w:rPr>
        <w:t>偏</w:t>
      </w:r>
      <w:r>
        <w:rPr>
          <w:rFonts w:hint="eastAsia" w:ascii="宋体" w:hAnsi="宋体" w:eastAsia="宋体" w:cs="宋体"/>
          <w:b w:val="0"/>
          <w:bCs w:val="0"/>
          <w:color w:val="000000" w:themeColor="text1"/>
          <w:sz w:val="24"/>
          <w:szCs w:val="24"/>
          <w14:textFill>
            <w14:solidFill>
              <w14:schemeClr w14:val="tx1"/>
            </w14:solidFill>
          </w14:textFill>
        </w:rPr>
        <w:t>差</w:t>
      </w:r>
      <w:r>
        <w:rPr>
          <w:rFonts w:hint="eastAsia" w:ascii="宋体" w:hAnsi="宋体" w:eastAsia="宋体" w:cs="宋体"/>
          <w:b w:val="0"/>
          <w:bCs w:val="0"/>
          <w:color w:val="000000" w:themeColor="text1"/>
          <w:spacing w:val="-3"/>
          <w:sz w:val="24"/>
          <w:szCs w:val="24"/>
          <w14:textFill>
            <w14:solidFill>
              <w14:schemeClr w14:val="tx1"/>
            </w14:solidFill>
          </w14:textFill>
        </w:rPr>
        <w:t>表</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pacing w:val="-1"/>
          <w:sz w:val="24"/>
          <w:szCs w:val="24"/>
          <w14:textFill>
            <w14:solidFill>
              <w14:schemeClr w14:val="tx1"/>
            </w14:solidFill>
          </w14:textFill>
        </w:rPr>
        <w:t>专用合同条款、通用合同条款、供货要求、分项报价表、中标设备技术性能指标的详细描述、</w:t>
      </w:r>
      <w:r>
        <w:rPr>
          <w:rFonts w:hint="eastAsia" w:ascii="宋体" w:hAnsi="宋体" w:eastAsia="宋体" w:cs="宋体"/>
          <w:b w:val="0"/>
          <w:bCs w:val="0"/>
          <w:color w:val="000000" w:themeColor="text1"/>
          <w:sz w:val="24"/>
          <w:szCs w:val="24"/>
          <w14:textFill>
            <w14:solidFill>
              <w14:schemeClr w14:val="tx1"/>
            </w14:solidFill>
          </w14:textFill>
        </w:rPr>
        <w:t>技术服务和质保期服务计划，以及其他构成合同组成部分的文件。</w:t>
      </w:r>
    </w:p>
    <w:p w14:paraId="123757FE">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1.1.1.2 合同协议书：指买方和卖方共同签署的合同协议书。</w:t>
      </w:r>
    </w:p>
    <w:p w14:paraId="3119C41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1.1.1.3 中标通知书：指买方通知卖方中标的函件。</w:t>
      </w:r>
    </w:p>
    <w:p w14:paraId="067CFF0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1.1.1.4 投标函：指由卖方填写并签署的，名为“投标函”的函件。</w:t>
      </w:r>
    </w:p>
    <w:p w14:paraId="7437CE9A">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1.1.1.5 商务和技术偏差表：指卖方响应文件中的商务和技术偏差表。</w:t>
      </w:r>
    </w:p>
    <w:p w14:paraId="5F6C5BAD">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1.1.1.6 供货要求：指合同文件中名为“供货要求”的文件。</w:t>
      </w:r>
    </w:p>
    <w:p w14:paraId="4F972339">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1.1.1.7 中标设备技术性能指标的详细描述：指卖方响应文件中的投标设备技术性能指标的详细描述。</w:t>
      </w:r>
    </w:p>
    <w:p w14:paraId="0C1AC7DB">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1.1.1.8 技术服务和质保期服务计划：指卖方响应文件中的技术服务和质保期服务计划。</w:t>
      </w:r>
    </w:p>
    <w:p w14:paraId="1AF98F1B">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1.1.1.9 分项报价表：指卖方响应文件中的分项报价表。</w:t>
      </w:r>
    </w:p>
    <w:p w14:paraId="5980CBDE">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1.1.1.10 其他合同文件：指经合同双方当事人确认构成合同文件的其他文件。</w:t>
      </w:r>
    </w:p>
    <w:p w14:paraId="037F5DF6">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1.1.2  合同当事人</w:t>
      </w:r>
    </w:p>
    <w:p w14:paraId="7B9AE82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1.1.2.1 合同当事人：指买方和（或）卖方。</w:t>
      </w:r>
    </w:p>
    <w:p w14:paraId="260A0552">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1.1.2.2 买方：指与卖方签订合同协议书，购买合同设备和技术服务和质保期服务的当事人，及其合法继承人。</w:t>
      </w:r>
    </w:p>
    <w:p w14:paraId="550F8426">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1.1.2.3 卖方：指与买方签订合同协议书，提供合同设备和技术服务和质保期服务的当事人，及其合法继承人。</w:t>
      </w:r>
    </w:p>
    <w:p w14:paraId="699631D6">
      <w:pPr>
        <w:pStyle w:val="90"/>
        <w:spacing w:line="500" w:lineRule="exact"/>
        <w:ind w:left="0" w:right="0" w:firstLine="480" w:firstLineChars="200"/>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1.1.3  合同价格</w:t>
      </w:r>
    </w:p>
    <w:p w14:paraId="39754CFE">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1.1.3.1 签约合同价：是签订合同时合同协议书中写明的合同总金额。</w:t>
      </w:r>
    </w:p>
    <w:p w14:paraId="4F6B1C1C">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1.1.3.2 合同价格：指卖方按合同约定履行了全部合同义务后，买方应付给卖方的金额。</w:t>
      </w:r>
    </w:p>
    <w:p w14:paraId="082410FD">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1.1.4</w:t>
      </w:r>
      <w:r>
        <w:rPr>
          <w:rFonts w:hint="eastAsia" w:ascii="宋体" w:hAnsi="宋体" w:eastAsia="宋体" w:cs="宋体"/>
          <w:b w:val="0"/>
          <w:bCs w:val="0"/>
          <w:color w:val="000000" w:themeColor="text1"/>
          <w:spacing w:val="-9"/>
          <w:szCs w:val="24"/>
          <w14:textFill>
            <w14:solidFill>
              <w14:schemeClr w14:val="tx1"/>
            </w14:solidFill>
          </w14:textFill>
        </w:rPr>
        <w:t>合同设备：指卖方按合同约定应向买方提供的设备、装置、备品、备件、易损易耗件、</w:t>
      </w:r>
      <w:r>
        <w:rPr>
          <w:rFonts w:hint="eastAsia" w:ascii="宋体" w:hAnsi="宋体" w:eastAsia="宋体" w:cs="宋体"/>
          <w:b w:val="0"/>
          <w:bCs w:val="0"/>
          <w:color w:val="000000" w:themeColor="text1"/>
          <w:szCs w:val="24"/>
          <w14:textFill>
            <w14:solidFill>
              <w14:schemeClr w14:val="tx1"/>
            </w14:solidFill>
          </w14:textFill>
        </w:rPr>
        <w:t>配套使用的软件或其他辅助电子应用程序及技术资料，或其中任何一部分。</w:t>
      </w:r>
    </w:p>
    <w:p w14:paraId="21D2D50D">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1.1.5 技术资料：指各种纸质及电子载体的与合同设备的设计、检验、安装、调试、考核、操作、维修以及保养等有关的技术指标、规格、图纸和说明文件。</w:t>
      </w:r>
    </w:p>
    <w:p w14:paraId="12BB8B36">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1.1.6 </w:t>
      </w:r>
      <w:r>
        <w:rPr>
          <w:rFonts w:hint="eastAsia" w:ascii="宋体" w:hAnsi="宋体" w:eastAsia="宋体" w:cs="宋体"/>
          <w:b w:val="0"/>
          <w:bCs w:val="0"/>
          <w:color w:val="000000" w:themeColor="text1"/>
          <w:spacing w:val="-4"/>
          <w:szCs w:val="24"/>
          <w14:textFill>
            <w14:solidFill>
              <w14:schemeClr w14:val="tx1"/>
            </w14:solidFill>
          </w14:textFill>
        </w:rPr>
        <w:t>安装：指对合同设备进行的组装、连接以及根据需要将合同设备固定在施工场地内一</w:t>
      </w:r>
      <w:r>
        <w:rPr>
          <w:rFonts w:hint="eastAsia" w:ascii="宋体" w:hAnsi="宋体" w:eastAsia="宋体" w:cs="宋体"/>
          <w:b w:val="0"/>
          <w:bCs w:val="0"/>
          <w:color w:val="000000" w:themeColor="text1"/>
          <w:szCs w:val="24"/>
          <w14:textFill>
            <w14:solidFill>
              <w14:schemeClr w14:val="tx1"/>
            </w14:solidFill>
          </w14:textFill>
        </w:rPr>
        <w:t>定的位置上，使其就位并与相关设备、工程实现连接。</w:t>
      </w:r>
    </w:p>
    <w:p w14:paraId="2F7DDEE7">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1.1.7 调试：指在合同设备安装完成后，对合同设备所进行的调校和测试。</w:t>
      </w:r>
    </w:p>
    <w:p w14:paraId="1CFB8DB0">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1.1.8 </w:t>
      </w:r>
      <w:r>
        <w:rPr>
          <w:rFonts w:hint="eastAsia" w:ascii="宋体" w:hAnsi="宋体" w:eastAsia="宋体" w:cs="宋体"/>
          <w:b w:val="0"/>
          <w:bCs w:val="0"/>
          <w:color w:val="000000" w:themeColor="text1"/>
          <w:spacing w:val="-4"/>
          <w:szCs w:val="24"/>
          <w14:textFill>
            <w14:solidFill>
              <w14:schemeClr w14:val="tx1"/>
            </w14:solidFill>
          </w14:textFill>
        </w:rPr>
        <w:t>考核：指在合同设备调试完成后，对合同设备进行的用于确定其是否达到合同约定的</w:t>
      </w:r>
      <w:r>
        <w:rPr>
          <w:rFonts w:hint="eastAsia" w:ascii="宋体" w:hAnsi="宋体" w:eastAsia="宋体" w:cs="宋体"/>
          <w:b w:val="0"/>
          <w:bCs w:val="0"/>
          <w:color w:val="000000" w:themeColor="text1"/>
          <w:szCs w:val="24"/>
          <w14:textFill>
            <w14:solidFill>
              <w14:schemeClr w14:val="tx1"/>
            </w14:solidFill>
          </w14:textFill>
        </w:rPr>
        <w:t>技术性能考核指标的考核。</w:t>
      </w:r>
    </w:p>
    <w:p w14:paraId="76824D9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1.1.9 </w:t>
      </w:r>
      <w:r>
        <w:rPr>
          <w:rFonts w:hint="eastAsia" w:ascii="宋体" w:hAnsi="宋体" w:eastAsia="宋体" w:cs="宋体"/>
          <w:b w:val="0"/>
          <w:bCs w:val="0"/>
          <w:color w:val="000000" w:themeColor="text1"/>
          <w:spacing w:val="-4"/>
          <w:szCs w:val="24"/>
          <w14:textFill>
            <w14:solidFill>
              <w14:schemeClr w14:val="tx1"/>
            </w14:solidFill>
          </w14:textFill>
        </w:rPr>
        <w:t>验收：指合同设备通过考核达到合同约定的技术性能考核指标后，买方作出接受合同</w:t>
      </w:r>
      <w:r>
        <w:rPr>
          <w:rFonts w:hint="eastAsia" w:ascii="宋体" w:hAnsi="宋体" w:eastAsia="宋体" w:cs="宋体"/>
          <w:b w:val="0"/>
          <w:bCs w:val="0"/>
          <w:color w:val="000000" w:themeColor="text1"/>
          <w:szCs w:val="24"/>
          <w14:textFill>
            <w14:solidFill>
              <w14:schemeClr w14:val="tx1"/>
            </w14:solidFill>
          </w14:textFill>
        </w:rPr>
        <w:t>设备的确认。</w:t>
      </w:r>
    </w:p>
    <w:p w14:paraId="1565D722">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1.1.10 </w:t>
      </w:r>
      <w:r>
        <w:rPr>
          <w:rFonts w:hint="eastAsia" w:ascii="宋体" w:hAnsi="宋体" w:eastAsia="宋体" w:cs="宋体"/>
          <w:b w:val="0"/>
          <w:bCs w:val="0"/>
          <w:color w:val="000000" w:themeColor="text1"/>
          <w:spacing w:val="-7"/>
          <w:szCs w:val="24"/>
          <w14:textFill>
            <w14:solidFill>
              <w14:schemeClr w14:val="tx1"/>
            </w14:solidFill>
          </w14:textFill>
        </w:rPr>
        <w:t>技术服务：指卖方按合同约定，在合同设备验收前，向买方提供的安装、调试服务，</w:t>
      </w:r>
      <w:r>
        <w:rPr>
          <w:rFonts w:hint="eastAsia" w:ascii="宋体" w:hAnsi="宋体" w:eastAsia="宋体" w:cs="宋体"/>
          <w:b w:val="0"/>
          <w:bCs w:val="0"/>
          <w:color w:val="000000" w:themeColor="text1"/>
          <w:szCs w:val="24"/>
          <w14:textFill>
            <w14:solidFill>
              <w14:schemeClr w14:val="tx1"/>
            </w14:solidFill>
          </w14:textFill>
        </w:rPr>
        <w:t>或者在由买方负责的安装、调试、考核中对买方进行的技术指导、协助、监督和培训等。</w:t>
      </w:r>
    </w:p>
    <w:p w14:paraId="3A0D3B0E">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1.1.11 质量保证期：指合同设备验收后，卖方按合同约定保证合同设备适当、稳定运行，并负责消除合同设备故障的期限。</w:t>
      </w:r>
    </w:p>
    <w:p w14:paraId="305C300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1.1.12 </w:t>
      </w:r>
      <w:r>
        <w:rPr>
          <w:rFonts w:hint="eastAsia" w:ascii="宋体" w:hAnsi="宋体" w:eastAsia="宋体" w:cs="宋体"/>
          <w:b w:val="0"/>
          <w:bCs w:val="0"/>
          <w:color w:val="000000" w:themeColor="text1"/>
          <w:spacing w:val="-7"/>
          <w:szCs w:val="24"/>
          <w14:textFill>
            <w14:solidFill>
              <w14:schemeClr w14:val="tx1"/>
            </w14:solidFill>
          </w14:textFill>
        </w:rPr>
        <w:t>质保期服务：指在质量保证期内，卖方向买方提供的合同设备维护服务、咨询服务、</w:t>
      </w:r>
      <w:r>
        <w:rPr>
          <w:rFonts w:hint="eastAsia" w:ascii="宋体" w:hAnsi="宋体" w:eastAsia="宋体" w:cs="宋体"/>
          <w:b w:val="0"/>
          <w:bCs w:val="0"/>
          <w:color w:val="000000" w:themeColor="text1"/>
          <w:szCs w:val="24"/>
          <w14:textFill>
            <w14:solidFill>
              <w14:schemeClr w14:val="tx1"/>
            </w14:solidFill>
          </w14:textFill>
        </w:rPr>
        <w:t>技术指导、协助以及对出现故障的合同设备进行修理或更换的服务。</w:t>
      </w:r>
    </w:p>
    <w:p w14:paraId="2DF3580C">
      <w:pPr>
        <w:pStyle w:val="90"/>
        <w:spacing w:line="500" w:lineRule="exact"/>
        <w:ind w:left="0" w:right="0" w:firstLine="480" w:firstLineChars="200"/>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1.1.13  工程</w:t>
      </w:r>
    </w:p>
    <w:p w14:paraId="34AEAFF1">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1.1.13.1 工程：指在专用合同条款中指明的，安装运行合同设备的工程。</w:t>
      </w:r>
    </w:p>
    <w:p w14:paraId="4BEFBA19">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1.1.13</w:t>
      </w:r>
      <w:r>
        <w:rPr>
          <w:rFonts w:hint="eastAsia" w:ascii="宋体" w:hAnsi="宋体" w:eastAsia="宋体" w:cs="宋体"/>
          <w:b w:val="0"/>
          <w:bCs w:val="0"/>
          <w:color w:val="000000" w:themeColor="text1"/>
          <w:spacing w:val="-3"/>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 xml:space="preserve">2 </w:t>
      </w:r>
      <w:r>
        <w:rPr>
          <w:rFonts w:hint="eastAsia" w:ascii="宋体" w:hAnsi="宋体" w:eastAsia="宋体" w:cs="宋体"/>
          <w:b w:val="0"/>
          <w:bCs w:val="0"/>
          <w:color w:val="000000" w:themeColor="text1"/>
          <w:spacing w:val="-3"/>
          <w:szCs w:val="24"/>
          <w14:textFill>
            <w14:solidFill>
              <w14:schemeClr w14:val="tx1"/>
            </w14:solidFill>
          </w14:textFill>
        </w:rPr>
        <w:t>施</w:t>
      </w:r>
      <w:r>
        <w:rPr>
          <w:rFonts w:hint="eastAsia" w:ascii="宋体" w:hAnsi="宋体" w:eastAsia="宋体" w:cs="宋体"/>
          <w:b w:val="0"/>
          <w:bCs w:val="0"/>
          <w:color w:val="000000" w:themeColor="text1"/>
          <w:szCs w:val="24"/>
          <w14:textFill>
            <w14:solidFill>
              <w14:schemeClr w14:val="tx1"/>
            </w14:solidFill>
          </w14:textFill>
        </w:rPr>
        <w:t>工</w:t>
      </w:r>
      <w:r>
        <w:rPr>
          <w:rFonts w:hint="eastAsia" w:ascii="宋体" w:hAnsi="宋体" w:eastAsia="宋体" w:cs="宋体"/>
          <w:b w:val="0"/>
          <w:bCs w:val="0"/>
          <w:color w:val="000000" w:themeColor="text1"/>
          <w:spacing w:val="-3"/>
          <w:szCs w:val="24"/>
          <w14:textFill>
            <w14:solidFill>
              <w14:schemeClr w14:val="tx1"/>
            </w14:solidFill>
          </w14:textFill>
        </w:rPr>
        <w:t>场</w:t>
      </w:r>
      <w:r>
        <w:rPr>
          <w:rFonts w:hint="eastAsia" w:ascii="宋体" w:hAnsi="宋体" w:eastAsia="宋体" w:cs="宋体"/>
          <w:b w:val="0"/>
          <w:bCs w:val="0"/>
          <w:color w:val="000000" w:themeColor="text1"/>
          <w:szCs w:val="24"/>
          <w14:textFill>
            <w14:solidFill>
              <w14:schemeClr w14:val="tx1"/>
            </w14:solidFill>
          </w14:textFill>
        </w:rPr>
        <w:t>地</w:t>
      </w:r>
      <w:r>
        <w:rPr>
          <w:rFonts w:hint="eastAsia" w:ascii="宋体" w:hAnsi="宋体" w:eastAsia="宋体" w:cs="宋体"/>
          <w:b w:val="0"/>
          <w:bCs w:val="0"/>
          <w:color w:val="000000" w:themeColor="text1"/>
          <w:spacing w:val="-3"/>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或</w:t>
      </w:r>
      <w:r>
        <w:rPr>
          <w:rFonts w:hint="eastAsia" w:ascii="宋体" w:hAnsi="宋体" w:eastAsia="宋体" w:cs="宋体"/>
          <w:b w:val="0"/>
          <w:bCs w:val="0"/>
          <w:color w:val="000000" w:themeColor="text1"/>
          <w:spacing w:val="-3"/>
          <w:szCs w:val="24"/>
          <w14:textFill>
            <w14:solidFill>
              <w14:schemeClr w14:val="tx1"/>
            </w14:solidFill>
          </w14:textFill>
        </w:rPr>
        <w:t>称</w:t>
      </w:r>
      <w:r>
        <w:rPr>
          <w:rFonts w:hint="eastAsia" w:ascii="宋体" w:hAnsi="宋体" w:eastAsia="宋体" w:cs="宋体"/>
          <w:b w:val="0"/>
          <w:bCs w:val="0"/>
          <w:color w:val="000000" w:themeColor="text1"/>
          <w:szCs w:val="24"/>
          <w14:textFill>
            <w14:solidFill>
              <w14:schemeClr w14:val="tx1"/>
            </w14:solidFill>
          </w14:textFill>
        </w:rPr>
        <w:t>工地</w:t>
      </w:r>
      <w:r>
        <w:rPr>
          <w:rFonts w:hint="eastAsia" w:ascii="宋体" w:hAnsi="宋体" w:eastAsia="宋体" w:cs="宋体"/>
          <w:b w:val="0"/>
          <w:bCs w:val="0"/>
          <w:color w:val="000000" w:themeColor="text1"/>
          <w:spacing w:val="-3"/>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施</w:t>
      </w:r>
      <w:r>
        <w:rPr>
          <w:rFonts w:hint="eastAsia" w:ascii="宋体" w:hAnsi="宋体" w:eastAsia="宋体" w:cs="宋体"/>
          <w:b w:val="0"/>
          <w:bCs w:val="0"/>
          <w:color w:val="000000" w:themeColor="text1"/>
          <w:spacing w:val="-3"/>
          <w:szCs w:val="24"/>
          <w14:textFill>
            <w14:solidFill>
              <w14:schemeClr w14:val="tx1"/>
            </w14:solidFill>
          </w14:textFill>
        </w:rPr>
        <w:t>工</w:t>
      </w:r>
      <w:r>
        <w:rPr>
          <w:rFonts w:hint="eastAsia" w:ascii="宋体" w:hAnsi="宋体" w:eastAsia="宋体" w:cs="宋体"/>
          <w:b w:val="0"/>
          <w:bCs w:val="0"/>
          <w:color w:val="000000" w:themeColor="text1"/>
          <w:szCs w:val="24"/>
          <w14:textFill>
            <w14:solidFill>
              <w14:schemeClr w14:val="tx1"/>
            </w14:solidFill>
          </w14:textFill>
        </w:rPr>
        <w:t>现</w:t>
      </w:r>
      <w:r>
        <w:rPr>
          <w:rFonts w:hint="eastAsia" w:ascii="宋体" w:hAnsi="宋体" w:eastAsia="宋体" w:cs="宋体"/>
          <w:b w:val="0"/>
          <w:bCs w:val="0"/>
          <w:color w:val="000000" w:themeColor="text1"/>
          <w:spacing w:val="-3"/>
          <w:szCs w:val="24"/>
          <w14:textFill>
            <w14:solidFill>
              <w14:schemeClr w14:val="tx1"/>
            </w14:solidFill>
          </w14:textFill>
        </w:rPr>
        <w:t>场</w:t>
      </w:r>
      <w:r>
        <w:rPr>
          <w:rFonts w:hint="eastAsia" w:ascii="宋体" w:hAnsi="宋体" w:eastAsia="宋体" w:cs="宋体"/>
          <w:b w:val="0"/>
          <w:bCs w:val="0"/>
          <w:color w:val="000000" w:themeColor="text1"/>
          <w:spacing w:val="-106"/>
          <w:szCs w:val="24"/>
          <w14:textFill>
            <w14:solidFill>
              <w14:schemeClr w14:val="tx1"/>
            </w14:solidFill>
          </w14:textFill>
        </w:rPr>
        <w:t>）</w:t>
      </w:r>
      <w:r>
        <w:rPr>
          <w:rFonts w:hint="eastAsia" w:ascii="宋体" w:hAnsi="宋体" w:eastAsia="宋体" w:cs="宋体"/>
          <w:b w:val="0"/>
          <w:bCs w:val="0"/>
          <w:color w:val="000000" w:themeColor="text1"/>
          <w:spacing w:val="-3"/>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指</w:t>
      </w:r>
      <w:r>
        <w:rPr>
          <w:rFonts w:hint="eastAsia" w:ascii="宋体" w:hAnsi="宋体" w:eastAsia="宋体" w:cs="宋体"/>
          <w:b w:val="0"/>
          <w:bCs w:val="0"/>
          <w:color w:val="000000" w:themeColor="text1"/>
          <w:spacing w:val="-3"/>
          <w:szCs w:val="24"/>
          <w14:textFill>
            <w14:solidFill>
              <w14:schemeClr w14:val="tx1"/>
            </w14:solidFill>
          </w14:textFill>
        </w:rPr>
        <w:t>专用</w:t>
      </w:r>
      <w:r>
        <w:rPr>
          <w:rFonts w:hint="eastAsia" w:ascii="宋体" w:hAnsi="宋体" w:eastAsia="宋体" w:cs="宋体"/>
          <w:b w:val="0"/>
          <w:bCs w:val="0"/>
          <w:color w:val="000000" w:themeColor="text1"/>
          <w:szCs w:val="24"/>
          <w14:textFill>
            <w14:solidFill>
              <w14:schemeClr w14:val="tx1"/>
            </w14:solidFill>
          </w14:textFill>
        </w:rPr>
        <w:t>合同</w:t>
      </w:r>
      <w:r>
        <w:rPr>
          <w:rFonts w:hint="eastAsia" w:ascii="宋体" w:hAnsi="宋体" w:eastAsia="宋体" w:cs="宋体"/>
          <w:b w:val="0"/>
          <w:bCs w:val="0"/>
          <w:color w:val="000000" w:themeColor="text1"/>
          <w:spacing w:val="-3"/>
          <w:szCs w:val="24"/>
          <w14:textFill>
            <w14:solidFill>
              <w14:schemeClr w14:val="tx1"/>
            </w14:solidFill>
          </w14:textFill>
        </w:rPr>
        <w:t>条</w:t>
      </w:r>
      <w:r>
        <w:rPr>
          <w:rFonts w:hint="eastAsia" w:ascii="宋体" w:hAnsi="宋体" w:eastAsia="宋体" w:cs="宋体"/>
          <w:b w:val="0"/>
          <w:bCs w:val="0"/>
          <w:color w:val="000000" w:themeColor="text1"/>
          <w:szCs w:val="24"/>
          <w14:textFill>
            <w14:solidFill>
              <w14:schemeClr w14:val="tx1"/>
            </w14:solidFill>
          </w14:textFill>
        </w:rPr>
        <w:t>款</w:t>
      </w:r>
      <w:r>
        <w:rPr>
          <w:rFonts w:hint="eastAsia" w:ascii="宋体" w:hAnsi="宋体" w:eastAsia="宋体" w:cs="宋体"/>
          <w:b w:val="0"/>
          <w:bCs w:val="0"/>
          <w:color w:val="000000" w:themeColor="text1"/>
          <w:spacing w:val="-3"/>
          <w:szCs w:val="24"/>
          <w14:textFill>
            <w14:solidFill>
              <w14:schemeClr w14:val="tx1"/>
            </w14:solidFill>
          </w14:textFill>
        </w:rPr>
        <w:t>中</w:t>
      </w:r>
      <w:r>
        <w:rPr>
          <w:rFonts w:hint="eastAsia" w:ascii="宋体" w:hAnsi="宋体" w:eastAsia="宋体" w:cs="宋体"/>
          <w:b w:val="0"/>
          <w:bCs w:val="0"/>
          <w:color w:val="000000" w:themeColor="text1"/>
          <w:szCs w:val="24"/>
          <w14:textFill>
            <w14:solidFill>
              <w14:schemeClr w14:val="tx1"/>
            </w14:solidFill>
          </w14:textFill>
        </w:rPr>
        <w:t>指</w:t>
      </w:r>
      <w:r>
        <w:rPr>
          <w:rFonts w:hint="eastAsia" w:ascii="宋体" w:hAnsi="宋体" w:eastAsia="宋体" w:cs="宋体"/>
          <w:b w:val="0"/>
          <w:bCs w:val="0"/>
          <w:color w:val="000000" w:themeColor="text1"/>
          <w:spacing w:val="-3"/>
          <w:szCs w:val="24"/>
          <w14:textFill>
            <w14:solidFill>
              <w14:schemeClr w14:val="tx1"/>
            </w14:solidFill>
          </w14:textFill>
        </w:rPr>
        <w:t>明</w:t>
      </w:r>
      <w:r>
        <w:rPr>
          <w:rFonts w:hint="eastAsia" w:ascii="宋体" w:hAnsi="宋体" w:eastAsia="宋体" w:cs="宋体"/>
          <w:b w:val="0"/>
          <w:bCs w:val="0"/>
          <w:color w:val="000000" w:themeColor="text1"/>
          <w:szCs w:val="24"/>
          <w14:textFill>
            <w14:solidFill>
              <w14:schemeClr w14:val="tx1"/>
            </w14:solidFill>
          </w14:textFill>
        </w:rPr>
        <w:t>的</w:t>
      </w:r>
      <w:r>
        <w:rPr>
          <w:rFonts w:hint="eastAsia" w:ascii="宋体" w:hAnsi="宋体" w:eastAsia="宋体" w:cs="宋体"/>
          <w:b w:val="0"/>
          <w:bCs w:val="0"/>
          <w:color w:val="000000" w:themeColor="text1"/>
          <w:spacing w:val="-3"/>
          <w:szCs w:val="24"/>
          <w14:textFill>
            <w14:solidFill>
              <w14:schemeClr w14:val="tx1"/>
            </w14:solidFill>
          </w14:textFill>
        </w:rPr>
        <w:t>工</w:t>
      </w:r>
      <w:r>
        <w:rPr>
          <w:rFonts w:hint="eastAsia" w:ascii="宋体" w:hAnsi="宋体" w:eastAsia="宋体" w:cs="宋体"/>
          <w:b w:val="0"/>
          <w:bCs w:val="0"/>
          <w:color w:val="000000" w:themeColor="text1"/>
          <w:szCs w:val="24"/>
          <w14:textFill>
            <w14:solidFill>
              <w14:schemeClr w14:val="tx1"/>
            </w14:solidFill>
          </w14:textFill>
        </w:rPr>
        <w:t>程</w:t>
      </w:r>
      <w:r>
        <w:rPr>
          <w:rFonts w:hint="eastAsia" w:ascii="宋体" w:hAnsi="宋体" w:eastAsia="宋体" w:cs="宋体"/>
          <w:b w:val="0"/>
          <w:bCs w:val="0"/>
          <w:color w:val="000000" w:themeColor="text1"/>
          <w:spacing w:val="-3"/>
          <w:szCs w:val="24"/>
          <w14:textFill>
            <w14:solidFill>
              <w14:schemeClr w14:val="tx1"/>
            </w14:solidFill>
          </w14:textFill>
        </w:rPr>
        <w:t>所</w:t>
      </w:r>
      <w:r>
        <w:rPr>
          <w:rFonts w:hint="eastAsia" w:ascii="宋体" w:hAnsi="宋体" w:eastAsia="宋体" w:cs="宋体"/>
          <w:b w:val="0"/>
          <w:bCs w:val="0"/>
          <w:color w:val="000000" w:themeColor="text1"/>
          <w:szCs w:val="24"/>
          <w14:textFill>
            <w14:solidFill>
              <w14:schemeClr w14:val="tx1"/>
            </w14:solidFill>
          </w14:textFill>
        </w:rPr>
        <w:t>在场</w:t>
      </w:r>
      <w:r>
        <w:rPr>
          <w:rFonts w:hint="eastAsia" w:ascii="宋体" w:hAnsi="宋体" w:eastAsia="宋体" w:cs="宋体"/>
          <w:b w:val="0"/>
          <w:bCs w:val="0"/>
          <w:color w:val="000000" w:themeColor="text1"/>
          <w:spacing w:val="-3"/>
          <w:szCs w:val="24"/>
          <w14:textFill>
            <w14:solidFill>
              <w14:schemeClr w14:val="tx1"/>
            </w14:solidFill>
          </w14:textFill>
        </w:rPr>
        <w:t>所</w:t>
      </w:r>
      <w:r>
        <w:rPr>
          <w:rFonts w:hint="eastAsia" w:ascii="宋体" w:hAnsi="宋体" w:eastAsia="宋体" w:cs="宋体"/>
          <w:b w:val="0"/>
          <w:bCs w:val="0"/>
          <w:color w:val="000000" w:themeColor="text1"/>
          <w:szCs w:val="24"/>
          <w14:textFill>
            <w14:solidFill>
              <w14:schemeClr w14:val="tx1"/>
            </w14:solidFill>
          </w14:textFill>
        </w:rPr>
        <w:t>。</w:t>
      </w:r>
    </w:p>
    <w:p w14:paraId="03FB3F8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1.1.14 </w:t>
      </w:r>
      <w:r>
        <w:rPr>
          <w:rFonts w:hint="eastAsia" w:ascii="宋体" w:hAnsi="宋体" w:eastAsia="宋体" w:cs="宋体"/>
          <w:b w:val="0"/>
          <w:bCs w:val="0"/>
          <w:color w:val="000000" w:themeColor="text1"/>
          <w:spacing w:val="-58"/>
          <w:szCs w:val="24"/>
          <w14:textFill>
            <w14:solidFill>
              <w14:schemeClr w14:val="tx1"/>
            </w14:solidFill>
          </w14:textFill>
        </w:rPr>
        <w:t>天</w:t>
      </w:r>
      <w:r>
        <w:rPr>
          <w:rFonts w:hint="eastAsia" w:ascii="宋体" w:hAnsi="宋体" w:eastAsia="宋体" w:cs="宋体"/>
          <w:b w:val="0"/>
          <w:bCs w:val="0"/>
          <w:color w:val="000000" w:themeColor="text1"/>
          <w:spacing w:val="-3"/>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或</w:t>
      </w:r>
      <w:r>
        <w:rPr>
          <w:rFonts w:hint="eastAsia" w:ascii="宋体" w:hAnsi="宋体" w:eastAsia="宋体" w:cs="宋体"/>
          <w:b w:val="0"/>
          <w:bCs w:val="0"/>
          <w:color w:val="000000" w:themeColor="text1"/>
          <w:spacing w:val="-3"/>
          <w:szCs w:val="24"/>
          <w14:textFill>
            <w14:solidFill>
              <w14:schemeClr w14:val="tx1"/>
            </w14:solidFill>
          </w14:textFill>
        </w:rPr>
        <w:t>称</w:t>
      </w:r>
      <w:r>
        <w:rPr>
          <w:rFonts w:hint="eastAsia" w:ascii="宋体" w:hAnsi="宋体" w:eastAsia="宋体" w:cs="宋体"/>
          <w:b w:val="0"/>
          <w:bCs w:val="0"/>
          <w:color w:val="000000" w:themeColor="text1"/>
          <w:szCs w:val="24"/>
          <w14:textFill>
            <w14:solidFill>
              <w14:schemeClr w14:val="tx1"/>
            </w14:solidFill>
          </w14:textFill>
        </w:rPr>
        <w:t>日</w:t>
      </w:r>
      <w:r>
        <w:rPr>
          <w:rFonts w:hint="eastAsia" w:ascii="宋体" w:hAnsi="宋体" w:eastAsia="宋体" w:cs="宋体"/>
          <w:b w:val="0"/>
          <w:bCs w:val="0"/>
          <w:color w:val="000000" w:themeColor="text1"/>
          <w:spacing w:val="-106"/>
          <w:szCs w:val="24"/>
          <w14:textFill>
            <w14:solidFill>
              <w14:schemeClr w14:val="tx1"/>
            </w14:solidFill>
          </w14:textFill>
        </w:rPr>
        <w:t>）</w:t>
      </w:r>
      <w:r>
        <w:rPr>
          <w:rFonts w:hint="eastAsia" w:ascii="宋体" w:hAnsi="宋体" w:eastAsia="宋体" w:cs="宋体"/>
          <w:b w:val="0"/>
          <w:bCs w:val="0"/>
          <w:color w:val="000000" w:themeColor="text1"/>
          <w:spacing w:val="-60"/>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除</w:t>
      </w:r>
      <w:r>
        <w:rPr>
          <w:rFonts w:hint="eastAsia" w:ascii="宋体" w:hAnsi="宋体" w:eastAsia="宋体" w:cs="宋体"/>
          <w:b w:val="0"/>
          <w:bCs w:val="0"/>
          <w:color w:val="000000" w:themeColor="text1"/>
          <w:spacing w:val="-3"/>
          <w:szCs w:val="24"/>
          <w14:textFill>
            <w14:solidFill>
              <w14:schemeClr w14:val="tx1"/>
            </w14:solidFill>
          </w14:textFill>
        </w:rPr>
        <w:t>特</w:t>
      </w:r>
      <w:r>
        <w:rPr>
          <w:rFonts w:hint="eastAsia" w:ascii="宋体" w:hAnsi="宋体" w:eastAsia="宋体" w:cs="宋体"/>
          <w:b w:val="0"/>
          <w:bCs w:val="0"/>
          <w:color w:val="000000" w:themeColor="text1"/>
          <w:szCs w:val="24"/>
          <w14:textFill>
            <w14:solidFill>
              <w14:schemeClr w14:val="tx1"/>
            </w14:solidFill>
          </w14:textFill>
        </w:rPr>
        <w:t>别指</w:t>
      </w:r>
      <w:r>
        <w:rPr>
          <w:rFonts w:hint="eastAsia" w:ascii="宋体" w:hAnsi="宋体" w:eastAsia="宋体" w:cs="宋体"/>
          <w:b w:val="0"/>
          <w:bCs w:val="0"/>
          <w:color w:val="000000" w:themeColor="text1"/>
          <w:spacing w:val="-3"/>
          <w:szCs w:val="24"/>
          <w14:textFill>
            <w14:solidFill>
              <w14:schemeClr w14:val="tx1"/>
            </w14:solidFill>
          </w14:textFill>
        </w:rPr>
        <w:t>明</w:t>
      </w:r>
      <w:r>
        <w:rPr>
          <w:rFonts w:hint="eastAsia" w:ascii="宋体" w:hAnsi="宋体" w:eastAsia="宋体" w:cs="宋体"/>
          <w:b w:val="0"/>
          <w:bCs w:val="0"/>
          <w:color w:val="000000" w:themeColor="text1"/>
          <w:szCs w:val="24"/>
          <w14:textFill>
            <w14:solidFill>
              <w14:schemeClr w14:val="tx1"/>
            </w14:solidFill>
          </w14:textFill>
        </w:rPr>
        <w:t>外</w:t>
      </w:r>
      <w:r>
        <w:rPr>
          <w:rFonts w:hint="eastAsia" w:ascii="宋体" w:hAnsi="宋体" w:eastAsia="宋体" w:cs="宋体"/>
          <w:b w:val="0"/>
          <w:bCs w:val="0"/>
          <w:color w:val="000000" w:themeColor="text1"/>
          <w:spacing w:val="-60"/>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指</w:t>
      </w:r>
      <w:r>
        <w:rPr>
          <w:rFonts w:hint="eastAsia" w:ascii="宋体" w:hAnsi="宋体" w:eastAsia="宋体" w:cs="宋体"/>
          <w:b w:val="0"/>
          <w:bCs w:val="0"/>
          <w:color w:val="000000" w:themeColor="text1"/>
          <w:spacing w:val="-3"/>
          <w:szCs w:val="24"/>
          <w14:textFill>
            <w14:solidFill>
              <w14:schemeClr w14:val="tx1"/>
            </w14:solidFill>
          </w14:textFill>
        </w:rPr>
        <w:t>日</w:t>
      </w:r>
      <w:r>
        <w:rPr>
          <w:rFonts w:hint="eastAsia" w:ascii="宋体" w:hAnsi="宋体" w:eastAsia="宋体" w:cs="宋体"/>
          <w:b w:val="0"/>
          <w:bCs w:val="0"/>
          <w:color w:val="000000" w:themeColor="text1"/>
          <w:szCs w:val="24"/>
          <w14:textFill>
            <w14:solidFill>
              <w14:schemeClr w14:val="tx1"/>
            </w14:solidFill>
          </w14:textFill>
        </w:rPr>
        <w:t>历天</w:t>
      </w:r>
      <w:r>
        <w:rPr>
          <w:rFonts w:hint="eastAsia" w:ascii="宋体" w:hAnsi="宋体" w:eastAsia="宋体" w:cs="宋体"/>
          <w:b w:val="0"/>
          <w:bCs w:val="0"/>
          <w:color w:val="000000" w:themeColor="text1"/>
          <w:spacing w:val="-60"/>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合</w:t>
      </w:r>
      <w:r>
        <w:rPr>
          <w:rFonts w:hint="eastAsia" w:ascii="宋体" w:hAnsi="宋体" w:eastAsia="宋体" w:cs="宋体"/>
          <w:b w:val="0"/>
          <w:bCs w:val="0"/>
          <w:color w:val="000000" w:themeColor="text1"/>
          <w:spacing w:val="-3"/>
          <w:szCs w:val="24"/>
          <w14:textFill>
            <w14:solidFill>
              <w14:schemeClr w14:val="tx1"/>
            </w14:solidFill>
          </w14:textFill>
        </w:rPr>
        <w:t>同</w:t>
      </w:r>
      <w:r>
        <w:rPr>
          <w:rFonts w:hint="eastAsia" w:ascii="宋体" w:hAnsi="宋体" w:eastAsia="宋体" w:cs="宋体"/>
          <w:b w:val="0"/>
          <w:bCs w:val="0"/>
          <w:color w:val="000000" w:themeColor="text1"/>
          <w:szCs w:val="24"/>
          <w14:textFill>
            <w14:solidFill>
              <w14:schemeClr w14:val="tx1"/>
            </w14:solidFill>
          </w14:textFill>
        </w:rPr>
        <w:t>中按</w:t>
      </w:r>
      <w:r>
        <w:rPr>
          <w:rFonts w:hint="eastAsia" w:ascii="宋体" w:hAnsi="宋体" w:eastAsia="宋体" w:cs="宋体"/>
          <w:b w:val="0"/>
          <w:bCs w:val="0"/>
          <w:color w:val="000000" w:themeColor="text1"/>
          <w:spacing w:val="-3"/>
          <w:szCs w:val="24"/>
          <w14:textFill>
            <w14:solidFill>
              <w14:schemeClr w14:val="tx1"/>
            </w14:solidFill>
          </w14:textFill>
        </w:rPr>
        <w:t>天</w:t>
      </w:r>
      <w:r>
        <w:rPr>
          <w:rFonts w:hint="eastAsia" w:ascii="宋体" w:hAnsi="宋体" w:eastAsia="宋体" w:cs="宋体"/>
          <w:b w:val="0"/>
          <w:bCs w:val="0"/>
          <w:color w:val="000000" w:themeColor="text1"/>
          <w:szCs w:val="24"/>
          <w14:textFill>
            <w14:solidFill>
              <w14:schemeClr w14:val="tx1"/>
            </w14:solidFill>
          </w14:textFill>
        </w:rPr>
        <w:t>计</w:t>
      </w:r>
      <w:r>
        <w:rPr>
          <w:rFonts w:hint="eastAsia" w:ascii="宋体" w:hAnsi="宋体" w:eastAsia="宋体" w:cs="宋体"/>
          <w:b w:val="0"/>
          <w:bCs w:val="0"/>
          <w:color w:val="000000" w:themeColor="text1"/>
          <w:spacing w:val="-3"/>
          <w:szCs w:val="24"/>
          <w14:textFill>
            <w14:solidFill>
              <w14:schemeClr w14:val="tx1"/>
            </w14:solidFill>
          </w14:textFill>
        </w:rPr>
        <w:t>算</w:t>
      </w:r>
      <w:r>
        <w:rPr>
          <w:rFonts w:hint="eastAsia" w:ascii="宋体" w:hAnsi="宋体" w:eastAsia="宋体" w:cs="宋体"/>
          <w:b w:val="0"/>
          <w:bCs w:val="0"/>
          <w:color w:val="000000" w:themeColor="text1"/>
          <w:szCs w:val="24"/>
          <w14:textFill>
            <w14:solidFill>
              <w14:schemeClr w14:val="tx1"/>
            </w14:solidFill>
          </w14:textFill>
        </w:rPr>
        <w:t>时</w:t>
      </w:r>
      <w:r>
        <w:rPr>
          <w:rFonts w:hint="eastAsia" w:ascii="宋体" w:hAnsi="宋体" w:eastAsia="宋体" w:cs="宋体"/>
          <w:b w:val="0"/>
          <w:bCs w:val="0"/>
          <w:color w:val="000000" w:themeColor="text1"/>
          <w:spacing w:val="-3"/>
          <w:szCs w:val="24"/>
          <w14:textFill>
            <w14:solidFill>
              <w14:schemeClr w14:val="tx1"/>
            </w14:solidFill>
          </w14:textFill>
        </w:rPr>
        <w:t>间</w:t>
      </w:r>
      <w:r>
        <w:rPr>
          <w:rFonts w:hint="eastAsia" w:ascii="宋体" w:hAnsi="宋体" w:eastAsia="宋体" w:cs="宋体"/>
          <w:b w:val="0"/>
          <w:bCs w:val="0"/>
          <w:color w:val="000000" w:themeColor="text1"/>
          <w:szCs w:val="24"/>
          <w14:textFill>
            <w14:solidFill>
              <w14:schemeClr w14:val="tx1"/>
            </w14:solidFill>
          </w14:textFill>
        </w:rPr>
        <w:t>的</w:t>
      </w:r>
      <w:r>
        <w:rPr>
          <w:rFonts w:hint="eastAsia" w:ascii="宋体" w:hAnsi="宋体" w:eastAsia="宋体" w:cs="宋体"/>
          <w:b w:val="0"/>
          <w:bCs w:val="0"/>
          <w:color w:val="000000" w:themeColor="text1"/>
          <w:spacing w:val="-60"/>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开</w:t>
      </w:r>
      <w:r>
        <w:rPr>
          <w:rFonts w:hint="eastAsia" w:ascii="宋体" w:hAnsi="宋体" w:eastAsia="宋体" w:cs="宋体"/>
          <w:b w:val="0"/>
          <w:bCs w:val="0"/>
          <w:color w:val="000000" w:themeColor="text1"/>
          <w:spacing w:val="-3"/>
          <w:szCs w:val="24"/>
          <w14:textFill>
            <w14:solidFill>
              <w14:schemeClr w14:val="tx1"/>
            </w14:solidFill>
          </w14:textFill>
        </w:rPr>
        <w:t>始</w:t>
      </w:r>
      <w:r>
        <w:rPr>
          <w:rFonts w:hint="eastAsia" w:ascii="宋体" w:hAnsi="宋体" w:eastAsia="宋体" w:cs="宋体"/>
          <w:b w:val="0"/>
          <w:bCs w:val="0"/>
          <w:color w:val="000000" w:themeColor="text1"/>
          <w:szCs w:val="24"/>
          <w14:textFill>
            <w14:solidFill>
              <w14:schemeClr w14:val="tx1"/>
            </w14:solidFill>
          </w14:textFill>
        </w:rPr>
        <w:t>当天</w:t>
      </w:r>
      <w:r>
        <w:rPr>
          <w:rFonts w:hint="eastAsia" w:ascii="宋体" w:hAnsi="宋体" w:eastAsia="宋体" w:cs="宋体"/>
          <w:b w:val="0"/>
          <w:bCs w:val="0"/>
          <w:color w:val="000000" w:themeColor="text1"/>
          <w:spacing w:val="-3"/>
          <w:szCs w:val="24"/>
          <w14:textFill>
            <w14:solidFill>
              <w14:schemeClr w14:val="tx1"/>
            </w14:solidFill>
          </w14:textFill>
        </w:rPr>
        <w:t>不</w:t>
      </w:r>
      <w:r>
        <w:rPr>
          <w:rFonts w:hint="eastAsia" w:ascii="宋体" w:hAnsi="宋体" w:eastAsia="宋体" w:cs="宋体"/>
          <w:b w:val="0"/>
          <w:bCs w:val="0"/>
          <w:color w:val="000000" w:themeColor="text1"/>
          <w:szCs w:val="24"/>
          <w14:textFill>
            <w14:solidFill>
              <w14:schemeClr w14:val="tx1"/>
            </w14:solidFill>
          </w14:textFill>
        </w:rPr>
        <w:t>计</w:t>
      </w:r>
      <w:r>
        <w:rPr>
          <w:rFonts w:hint="eastAsia" w:ascii="宋体" w:hAnsi="宋体" w:eastAsia="宋体" w:cs="宋体"/>
          <w:b w:val="0"/>
          <w:bCs w:val="0"/>
          <w:color w:val="000000" w:themeColor="text1"/>
          <w:spacing w:val="-3"/>
          <w:szCs w:val="24"/>
          <w14:textFill>
            <w14:solidFill>
              <w14:schemeClr w14:val="tx1"/>
            </w14:solidFill>
          </w14:textFill>
        </w:rPr>
        <w:t>入</w:t>
      </w:r>
      <w:r>
        <w:rPr>
          <w:rFonts w:hint="eastAsia" w:ascii="宋体" w:hAnsi="宋体" w:eastAsia="宋体" w:cs="宋体"/>
          <w:b w:val="0"/>
          <w:bCs w:val="0"/>
          <w:color w:val="000000" w:themeColor="text1"/>
          <w:szCs w:val="24"/>
          <w14:textFill>
            <w14:solidFill>
              <w14:schemeClr w14:val="tx1"/>
            </w14:solidFill>
          </w14:textFill>
        </w:rPr>
        <w:t>，</w:t>
      </w:r>
      <w:r>
        <w:rPr>
          <w:rFonts w:hint="eastAsia" w:ascii="宋体" w:hAnsi="宋体" w:eastAsia="宋体" w:cs="宋体"/>
          <w:b w:val="0"/>
          <w:bCs w:val="0"/>
          <w:color w:val="000000" w:themeColor="text1"/>
          <w:spacing w:val="-1"/>
          <w:szCs w:val="24"/>
          <w14:textFill>
            <w14:solidFill>
              <w14:schemeClr w14:val="tx1"/>
            </w14:solidFill>
          </w14:textFill>
        </w:rPr>
        <w:t>从次日开始计算。合同约定的期间的最后一天是星期日或者其他法定休假日的，以休假日的次</w:t>
      </w:r>
      <w:r>
        <w:rPr>
          <w:rFonts w:hint="eastAsia" w:ascii="宋体" w:hAnsi="宋体" w:eastAsia="宋体" w:cs="宋体"/>
          <w:b w:val="0"/>
          <w:bCs w:val="0"/>
          <w:color w:val="000000" w:themeColor="text1"/>
          <w:szCs w:val="24"/>
          <w14:textFill>
            <w14:solidFill>
              <w14:schemeClr w14:val="tx1"/>
            </w14:solidFill>
          </w14:textFill>
        </w:rPr>
        <w:t>日为期间的最后一天。</w:t>
      </w:r>
    </w:p>
    <w:p w14:paraId="4CE14B78">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1.1.15 </w:t>
      </w:r>
      <w:r>
        <w:rPr>
          <w:rFonts w:hint="eastAsia" w:ascii="宋体" w:hAnsi="宋体" w:eastAsia="宋体" w:cs="宋体"/>
          <w:b w:val="0"/>
          <w:bCs w:val="0"/>
          <w:color w:val="000000" w:themeColor="text1"/>
          <w:spacing w:val="-7"/>
          <w:szCs w:val="24"/>
          <w14:textFill>
            <w14:solidFill>
              <w14:schemeClr w14:val="tx1"/>
            </w14:solidFill>
          </w14:textFill>
        </w:rPr>
        <w:t>月：按照公历月计算。合同中按月计算时间的，开始当天不计入，从次日开始计算。</w:t>
      </w:r>
      <w:r>
        <w:rPr>
          <w:rFonts w:hint="eastAsia" w:ascii="宋体" w:hAnsi="宋体" w:eastAsia="宋体" w:cs="宋体"/>
          <w:b w:val="0"/>
          <w:bCs w:val="0"/>
          <w:color w:val="000000" w:themeColor="text1"/>
          <w:spacing w:val="-1"/>
          <w:szCs w:val="24"/>
          <w14:textFill>
            <w14:solidFill>
              <w14:schemeClr w14:val="tx1"/>
            </w14:solidFill>
          </w14:textFill>
        </w:rPr>
        <w:t xml:space="preserve">合同约定的期间的最后一天是星期日或者其他法定休假日的，以休假日的次日为期间的最后一 </w:t>
      </w:r>
      <w:r>
        <w:rPr>
          <w:rFonts w:hint="eastAsia" w:ascii="宋体" w:hAnsi="宋体" w:eastAsia="宋体" w:cs="宋体"/>
          <w:b w:val="0"/>
          <w:bCs w:val="0"/>
          <w:color w:val="000000" w:themeColor="text1"/>
          <w:szCs w:val="24"/>
          <w14:textFill>
            <w14:solidFill>
              <w14:schemeClr w14:val="tx1"/>
            </w14:solidFill>
          </w14:textFill>
        </w:rPr>
        <w:t>天。</w:t>
      </w:r>
    </w:p>
    <w:p w14:paraId="0B3E67D8">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1.1.16 书面形式：指合同文件、信件和数据电文（包括电报、电传、传真、电子数据交换和电子邮件）等可以有形地表现所载内容的形式。</w:t>
      </w:r>
      <w:bookmarkStart w:id="187" w:name="_bookmark107"/>
      <w:bookmarkEnd w:id="187"/>
    </w:p>
    <w:p w14:paraId="6DEC4AEB">
      <w:pPr>
        <w:pStyle w:val="14"/>
        <w:spacing w:line="500" w:lineRule="exact"/>
        <w:ind w:firstLine="496" w:firstLineChars="200"/>
        <w:outlineLvl w:val="3"/>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1.2 语言文字</w:t>
      </w:r>
    </w:p>
    <w:p w14:paraId="0A56D646">
      <w:pPr>
        <w:pStyle w:val="91"/>
        <w:spacing w:line="500" w:lineRule="exact"/>
        <w:ind w:left="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合同使用的语言文字为中文。专用术语使用外文的，应附有中文注释。</w:t>
      </w:r>
      <w:bookmarkStart w:id="188" w:name="_bookmark108"/>
      <w:bookmarkEnd w:id="188"/>
    </w:p>
    <w:p w14:paraId="7623A499">
      <w:pPr>
        <w:pStyle w:val="91"/>
        <w:spacing w:line="50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 合同文件的优先顺序</w:t>
      </w:r>
    </w:p>
    <w:p w14:paraId="0CC2D1A7">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组成合同的各项文件应互相解释，互为说明。除专用合同条款另有约定外，解释合同文件的优先顺序如下：</w:t>
      </w:r>
    </w:p>
    <w:p w14:paraId="123E490B">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（1）合同协议书；</w:t>
      </w:r>
    </w:p>
    <w:p w14:paraId="28D06E24">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（2）中标通知书；</w:t>
      </w:r>
    </w:p>
    <w:p w14:paraId="283AAB16">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（3）投标函；</w:t>
      </w:r>
    </w:p>
    <w:p w14:paraId="25C6F45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（4）商务和技术偏差表；</w:t>
      </w:r>
    </w:p>
    <w:p w14:paraId="3B1AA5AB">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（5）专用合同条款；</w:t>
      </w:r>
    </w:p>
    <w:p w14:paraId="4CDA70DC">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（6）通用合同条款；</w:t>
      </w:r>
    </w:p>
    <w:p w14:paraId="6D0D8293">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（7）供货要求；</w:t>
      </w:r>
    </w:p>
    <w:p w14:paraId="1A5141A7">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（8）分项报价表；</w:t>
      </w:r>
    </w:p>
    <w:p w14:paraId="7DE9DDED">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（9）中标设备技术性能指标的详细描述；</w:t>
      </w:r>
    </w:p>
    <w:p w14:paraId="7CFD7E4B">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（10）技术服务和质保期服务计划；</w:t>
      </w:r>
    </w:p>
    <w:p w14:paraId="11D31E58">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（11）其他合同文件。</w:t>
      </w:r>
    </w:p>
    <w:p w14:paraId="25766F27">
      <w:pPr>
        <w:spacing w:line="500" w:lineRule="exact"/>
        <w:ind w:firstLine="480" w:firstLineChars="200"/>
        <w:jc w:val="left"/>
        <w:outlineLvl w:val="3"/>
        <w:rPr>
          <w:rFonts w:hint="eastAsia" w:ascii="宋体" w:hAnsi="宋体" w:eastAsia="宋体" w:cs="宋体"/>
          <w:color w:val="000000" w:themeColor="text1"/>
          <w:sz w:val="24"/>
          <w:szCs w:val="24"/>
          <w14:textFill>
            <w14:solidFill>
              <w14:schemeClr w14:val="tx1"/>
            </w14:solidFill>
          </w14:textFill>
        </w:rPr>
      </w:pPr>
      <w:bookmarkStart w:id="189" w:name="_bookmark109"/>
      <w:bookmarkEnd w:id="189"/>
      <w:r>
        <w:rPr>
          <w:rFonts w:hint="eastAsia" w:ascii="宋体" w:hAnsi="宋体" w:eastAsia="宋体" w:cs="宋体"/>
          <w:color w:val="000000" w:themeColor="text1"/>
          <w:sz w:val="24"/>
          <w:szCs w:val="24"/>
          <w14:textFill>
            <w14:solidFill>
              <w14:schemeClr w14:val="tx1"/>
            </w14:solidFill>
          </w14:textFill>
        </w:rPr>
        <w:t>1.4合同的生效及变更</w:t>
      </w:r>
    </w:p>
    <w:p w14:paraId="6C0F56F6">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1.4.1 除专用合同条款另有约定外，买方和卖方的法定代表人（单位负责人）或其授权代表在合同协议书上签字并加盖单位章后，合同生效。</w:t>
      </w:r>
    </w:p>
    <w:p w14:paraId="6DFB211C">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1.4.2 除专用合同条款另有约定外，在合同履行过程中，如需对合同进行变更，双方应签订书面协议，并经双方法定代表人（单位负责人）或其授权代表签字并加盖单位章后生效。</w:t>
      </w:r>
    </w:p>
    <w:p w14:paraId="37DEF061">
      <w:pPr>
        <w:pStyle w:val="91"/>
        <w:spacing w:line="50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bookmarkStart w:id="190" w:name="_bookmark110"/>
      <w:bookmarkEnd w:id="190"/>
      <w:r>
        <w:rPr>
          <w:rFonts w:hint="eastAsia" w:ascii="宋体" w:hAnsi="宋体" w:eastAsia="宋体" w:cs="宋体"/>
          <w:color w:val="000000" w:themeColor="text1"/>
          <w:sz w:val="24"/>
          <w:szCs w:val="24"/>
          <w14:textFill>
            <w14:solidFill>
              <w14:schemeClr w14:val="tx1"/>
            </w14:solidFill>
          </w14:textFill>
        </w:rPr>
        <w:t>1.5 联络</w:t>
      </w:r>
    </w:p>
    <w:p w14:paraId="5EA033A6">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1.5.1 </w:t>
      </w:r>
      <w:r>
        <w:rPr>
          <w:rFonts w:hint="eastAsia" w:ascii="宋体" w:hAnsi="宋体" w:eastAsia="宋体" w:cs="宋体"/>
          <w:b w:val="0"/>
          <w:bCs w:val="0"/>
          <w:color w:val="000000" w:themeColor="text1"/>
          <w:spacing w:val="-4"/>
          <w:szCs w:val="24"/>
          <w14:textFill>
            <w14:solidFill>
              <w14:schemeClr w14:val="tx1"/>
            </w14:solidFill>
          </w14:textFill>
        </w:rPr>
        <w:t>买卖双方应就合同履行中有关的事项及时进行联络，重要事项应通过书面形式进行联</w:t>
      </w:r>
      <w:r>
        <w:rPr>
          <w:rFonts w:hint="eastAsia" w:ascii="宋体" w:hAnsi="宋体" w:eastAsia="宋体" w:cs="宋体"/>
          <w:b w:val="0"/>
          <w:bCs w:val="0"/>
          <w:color w:val="000000" w:themeColor="text1"/>
          <w:spacing w:val="-1"/>
          <w:szCs w:val="24"/>
          <w14:textFill>
            <w14:solidFill>
              <w14:schemeClr w14:val="tx1"/>
            </w14:solidFill>
          </w14:textFill>
        </w:rPr>
        <w:t>络或确认。合同履行过程中的任何联络及相关文件的签署，均应通过专用合同条款指定的联系</w:t>
      </w:r>
      <w:r>
        <w:rPr>
          <w:rFonts w:hint="eastAsia" w:ascii="宋体" w:hAnsi="宋体" w:eastAsia="宋体" w:cs="宋体"/>
          <w:b w:val="0"/>
          <w:bCs w:val="0"/>
          <w:color w:val="000000" w:themeColor="text1"/>
          <w:szCs w:val="24"/>
          <w14:textFill>
            <w14:solidFill>
              <w14:schemeClr w14:val="tx1"/>
            </w14:solidFill>
          </w14:textFill>
        </w:rPr>
        <w:t>人和联系方式进行。合同履行过程中，双方可以书面形式增加或变更指定联系人。</w:t>
      </w:r>
    </w:p>
    <w:p w14:paraId="5E166E23">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1.5.2 合同履行中或与合同有关的任何联络，送达到第 1.5.1 项指定的联系人即视为送达。</w:t>
      </w:r>
    </w:p>
    <w:p w14:paraId="6DB01D7D">
      <w:pPr>
        <w:pStyle w:val="91"/>
        <w:spacing w:line="500" w:lineRule="exac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1.5.3 </w:t>
      </w:r>
      <w:r>
        <w:rPr>
          <w:rFonts w:hint="eastAsia" w:ascii="宋体" w:hAnsi="宋体" w:eastAsia="宋体" w:cs="宋体"/>
          <w:color w:val="000000" w:themeColor="text1"/>
          <w:spacing w:val="-4"/>
          <w:sz w:val="24"/>
          <w:szCs w:val="24"/>
          <w14:textFill>
            <w14:solidFill>
              <w14:schemeClr w14:val="tx1"/>
            </w14:solidFill>
          </w14:textFill>
        </w:rPr>
        <w:t>买方可以安排监理等相关人员作为买方人员，与卖方进行联络或参加合同设备的监造</w:t>
      </w:r>
      <w:r>
        <w:rPr>
          <w:rFonts w:hint="eastAsia" w:ascii="宋体" w:hAnsi="宋体" w:eastAsia="宋体" w:cs="宋体"/>
          <w:color w:val="000000" w:themeColor="text1"/>
          <w:sz w:val="24"/>
          <w:szCs w:val="24"/>
          <w14:textFill>
            <w14:solidFill>
              <w14:schemeClr w14:val="tx1"/>
            </w14:solidFill>
          </w14:textFill>
        </w:rPr>
        <w:t>（如</w:t>
      </w:r>
      <w:r>
        <w:rPr>
          <w:rFonts w:hint="eastAsia" w:ascii="宋体" w:hAnsi="宋体" w:eastAsia="宋体" w:cs="宋体"/>
          <w:color w:val="000000" w:themeColor="text1"/>
          <w:spacing w:val="-3"/>
          <w:sz w:val="24"/>
          <w:szCs w:val="24"/>
          <w14:textFill>
            <w14:solidFill>
              <w14:schemeClr w14:val="tx1"/>
            </w14:solidFill>
          </w14:textFill>
        </w:rPr>
        <w:t>有</w:t>
      </w:r>
      <w:r>
        <w:rPr>
          <w:rFonts w:hint="eastAsia" w:ascii="宋体" w:hAnsi="宋体" w:eastAsia="宋体" w:cs="宋体"/>
          <w:color w:val="000000" w:themeColor="text1"/>
          <w:spacing w:val="-106"/>
          <w:sz w:val="24"/>
          <w:szCs w:val="24"/>
          <w14:textFill>
            <w14:solidFill>
              <w14:schemeClr w14:val="tx1"/>
            </w14:solidFill>
          </w14:textFill>
        </w:rPr>
        <w:t>）</w:t>
      </w:r>
      <w:r>
        <w:rPr>
          <w:rFonts w:hint="eastAsia" w:ascii="宋体" w:hAnsi="宋体" w:eastAsia="宋体" w:cs="宋体"/>
          <w:color w:val="000000" w:themeColor="text1"/>
          <w:spacing w:val="-13"/>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交</w:t>
      </w:r>
      <w:r>
        <w:rPr>
          <w:rFonts w:hint="eastAsia" w:ascii="宋体" w:hAnsi="宋体" w:eastAsia="宋体" w:cs="宋体"/>
          <w:color w:val="000000" w:themeColor="text1"/>
          <w:spacing w:val="-3"/>
          <w:sz w:val="24"/>
          <w:szCs w:val="24"/>
          <w14:textFill>
            <w14:solidFill>
              <w14:schemeClr w14:val="tx1"/>
            </w14:solidFill>
          </w14:textFill>
        </w:rPr>
        <w:t>货</w:t>
      </w:r>
      <w:r>
        <w:rPr>
          <w:rFonts w:hint="eastAsia" w:ascii="宋体" w:hAnsi="宋体" w:eastAsia="宋体" w:cs="宋体"/>
          <w:color w:val="000000" w:themeColor="text1"/>
          <w:sz w:val="24"/>
          <w:szCs w:val="24"/>
          <w14:textFill>
            <w14:solidFill>
              <w14:schemeClr w14:val="tx1"/>
            </w14:solidFill>
          </w14:textFill>
        </w:rPr>
        <w:t>前</w:t>
      </w:r>
      <w:r>
        <w:rPr>
          <w:rFonts w:hint="eastAsia" w:ascii="宋体" w:hAnsi="宋体" w:eastAsia="宋体" w:cs="宋体"/>
          <w:color w:val="000000" w:themeColor="text1"/>
          <w:spacing w:val="-3"/>
          <w:sz w:val="24"/>
          <w:szCs w:val="24"/>
          <w14:textFill>
            <w14:solidFill>
              <w14:schemeClr w14:val="tx1"/>
            </w14:solidFill>
          </w14:textFill>
        </w:rPr>
        <w:t>检</w:t>
      </w:r>
      <w:r>
        <w:rPr>
          <w:rFonts w:hint="eastAsia" w:ascii="宋体" w:hAnsi="宋体" w:eastAsia="宋体" w:cs="宋体"/>
          <w:color w:val="000000" w:themeColor="text1"/>
          <w:spacing w:val="-10"/>
          <w:sz w:val="24"/>
          <w:szCs w:val="24"/>
          <w14:textFill>
            <w14:solidFill>
              <w14:schemeClr w14:val="tx1"/>
            </w14:solidFill>
          </w14:textFill>
        </w:rPr>
        <w:t>验</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pacing w:val="-3"/>
          <w:sz w:val="24"/>
          <w:szCs w:val="24"/>
          <w14:textFill>
            <w14:solidFill>
              <w14:schemeClr w14:val="tx1"/>
            </w14:solidFill>
          </w14:textFill>
        </w:rPr>
        <w:t>如</w:t>
      </w:r>
      <w:r>
        <w:rPr>
          <w:rFonts w:hint="eastAsia" w:ascii="宋体" w:hAnsi="宋体" w:eastAsia="宋体" w:cs="宋体"/>
          <w:color w:val="000000" w:themeColor="text1"/>
          <w:sz w:val="24"/>
          <w:szCs w:val="24"/>
          <w14:textFill>
            <w14:solidFill>
              <w14:schemeClr w14:val="tx1"/>
            </w14:solidFill>
          </w14:textFill>
        </w:rPr>
        <w:t>有</w:t>
      </w:r>
      <w:r>
        <w:rPr>
          <w:rFonts w:hint="eastAsia" w:ascii="宋体" w:hAnsi="宋体" w:eastAsia="宋体" w:cs="宋体"/>
          <w:color w:val="000000" w:themeColor="text1"/>
          <w:spacing w:val="-106"/>
          <w:sz w:val="24"/>
          <w:szCs w:val="24"/>
          <w14:textFill>
            <w14:solidFill>
              <w14:schemeClr w14:val="tx1"/>
            </w14:solidFill>
          </w14:textFill>
        </w:rPr>
        <w:t>）</w:t>
      </w:r>
      <w:r>
        <w:rPr>
          <w:rFonts w:hint="eastAsia" w:ascii="宋体" w:hAnsi="宋体" w:eastAsia="宋体" w:cs="宋体"/>
          <w:color w:val="000000" w:themeColor="text1"/>
          <w:spacing w:val="-13"/>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开</w:t>
      </w:r>
      <w:r>
        <w:rPr>
          <w:rFonts w:hint="eastAsia" w:ascii="宋体" w:hAnsi="宋体" w:eastAsia="宋体" w:cs="宋体"/>
          <w:color w:val="000000" w:themeColor="text1"/>
          <w:spacing w:val="-3"/>
          <w:sz w:val="24"/>
          <w:szCs w:val="24"/>
          <w14:textFill>
            <w14:solidFill>
              <w14:schemeClr w14:val="tx1"/>
            </w14:solidFill>
          </w14:textFill>
        </w:rPr>
        <w:t>箱</w:t>
      </w:r>
      <w:r>
        <w:rPr>
          <w:rFonts w:hint="eastAsia" w:ascii="宋体" w:hAnsi="宋体" w:eastAsia="宋体" w:cs="宋体"/>
          <w:color w:val="000000" w:themeColor="text1"/>
          <w:sz w:val="24"/>
          <w:szCs w:val="24"/>
          <w14:textFill>
            <w14:solidFill>
              <w14:schemeClr w14:val="tx1"/>
            </w14:solidFill>
          </w14:textFill>
        </w:rPr>
        <w:t>检</w:t>
      </w:r>
      <w:r>
        <w:rPr>
          <w:rFonts w:hint="eastAsia" w:ascii="宋体" w:hAnsi="宋体" w:eastAsia="宋体" w:cs="宋体"/>
          <w:color w:val="000000" w:themeColor="text1"/>
          <w:spacing w:val="-3"/>
          <w:sz w:val="24"/>
          <w:szCs w:val="24"/>
          <w14:textFill>
            <w14:solidFill>
              <w14:schemeClr w14:val="tx1"/>
            </w14:solidFill>
          </w14:textFill>
        </w:rPr>
        <w:t>验</w:t>
      </w:r>
      <w:r>
        <w:rPr>
          <w:rFonts w:hint="eastAsia" w:ascii="宋体" w:hAnsi="宋体" w:eastAsia="宋体" w:cs="宋体"/>
          <w:color w:val="000000" w:themeColor="text1"/>
          <w:spacing w:val="-1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安</w:t>
      </w:r>
      <w:r>
        <w:rPr>
          <w:rFonts w:hint="eastAsia" w:ascii="宋体" w:hAnsi="宋体" w:eastAsia="宋体" w:cs="宋体"/>
          <w:color w:val="000000" w:themeColor="text1"/>
          <w:spacing w:val="-3"/>
          <w:sz w:val="24"/>
          <w:szCs w:val="24"/>
          <w14:textFill>
            <w14:solidFill>
              <w14:schemeClr w14:val="tx1"/>
            </w14:solidFill>
          </w14:textFill>
        </w:rPr>
        <w:t>装</w:t>
      </w:r>
      <w:r>
        <w:rPr>
          <w:rFonts w:hint="eastAsia" w:ascii="宋体" w:hAnsi="宋体" w:eastAsia="宋体" w:cs="宋体"/>
          <w:color w:val="000000" w:themeColor="text1"/>
          <w:spacing w:val="-10"/>
          <w:sz w:val="24"/>
          <w:szCs w:val="24"/>
          <w14:textFill>
            <w14:solidFill>
              <w14:schemeClr w14:val="tx1"/>
            </w14:solidFill>
          </w14:textFill>
        </w:rPr>
        <w:t>、</w:t>
      </w:r>
      <w:r>
        <w:rPr>
          <w:rFonts w:hint="eastAsia" w:ascii="宋体" w:hAnsi="宋体" w:eastAsia="宋体" w:cs="宋体"/>
          <w:color w:val="000000" w:themeColor="text1"/>
          <w:spacing w:val="-3"/>
          <w:sz w:val="24"/>
          <w:szCs w:val="24"/>
          <w14:textFill>
            <w14:solidFill>
              <w14:schemeClr w14:val="tx1"/>
            </w14:solidFill>
          </w14:textFill>
        </w:rPr>
        <w:t>调</w:t>
      </w:r>
      <w:r>
        <w:rPr>
          <w:rFonts w:hint="eastAsia" w:ascii="宋体" w:hAnsi="宋体" w:eastAsia="宋体" w:cs="宋体"/>
          <w:color w:val="000000" w:themeColor="text1"/>
          <w:sz w:val="24"/>
          <w:szCs w:val="24"/>
          <w14:textFill>
            <w14:solidFill>
              <w14:schemeClr w14:val="tx1"/>
            </w14:solidFill>
          </w14:textFill>
        </w:rPr>
        <w:t>试</w:t>
      </w:r>
      <w:r>
        <w:rPr>
          <w:rFonts w:hint="eastAsia" w:ascii="宋体" w:hAnsi="宋体" w:eastAsia="宋体" w:cs="宋体"/>
          <w:color w:val="000000" w:themeColor="text1"/>
          <w:spacing w:val="-10"/>
          <w:sz w:val="24"/>
          <w:szCs w:val="24"/>
          <w14:textFill>
            <w14:solidFill>
              <w14:schemeClr w14:val="tx1"/>
            </w14:solidFill>
          </w14:textFill>
        </w:rPr>
        <w:t>、</w:t>
      </w:r>
      <w:r>
        <w:rPr>
          <w:rFonts w:hint="eastAsia" w:ascii="宋体" w:hAnsi="宋体" w:eastAsia="宋体" w:cs="宋体"/>
          <w:color w:val="000000" w:themeColor="text1"/>
          <w:spacing w:val="-3"/>
          <w:sz w:val="24"/>
          <w:szCs w:val="24"/>
          <w14:textFill>
            <w14:solidFill>
              <w14:schemeClr w14:val="tx1"/>
            </w14:solidFill>
          </w14:textFill>
        </w:rPr>
        <w:t>考</w:t>
      </w:r>
      <w:r>
        <w:rPr>
          <w:rFonts w:hint="eastAsia" w:ascii="宋体" w:hAnsi="宋体" w:eastAsia="宋体" w:cs="宋体"/>
          <w:color w:val="000000" w:themeColor="text1"/>
          <w:sz w:val="24"/>
          <w:szCs w:val="24"/>
          <w14:textFill>
            <w14:solidFill>
              <w14:schemeClr w14:val="tx1"/>
            </w14:solidFill>
          </w14:textFill>
        </w:rPr>
        <w:t>核</w:t>
      </w:r>
      <w:r>
        <w:rPr>
          <w:rFonts w:hint="eastAsia" w:ascii="宋体" w:hAnsi="宋体" w:eastAsia="宋体" w:cs="宋体"/>
          <w:color w:val="000000" w:themeColor="text1"/>
          <w:spacing w:val="-13"/>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验</w:t>
      </w:r>
      <w:r>
        <w:rPr>
          <w:rFonts w:hint="eastAsia" w:ascii="宋体" w:hAnsi="宋体" w:eastAsia="宋体" w:cs="宋体"/>
          <w:color w:val="000000" w:themeColor="text1"/>
          <w:spacing w:val="-3"/>
          <w:sz w:val="24"/>
          <w:szCs w:val="24"/>
          <w14:textFill>
            <w14:solidFill>
              <w14:schemeClr w14:val="tx1"/>
            </w14:solidFill>
          </w14:textFill>
        </w:rPr>
        <w:t>收</w:t>
      </w:r>
      <w:r>
        <w:rPr>
          <w:rFonts w:hint="eastAsia" w:ascii="宋体" w:hAnsi="宋体" w:eastAsia="宋体" w:cs="宋体"/>
          <w:color w:val="000000" w:themeColor="text1"/>
          <w:sz w:val="24"/>
          <w:szCs w:val="24"/>
          <w14:textFill>
            <w14:solidFill>
              <w14:schemeClr w14:val="tx1"/>
            </w14:solidFill>
          </w14:textFill>
        </w:rPr>
        <w:t>等</w:t>
      </w:r>
      <w:r>
        <w:rPr>
          <w:rFonts w:hint="eastAsia" w:ascii="宋体" w:hAnsi="宋体" w:eastAsia="宋体" w:cs="宋体"/>
          <w:color w:val="000000" w:themeColor="text1"/>
          <w:spacing w:val="-13"/>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但</w:t>
      </w:r>
      <w:r>
        <w:rPr>
          <w:rFonts w:hint="eastAsia" w:ascii="宋体" w:hAnsi="宋体" w:eastAsia="宋体" w:cs="宋体"/>
          <w:color w:val="000000" w:themeColor="text1"/>
          <w:spacing w:val="-3"/>
          <w:sz w:val="24"/>
          <w:szCs w:val="24"/>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按</w:t>
      </w:r>
      <w:r>
        <w:rPr>
          <w:rFonts w:hint="eastAsia" w:ascii="宋体" w:hAnsi="宋体" w:eastAsia="宋体" w:cs="宋体"/>
          <w:color w:val="000000" w:themeColor="text1"/>
          <w:spacing w:val="-3"/>
          <w:sz w:val="24"/>
          <w:szCs w:val="24"/>
          <w14:textFill>
            <w14:solidFill>
              <w14:schemeClr w14:val="tx1"/>
            </w14:solidFill>
          </w14:textFill>
        </w:rPr>
        <w:t>照</w:t>
      </w:r>
      <w:r>
        <w:rPr>
          <w:rFonts w:hint="eastAsia" w:ascii="宋体" w:hAnsi="宋体" w:eastAsia="宋体" w:cs="宋体"/>
          <w:color w:val="000000" w:themeColor="text1"/>
          <w:sz w:val="24"/>
          <w:szCs w:val="24"/>
          <w14:textFill>
            <w14:solidFill>
              <w14:schemeClr w14:val="tx1"/>
            </w14:solidFill>
          </w14:textFill>
        </w:rPr>
        <w:t>第1.5</w:t>
      </w:r>
      <w:r>
        <w:rPr>
          <w:rFonts w:hint="eastAsia" w:ascii="宋体" w:hAnsi="宋体" w:eastAsia="宋体" w:cs="宋体"/>
          <w:color w:val="000000" w:themeColor="text1"/>
          <w:spacing w:val="-3"/>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pacing w:val="-3"/>
          <w:sz w:val="24"/>
          <w:szCs w:val="24"/>
          <w14:textFill>
            <w14:solidFill>
              <w14:schemeClr w14:val="tx1"/>
            </w14:solidFill>
          </w14:textFill>
        </w:rPr>
        <w:t xml:space="preserve">项的 </w:t>
      </w:r>
      <w:r>
        <w:rPr>
          <w:rFonts w:hint="eastAsia" w:ascii="宋体" w:hAnsi="宋体" w:eastAsia="宋体" w:cs="宋体"/>
          <w:color w:val="000000" w:themeColor="text1"/>
          <w:sz w:val="24"/>
          <w:szCs w:val="24"/>
          <w14:textFill>
            <w14:solidFill>
              <w14:schemeClr w14:val="tx1"/>
            </w14:solidFill>
          </w14:textFill>
        </w:rPr>
        <w:t>约定事先书面通知卖方。</w:t>
      </w:r>
      <w:bookmarkStart w:id="191" w:name="_bookmark111"/>
      <w:bookmarkEnd w:id="191"/>
    </w:p>
    <w:p w14:paraId="09C9A702">
      <w:pPr>
        <w:pStyle w:val="91"/>
        <w:spacing w:line="50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  联合体</w:t>
      </w:r>
    </w:p>
    <w:p w14:paraId="547434FD">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1.6.1 </w:t>
      </w:r>
      <w:r>
        <w:rPr>
          <w:rFonts w:hint="eastAsia" w:ascii="宋体" w:hAnsi="宋体" w:eastAsia="宋体" w:cs="宋体"/>
          <w:b w:val="0"/>
          <w:bCs w:val="0"/>
          <w:color w:val="000000" w:themeColor="text1"/>
          <w:spacing w:val="-4"/>
          <w:szCs w:val="24"/>
          <w14:textFill>
            <w14:solidFill>
              <w14:schemeClr w14:val="tx1"/>
            </w14:solidFill>
          </w14:textFill>
        </w:rPr>
        <w:t>卖方为联合体的，联合体各方应当共同与买方签订合同，并向买方为履行合同承担连</w:t>
      </w:r>
      <w:r>
        <w:rPr>
          <w:rFonts w:hint="eastAsia" w:ascii="宋体" w:hAnsi="宋体" w:eastAsia="宋体" w:cs="宋体"/>
          <w:b w:val="0"/>
          <w:bCs w:val="0"/>
          <w:color w:val="000000" w:themeColor="text1"/>
          <w:szCs w:val="24"/>
          <w14:textFill>
            <w14:solidFill>
              <w14:schemeClr w14:val="tx1"/>
            </w14:solidFill>
          </w14:textFill>
        </w:rPr>
        <w:t>带责任。</w:t>
      </w:r>
    </w:p>
    <w:p w14:paraId="3D9A7BB6">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1.6.2 </w:t>
      </w:r>
      <w:r>
        <w:rPr>
          <w:rFonts w:hint="eastAsia" w:ascii="宋体" w:hAnsi="宋体" w:eastAsia="宋体" w:cs="宋体"/>
          <w:b w:val="0"/>
          <w:bCs w:val="0"/>
          <w:color w:val="000000" w:themeColor="text1"/>
          <w:spacing w:val="-4"/>
          <w:szCs w:val="24"/>
          <w14:textFill>
            <w14:solidFill>
              <w14:schemeClr w14:val="tx1"/>
            </w14:solidFill>
          </w14:textFill>
        </w:rPr>
        <w:t>在合同履行过程中，未经买方同意，不得修改联合体协议。联合体协议中关于联合体</w:t>
      </w:r>
      <w:r>
        <w:rPr>
          <w:rFonts w:hint="eastAsia" w:ascii="宋体" w:hAnsi="宋体" w:eastAsia="宋体" w:cs="宋体"/>
          <w:b w:val="0"/>
          <w:bCs w:val="0"/>
          <w:color w:val="000000" w:themeColor="text1"/>
          <w:szCs w:val="24"/>
          <w14:textFill>
            <w14:solidFill>
              <w14:schemeClr w14:val="tx1"/>
            </w14:solidFill>
          </w14:textFill>
        </w:rPr>
        <w:t>成员间权利义务的划分，并不影响或减损联合体各方应就履行合同向买方承担的连带责任。</w:t>
      </w:r>
    </w:p>
    <w:p w14:paraId="7644DE9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1.6.3 </w:t>
      </w:r>
      <w:r>
        <w:rPr>
          <w:rFonts w:hint="eastAsia" w:ascii="宋体" w:hAnsi="宋体" w:eastAsia="宋体" w:cs="宋体"/>
          <w:b w:val="0"/>
          <w:bCs w:val="0"/>
          <w:color w:val="000000" w:themeColor="text1"/>
          <w:spacing w:val="-4"/>
          <w:szCs w:val="24"/>
          <w14:textFill>
            <w14:solidFill>
              <w14:schemeClr w14:val="tx1"/>
            </w14:solidFill>
          </w14:textFill>
        </w:rPr>
        <w:t>联合体牵头人代表联合体与买方联系，并接受指示，负责组织联合体各成员全面履行</w:t>
      </w:r>
      <w:r>
        <w:rPr>
          <w:rFonts w:hint="eastAsia" w:ascii="宋体" w:hAnsi="宋体" w:eastAsia="宋体" w:cs="宋体"/>
          <w:b w:val="0"/>
          <w:bCs w:val="0"/>
          <w:color w:val="000000" w:themeColor="text1"/>
          <w:spacing w:val="-1"/>
          <w:szCs w:val="24"/>
          <w14:textFill>
            <w14:solidFill>
              <w14:schemeClr w14:val="tx1"/>
            </w14:solidFill>
          </w14:textFill>
        </w:rPr>
        <w:t>合同。除非专用合同条款另有约定，牵头人在履行合同中的所有行为均视为已获得联合体各方的授权。买方可将合同价款全部支付给牵头人并视为其已适当履行了付款义务。如牵头人的行</w:t>
      </w:r>
      <w:r>
        <w:rPr>
          <w:rFonts w:hint="eastAsia" w:ascii="宋体" w:hAnsi="宋体" w:eastAsia="宋体" w:cs="宋体"/>
          <w:b w:val="0"/>
          <w:bCs w:val="0"/>
          <w:color w:val="000000" w:themeColor="text1"/>
          <w:szCs w:val="24"/>
          <w14:textFill>
            <w14:solidFill>
              <w14:schemeClr w14:val="tx1"/>
            </w14:solidFill>
          </w14:textFill>
        </w:rPr>
        <w:t>为将构成对合同内容的变更，则牵头人须事先获得联合体各方的特别授权。</w:t>
      </w:r>
    </w:p>
    <w:p w14:paraId="754690EA">
      <w:pPr>
        <w:pStyle w:val="91"/>
        <w:spacing w:line="50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bookmarkStart w:id="192" w:name="_bookmark112"/>
      <w:bookmarkEnd w:id="192"/>
      <w:r>
        <w:rPr>
          <w:rFonts w:hint="eastAsia" w:ascii="宋体" w:hAnsi="宋体" w:eastAsia="宋体" w:cs="宋体"/>
          <w:color w:val="000000" w:themeColor="text1"/>
          <w:sz w:val="24"/>
          <w:szCs w:val="24"/>
          <w14:textFill>
            <w14:solidFill>
              <w14:schemeClr w14:val="tx1"/>
            </w14:solidFill>
          </w14:textFill>
        </w:rPr>
        <w:t>1.7转让</w:t>
      </w:r>
    </w:p>
    <w:p w14:paraId="26E752B1">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未经对方当事人书面同意，合同任何一方均不得转让其在合同项下的权利和（或）义务。</w:t>
      </w:r>
    </w:p>
    <w:p w14:paraId="61916100">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bookmarkStart w:id="193" w:name="_bookmark113"/>
      <w:bookmarkEnd w:id="193"/>
      <w:r>
        <w:rPr>
          <w:rFonts w:hint="eastAsia" w:ascii="宋体" w:hAnsi="宋体" w:eastAsia="宋体" w:cs="宋体"/>
          <w:b w:val="0"/>
          <w:bCs w:val="0"/>
          <w:color w:val="000000" w:themeColor="text1"/>
          <w:sz w:val="24"/>
          <w:szCs w:val="24"/>
          <w14:textFill>
            <w14:solidFill>
              <w14:schemeClr w14:val="tx1"/>
            </w14:solidFill>
          </w14:textFill>
        </w:rPr>
        <w:t>2.  合同范围</w:t>
      </w:r>
    </w:p>
    <w:p w14:paraId="619B511B">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卖方应根据供货要求、中标设备技术性能指标的详细描述、技术服务和质保期服务计划等合同文件的约定向买方提供合同设备、技术服务和质保期服务。</w:t>
      </w:r>
    </w:p>
    <w:p w14:paraId="792816BA">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bookmarkStart w:id="194" w:name="_bookmark114"/>
      <w:bookmarkEnd w:id="194"/>
      <w:r>
        <w:rPr>
          <w:rFonts w:hint="eastAsia" w:ascii="宋体" w:hAnsi="宋体" w:eastAsia="宋体" w:cs="宋体"/>
          <w:b w:val="0"/>
          <w:bCs w:val="0"/>
          <w:color w:val="000000" w:themeColor="text1"/>
          <w:sz w:val="24"/>
          <w:szCs w:val="24"/>
          <w14:textFill>
            <w14:solidFill>
              <w14:schemeClr w14:val="tx1"/>
            </w14:solidFill>
          </w14:textFill>
        </w:rPr>
        <w:t>3.  合同价格与支付</w:t>
      </w:r>
    </w:p>
    <w:p w14:paraId="4ED3F6A3">
      <w:pPr>
        <w:pStyle w:val="91"/>
        <w:spacing w:line="50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bookmarkStart w:id="195" w:name="_bookmark115"/>
      <w:bookmarkEnd w:id="195"/>
      <w:r>
        <w:rPr>
          <w:rFonts w:hint="eastAsia" w:ascii="宋体" w:hAnsi="宋体" w:eastAsia="宋体" w:cs="宋体"/>
          <w:color w:val="000000" w:themeColor="text1"/>
          <w:sz w:val="24"/>
          <w:szCs w:val="24"/>
          <w14:textFill>
            <w14:solidFill>
              <w14:schemeClr w14:val="tx1"/>
            </w14:solidFill>
          </w14:textFill>
        </w:rPr>
        <w:t>3.1  合同价格</w:t>
      </w:r>
    </w:p>
    <w:p w14:paraId="4DE44BE6">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3.1.1 </w:t>
      </w:r>
      <w:r>
        <w:rPr>
          <w:rFonts w:hint="eastAsia" w:ascii="宋体" w:hAnsi="宋体" w:eastAsia="宋体" w:cs="宋体"/>
          <w:b w:val="0"/>
          <w:bCs w:val="0"/>
          <w:color w:val="000000" w:themeColor="text1"/>
          <w:spacing w:val="-4"/>
          <w:szCs w:val="24"/>
          <w14:textFill>
            <w14:solidFill>
              <w14:schemeClr w14:val="tx1"/>
            </w14:solidFill>
          </w14:textFill>
        </w:rPr>
        <w:t>合同协议书中载明的签约合同价包括卖方为完成合同全部义务应承担的一切成本、费</w:t>
      </w:r>
      <w:r>
        <w:rPr>
          <w:rFonts w:hint="eastAsia" w:ascii="宋体" w:hAnsi="宋体" w:eastAsia="宋体" w:cs="宋体"/>
          <w:b w:val="0"/>
          <w:bCs w:val="0"/>
          <w:color w:val="000000" w:themeColor="text1"/>
          <w:szCs w:val="24"/>
          <w14:textFill>
            <w14:solidFill>
              <w14:schemeClr w14:val="tx1"/>
            </w14:solidFill>
          </w14:textFill>
        </w:rPr>
        <w:t>用和支出以及卖方的合理利润。</w:t>
      </w:r>
    </w:p>
    <w:p w14:paraId="11C487E4">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3.1.2 除专用合同条款另有约定外，签约合同价为固定价格。</w:t>
      </w:r>
    </w:p>
    <w:p w14:paraId="2A5DF8E5">
      <w:pPr>
        <w:pStyle w:val="91"/>
        <w:spacing w:line="50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bookmarkStart w:id="196" w:name="_bookmark116"/>
      <w:bookmarkEnd w:id="196"/>
      <w:r>
        <w:rPr>
          <w:rFonts w:hint="eastAsia" w:ascii="宋体" w:hAnsi="宋体" w:eastAsia="宋体" w:cs="宋体"/>
          <w:color w:val="000000" w:themeColor="text1"/>
          <w:sz w:val="24"/>
          <w:szCs w:val="24"/>
          <w14:textFill>
            <w14:solidFill>
              <w14:schemeClr w14:val="tx1"/>
            </w14:solidFill>
          </w14:textFill>
        </w:rPr>
        <w:t>3.2 合同价款的支付</w:t>
      </w:r>
    </w:p>
    <w:p w14:paraId="68CAD1FF">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除专用合同条款另有约定外，买方应通过以下方式和比例向卖方支付合同价款：</w:t>
      </w:r>
    </w:p>
    <w:p w14:paraId="2FBB75CE">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3.2.1 预付款合同生效后，买方在收到卖方开具的注明应付预付款金额的财务收据正本一份并经审核无误后28日内，向卖方支付签约合同价的10%作为预付款。</w:t>
      </w:r>
    </w:p>
    <w:p w14:paraId="08D3FDBC">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买方支付预付款后，如卖方未履行合同义务，则买方有权收回预付款；如卖方依约履行了合同义务，则预付款抵作合同价款。</w:t>
      </w:r>
    </w:p>
    <w:p w14:paraId="7DE6FD6A">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3.2.2 交货款卖方按合同约定交付全部合同设备后，买方在收到卖方提交的下列全部单据并经审核无误后28日内，向卖方支付合同价格的60%：</w:t>
      </w:r>
    </w:p>
    <w:p w14:paraId="102EA046">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（1）卖方出具的交货清单正本一份；</w:t>
      </w:r>
    </w:p>
    <w:p w14:paraId="05860150">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（2）买方签署的收货清单正本一份；</w:t>
      </w:r>
    </w:p>
    <w:p w14:paraId="2252B7FF">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（3）制造商出具的出厂质量合格证正本一份；</w:t>
      </w:r>
    </w:p>
    <w:p w14:paraId="4442270A">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（4）合同价格100%金额的增值税发票正本一份。</w:t>
      </w:r>
    </w:p>
    <w:p w14:paraId="2BB87F74">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3.2.3 验收款买方在收到卖方提交的买卖双方签署的合同设备验收证书或已生效的验收款支付函正本一份并经审核无误后28日内，向卖方支付合同价格的25%。</w:t>
      </w:r>
    </w:p>
    <w:p w14:paraId="68CFA90B">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3.2.4 结清款买方在收到卖方提交的买方签署的质量保证期届满证书或已生效的结清款支付函正本一份并经审核无误后28日内，向卖方支付合同价格的5%。</w:t>
      </w:r>
    </w:p>
    <w:p w14:paraId="2E98C55C">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如果依照合同第9.1项，卖方应向买方支付费用的，买方有权从结清款中直接扣除该笔费用。</w:t>
      </w:r>
    </w:p>
    <w:p w14:paraId="775D8C51">
      <w:pPr>
        <w:pStyle w:val="14"/>
        <w:spacing w:line="500" w:lineRule="exact"/>
        <w:ind w:firstLine="47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pacing w:val="-1"/>
          <w:szCs w:val="24"/>
          <w14:textFill>
            <w14:solidFill>
              <w14:schemeClr w14:val="tx1"/>
            </w14:solidFill>
          </w14:textFill>
        </w:rPr>
        <w:t>除专用合同条款另有约定外，在买方向卖方支付验收款的同时或其后的任何时间内，卖方</w:t>
      </w:r>
      <w:r>
        <w:rPr>
          <w:rFonts w:hint="eastAsia" w:ascii="宋体" w:hAnsi="宋体" w:eastAsia="宋体" w:cs="宋体"/>
          <w:b w:val="0"/>
          <w:bCs w:val="0"/>
          <w:color w:val="000000" w:themeColor="text1"/>
          <w:szCs w:val="24"/>
          <w14:textFill>
            <w14:solidFill>
              <w14:schemeClr w14:val="tx1"/>
            </w14:solidFill>
          </w14:textFill>
        </w:rPr>
        <w:t>可在</w:t>
      </w:r>
      <w:r>
        <w:rPr>
          <w:rFonts w:hint="eastAsia" w:ascii="宋体" w:hAnsi="宋体" w:eastAsia="宋体" w:cs="宋体"/>
          <w:b w:val="0"/>
          <w:bCs w:val="0"/>
          <w:color w:val="000000" w:themeColor="text1"/>
          <w:spacing w:val="-3"/>
          <w:szCs w:val="24"/>
          <w14:textFill>
            <w14:solidFill>
              <w14:schemeClr w14:val="tx1"/>
            </w14:solidFill>
          </w14:textFill>
        </w:rPr>
        <w:t>向</w:t>
      </w:r>
      <w:r>
        <w:rPr>
          <w:rFonts w:hint="eastAsia" w:ascii="宋体" w:hAnsi="宋体" w:eastAsia="宋体" w:cs="宋体"/>
          <w:b w:val="0"/>
          <w:bCs w:val="0"/>
          <w:color w:val="000000" w:themeColor="text1"/>
          <w:szCs w:val="24"/>
          <w14:textFill>
            <w14:solidFill>
              <w14:schemeClr w14:val="tx1"/>
            </w14:solidFill>
          </w14:textFill>
        </w:rPr>
        <w:t>买</w:t>
      </w:r>
      <w:r>
        <w:rPr>
          <w:rFonts w:hint="eastAsia" w:ascii="宋体" w:hAnsi="宋体" w:eastAsia="宋体" w:cs="宋体"/>
          <w:b w:val="0"/>
          <w:bCs w:val="0"/>
          <w:color w:val="000000" w:themeColor="text1"/>
          <w:spacing w:val="-3"/>
          <w:szCs w:val="24"/>
          <w14:textFill>
            <w14:solidFill>
              <w14:schemeClr w14:val="tx1"/>
            </w14:solidFill>
          </w14:textFill>
        </w:rPr>
        <w:t>方</w:t>
      </w:r>
      <w:r>
        <w:rPr>
          <w:rFonts w:hint="eastAsia" w:ascii="宋体" w:hAnsi="宋体" w:eastAsia="宋体" w:cs="宋体"/>
          <w:b w:val="0"/>
          <w:bCs w:val="0"/>
          <w:color w:val="000000" w:themeColor="text1"/>
          <w:szCs w:val="24"/>
          <w14:textFill>
            <w14:solidFill>
              <w14:schemeClr w14:val="tx1"/>
            </w14:solidFill>
          </w14:textFill>
        </w:rPr>
        <w:t>提</w:t>
      </w:r>
      <w:r>
        <w:rPr>
          <w:rFonts w:hint="eastAsia" w:ascii="宋体" w:hAnsi="宋体" w:eastAsia="宋体" w:cs="宋体"/>
          <w:b w:val="0"/>
          <w:bCs w:val="0"/>
          <w:color w:val="000000" w:themeColor="text1"/>
          <w:spacing w:val="-3"/>
          <w:szCs w:val="24"/>
          <w14:textFill>
            <w14:solidFill>
              <w14:schemeClr w14:val="tx1"/>
            </w14:solidFill>
          </w14:textFill>
        </w:rPr>
        <w:t>交</w:t>
      </w:r>
      <w:r>
        <w:rPr>
          <w:rFonts w:hint="eastAsia" w:ascii="宋体" w:hAnsi="宋体" w:eastAsia="宋体" w:cs="宋体"/>
          <w:b w:val="0"/>
          <w:bCs w:val="0"/>
          <w:color w:val="000000" w:themeColor="text1"/>
          <w:szCs w:val="24"/>
          <w14:textFill>
            <w14:solidFill>
              <w14:schemeClr w14:val="tx1"/>
            </w14:solidFill>
          </w14:textFill>
        </w:rPr>
        <w:t>买</w:t>
      </w:r>
      <w:r>
        <w:rPr>
          <w:rFonts w:hint="eastAsia" w:ascii="宋体" w:hAnsi="宋体" w:eastAsia="宋体" w:cs="宋体"/>
          <w:b w:val="0"/>
          <w:bCs w:val="0"/>
          <w:color w:val="000000" w:themeColor="text1"/>
          <w:spacing w:val="-3"/>
          <w:szCs w:val="24"/>
          <w14:textFill>
            <w14:solidFill>
              <w14:schemeClr w14:val="tx1"/>
            </w14:solidFill>
          </w14:textFill>
        </w:rPr>
        <w:t>方</w:t>
      </w:r>
      <w:r>
        <w:rPr>
          <w:rFonts w:hint="eastAsia" w:ascii="宋体" w:hAnsi="宋体" w:eastAsia="宋体" w:cs="宋体"/>
          <w:b w:val="0"/>
          <w:bCs w:val="0"/>
          <w:color w:val="000000" w:themeColor="text1"/>
          <w:szCs w:val="24"/>
          <w14:textFill>
            <w14:solidFill>
              <w14:schemeClr w14:val="tx1"/>
            </w14:solidFill>
          </w14:textFill>
        </w:rPr>
        <w:t>可</w:t>
      </w:r>
      <w:r>
        <w:rPr>
          <w:rFonts w:hint="eastAsia" w:ascii="宋体" w:hAnsi="宋体" w:eastAsia="宋体" w:cs="宋体"/>
          <w:b w:val="0"/>
          <w:bCs w:val="0"/>
          <w:color w:val="000000" w:themeColor="text1"/>
          <w:spacing w:val="-3"/>
          <w:szCs w:val="24"/>
          <w14:textFill>
            <w14:solidFill>
              <w14:schemeClr w14:val="tx1"/>
            </w14:solidFill>
          </w14:textFill>
        </w:rPr>
        <w:t>接</w:t>
      </w:r>
      <w:r>
        <w:rPr>
          <w:rFonts w:hint="eastAsia" w:ascii="宋体" w:hAnsi="宋体" w:eastAsia="宋体" w:cs="宋体"/>
          <w:b w:val="0"/>
          <w:bCs w:val="0"/>
          <w:color w:val="000000" w:themeColor="text1"/>
          <w:szCs w:val="24"/>
          <w14:textFill>
            <w14:solidFill>
              <w14:schemeClr w14:val="tx1"/>
            </w14:solidFill>
          </w14:textFill>
        </w:rPr>
        <w:t>受的</w:t>
      </w:r>
      <w:r>
        <w:rPr>
          <w:rFonts w:hint="eastAsia" w:ascii="宋体" w:hAnsi="宋体" w:eastAsia="宋体" w:cs="宋体"/>
          <w:b w:val="0"/>
          <w:bCs w:val="0"/>
          <w:color w:val="000000" w:themeColor="text1"/>
          <w:spacing w:val="-3"/>
          <w:szCs w:val="24"/>
          <w14:textFill>
            <w14:solidFill>
              <w14:schemeClr w14:val="tx1"/>
            </w14:solidFill>
          </w14:textFill>
        </w:rPr>
        <w:t>金</w:t>
      </w:r>
      <w:r>
        <w:rPr>
          <w:rFonts w:hint="eastAsia" w:ascii="宋体" w:hAnsi="宋体" w:eastAsia="宋体" w:cs="宋体"/>
          <w:b w:val="0"/>
          <w:bCs w:val="0"/>
          <w:color w:val="000000" w:themeColor="text1"/>
          <w:szCs w:val="24"/>
          <w14:textFill>
            <w14:solidFill>
              <w14:schemeClr w14:val="tx1"/>
            </w14:solidFill>
          </w14:textFill>
        </w:rPr>
        <w:t>额</w:t>
      </w:r>
      <w:r>
        <w:rPr>
          <w:rFonts w:hint="eastAsia" w:ascii="宋体" w:hAnsi="宋体" w:eastAsia="宋体" w:cs="宋体"/>
          <w:b w:val="0"/>
          <w:bCs w:val="0"/>
          <w:color w:val="000000" w:themeColor="text1"/>
          <w:spacing w:val="-3"/>
          <w:szCs w:val="24"/>
          <w14:textFill>
            <w14:solidFill>
              <w14:schemeClr w14:val="tx1"/>
            </w14:solidFill>
          </w14:textFill>
        </w:rPr>
        <w:t>为</w:t>
      </w:r>
      <w:r>
        <w:rPr>
          <w:rFonts w:hint="eastAsia" w:ascii="宋体" w:hAnsi="宋体" w:eastAsia="宋体" w:cs="宋体"/>
          <w:b w:val="0"/>
          <w:bCs w:val="0"/>
          <w:color w:val="000000" w:themeColor="text1"/>
          <w:szCs w:val="24"/>
          <w14:textFill>
            <w14:solidFill>
              <w14:schemeClr w14:val="tx1"/>
            </w14:solidFill>
          </w14:textFill>
        </w:rPr>
        <w:t>合</w:t>
      </w:r>
      <w:r>
        <w:rPr>
          <w:rFonts w:hint="eastAsia" w:ascii="宋体" w:hAnsi="宋体" w:eastAsia="宋体" w:cs="宋体"/>
          <w:b w:val="0"/>
          <w:bCs w:val="0"/>
          <w:color w:val="000000" w:themeColor="text1"/>
          <w:spacing w:val="-3"/>
          <w:szCs w:val="24"/>
          <w14:textFill>
            <w14:solidFill>
              <w14:schemeClr w14:val="tx1"/>
            </w14:solidFill>
          </w14:textFill>
        </w:rPr>
        <w:t>同价</w:t>
      </w:r>
      <w:r>
        <w:rPr>
          <w:rFonts w:hint="eastAsia" w:ascii="宋体" w:hAnsi="宋体" w:eastAsia="宋体" w:cs="宋体"/>
          <w:b w:val="0"/>
          <w:bCs w:val="0"/>
          <w:color w:val="000000" w:themeColor="text1"/>
          <w:szCs w:val="24"/>
          <w14:textFill>
            <w14:solidFill>
              <w14:schemeClr w14:val="tx1"/>
            </w14:solidFill>
          </w14:textFill>
        </w:rPr>
        <w:t>格5</w:t>
      </w:r>
      <w:r>
        <w:rPr>
          <w:rFonts w:hint="eastAsia" w:ascii="宋体" w:hAnsi="宋体" w:eastAsia="宋体" w:cs="宋体"/>
          <w:b w:val="0"/>
          <w:bCs w:val="0"/>
          <w:color w:val="000000" w:themeColor="text1"/>
          <w:spacing w:val="-1"/>
          <w:szCs w:val="24"/>
          <w14:textFill>
            <w14:solidFill>
              <w14:schemeClr w14:val="tx1"/>
            </w14:solidFill>
          </w14:textFill>
        </w:rPr>
        <w:t>%</w:t>
      </w:r>
      <w:r>
        <w:rPr>
          <w:rFonts w:hint="eastAsia" w:ascii="宋体" w:hAnsi="宋体" w:eastAsia="宋体" w:cs="宋体"/>
          <w:b w:val="0"/>
          <w:bCs w:val="0"/>
          <w:color w:val="000000" w:themeColor="text1"/>
          <w:spacing w:val="-3"/>
          <w:szCs w:val="24"/>
          <w14:textFill>
            <w14:solidFill>
              <w14:schemeClr w14:val="tx1"/>
            </w14:solidFill>
          </w14:textFill>
        </w:rPr>
        <w:t>的</w:t>
      </w:r>
      <w:r>
        <w:rPr>
          <w:rFonts w:hint="eastAsia" w:ascii="宋体" w:hAnsi="宋体" w:eastAsia="宋体" w:cs="宋体"/>
          <w:b w:val="0"/>
          <w:bCs w:val="0"/>
          <w:color w:val="000000" w:themeColor="text1"/>
          <w:szCs w:val="24"/>
          <w14:textFill>
            <w14:solidFill>
              <w14:schemeClr w14:val="tx1"/>
            </w14:solidFill>
          </w14:textFill>
        </w:rPr>
        <w:t>合同</w:t>
      </w:r>
      <w:r>
        <w:rPr>
          <w:rFonts w:hint="eastAsia" w:ascii="宋体" w:hAnsi="宋体" w:eastAsia="宋体" w:cs="宋体"/>
          <w:b w:val="0"/>
          <w:bCs w:val="0"/>
          <w:color w:val="000000" w:themeColor="text1"/>
          <w:spacing w:val="-3"/>
          <w:szCs w:val="24"/>
          <w14:textFill>
            <w14:solidFill>
              <w14:schemeClr w14:val="tx1"/>
            </w14:solidFill>
          </w14:textFill>
        </w:rPr>
        <w:t>结</w:t>
      </w:r>
      <w:r>
        <w:rPr>
          <w:rFonts w:hint="eastAsia" w:ascii="宋体" w:hAnsi="宋体" w:eastAsia="宋体" w:cs="宋体"/>
          <w:b w:val="0"/>
          <w:bCs w:val="0"/>
          <w:color w:val="000000" w:themeColor="text1"/>
          <w:szCs w:val="24"/>
          <w14:textFill>
            <w14:solidFill>
              <w14:schemeClr w14:val="tx1"/>
            </w14:solidFill>
          </w14:textFill>
        </w:rPr>
        <w:t>清</w:t>
      </w:r>
      <w:r>
        <w:rPr>
          <w:rFonts w:hint="eastAsia" w:ascii="宋体" w:hAnsi="宋体" w:eastAsia="宋体" w:cs="宋体"/>
          <w:b w:val="0"/>
          <w:bCs w:val="0"/>
          <w:color w:val="000000" w:themeColor="text1"/>
          <w:spacing w:val="-3"/>
          <w:szCs w:val="24"/>
          <w14:textFill>
            <w14:solidFill>
              <w14:schemeClr w14:val="tx1"/>
            </w14:solidFill>
          </w14:textFill>
        </w:rPr>
        <w:t>款</w:t>
      </w:r>
      <w:r>
        <w:rPr>
          <w:rFonts w:hint="eastAsia" w:ascii="宋体" w:hAnsi="宋体" w:eastAsia="宋体" w:cs="宋体"/>
          <w:b w:val="0"/>
          <w:bCs w:val="0"/>
          <w:color w:val="000000" w:themeColor="text1"/>
          <w:szCs w:val="24"/>
          <w14:textFill>
            <w14:solidFill>
              <w14:schemeClr w14:val="tx1"/>
            </w14:solidFill>
          </w14:textFill>
        </w:rPr>
        <w:t>保</w:t>
      </w:r>
      <w:r>
        <w:rPr>
          <w:rFonts w:hint="eastAsia" w:ascii="宋体" w:hAnsi="宋体" w:eastAsia="宋体" w:cs="宋体"/>
          <w:b w:val="0"/>
          <w:bCs w:val="0"/>
          <w:color w:val="000000" w:themeColor="text1"/>
          <w:spacing w:val="-3"/>
          <w:szCs w:val="24"/>
          <w14:textFill>
            <w14:solidFill>
              <w14:schemeClr w14:val="tx1"/>
            </w14:solidFill>
          </w14:textFill>
        </w:rPr>
        <w:t>函</w:t>
      </w:r>
      <w:r>
        <w:rPr>
          <w:rFonts w:hint="eastAsia" w:ascii="宋体" w:hAnsi="宋体" w:eastAsia="宋体" w:cs="宋体"/>
          <w:b w:val="0"/>
          <w:bCs w:val="0"/>
          <w:color w:val="000000" w:themeColor="text1"/>
          <w:szCs w:val="24"/>
          <w14:textFill>
            <w14:solidFill>
              <w14:schemeClr w14:val="tx1"/>
            </w14:solidFill>
          </w14:textFill>
        </w:rPr>
        <w:t>的</w:t>
      </w:r>
      <w:r>
        <w:rPr>
          <w:rFonts w:hint="eastAsia" w:ascii="宋体" w:hAnsi="宋体" w:eastAsia="宋体" w:cs="宋体"/>
          <w:b w:val="0"/>
          <w:bCs w:val="0"/>
          <w:color w:val="000000" w:themeColor="text1"/>
          <w:spacing w:val="-3"/>
          <w:szCs w:val="24"/>
          <w14:textFill>
            <w14:solidFill>
              <w14:schemeClr w14:val="tx1"/>
            </w14:solidFill>
          </w14:textFill>
        </w:rPr>
        <w:t>前</w:t>
      </w:r>
      <w:r>
        <w:rPr>
          <w:rFonts w:hint="eastAsia" w:ascii="宋体" w:hAnsi="宋体" w:eastAsia="宋体" w:cs="宋体"/>
          <w:b w:val="0"/>
          <w:bCs w:val="0"/>
          <w:color w:val="000000" w:themeColor="text1"/>
          <w:szCs w:val="24"/>
          <w14:textFill>
            <w14:solidFill>
              <w14:schemeClr w14:val="tx1"/>
            </w14:solidFill>
          </w14:textFill>
        </w:rPr>
        <w:t>提下</w:t>
      </w:r>
      <w:r>
        <w:rPr>
          <w:rFonts w:hint="eastAsia" w:ascii="宋体" w:hAnsi="宋体" w:eastAsia="宋体" w:cs="宋体"/>
          <w:b w:val="0"/>
          <w:bCs w:val="0"/>
          <w:color w:val="000000" w:themeColor="text1"/>
          <w:spacing w:val="-97"/>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要求</w:t>
      </w:r>
      <w:r>
        <w:rPr>
          <w:rFonts w:hint="eastAsia" w:ascii="宋体" w:hAnsi="宋体" w:eastAsia="宋体" w:cs="宋体"/>
          <w:b w:val="0"/>
          <w:bCs w:val="0"/>
          <w:color w:val="000000" w:themeColor="text1"/>
          <w:spacing w:val="-3"/>
          <w:szCs w:val="24"/>
          <w14:textFill>
            <w14:solidFill>
              <w14:schemeClr w14:val="tx1"/>
            </w14:solidFill>
          </w14:textFill>
        </w:rPr>
        <w:t>买</w:t>
      </w:r>
      <w:r>
        <w:rPr>
          <w:rFonts w:hint="eastAsia" w:ascii="宋体" w:hAnsi="宋体" w:eastAsia="宋体" w:cs="宋体"/>
          <w:b w:val="0"/>
          <w:bCs w:val="0"/>
          <w:color w:val="000000" w:themeColor="text1"/>
          <w:szCs w:val="24"/>
          <w14:textFill>
            <w14:solidFill>
              <w14:schemeClr w14:val="tx1"/>
            </w14:solidFill>
          </w14:textFill>
        </w:rPr>
        <w:t>方</w:t>
      </w:r>
      <w:r>
        <w:rPr>
          <w:rFonts w:hint="eastAsia" w:ascii="宋体" w:hAnsi="宋体" w:eastAsia="宋体" w:cs="宋体"/>
          <w:b w:val="0"/>
          <w:bCs w:val="0"/>
          <w:color w:val="000000" w:themeColor="text1"/>
          <w:spacing w:val="-3"/>
          <w:szCs w:val="24"/>
          <w14:textFill>
            <w14:solidFill>
              <w14:schemeClr w14:val="tx1"/>
            </w14:solidFill>
          </w14:textFill>
        </w:rPr>
        <w:t>支付</w:t>
      </w:r>
      <w:r>
        <w:rPr>
          <w:rFonts w:hint="eastAsia" w:ascii="宋体" w:hAnsi="宋体" w:eastAsia="宋体" w:cs="宋体"/>
          <w:b w:val="0"/>
          <w:bCs w:val="0"/>
          <w:color w:val="000000" w:themeColor="text1"/>
          <w:szCs w:val="24"/>
          <w14:textFill>
            <w14:solidFill>
              <w14:schemeClr w14:val="tx1"/>
            </w14:solidFill>
          </w14:textFill>
        </w:rPr>
        <w:t>合同结清款，买方不得拒绝。</w:t>
      </w:r>
    </w:p>
    <w:p w14:paraId="658AD3D1">
      <w:pPr>
        <w:pStyle w:val="91"/>
        <w:spacing w:line="50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bookmarkStart w:id="197" w:name="_bookmark117"/>
      <w:bookmarkEnd w:id="197"/>
      <w:r>
        <w:rPr>
          <w:rFonts w:hint="eastAsia" w:ascii="宋体" w:hAnsi="宋体" w:eastAsia="宋体" w:cs="宋体"/>
          <w:color w:val="000000" w:themeColor="text1"/>
          <w:sz w:val="24"/>
          <w:szCs w:val="24"/>
          <w14:textFill>
            <w14:solidFill>
              <w14:schemeClr w14:val="tx1"/>
            </w14:solidFill>
          </w14:textFill>
        </w:rPr>
        <w:t>3.3  买方扣款的权利</w:t>
      </w:r>
    </w:p>
    <w:p w14:paraId="348E96C6">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当卖方应向买方支付合同项下的违约金或赔偿金时，买方有权从上述任何一笔应付款中予以直接扣除和（或）兑付履约保证金。</w:t>
      </w:r>
    </w:p>
    <w:p w14:paraId="41C4549A">
      <w:pPr>
        <w:pStyle w:val="14"/>
        <w:spacing w:line="500" w:lineRule="exact"/>
        <w:ind w:firstLine="496" w:firstLineChars="200"/>
        <w:outlineLvl w:val="2"/>
        <w:rPr>
          <w:rFonts w:hint="eastAsia" w:ascii="宋体" w:hAnsi="宋体" w:eastAsia="宋体" w:cs="宋体"/>
          <w:b w:val="0"/>
          <w:bCs w:val="0"/>
          <w:color w:val="000000" w:themeColor="text1"/>
          <w:szCs w:val="24"/>
          <w14:textFill>
            <w14:solidFill>
              <w14:schemeClr w14:val="tx1"/>
            </w14:solidFill>
          </w14:textFill>
        </w:rPr>
      </w:pPr>
      <w:bookmarkStart w:id="198" w:name="_bookmark118"/>
      <w:bookmarkEnd w:id="198"/>
      <w:r>
        <w:rPr>
          <w:rFonts w:hint="eastAsia" w:ascii="宋体" w:hAnsi="宋体" w:eastAsia="宋体" w:cs="宋体"/>
          <w:b w:val="0"/>
          <w:bCs w:val="0"/>
          <w:color w:val="000000" w:themeColor="text1"/>
          <w:szCs w:val="24"/>
          <w14:textFill>
            <w14:solidFill>
              <w14:schemeClr w14:val="tx1"/>
            </w14:solidFill>
          </w14:textFill>
        </w:rPr>
        <w:t>6. 开箱检验、安装、调试、考核、验收</w:t>
      </w:r>
      <w:bookmarkStart w:id="199" w:name="_bookmark127"/>
      <w:bookmarkEnd w:id="199"/>
    </w:p>
    <w:p w14:paraId="1063B75A">
      <w:pPr>
        <w:pStyle w:val="14"/>
        <w:spacing w:line="500" w:lineRule="exact"/>
        <w:ind w:firstLine="496" w:firstLineChars="200"/>
        <w:outlineLvl w:val="3"/>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6.1 开箱检验</w:t>
      </w:r>
    </w:p>
    <w:p w14:paraId="71DD1C1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6.1.1 </w:t>
      </w:r>
      <w:r>
        <w:rPr>
          <w:rFonts w:hint="eastAsia" w:ascii="宋体" w:hAnsi="宋体" w:eastAsia="宋体" w:cs="宋体"/>
          <w:b w:val="0"/>
          <w:bCs w:val="0"/>
          <w:color w:val="000000" w:themeColor="text1"/>
          <w:spacing w:val="-4"/>
          <w:szCs w:val="24"/>
          <w14:textFill>
            <w14:solidFill>
              <w14:schemeClr w14:val="tx1"/>
            </w14:solidFill>
          </w14:textFill>
        </w:rPr>
        <w:t>合同设备交付后应进行开箱检验，即合同设备数量及外观检验。开箱检验在专用合同</w:t>
      </w:r>
      <w:r>
        <w:rPr>
          <w:rFonts w:hint="eastAsia" w:ascii="宋体" w:hAnsi="宋体" w:eastAsia="宋体" w:cs="宋体"/>
          <w:b w:val="0"/>
          <w:bCs w:val="0"/>
          <w:color w:val="000000" w:themeColor="text1"/>
          <w:szCs w:val="24"/>
          <w14:textFill>
            <w14:solidFill>
              <w14:schemeClr w14:val="tx1"/>
            </w14:solidFill>
          </w14:textFill>
        </w:rPr>
        <w:t>条款约定的下列任一种时间进行：</w:t>
      </w:r>
    </w:p>
    <w:p w14:paraId="473CDDB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（1）合同设备交付时；</w:t>
      </w:r>
    </w:p>
    <w:p w14:paraId="3EC27BDD">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（2）合同设备交付后的一定期限内。如开箱检验不在合同设备交付时进行，买方应在开箱检验3日前将开箱检验的时间和地点</w:t>
      </w:r>
    </w:p>
    <w:p w14:paraId="64DED2D6">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通知卖方。</w:t>
      </w:r>
    </w:p>
    <w:p w14:paraId="799B26A0">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6.1.2 除专用合同条款另有约定外，合同设备的开箱检验应在施工场地进行。</w:t>
      </w:r>
    </w:p>
    <w:p w14:paraId="415A88F7">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6.1.3 开箱检验由买卖双方共同进行，卖方应自负费用派遣代表到场参加开箱检验。</w:t>
      </w:r>
    </w:p>
    <w:p w14:paraId="19F45E91">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6.1.4 在开箱检验中，买方和卖方应共同签署数量、外观检验报告，报告应列明检验结果， 包括检验合格或发现的任何短缺、损坏或其它与合同约定不符的情形。</w:t>
      </w:r>
    </w:p>
    <w:p w14:paraId="51EEF66C">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6.1.5 </w:t>
      </w:r>
      <w:r>
        <w:rPr>
          <w:rFonts w:hint="eastAsia" w:ascii="宋体" w:hAnsi="宋体" w:eastAsia="宋体" w:cs="宋体"/>
          <w:b w:val="0"/>
          <w:bCs w:val="0"/>
          <w:color w:val="000000" w:themeColor="text1"/>
          <w:spacing w:val="-4"/>
          <w:szCs w:val="24"/>
          <w14:textFill>
            <w14:solidFill>
              <w14:schemeClr w14:val="tx1"/>
            </w14:solidFill>
          </w14:textFill>
        </w:rPr>
        <w:t xml:space="preserve">如果卖方代表未能依约或按买方通知到场参加开箱检验，买方有权在卖方代表未在场 </w:t>
      </w:r>
      <w:r>
        <w:rPr>
          <w:rFonts w:hint="eastAsia" w:ascii="宋体" w:hAnsi="宋体" w:eastAsia="宋体" w:cs="宋体"/>
          <w:b w:val="0"/>
          <w:bCs w:val="0"/>
          <w:color w:val="000000" w:themeColor="text1"/>
          <w:spacing w:val="-1"/>
          <w:szCs w:val="24"/>
          <w14:textFill>
            <w14:solidFill>
              <w14:schemeClr w14:val="tx1"/>
            </w14:solidFill>
          </w14:textFill>
        </w:rPr>
        <w:t xml:space="preserve">的情况下进行开箱检验，并签署数量、外观检验报告，对于该检验报告和检验结果，视为卖方 </w:t>
      </w:r>
      <w:r>
        <w:rPr>
          <w:rFonts w:hint="eastAsia" w:ascii="宋体" w:hAnsi="宋体" w:eastAsia="宋体" w:cs="宋体"/>
          <w:b w:val="0"/>
          <w:bCs w:val="0"/>
          <w:color w:val="000000" w:themeColor="text1"/>
          <w:szCs w:val="24"/>
          <w14:textFill>
            <w14:solidFill>
              <w14:schemeClr w14:val="tx1"/>
            </w14:solidFill>
          </w14:textFill>
        </w:rPr>
        <w:t>已接受，但卖方确有合理理由且事先与买方协商推迟开箱检验时间的除外。</w:t>
      </w:r>
    </w:p>
    <w:p w14:paraId="03B6FBE8">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6.1.6 如开箱检验不在合同设备交付时进行，则合同设备交付以后到开箱检验之前，应由买方负责按交货时外包装原样对合同设备进行妥善保管。除专用合同条款另有约定外，在开箱检 验时如果合同设备外包装与交货时一致，则开箱检验中发现的合同设备的短缺、损坏或其它与 合同约定不符的情形，由卖方负责，卖方应补齐、更换及采取其他补救措施。如果在开箱检验 时合同设备外包装不是交货时的包装或虽是交货时的包装但与交货时不一致且出现很可能导致 合同设备短缺或损坏的包装破损，则开箱检验中发现合同设备短缺、损坏或其它与合同约定不 符的情形的风险，由买方承担，但买方能够证明是由于卖方原因或合同设备交付前非买方原因 导致的除外。</w:t>
      </w:r>
    </w:p>
    <w:p w14:paraId="13FABD0E">
      <w:pPr>
        <w:pStyle w:val="14"/>
        <w:spacing w:before="33" w:line="500" w:lineRule="exact"/>
        <w:ind w:left="100" w:right="111" w:firstLine="419"/>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6.1.7 </w:t>
      </w:r>
      <w:r>
        <w:rPr>
          <w:rFonts w:hint="eastAsia" w:ascii="宋体" w:hAnsi="宋体" w:eastAsia="宋体" w:cs="宋体"/>
          <w:b w:val="0"/>
          <w:bCs w:val="0"/>
          <w:color w:val="000000" w:themeColor="text1"/>
          <w:spacing w:val="-4"/>
          <w:szCs w:val="24"/>
          <w14:textFill>
            <w14:solidFill>
              <w14:schemeClr w14:val="tx1"/>
            </w14:solidFill>
          </w14:textFill>
        </w:rPr>
        <w:t>如双方在专用合同条款和（或）供货要求等合同文件中约定由第三方检测机构对合同</w:t>
      </w:r>
      <w:r>
        <w:rPr>
          <w:rFonts w:hint="eastAsia" w:ascii="宋体" w:hAnsi="宋体" w:eastAsia="宋体" w:cs="宋体"/>
          <w:b w:val="0"/>
          <w:bCs w:val="0"/>
          <w:color w:val="000000" w:themeColor="text1"/>
          <w:spacing w:val="-1"/>
          <w:szCs w:val="24"/>
          <w14:textFill>
            <w14:solidFill>
              <w14:schemeClr w14:val="tx1"/>
            </w14:solidFill>
          </w14:textFill>
        </w:rPr>
        <w:t>设备进行开箱检验或在开箱检验过程中另行约定由第三方检验的，则第三方检测机构的检验结</w:t>
      </w:r>
      <w:r>
        <w:rPr>
          <w:rFonts w:hint="eastAsia" w:ascii="宋体" w:hAnsi="宋体" w:eastAsia="宋体" w:cs="宋体"/>
          <w:b w:val="0"/>
          <w:bCs w:val="0"/>
          <w:color w:val="000000" w:themeColor="text1"/>
          <w:szCs w:val="24"/>
          <w14:textFill>
            <w14:solidFill>
              <w14:schemeClr w14:val="tx1"/>
            </w14:solidFill>
          </w14:textFill>
        </w:rPr>
        <w:t>果对双方均具有约束力。</w:t>
      </w:r>
    </w:p>
    <w:p w14:paraId="3DE0751E">
      <w:pPr>
        <w:pStyle w:val="14"/>
        <w:spacing w:before="40" w:line="500" w:lineRule="exact"/>
        <w:ind w:left="100" w:right="111" w:firstLine="419"/>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6.1.8 </w:t>
      </w:r>
      <w:r>
        <w:rPr>
          <w:rFonts w:hint="eastAsia" w:ascii="宋体" w:hAnsi="宋体" w:eastAsia="宋体" w:cs="宋体"/>
          <w:b w:val="0"/>
          <w:bCs w:val="0"/>
          <w:color w:val="000000" w:themeColor="text1"/>
          <w:spacing w:val="-4"/>
          <w:szCs w:val="24"/>
          <w14:textFill>
            <w14:solidFill>
              <w14:schemeClr w14:val="tx1"/>
            </w14:solidFill>
          </w14:textFill>
        </w:rPr>
        <w:t>开箱检验的检验结果不能对抗在合同设备的安装、调试、考核、验收中及质量保证期</w:t>
      </w:r>
      <w:r>
        <w:rPr>
          <w:rFonts w:hint="eastAsia" w:ascii="宋体" w:hAnsi="宋体" w:eastAsia="宋体" w:cs="宋体"/>
          <w:b w:val="0"/>
          <w:bCs w:val="0"/>
          <w:color w:val="000000" w:themeColor="text1"/>
          <w:spacing w:val="-1"/>
          <w:szCs w:val="24"/>
          <w14:textFill>
            <w14:solidFill>
              <w14:schemeClr w14:val="tx1"/>
            </w14:solidFill>
          </w14:textFill>
        </w:rPr>
        <w:t>内发现的合同设备质量问题，也不能免除或影响卖方依照合同约定对买方负有的包括合同设备</w:t>
      </w:r>
      <w:r>
        <w:rPr>
          <w:rFonts w:hint="eastAsia" w:ascii="宋体" w:hAnsi="宋体" w:eastAsia="宋体" w:cs="宋体"/>
          <w:b w:val="0"/>
          <w:bCs w:val="0"/>
          <w:color w:val="000000" w:themeColor="text1"/>
          <w:szCs w:val="24"/>
          <w14:textFill>
            <w14:solidFill>
              <w14:schemeClr w14:val="tx1"/>
            </w14:solidFill>
          </w14:textFill>
        </w:rPr>
        <w:t>质量在内的任何义务或责任。</w:t>
      </w:r>
      <w:bookmarkStart w:id="200" w:name="_bookmark128"/>
      <w:bookmarkEnd w:id="200"/>
    </w:p>
    <w:p w14:paraId="3FB8AF31">
      <w:pPr>
        <w:pStyle w:val="14"/>
        <w:spacing w:line="500" w:lineRule="exact"/>
        <w:ind w:firstLine="420"/>
        <w:outlineLvl w:val="3"/>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6.2 安装、调试</w:t>
      </w:r>
    </w:p>
    <w:p w14:paraId="0D53ABDA">
      <w:pPr>
        <w:pStyle w:val="14"/>
        <w:spacing w:line="500" w:lineRule="exact"/>
        <w:ind w:firstLine="42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6.2.1 </w:t>
      </w:r>
      <w:r>
        <w:rPr>
          <w:rFonts w:hint="eastAsia" w:ascii="宋体" w:hAnsi="宋体" w:eastAsia="宋体" w:cs="宋体"/>
          <w:b w:val="0"/>
          <w:bCs w:val="0"/>
          <w:color w:val="000000" w:themeColor="text1"/>
          <w:spacing w:val="-9"/>
          <w:szCs w:val="24"/>
          <w14:textFill>
            <w14:solidFill>
              <w14:schemeClr w14:val="tx1"/>
            </w14:solidFill>
          </w14:textFill>
        </w:rPr>
        <w:t>开箱检验完成后，双方应对合同设备进行安装、调试，以使其具备考核的状态。安装、</w:t>
      </w:r>
      <w:r>
        <w:rPr>
          <w:rFonts w:hint="eastAsia" w:ascii="宋体" w:hAnsi="宋体" w:eastAsia="宋体" w:cs="宋体"/>
          <w:b w:val="0"/>
          <w:bCs w:val="0"/>
          <w:color w:val="000000" w:themeColor="text1"/>
          <w:szCs w:val="24"/>
          <w14:textFill>
            <w14:solidFill>
              <w14:schemeClr w14:val="tx1"/>
            </w14:solidFill>
          </w14:textFill>
        </w:rPr>
        <w:t>调试应按照专用合同条款约定的下列任一种方式进行：</w:t>
      </w:r>
    </w:p>
    <w:p w14:paraId="3005B964">
      <w:pPr>
        <w:pStyle w:val="14"/>
        <w:spacing w:line="500" w:lineRule="exact"/>
        <w:ind w:firstLine="42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（1）卖方按照合同约定完成合同设备的安装、调试工作；</w:t>
      </w:r>
    </w:p>
    <w:p w14:paraId="320C3522">
      <w:pPr>
        <w:pStyle w:val="14"/>
        <w:spacing w:line="500" w:lineRule="exact"/>
        <w:ind w:firstLine="42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2）买方或买方安排第三方负责合同设备的安装、调试工作，卖方提供技术服务。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41517DE8">
      <w:pPr>
        <w:pStyle w:val="14"/>
        <w:spacing w:line="500" w:lineRule="exact"/>
        <w:ind w:firstLine="42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6.2.2 </w:t>
      </w:r>
      <w:r>
        <w:rPr>
          <w:rFonts w:hint="eastAsia" w:ascii="宋体" w:hAnsi="宋体" w:eastAsia="宋体" w:cs="宋体"/>
          <w:b w:val="0"/>
          <w:bCs w:val="0"/>
          <w:color w:val="000000" w:themeColor="text1"/>
          <w:spacing w:val="-4"/>
          <w:szCs w:val="24"/>
          <w14:textFill>
            <w14:solidFill>
              <w14:schemeClr w14:val="tx1"/>
            </w14:solidFill>
          </w14:textFill>
        </w:rPr>
        <w:t>除专用合同条款另有约定外，安装、调试中合同设备运行需要的用水、用电、</w:t>
      </w:r>
      <w:r>
        <w:rPr>
          <w:rFonts w:hint="eastAsia" w:ascii="宋体" w:hAnsi="宋体" w:eastAsia="宋体" w:cs="宋体"/>
          <w:b w:val="0"/>
          <w:bCs w:val="0"/>
          <w:color w:val="000000" w:themeColor="text1"/>
          <w:szCs w:val="24"/>
          <w14:textFill>
            <w14:solidFill>
              <w14:schemeClr w14:val="tx1"/>
            </w14:solidFill>
          </w14:textFill>
        </w:rPr>
        <w:t>其他动 力和原材料（如需要）等均由买方承担。</w:t>
      </w:r>
    </w:p>
    <w:p w14:paraId="1F01333E">
      <w:pPr>
        <w:pStyle w:val="14"/>
        <w:spacing w:line="500" w:lineRule="exact"/>
        <w:ind w:firstLine="42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6.2.3 双方应对合同设备的安装、调试情况共同及时进行记录。</w:t>
      </w:r>
    </w:p>
    <w:p w14:paraId="1C58301C">
      <w:pPr>
        <w:pStyle w:val="14"/>
        <w:spacing w:line="500" w:lineRule="exact"/>
        <w:ind w:firstLine="420"/>
        <w:outlineLvl w:val="3"/>
        <w:rPr>
          <w:rFonts w:hint="eastAsia" w:ascii="宋体" w:hAnsi="宋体" w:eastAsia="宋体" w:cs="宋体"/>
          <w:b w:val="0"/>
          <w:bCs w:val="0"/>
          <w:color w:val="000000" w:themeColor="text1"/>
          <w:szCs w:val="24"/>
          <w14:textFill>
            <w14:solidFill>
              <w14:schemeClr w14:val="tx1"/>
            </w14:solidFill>
          </w14:textFill>
        </w:rPr>
      </w:pPr>
      <w:bookmarkStart w:id="201" w:name="_bookmark129"/>
      <w:bookmarkEnd w:id="201"/>
      <w:r>
        <w:rPr>
          <w:rFonts w:hint="eastAsia" w:ascii="宋体" w:hAnsi="宋体" w:eastAsia="宋体" w:cs="宋体"/>
          <w:b w:val="0"/>
          <w:bCs w:val="0"/>
          <w:color w:val="000000" w:themeColor="text1"/>
          <w:szCs w:val="24"/>
          <w14:textFill>
            <w14:solidFill>
              <w14:schemeClr w14:val="tx1"/>
            </w14:solidFill>
          </w14:textFill>
        </w:rPr>
        <w:t>6.3 考核</w:t>
      </w:r>
    </w:p>
    <w:p w14:paraId="361C157E">
      <w:pPr>
        <w:pStyle w:val="14"/>
        <w:spacing w:before="6" w:line="500" w:lineRule="exact"/>
        <w:ind w:left="100" w:right="211" w:firstLine="419"/>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200E9D6A">
      <w:pPr>
        <w:pStyle w:val="14"/>
        <w:spacing w:before="6" w:line="500" w:lineRule="exact"/>
        <w:ind w:left="100" w:right="211" w:firstLine="419"/>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6.3.2 </w:t>
      </w:r>
      <w:r>
        <w:rPr>
          <w:rFonts w:hint="eastAsia" w:ascii="宋体" w:hAnsi="宋体" w:eastAsia="宋体" w:cs="宋体"/>
          <w:b w:val="0"/>
          <w:bCs w:val="0"/>
          <w:color w:val="000000" w:themeColor="text1"/>
          <w:spacing w:val="-4"/>
          <w:szCs w:val="24"/>
          <w14:textFill>
            <w14:solidFill>
              <w14:schemeClr w14:val="tx1"/>
            </w14:solidFill>
          </w14:textFill>
        </w:rPr>
        <w:t>如由于卖方原因合同设备在考核中未能达到合同约定的技术性能考核指标，则卖方应</w:t>
      </w:r>
      <w:r>
        <w:rPr>
          <w:rFonts w:hint="eastAsia" w:ascii="宋体" w:hAnsi="宋体" w:eastAsia="宋体" w:cs="宋体"/>
          <w:b w:val="0"/>
          <w:bCs w:val="0"/>
          <w:color w:val="000000" w:themeColor="text1"/>
          <w:spacing w:val="-1"/>
          <w:szCs w:val="24"/>
          <w14:textFill>
            <w14:solidFill>
              <w14:schemeClr w14:val="tx1"/>
            </w14:solidFill>
          </w14:textFill>
        </w:rPr>
        <w:t>在双方同意的期限内采取措施消除合同设备中存在的缺陷，并在缺陷消除以后，尽快进行再次</w:t>
      </w:r>
      <w:r>
        <w:rPr>
          <w:rFonts w:hint="eastAsia" w:ascii="宋体" w:hAnsi="宋体" w:eastAsia="宋体" w:cs="宋体"/>
          <w:b w:val="0"/>
          <w:bCs w:val="0"/>
          <w:color w:val="000000" w:themeColor="text1"/>
          <w:szCs w:val="24"/>
          <w14:textFill>
            <w14:solidFill>
              <w14:schemeClr w14:val="tx1"/>
            </w14:solidFill>
          </w14:textFill>
        </w:rPr>
        <w:t>考核。</w:t>
      </w:r>
    </w:p>
    <w:p w14:paraId="4527257D">
      <w:pPr>
        <w:pStyle w:val="14"/>
        <w:spacing w:before="43" w:line="500" w:lineRule="exact"/>
        <w:ind w:left="100" w:right="213" w:firstLine="419"/>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6.3.3 </w:t>
      </w:r>
      <w:r>
        <w:rPr>
          <w:rFonts w:hint="eastAsia" w:ascii="宋体" w:hAnsi="宋体" w:eastAsia="宋体" w:cs="宋体"/>
          <w:b w:val="0"/>
          <w:bCs w:val="0"/>
          <w:color w:val="000000" w:themeColor="text1"/>
          <w:spacing w:val="-3"/>
          <w:szCs w:val="24"/>
          <w14:textFill>
            <w14:solidFill>
              <w14:schemeClr w14:val="tx1"/>
            </w14:solidFill>
          </w14:textFill>
        </w:rPr>
        <w:t>由于卖方原因未能达到技术性能考核指标时，为卖方进行考核的机会不超过三次。如</w:t>
      </w:r>
      <w:r>
        <w:rPr>
          <w:rFonts w:hint="eastAsia" w:ascii="宋体" w:hAnsi="宋体" w:eastAsia="宋体" w:cs="宋体"/>
          <w:b w:val="0"/>
          <w:bCs w:val="0"/>
          <w:color w:val="000000" w:themeColor="text1"/>
          <w:spacing w:val="-1"/>
          <w:szCs w:val="24"/>
          <w14:textFill>
            <w14:solidFill>
              <w14:schemeClr w14:val="tx1"/>
            </w14:solidFill>
          </w14:textFill>
        </w:rPr>
        <w:t>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w:t>
      </w:r>
      <w:r>
        <w:rPr>
          <w:rFonts w:hint="eastAsia" w:ascii="宋体" w:hAnsi="宋体" w:eastAsia="宋体" w:cs="宋体"/>
          <w:b w:val="0"/>
          <w:bCs w:val="0"/>
          <w:color w:val="000000" w:themeColor="text1"/>
          <w:szCs w:val="24"/>
          <w14:textFill>
            <w14:solidFill>
              <w14:schemeClr w14:val="tx1"/>
            </w14:solidFill>
          </w14:textFill>
        </w:rPr>
        <w:t>合同条款的约定进行减价或向买方支付补偿金。</w:t>
      </w:r>
    </w:p>
    <w:p w14:paraId="728CBD41">
      <w:pPr>
        <w:pStyle w:val="14"/>
        <w:spacing w:before="34" w:line="500" w:lineRule="exact"/>
        <w:ind w:left="100" w:right="211" w:firstLine="419"/>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6.3.4 </w:t>
      </w:r>
      <w:r>
        <w:rPr>
          <w:rFonts w:hint="eastAsia" w:ascii="宋体" w:hAnsi="宋体" w:eastAsia="宋体" w:cs="宋体"/>
          <w:b w:val="0"/>
          <w:bCs w:val="0"/>
          <w:color w:val="000000" w:themeColor="text1"/>
          <w:spacing w:val="-4"/>
          <w:szCs w:val="24"/>
          <w14:textFill>
            <w14:solidFill>
              <w14:schemeClr w14:val="tx1"/>
            </w14:solidFill>
          </w14:textFill>
        </w:rPr>
        <w:t>如由于买方原因合同设备在考核中未能达到合同约定的技术性能考核指标，则卖方应</w:t>
      </w:r>
      <w:r>
        <w:rPr>
          <w:rFonts w:hint="eastAsia" w:ascii="宋体" w:hAnsi="宋体" w:eastAsia="宋体" w:cs="宋体"/>
          <w:b w:val="0"/>
          <w:bCs w:val="0"/>
          <w:color w:val="000000" w:themeColor="text1"/>
          <w:spacing w:val="-1"/>
          <w:szCs w:val="24"/>
          <w14:textFill>
            <w14:solidFill>
              <w14:schemeClr w14:val="tx1"/>
            </w14:solidFill>
          </w14:textFill>
        </w:rPr>
        <w:t>协助买方安排再次考核。由于买方原因未能达到技术性能考核指标时，为买方进行考核的机会</w:t>
      </w:r>
      <w:r>
        <w:rPr>
          <w:rFonts w:hint="eastAsia" w:ascii="宋体" w:hAnsi="宋体" w:eastAsia="宋体" w:cs="宋体"/>
          <w:b w:val="0"/>
          <w:bCs w:val="0"/>
          <w:color w:val="000000" w:themeColor="text1"/>
          <w:szCs w:val="24"/>
          <w14:textFill>
            <w14:solidFill>
              <w14:schemeClr w14:val="tx1"/>
            </w14:solidFill>
          </w14:textFill>
        </w:rPr>
        <w:t>不超过三次。</w:t>
      </w:r>
    </w:p>
    <w:p w14:paraId="62899AB7">
      <w:pPr>
        <w:pStyle w:val="14"/>
        <w:spacing w:before="43" w:line="500" w:lineRule="exact"/>
        <w:ind w:left="100" w:right="21" w:firstLine="419"/>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6.3.5 考核期间，双方应及时共同记录合同设备的用水、用电、其他动力和原材料（如有）的使用及设备考核情况。对于未达到技术性能考核指标的，应如实记录设备表现、可能原因及处理情况等。</w:t>
      </w:r>
    </w:p>
    <w:p w14:paraId="269A85E6">
      <w:pPr>
        <w:pStyle w:val="91"/>
        <w:spacing w:line="50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bookmarkStart w:id="202" w:name="_bookmark130"/>
      <w:bookmarkEnd w:id="202"/>
      <w:r>
        <w:rPr>
          <w:rFonts w:hint="eastAsia" w:ascii="宋体" w:hAnsi="宋体" w:eastAsia="宋体" w:cs="宋体"/>
          <w:color w:val="000000" w:themeColor="text1"/>
          <w:sz w:val="24"/>
          <w:szCs w:val="24"/>
          <w14:textFill>
            <w14:solidFill>
              <w14:schemeClr w14:val="tx1"/>
            </w14:solidFill>
          </w14:textFill>
        </w:rPr>
        <w:t>6.4验收</w:t>
      </w:r>
    </w:p>
    <w:p w14:paraId="58600221">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052D3E7C">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6.4.2 如由于买方原因合同设备在三次考核中均未能达到技术性能考核指标，买卖双方应在考核结束后7 日内或专用合同条款另行约定的时间内签署验收款支付函。</w:t>
      </w:r>
    </w:p>
    <w:p w14:paraId="64625585">
      <w:pPr>
        <w:pStyle w:val="14"/>
        <w:spacing w:line="500" w:lineRule="exact"/>
        <w:ind w:firstLine="460"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pacing w:val="-5"/>
          <w:szCs w:val="24"/>
          <w14:textFill>
            <w14:solidFill>
              <w14:schemeClr w14:val="tx1"/>
            </w14:solidFill>
          </w14:textFill>
        </w:rPr>
        <w:t>除专用合同条款另有约定外，卖方有义务在验收款支付函签署后</w:t>
      </w:r>
      <w:r>
        <w:rPr>
          <w:rFonts w:hint="eastAsia" w:ascii="宋体" w:hAnsi="宋体" w:eastAsia="宋体" w:cs="宋体"/>
          <w:b w:val="0"/>
          <w:bCs w:val="0"/>
          <w:color w:val="000000" w:themeColor="text1"/>
          <w:szCs w:val="24"/>
          <w14:textFill>
            <w14:solidFill>
              <w14:schemeClr w14:val="tx1"/>
            </w14:solidFill>
          </w14:textFill>
        </w:rPr>
        <w:t>12个月内应买方要求提供</w:t>
      </w:r>
      <w:r>
        <w:rPr>
          <w:rFonts w:hint="eastAsia" w:ascii="宋体" w:hAnsi="宋体" w:eastAsia="宋体" w:cs="宋体"/>
          <w:b w:val="0"/>
          <w:bCs w:val="0"/>
          <w:color w:val="000000" w:themeColor="text1"/>
          <w:spacing w:val="-1"/>
          <w:szCs w:val="24"/>
          <w14:textFill>
            <w14:solidFill>
              <w14:schemeClr w14:val="tx1"/>
            </w14:solidFill>
          </w14:textFill>
        </w:rPr>
        <w:t>相关技术服务，协助买方采取一切必要措施使合同设备达到技术性能考核指标。买方应承担卖</w:t>
      </w:r>
      <w:r>
        <w:rPr>
          <w:rFonts w:hint="eastAsia" w:ascii="宋体" w:hAnsi="宋体" w:eastAsia="宋体" w:cs="宋体"/>
          <w:b w:val="0"/>
          <w:bCs w:val="0"/>
          <w:color w:val="000000" w:themeColor="text1"/>
          <w:szCs w:val="24"/>
          <w14:textFill>
            <w14:solidFill>
              <w14:schemeClr w14:val="tx1"/>
            </w14:solidFill>
          </w14:textFill>
        </w:rPr>
        <w:t>方因此产生的全部费用。</w:t>
      </w:r>
    </w:p>
    <w:p w14:paraId="0D9C3714">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在上述 12 个月的期限内，如合同设备经过考核达到或视为达到技术性能考核指标，则买卖双方应按照第6.4.1 项的约定签署合同设备验收证书。</w:t>
      </w:r>
    </w:p>
    <w:p w14:paraId="0DE63F8C">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6.4.3 除专用合同条款另有约定外，如由于买方原因在最后一批合同设备交货后 6 个月内未能开始考核，则买卖双方应在上述期限届满后 7 日内或专用合同条款另行约定的时间内签署验收款支付函。</w:t>
      </w:r>
    </w:p>
    <w:p w14:paraId="173B8268">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5DEA6527">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在上述 6 个月的期限内，如合同设备经过考核达到或视为达到技术性能考核指标，则买卖双方应按照第6.4.1 项的约定签署合同设备验收证书。</w:t>
      </w:r>
    </w:p>
    <w:p w14:paraId="55890D79">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6.4.4 在第 6.4.2 项和第6.4.3 </w:t>
      </w:r>
      <w:r>
        <w:rPr>
          <w:rFonts w:hint="eastAsia" w:ascii="宋体" w:hAnsi="宋体" w:eastAsia="宋体" w:cs="宋体"/>
          <w:b w:val="0"/>
          <w:bCs w:val="0"/>
          <w:color w:val="000000" w:themeColor="text1"/>
          <w:spacing w:val="-5"/>
          <w:szCs w:val="24"/>
          <w14:textFill>
            <w14:solidFill>
              <w14:schemeClr w14:val="tx1"/>
            </w14:solidFill>
          </w14:textFill>
        </w:rPr>
        <w:t>项情形下，卖方也可单方签署验收款支付函提交买方，如果买</w:t>
      </w:r>
      <w:r>
        <w:rPr>
          <w:rFonts w:hint="eastAsia" w:ascii="宋体" w:hAnsi="宋体" w:eastAsia="宋体" w:cs="宋体"/>
          <w:b w:val="0"/>
          <w:bCs w:val="0"/>
          <w:color w:val="000000" w:themeColor="text1"/>
          <w:szCs w:val="24"/>
          <w14:textFill>
            <w14:solidFill>
              <w14:schemeClr w14:val="tx1"/>
            </w14:solidFill>
          </w14:textFill>
        </w:rPr>
        <w:t xml:space="preserve">方在收到卖方签署的验收款支付函后 14 </w:t>
      </w:r>
      <w:r>
        <w:rPr>
          <w:rFonts w:hint="eastAsia" w:ascii="宋体" w:hAnsi="宋体" w:eastAsia="宋体" w:cs="宋体"/>
          <w:b w:val="0"/>
          <w:bCs w:val="0"/>
          <w:color w:val="000000" w:themeColor="text1"/>
          <w:spacing w:val="-5"/>
          <w:szCs w:val="24"/>
          <w14:textFill>
            <w14:solidFill>
              <w14:schemeClr w14:val="tx1"/>
            </w14:solidFill>
          </w14:textFill>
        </w:rPr>
        <w:t xml:space="preserve">日内未向卖方提出书面异议，则验收款支付函自签署之 </w:t>
      </w:r>
      <w:r>
        <w:rPr>
          <w:rFonts w:hint="eastAsia" w:ascii="宋体" w:hAnsi="宋体" w:eastAsia="宋体" w:cs="宋体"/>
          <w:b w:val="0"/>
          <w:bCs w:val="0"/>
          <w:color w:val="000000" w:themeColor="text1"/>
          <w:szCs w:val="24"/>
          <w14:textFill>
            <w14:solidFill>
              <w14:schemeClr w14:val="tx1"/>
            </w14:solidFill>
          </w14:textFill>
        </w:rPr>
        <w:t>日起生效。</w:t>
      </w:r>
    </w:p>
    <w:p w14:paraId="05825D0E">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6.4.5 合同设备验收证书的签署不能免除卖方在质量保证期内对合同设备应承担的保证责任。</w:t>
      </w:r>
    </w:p>
    <w:p w14:paraId="2124502A">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  监造及交货前检验</w:t>
      </w:r>
    </w:p>
    <w:p w14:paraId="020E41CA">
      <w:pPr>
        <w:pStyle w:val="91"/>
        <w:spacing w:line="50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bookmarkStart w:id="203" w:name="_bookmark119"/>
      <w:bookmarkEnd w:id="203"/>
      <w:r>
        <w:rPr>
          <w:rFonts w:hint="eastAsia" w:ascii="宋体" w:hAnsi="宋体" w:eastAsia="宋体" w:cs="宋体"/>
          <w:color w:val="000000" w:themeColor="text1"/>
          <w:sz w:val="24"/>
          <w:szCs w:val="24"/>
          <w14:textFill>
            <w14:solidFill>
              <w14:schemeClr w14:val="tx1"/>
            </w14:solidFill>
          </w14:textFill>
        </w:rPr>
        <w:t>4.1监造</w:t>
      </w:r>
    </w:p>
    <w:p w14:paraId="1EAE5AD3">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专用合同条款约定买方对合同设备进行监造的，双方应按本款及专用合同条款约定履行。</w:t>
      </w:r>
    </w:p>
    <w:p w14:paraId="47919384">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4.1.1 在合同设备的制造过程中，买方可派出监造人员，对合同设备的生产制造进行监造，监督合同设备制造、检验等情况。监造的范围、方式等应符合专用合同条款和（或）供货要求等合同文件的约定。</w:t>
      </w:r>
    </w:p>
    <w:p w14:paraId="4F5B3C30">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4.1.2 </w:t>
      </w:r>
      <w:r>
        <w:rPr>
          <w:rFonts w:hint="eastAsia" w:ascii="宋体" w:hAnsi="宋体" w:eastAsia="宋体" w:cs="宋体"/>
          <w:b w:val="0"/>
          <w:bCs w:val="0"/>
          <w:color w:val="000000" w:themeColor="text1"/>
          <w:spacing w:val="-4"/>
          <w:szCs w:val="24"/>
          <w14:textFill>
            <w14:solidFill>
              <w14:schemeClr w14:val="tx1"/>
            </w14:solidFill>
          </w14:textFill>
        </w:rPr>
        <w:t>除专用合同条款和（或）供货要求等合同文件另有约定外，买方监造人员可到合同设</w:t>
      </w:r>
      <w:r>
        <w:rPr>
          <w:rFonts w:hint="eastAsia" w:ascii="宋体" w:hAnsi="宋体" w:eastAsia="宋体" w:cs="宋体"/>
          <w:b w:val="0"/>
          <w:bCs w:val="0"/>
          <w:color w:val="000000" w:themeColor="text1"/>
          <w:spacing w:val="-1"/>
          <w:szCs w:val="24"/>
          <w14:textFill>
            <w14:solidFill>
              <w14:schemeClr w14:val="tx1"/>
            </w14:solidFill>
          </w14:textFill>
        </w:rPr>
        <w:t>备及其关键部件的生产制造现场进行监造，卖方应予配合。卖方应免费为买方监造人员提供工作条件及便利，包括但不限于必要的办公场所、技术资料、检测工具及出入许可等。除专用合</w:t>
      </w:r>
      <w:r>
        <w:rPr>
          <w:rFonts w:hint="eastAsia" w:ascii="宋体" w:hAnsi="宋体" w:eastAsia="宋体" w:cs="宋体"/>
          <w:b w:val="0"/>
          <w:bCs w:val="0"/>
          <w:color w:val="000000" w:themeColor="text1"/>
          <w:szCs w:val="24"/>
          <w14:textFill>
            <w14:solidFill>
              <w14:schemeClr w14:val="tx1"/>
            </w14:solidFill>
          </w14:textFill>
        </w:rPr>
        <w:t>同条款另有约定外，买方监造人员的交通、食宿费用由买方承担。</w:t>
      </w:r>
    </w:p>
    <w:p w14:paraId="3B7FA677">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4.1.3 </w:t>
      </w:r>
      <w:r>
        <w:rPr>
          <w:rFonts w:hint="eastAsia" w:ascii="宋体" w:hAnsi="宋体" w:eastAsia="宋体" w:cs="宋体"/>
          <w:b w:val="0"/>
          <w:bCs w:val="0"/>
          <w:color w:val="000000" w:themeColor="text1"/>
          <w:spacing w:val="-4"/>
          <w:szCs w:val="24"/>
          <w14:textFill>
            <w14:solidFill>
              <w14:schemeClr w14:val="tx1"/>
            </w14:solidFill>
          </w14:textFill>
        </w:rPr>
        <w:t>卖方制订生产制造合同设备的进度计划时，应将买方监造纳入计划安排，并提前通知</w:t>
      </w:r>
      <w:r>
        <w:rPr>
          <w:rFonts w:hint="eastAsia" w:ascii="宋体" w:hAnsi="宋体" w:eastAsia="宋体" w:cs="宋体"/>
          <w:b w:val="0"/>
          <w:bCs w:val="0"/>
          <w:color w:val="000000" w:themeColor="text1"/>
          <w:spacing w:val="-1"/>
          <w:szCs w:val="24"/>
          <w14:textFill>
            <w14:solidFill>
              <w14:schemeClr w14:val="tx1"/>
            </w14:solidFill>
          </w14:textFill>
        </w:rPr>
        <w:t>买方；买方进行监造不应影响合同设备的正常生产。除专用合同条款和（或）供货要求等合同</w:t>
      </w:r>
      <w:r>
        <w:rPr>
          <w:rFonts w:hint="eastAsia" w:ascii="宋体" w:hAnsi="宋体" w:eastAsia="宋体" w:cs="宋体"/>
          <w:b w:val="0"/>
          <w:bCs w:val="0"/>
          <w:color w:val="000000" w:themeColor="text1"/>
          <w:szCs w:val="24"/>
          <w14:textFill>
            <w14:solidFill>
              <w14:schemeClr w14:val="tx1"/>
            </w14:solidFill>
          </w14:textFill>
        </w:rPr>
        <w:t>文件另有约定外，卖方应提前 7日将需要买方监造人员现场监造事项通知买方；如买方监造人员未</w:t>
      </w:r>
      <w:r>
        <w:rPr>
          <w:rFonts w:hint="eastAsia" w:ascii="宋体" w:hAnsi="宋体" w:eastAsia="宋体" w:cs="宋体"/>
          <w:b w:val="0"/>
          <w:bCs w:val="0"/>
          <w:color w:val="000000" w:themeColor="text1"/>
          <w:spacing w:val="-3"/>
          <w:szCs w:val="24"/>
          <w14:textFill>
            <w14:solidFill>
              <w14:schemeClr w14:val="tx1"/>
            </w14:solidFill>
          </w14:textFill>
        </w:rPr>
        <w:t>按</w:t>
      </w:r>
      <w:r>
        <w:rPr>
          <w:rFonts w:hint="eastAsia" w:ascii="宋体" w:hAnsi="宋体" w:eastAsia="宋体" w:cs="宋体"/>
          <w:b w:val="0"/>
          <w:bCs w:val="0"/>
          <w:color w:val="000000" w:themeColor="text1"/>
          <w:szCs w:val="24"/>
          <w14:textFill>
            <w14:solidFill>
              <w14:schemeClr w14:val="tx1"/>
            </w14:solidFill>
          </w14:textFill>
        </w:rPr>
        <w:t>通</w:t>
      </w:r>
      <w:r>
        <w:rPr>
          <w:rFonts w:hint="eastAsia" w:ascii="宋体" w:hAnsi="宋体" w:eastAsia="宋体" w:cs="宋体"/>
          <w:b w:val="0"/>
          <w:bCs w:val="0"/>
          <w:color w:val="000000" w:themeColor="text1"/>
          <w:spacing w:val="-3"/>
          <w:szCs w:val="24"/>
          <w14:textFill>
            <w14:solidFill>
              <w14:schemeClr w14:val="tx1"/>
            </w14:solidFill>
          </w14:textFill>
        </w:rPr>
        <w:t>知</w:t>
      </w:r>
      <w:r>
        <w:rPr>
          <w:rFonts w:hint="eastAsia" w:ascii="宋体" w:hAnsi="宋体" w:eastAsia="宋体" w:cs="宋体"/>
          <w:b w:val="0"/>
          <w:bCs w:val="0"/>
          <w:color w:val="000000" w:themeColor="text1"/>
          <w:szCs w:val="24"/>
          <w14:textFill>
            <w14:solidFill>
              <w14:schemeClr w14:val="tx1"/>
            </w14:solidFill>
          </w14:textFill>
        </w:rPr>
        <w:t>出席</w:t>
      </w:r>
      <w:r>
        <w:rPr>
          <w:rFonts w:hint="eastAsia" w:ascii="宋体" w:hAnsi="宋体" w:eastAsia="宋体" w:cs="宋体"/>
          <w:b w:val="0"/>
          <w:bCs w:val="0"/>
          <w:color w:val="000000" w:themeColor="text1"/>
          <w:spacing w:val="-94"/>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不</w:t>
      </w:r>
      <w:r>
        <w:rPr>
          <w:rFonts w:hint="eastAsia" w:ascii="宋体" w:hAnsi="宋体" w:eastAsia="宋体" w:cs="宋体"/>
          <w:b w:val="0"/>
          <w:bCs w:val="0"/>
          <w:color w:val="000000" w:themeColor="text1"/>
          <w:spacing w:val="-3"/>
          <w:szCs w:val="24"/>
          <w14:textFill>
            <w14:solidFill>
              <w14:schemeClr w14:val="tx1"/>
            </w14:solidFill>
          </w14:textFill>
        </w:rPr>
        <w:t>影</w:t>
      </w:r>
      <w:r>
        <w:rPr>
          <w:rFonts w:hint="eastAsia" w:ascii="宋体" w:hAnsi="宋体" w:eastAsia="宋体" w:cs="宋体"/>
          <w:b w:val="0"/>
          <w:bCs w:val="0"/>
          <w:color w:val="000000" w:themeColor="text1"/>
          <w:szCs w:val="24"/>
          <w14:textFill>
            <w14:solidFill>
              <w14:schemeClr w14:val="tx1"/>
            </w14:solidFill>
          </w14:textFill>
        </w:rPr>
        <w:t>响</w:t>
      </w:r>
      <w:r>
        <w:rPr>
          <w:rFonts w:hint="eastAsia" w:ascii="宋体" w:hAnsi="宋体" w:eastAsia="宋体" w:cs="宋体"/>
          <w:b w:val="0"/>
          <w:bCs w:val="0"/>
          <w:color w:val="000000" w:themeColor="text1"/>
          <w:spacing w:val="-3"/>
          <w:szCs w:val="24"/>
          <w14:textFill>
            <w14:solidFill>
              <w14:schemeClr w14:val="tx1"/>
            </w14:solidFill>
          </w14:textFill>
        </w:rPr>
        <w:t>合</w:t>
      </w:r>
      <w:r>
        <w:rPr>
          <w:rFonts w:hint="eastAsia" w:ascii="宋体" w:hAnsi="宋体" w:eastAsia="宋体" w:cs="宋体"/>
          <w:b w:val="0"/>
          <w:bCs w:val="0"/>
          <w:color w:val="000000" w:themeColor="text1"/>
          <w:szCs w:val="24"/>
          <w14:textFill>
            <w14:solidFill>
              <w14:schemeClr w14:val="tx1"/>
            </w14:solidFill>
          </w14:textFill>
        </w:rPr>
        <w:t>同设</w:t>
      </w:r>
      <w:r>
        <w:rPr>
          <w:rFonts w:hint="eastAsia" w:ascii="宋体" w:hAnsi="宋体" w:eastAsia="宋体" w:cs="宋体"/>
          <w:b w:val="0"/>
          <w:bCs w:val="0"/>
          <w:color w:val="000000" w:themeColor="text1"/>
          <w:spacing w:val="-3"/>
          <w:szCs w:val="24"/>
          <w14:textFill>
            <w14:solidFill>
              <w14:schemeClr w14:val="tx1"/>
            </w14:solidFill>
          </w14:textFill>
        </w:rPr>
        <w:t>备</w:t>
      </w:r>
      <w:r>
        <w:rPr>
          <w:rFonts w:hint="eastAsia" w:ascii="宋体" w:hAnsi="宋体" w:eastAsia="宋体" w:cs="宋体"/>
          <w:b w:val="0"/>
          <w:bCs w:val="0"/>
          <w:color w:val="000000" w:themeColor="text1"/>
          <w:szCs w:val="24"/>
          <w14:textFill>
            <w14:solidFill>
              <w14:schemeClr w14:val="tx1"/>
            </w14:solidFill>
          </w14:textFill>
        </w:rPr>
        <w:t>及</w:t>
      </w:r>
      <w:r>
        <w:rPr>
          <w:rFonts w:hint="eastAsia" w:ascii="宋体" w:hAnsi="宋体" w:eastAsia="宋体" w:cs="宋体"/>
          <w:b w:val="0"/>
          <w:bCs w:val="0"/>
          <w:color w:val="000000" w:themeColor="text1"/>
          <w:spacing w:val="-3"/>
          <w:szCs w:val="24"/>
          <w14:textFill>
            <w14:solidFill>
              <w14:schemeClr w14:val="tx1"/>
            </w14:solidFill>
          </w14:textFill>
        </w:rPr>
        <w:t>其</w:t>
      </w:r>
      <w:r>
        <w:rPr>
          <w:rFonts w:hint="eastAsia" w:ascii="宋体" w:hAnsi="宋体" w:eastAsia="宋体" w:cs="宋体"/>
          <w:b w:val="0"/>
          <w:bCs w:val="0"/>
          <w:color w:val="000000" w:themeColor="text1"/>
          <w:szCs w:val="24"/>
          <w14:textFill>
            <w14:solidFill>
              <w14:schemeClr w14:val="tx1"/>
            </w14:solidFill>
          </w14:textFill>
        </w:rPr>
        <w:t>关</w:t>
      </w:r>
      <w:r>
        <w:rPr>
          <w:rFonts w:hint="eastAsia" w:ascii="宋体" w:hAnsi="宋体" w:eastAsia="宋体" w:cs="宋体"/>
          <w:b w:val="0"/>
          <w:bCs w:val="0"/>
          <w:color w:val="000000" w:themeColor="text1"/>
          <w:spacing w:val="-3"/>
          <w:szCs w:val="24"/>
          <w14:textFill>
            <w14:solidFill>
              <w14:schemeClr w14:val="tx1"/>
            </w14:solidFill>
          </w14:textFill>
        </w:rPr>
        <w:t>键</w:t>
      </w:r>
      <w:r>
        <w:rPr>
          <w:rFonts w:hint="eastAsia" w:ascii="宋体" w:hAnsi="宋体" w:eastAsia="宋体" w:cs="宋体"/>
          <w:b w:val="0"/>
          <w:bCs w:val="0"/>
          <w:color w:val="000000" w:themeColor="text1"/>
          <w:szCs w:val="24"/>
          <w14:textFill>
            <w14:solidFill>
              <w14:schemeClr w14:val="tx1"/>
            </w14:solidFill>
          </w14:textFill>
        </w:rPr>
        <w:t>部</w:t>
      </w:r>
      <w:r>
        <w:rPr>
          <w:rFonts w:hint="eastAsia" w:ascii="宋体" w:hAnsi="宋体" w:eastAsia="宋体" w:cs="宋体"/>
          <w:b w:val="0"/>
          <w:bCs w:val="0"/>
          <w:color w:val="000000" w:themeColor="text1"/>
          <w:spacing w:val="-3"/>
          <w:szCs w:val="24"/>
          <w14:textFill>
            <w14:solidFill>
              <w14:schemeClr w14:val="tx1"/>
            </w14:solidFill>
          </w14:textFill>
        </w:rPr>
        <w:t>件</w:t>
      </w:r>
      <w:r>
        <w:rPr>
          <w:rFonts w:hint="eastAsia" w:ascii="宋体" w:hAnsi="宋体" w:eastAsia="宋体" w:cs="宋体"/>
          <w:b w:val="0"/>
          <w:bCs w:val="0"/>
          <w:color w:val="000000" w:themeColor="text1"/>
          <w:szCs w:val="24"/>
          <w14:textFill>
            <w14:solidFill>
              <w14:schemeClr w14:val="tx1"/>
            </w14:solidFill>
          </w14:textFill>
        </w:rPr>
        <w:t>的</w:t>
      </w:r>
      <w:r>
        <w:rPr>
          <w:rFonts w:hint="eastAsia" w:ascii="宋体" w:hAnsi="宋体" w:eastAsia="宋体" w:cs="宋体"/>
          <w:b w:val="0"/>
          <w:bCs w:val="0"/>
          <w:color w:val="000000" w:themeColor="text1"/>
          <w:spacing w:val="-3"/>
          <w:szCs w:val="24"/>
          <w14:textFill>
            <w14:solidFill>
              <w14:schemeClr w14:val="tx1"/>
            </w14:solidFill>
          </w14:textFill>
        </w:rPr>
        <w:t>制</w:t>
      </w:r>
      <w:r>
        <w:rPr>
          <w:rFonts w:hint="eastAsia" w:ascii="宋体" w:hAnsi="宋体" w:eastAsia="宋体" w:cs="宋体"/>
          <w:b w:val="0"/>
          <w:bCs w:val="0"/>
          <w:color w:val="000000" w:themeColor="text1"/>
          <w:szCs w:val="24"/>
          <w14:textFill>
            <w14:solidFill>
              <w14:schemeClr w14:val="tx1"/>
            </w14:solidFill>
          </w14:textFill>
        </w:rPr>
        <w:t>造或</w:t>
      </w:r>
      <w:r>
        <w:rPr>
          <w:rFonts w:hint="eastAsia" w:ascii="宋体" w:hAnsi="宋体" w:eastAsia="宋体" w:cs="宋体"/>
          <w:b w:val="0"/>
          <w:bCs w:val="0"/>
          <w:color w:val="000000" w:themeColor="text1"/>
          <w:spacing w:val="-3"/>
          <w:szCs w:val="24"/>
          <w14:textFill>
            <w14:solidFill>
              <w14:schemeClr w14:val="tx1"/>
            </w14:solidFill>
          </w14:textFill>
        </w:rPr>
        <w:t>检</w:t>
      </w:r>
      <w:r>
        <w:rPr>
          <w:rFonts w:hint="eastAsia" w:ascii="宋体" w:hAnsi="宋体" w:eastAsia="宋体" w:cs="宋体"/>
          <w:b w:val="0"/>
          <w:bCs w:val="0"/>
          <w:color w:val="000000" w:themeColor="text1"/>
          <w:szCs w:val="24"/>
          <w14:textFill>
            <w14:solidFill>
              <w14:schemeClr w14:val="tx1"/>
            </w14:solidFill>
          </w14:textFill>
        </w:rPr>
        <w:t>验</w:t>
      </w:r>
      <w:r>
        <w:rPr>
          <w:rFonts w:hint="eastAsia" w:ascii="宋体" w:hAnsi="宋体" w:eastAsia="宋体" w:cs="宋体"/>
          <w:b w:val="0"/>
          <w:bCs w:val="0"/>
          <w:color w:val="000000" w:themeColor="text1"/>
          <w:spacing w:val="-92"/>
          <w:szCs w:val="24"/>
          <w14:textFill>
            <w14:solidFill>
              <w14:schemeClr w14:val="tx1"/>
            </w14:solidFill>
          </w14:textFill>
        </w:rPr>
        <w:t>，</w:t>
      </w:r>
      <w:r>
        <w:rPr>
          <w:rFonts w:hint="eastAsia" w:ascii="宋体" w:hAnsi="宋体" w:eastAsia="宋体" w:cs="宋体"/>
          <w:b w:val="0"/>
          <w:bCs w:val="0"/>
          <w:color w:val="000000" w:themeColor="text1"/>
          <w:spacing w:val="-3"/>
          <w:szCs w:val="24"/>
          <w14:textFill>
            <w14:solidFill>
              <w14:schemeClr w14:val="tx1"/>
            </w14:solidFill>
          </w14:textFill>
        </w:rPr>
        <w:t>但</w:t>
      </w:r>
      <w:r>
        <w:rPr>
          <w:rFonts w:hint="eastAsia" w:ascii="宋体" w:hAnsi="宋体" w:eastAsia="宋体" w:cs="宋体"/>
          <w:b w:val="0"/>
          <w:bCs w:val="0"/>
          <w:color w:val="000000" w:themeColor="text1"/>
          <w:szCs w:val="24"/>
          <w14:textFill>
            <w14:solidFill>
              <w14:schemeClr w14:val="tx1"/>
            </w14:solidFill>
          </w14:textFill>
        </w:rPr>
        <w:t>买</w:t>
      </w:r>
      <w:r>
        <w:rPr>
          <w:rFonts w:hint="eastAsia" w:ascii="宋体" w:hAnsi="宋体" w:eastAsia="宋体" w:cs="宋体"/>
          <w:b w:val="0"/>
          <w:bCs w:val="0"/>
          <w:color w:val="000000" w:themeColor="text1"/>
          <w:spacing w:val="-3"/>
          <w:szCs w:val="24"/>
          <w14:textFill>
            <w14:solidFill>
              <w14:schemeClr w14:val="tx1"/>
            </w14:solidFill>
          </w14:textFill>
        </w:rPr>
        <w:t>方</w:t>
      </w:r>
      <w:r>
        <w:rPr>
          <w:rFonts w:hint="eastAsia" w:ascii="宋体" w:hAnsi="宋体" w:eastAsia="宋体" w:cs="宋体"/>
          <w:b w:val="0"/>
          <w:bCs w:val="0"/>
          <w:color w:val="000000" w:themeColor="text1"/>
          <w:szCs w:val="24"/>
          <w14:textFill>
            <w14:solidFill>
              <w14:schemeClr w14:val="tx1"/>
            </w14:solidFill>
          </w14:textFill>
        </w:rPr>
        <w:t>监</w:t>
      </w:r>
      <w:r>
        <w:rPr>
          <w:rFonts w:hint="eastAsia" w:ascii="宋体" w:hAnsi="宋体" w:eastAsia="宋体" w:cs="宋体"/>
          <w:b w:val="0"/>
          <w:bCs w:val="0"/>
          <w:color w:val="000000" w:themeColor="text1"/>
          <w:spacing w:val="-3"/>
          <w:szCs w:val="24"/>
          <w14:textFill>
            <w14:solidFill>
              <w14:schemeClr w14:val="tx1"/>
            </w14:solidFill>
          </w14:textFill>
        </w:rPr>
        <w:t>造</w:t>
      </w:r>
      <w:r>
        <w:rPr>
          <w:rFonts w:hint="eastAsia" w:ascii="宋体" w:hAnsi="宋体" w:eastAsia="宋体" w:cs="宋体"/>
          <w:b w:val="0"/>
          <w:bCs w:val="0"/>
          <w:color w:val="000000" w:themeColor="text1"/>
          <w:szCs w:val="24"/>
          <w14:textFill>
            <w14:solidFill>
              <w14:schemeClr w14:val="tx1"/>
            </w14:solidFill>
          </w14:textFill>
        </w:rPr>
        <w:t>人</w:t>
      </w:r>
      <w:r>
        <w:rPr>
          <w:rFonts w:hint="eastAsia" w:ascii="宋体" w:hAnsi="宋体" w:eastAsia="宋体" w:cs="宋体"/>
          <w:b w:val="0"/>
          <w:bCs w:val="0"/>
          <w:color w:val="000000" w:themeColor="text1"/>
          <w:spacing w:val="-3"/>
          <w:szCs w:val="24"/>
          <w14:textFill>
            <w14:solidFill>
              <w14:schemeClr w14:val="tx1"/>
            </w14:solidFill>
          </w14:textFill>
        </w:rPr>
        <w:t>员</w:t>
      </w:r>
      <w:r>
        <w:rPr>
          <w:rFonts w:hint="eastAsia" w:ascii="宋体" w:hAnsi="宋体" w:eastAsia="宋体" w:cs="宋体"/>
          <w:b w:val="0"/>
          <w:bCs w:val="0"/>
          <w:color w:val="000000" w:themeColor="text1"/>
          <w:szCs w:val="24"/>
          <w14:textFill>
            <w14:solidFill>
              <w14:schemeClr w14:val="tx1"/>
            </w14:solidFill>
          </w14:textFill>
        </w:rPr>
        <w:t>有权</w:t>
      </w:r>
      <w:r>
        <w:rPr>
          <w:rFonts w:hint="eastAsia" w:ascii="宋体" w:hAnsi="宋体" w:eastAsia="宋体" w:cs="宋体"/>
          <w:b w:val="0"/>
          <w:bCs w:val="0"/>
          <w:color w:val="000000" w:themeColor="text1"/>
          <w:spacing w:val="-3"/>
          <w:szCs w:val="24"/>
          <w14:textFill>
            <w14:solidFill>
              <w14:schemeClr w14:val="tx1"/>
            </w14:solidFill>
          </w14:textFill>
        </w:rPr>
        <w:t>事</w:t>
      </w:r>
      <w:r>
        <w:rPr>
          <w:rFonts w:hint="eastAsia" w:ascii="宋体" w:hAnsi="宋体" w:eastAsia="宋体" w:cs="宋体"/>
          <w:b w:val="0"/>
          <w:bCs w:val="0"/>
          <w:color w:val="000000" w:themeColor="text1"/>
          <w:szCs w:val="24"/>
          <w14:textFill>
            <w14:solidFill>
              <w14:schemeClr w14:val="tx1"/>
            </w14:solidFill>
          </w14:textFill>
        </w:rPr>
        <w:t>后</w:t>
      </w:r>
      <w:r>
        <w:rPr>
          <w:rFonts w:hint="eastAsia" w:ascii="宋体" w:hAnsi="宋体" w:eastAsia="宋体" w:cs="宋体"/>
          <w:b w:val="0"/>
          <w:bCs w:val="0"/>
          <w:color w:val="000000" w:themeColor="text1"/>
          <w:spacing w:val="-3"/>
          <w:szCs w:val="24"/>
          <w14:textFill>
            <w14:solidFill>
              <w14:schemeClr w14:val="tx1"/>
            </w14:solidFill>
          </w14:textFill>
        </w:rPr>
        <w:t>了解</w:t>
      </w:r>
      <w:r>
        <w:rPr>
          <w:rFonts w:hint="eastAsia" w:ascii="宋体" w:hAnsi="宋体" w:eastAsia="宋体" w:cs="宋体"/>
          <w:b w:val="0"/>
          <w:bCs w:val="0"/>
          <w:color w:val="000000" w:themeColor="text1"/>
          <w:szCs w:val="24"/>
          <w14:textFill>
            <w14:solidFill>
              <w14:schemeClr w14:val="tx1"/>
            </w14:solidFill>
          </w14:textFill>
        </w:rPr>
        <w:t>、查阅、复制相关制造或检验记录。</w:t>
      </w:r>
    </w:p>
    <w:p w14:paraId="773F3A8B">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4.1.4 </w:t>
      </w:r>
      <w:r>
        <w:rPr>
          <w:rFonts w:hint="eastAsia" w:ascii="宋体" w:hAnsi="宋体" w:eastAsia="宋体" w:cs="宋体"/>
          <w:b w:val="0"/>
          <w:bCs w:val="0"/>
          <w:color w:val="000000" w:themeColor="text1"/>
          <w:spacing w:val="-4"/>
          <w:szCs w:val="24"/>
          <w14:textFill>
            <w14:solidFill>
              <w14:schemeClr w14:val="tx1"/>
            </w14:solidFill>
          </w14:textFill>
        </w:rPr>
        <w:t>买方监造人员在监造中如发现合同设备及其关键部件不符合合同约定的标准，则有权</w:t>
      </w:r>
      <w:r>
        <w:rPr>
          <w:rFonts w:hint="eastAsia" w:ascii="宋体" w:hAnsi="宋体" w:eastAsia="宋体" w:cs="宋体"/>
          <w:b w:val="0"/>
          <w:bCs w:val="0"/>
          <w:color w:val="000000" w:themeColor="text1"/>
          <w:spacing w:val="-1"/>
          <w:szCs w:val="24"/>
          <w14:textFill>
            <w14:solidFill>
              <w14:schemeClr w14:val="tx1"/>
            </w14:solidFill>
          </w14:textFill>
        </w:rPr>
        <w:t>提出意见和建议。卖方应采取必要措施消除合同设备的不符，由此增加的费用和（或）造成的</w:t>
      </w:r>
      <w:r>
        <w:rPr>
          <w:rFonts w:hint="eastAsia" w:ascii="宋体" w:hAnsi="宋体" w:eastAsia="宋体" w:cs="宋体"/>
          <w:b w:val="0"/>
          <w:bCs w:val="0"/>
          <w:color w:val="000000" w:themeColor="text1"/>
          <w:szCs w:val="24"/>
          <w14:textFill>
            <w14:solidFill>
              <w14:schemeClr w14:val="tx1"/>
            </w14:solidFill>
          </w14:textFill>
        </w:rPr>
        <w:t>延误由卖方负责。</w:t>
      </w:r>
    </w:p>
    <w:p w14:paraId="3038FEAC">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4.1.5 </w:t>
      </w:r>
      <w:r>
        <w:rPr>
          <w:rFonts w:hint="eastAsia" w:ascii="宋体" w:hAnsi="宋体" w:eastAsia="宋体" w:cs="宋体"/>
          <w:b w:val="0"/>
          <w:bCs w:val="0"/>
          <w:color w:val="000000" w:themeColor="text1"/>
          <w:spacing w:val="-4"/>
          <w:szCs w:val="24"/>
          <w14:textFill>
            <w14:solidFill>
              <w14:schemeClr w14:val="tx1"/>
            </w14:solidFill>
          </w14:textFill>
        </w:rPr>
        <w:t>买方监造人员对合同设备的监造，不视为对合同设备质量的确认，不影响卖方交货后</w:t>
      </w:r>
      <w:r>
        <w:rPr>
          <w:rFonts w:hint="eastAsia" w:ascii="宋体" w:hAnsi="宋体" w:eastAsia="宋体" w:cs="宋体"/>
          <w:b w:val="0"/>
          <w:bCs w:val="0"/>
          <w:color w:val="000000" w:themeColor="text1"/>
          <w:spacing w:val="-1"/>
          <w:szCs w:val="24"/>
          <w14:textFill>
            <w14:solidFill>
              <w14:schemeClr w14:val="tx1"/>
            </w14:solidFill>
          </w14:textFill>
        </w:rPr>
        <w:t>买方依照合同约定对合同设备提出质量异议和（或）退货的权利，也不免除卖方依照合同约定</w:t>
      </w:r>
      <w:r>
        <w:rPr>
          <w:rFonts w:hint="eastAsia" w:ascii="宋体" w:hAnsi="宋体" w:eastAsia="宋体" w:cs="宋体"/>
          <w:b w:val="0"/>
          <w:bCs w:val="0"/>
          <w:color w:val="000000" w:themeColor="text1"/>
          <w:szCs w:val="24"/>
          <w14:textFill>
            <w14:solidFill>
              <w14:schemeClr w14:val="tx1"/>
            </w14:solidFill>
          </w14:textFill>
        </w:rPr>
        <w:t>对合同设备所应承担的任何义务或责任。</w:t>
      </w:r>
    </w:p>
    <w:p w14:paraId="791EEC22">
      <w:pPr>
        <w:pStyle w:val="91"/>
        <w:spacing w:line="50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bookmarkStart w:id="204" w:name="_bookmark120"/>
      <w:bookmarkEnd w:id="204"/>
      <w:r>
        <w:rPr>
          <w:rFonts w:hint="eastAsia" w:ascii="宋体" w:hAnsi="宋体" w:eastAsia="宋体" w:cs="宋体"/>
          <w:color w:val="000000" w:themeColor="text1"/>
          <w:sz w:val="24"/>
          <w:szCs w:val="24"/>
          <w14:textFill>
            <w14:solidFill>
              <w14:schemeClr w14:val="tx1"/>
            </w14:solidFill>
          </w14:textFill>
        </w:rPr>
        <w:t>4.2  交货前检验</w:t>
      </w:r>
    </w:p>
    <w:p w14:paraId="0291935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专用合同条款约定买方参与交货前检验的，双方应按本款及专用合同条款约定履行。</w:t>
      </w:r>
    </w:p>
    <w:p w14:paraId="2CC6A104">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4.2.1 </w:t>
      </w:r>
      <w:r>
        <w:rPr>
          <w:rFonts w:hint="eastAsia" w:ascii="宋体" w:hAnsi="宋体" w:eastAsia="宋体" w:cs="宋体"/>
          <w:b w:val="0"/>
          <w:bCs w:val="0"/>
          <w:color w:val="000000" w:themeColor="text1"/>
          <w:spacing w:val="-4"/>
          <w:szCs w:val="24"/>
          <w14:textFill>
            <w14:solidFill>
              <w14:schemeClr w14:val="tx1"/>
            </w14:solidFill>
          </w14:textFill>
        </w:rPr>
        <w:t>合同设备交货前，卖方应会同买方代表根据合同约定对合同设备进行交货前检验并出</w:t>
      </w:r>
      <w:r>
        <w:rPr>
          <w:rFonts w:hint="eastAsia" w:ascii="宋体" w:hAnsi="宋体" w:eastAsia="宋体" w:cs="宋体"/>
          <w:b w:val="0"/>
          <w:bCs w:val="0"/>
          <w:color w:val="000000" w:themeColor="text1"/>
          <w:spacing w:val="-1"/>
          <w:szCs w:val="24"/>
          <w14:textFill>
            <w14:solidFill>
              <w14:schemeClr w14:val="tx1"/>
            </w14:solidFill>
          </w14:textFill>
        </w:rPr>
        <w:t>具交货前检验记录，有关费用由卖方承担。卖方应免费为买方代表提供工作条件及便利，包括但不限于必要的办公场所、技术资料、检测工具及出入许可等。除专用合同条款另有约定外，</w:t>
      </w:r>
      <w:r>
        <w:rPr>
          <w:rFonts w:hint="eastAsia" w:ascii="宋体" w:hAnsi="宋体" w:eastAsia="宋体" w:cs="宋体"/>
          <w:b w:val="0"/>
          <w:bCs w:val="0"/>
          <w:color w:val="000000" w:themeColor="text1"/>
          <w:szCs w:val="24"/>
          <w14:textFill>
            <w14:solidFill>
              <w14:schemeClr w14:val="tx1"/>
            </w14:solidFill>
          </w14:textFill>
        </w:rPr>
        <w:t>买方代表的交通、食宿费用由买方承担。</w:t>
      </w:r>
    </w:p>
    <w:p w14:paraId="5595DE9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4.2.2 </w:t>
      </w:r>
      <w:r>
        <w:rPr>
          <w:rFonts w:hint="eastAsia" w:ascii="宋体" w:hAnsi="宋体" w:eastAsia="宋体" w:cs="宋体"/>
          <w:b w:val="0"/>
          <w:bCs w:val="0"/>
          <w:color w:val="000000" w:themeColor="text1"/>
          <w:spacing w:val="-4"/>
          <w:szCs w:val="24"/>
          <w14:textFill>
            <w14:solidFill>
              <w14:schemeClr w14:val="tx1"/>
            </w14:solidFill>
          </w14:textFill>
        </w:rPr>
        <w:t xml:space="preserve">除专用合同条款和（或）供货要求等合同文件另有约定外，卖方应提前 </w:t>
      </w:r>
      <w:r>
        <w:rPr>
          <w:rFonts w:hint="eastAsia" w:ascii="宋体" w:hAnsi="宋体" w:eastAsia="宋体" w:cs="宋体"/>
          <w:b w:val="0"/>
          <w:bCs w:val="0"/>
          <w:color w:val="000000" w:themeColor="text1"/>
          <w:szCs w:val="24"/>
          <w14:textFill>
            <w14:solidFill>
              <w14:schemeClr w14:val="tx1"/>
            </w14:solidFill>
          </w14:textFill>
        </w:rPr>
        <w:t>7 日将需要买</w:t>
      </w:r>
      <w:r>
        <w:rPr>
          <w:rFonts w:hint="eastAsia" w:ascii="宋体" w:hAnsi="宋体" w:eastAsia="宋体" w:cs="宋体"/>
          <w:b w:val="0"/>
          <w:bCs w:val="0"/>
          <w:color w:val="000000" w:themeColor="text1"/>
          <w:spacing w:val="-1"/>
          <w:szCs w:val="24"/>
          <w14:textFill>
            <w14:solidFill>
              <w14:schemeClr w14:val="tx1"/>
            </w14:solidFill>
          </w14:textFill>
        </w:rPr>
        <w:t>方代表检验事项通知买方；如买方代表未按通知出席，不影响合同设备的检验。若卖方未依照合同约定提前通知买方而自行检验，则买方有权要求卖方暂停发货并重新进行检验，由此增加</w:t>
      </w:r>
      <w:r>
        <w:rPr>
          <w:rFonts w:hint="eastAsia" w:ascii="宋体" w:hAnsi="宋体" w:eastAsia="宋体" w:cs="宋体"/>
          <w:b w:val="0"/>
          <w:bCs w:val="0"/>
          <w:color w:val="000000" w:themeColor="text1"/>
          <w:szCs w:val="24"/>
          <w14:textFill>
            <w14:solidFill>
              <w14:schemeClr w14:val="tx1"/>
            </w14:solidFill>
          </w14:textFill>
        </w:rPr>
        <w:t>的费用和（或）造成的延误由卖方负责。</w:t>
      </w:r>
    </w:p>
    <w:p w14:paraId="308373BC">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4.2.3 </w:t>
      </w:r>
      <w:r>
        <w:rPr>
          <w:rFonts w:hint="eastAsia" w:ascii="宋体" w:hAnsi="宋体" w:eastAsia="宋体" w:cs="宋体"/>
          <w:b w:val="0"/>
          <w:bCs w:val="0"/>
          <w:color w:val="000000" w:themeColor="text1"/>
          <w:spacing w:val="-4"/>
          <w:szCs w:val="24"/>
          <w14:textFill>
            <w14:solidFill>
              <w14:schemeClr w14:val="tx1"/>
            </w14:solidFill>
          </w14:textFill>
        </w:rPr>
        <w:t xml:space="preserve">买方代表在检验中如发现合同设备不符合合同约定的标准，则有权提出异议。卖方应 </w:t>
      </w:r>
      <w:r>
        <w:rPr>
          <w:rFonts w:hint="eastAsia" w:ascii="宋体" w:hAnsi="宋体" w:eastAsia="宋体" w:cs="宋体"/>
          <w:b w:val="0"/>
          <w:bCs w:val="0"/>
          <w:color w:val="000000" w:themeColor="text1"/>
          <w:szCs w:val="24"/>
          <w14:textFill>
            <w14:solidFill>
              <w14:schemeClr w14:val="tx1"/>
            </w14:solidFill>
          </w14:textFill>
        </w:rPr>
        <w:t>采取必要措施消除合同设备的不符，由此增加的费用和（或）造成的延误由卖方负责。</w:t>
      </w:r>
    </w:p>
    <w:p w14:paraId="789733DE">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4.2.4 </w:t>
      </w:r>
      <w:r>
        <w:rPr>
          <w:rFonts w:hint="eastAsia" w:ascii="宋体" w:hAnsi="宋体" w:eastAsia="宋体" w:cs="宋体"/>
          <w:b w:val="0"/>
          <w:bCs w:val="0"/>
          <w:color w:val="000000" w:themeColor="text1"/>
          <w:spacing w:val="-4"/>
          <w:szCs w:val="24"/>
          <w14:textFill>
            <w14:solidFill>
              <w14:schemeClr w14:val="tx1"/>
            </w14:solidFill>
          </w14:textFill>
        </w:rPr>
        <w:t>买方代表参与交货前检验及签署交货前检验记录的行为，不视为对合同设备质量的确</w:t>
      </w:r>
      <w:r>
        <w:rPr>
          <w:rFonts w:hint="eastAsia" w:ascii="宋体" w:hAnsi="宋体" w:eastAsia="宋体" w:cs="宋体"/>
          <w:b w:val="0"/>
          <w:bCs w:val="0"/>
          <w:color w:val="000000" w:themeColor="text1"/>
          <w:spacing w:val="-1"/>
          <w:szCs w:val="24"/>
          <w14:textFill>
            <w14:solidFill>
              <w14:schemeClr w14:val="tx1"/>
            </w14:solidFill>
          </w14:textFill>
        </w:rPr>
        <w:t>认，不影响卖方交货后买方依照合同约定对合同设备提出质量异议和（或）退货的权利，也不</w:t>
      </w:r>
      <w:r>
        <w:rPr>
          <w:rFonts w:hint="eastAsia" w:ascii="宋体" w:hAnsi="宋体" w:eastAsia="宋体" w:cs="宋体"/>
          <w:b w:val="0"/>
          <w:bCs w:val="0"/>
          <w:color w:val="000000" w:themeColor="text1"/>
          <w:szCs w:val="24"/>
          <w14:textFill>
            <w14:solidFill>
              <w14:schemeClr w14:val="tx1"/>
            </w14:solidFill>
          </w14:textFill>
        </w:rPr>
        <w:t>免除卖方依照合同约定对合同设备所应承担的任何义务或责任。</w:t>
      </w:r>
    </w:p>
    <w:p w14:paraId="40C33F0A">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bookmarkStart w:id="205" w:name="_bookmark121"/>
      <w:bookmarkEnd w:id="205"/>
      <w:r>
        <w:rPr>
          <w:rFonts w:hint="eastAsia" w:ascii="宋体" w:hAnsi="宋体" w:eastAsia="宋体" w:cs="宋体"/>
          <w:b w:val="0"/>
          <w:bCs w:val="0"/>
          <w:color w:val="000000" w:themeColor="text1"/>
          <w:sz w:val="24"/>
          <w:szCs w:val="24"/>
          <w14:textFill>
            <w14:solidFill>
              <w14:schemeClr w14:val="tx1"/>
            </w14:solidFill>
          </w14:textFill>
        </w:rPr>
        <w:t>5.包装、标记、运输和交付</w:t>
      </w:r>
    </w:p>
    <w:p w14:paraId="792331A4">
      <w:pPr>
        <w:pStyle w:val="91"/>
        <w:spacing w:line="50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bookmarkStart w:id="206" w:name="_bookmark122"/>
      <w:bookmarkEnd w:id="206"/>
      <w:r>
        <w:rPr>
          <w:rFonts w:hint="eastAsia" w:ascii="宋体" w:hAnsi="宋体" w:eastAsia="宋体" w:cs="宋体"/>
          <w:color w:val="000000" w:themeColor="text1"/>
          <w:sz w:val="24"/>
          <w:szCs w:val="24"/>
          <w14:textFill>
            <w14:solidFill>
              <w14:schemeClr w14:val="tx1"/>
            </w14:solidFill>
          </w14:textFill>
        </w:rPr>
        <w:t>5.1包装</w:t>
      </w:r>
    </w:p>
    <w:p w14:paraId="059DC94A">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5.1.1 </w:t>
      </w:r>
      <w:r>
        <w:rPr>
          <w:rFonts w:hint="eastAsia" w:ascii="宋体" w:hAnsi="宋体" w:eastAsia="宋体" w:cs="宋体"/>
          <w:b w:val="0"/>
          <w:bCs w:val="0"/>
          <w:color w:val="000000" w:themeColor="text1"/>
          <w:spacing w:val="-4"/>
          <w:szCs w:val="24"/>
          <w14:textFill>
            <w14:solidFill>
              <w14:schemeClr w14:val="tx1"/>
            </w14:solidFill>
          </w14:textFill>
        </w:rPr>
        <w:t>卖方应对合同设备进行妥善包装，以满足合同设备运至施工场地及在施工场地保管的</w:t>
      </w:r>
      <w:r>
        <w:rPr>
          <w:rFonts w:hint="eastAsia" w:ascii="宋体" w:hAnsi="宋体" w:eastAsia="宋体" w:cs="宋体"/>
          <w:b w:val="0"/>
          <w:bCs w:val="0"/>
          <w:color w:val="000000" w:themeColor="text1"/>
          <w:spacing w:val="-1"/>
          <w:szCs w:val="24"/>
          <w14:textFill>
            <w14:solidFill>
              <w14:schemeClr w14:val="tx1"/>
            </w14:solidFill>
          </w14:textFill>
        </w:rPr>
        <w:t>需要。包装应采取防潮、防晒、防锈、防腐蚀、防震动及防止其它损坏的必要保护措施，从而</w:t>
      </w:r>
      <w:r>
        <w:rPr>
          <w:rFonts w:hint="eastAsia" w:ascii="宋体" w:hAnsi="宋体" w:eastAsia="宋体" w:cs="宋体"/>
          <w:b w:val="0"/>
          <w:bCs w:val="0"/>
          <w:color w:val="000000" w:themeColor="text1"/>
          <w:szCs w:val="24"/>
          <w14:textFill>
            <w14:solidFill>
              <w14:schemeClr w14:val="tx1"/>
            </w14:solidFill>
          </w14:textFill>
        </w:rPr>
        <w:t>保护合同设备能够经受多次搬运、装卸、长途运输并适宜保管。</w:t>
      </w:r>
    </w:p>
    <w:p w14:paraId="70BA8742">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5.1.2 每个独立包装箱内应附装箱清单、质量合格证、装配图、说明书、操作指南等资料。</w:t>
      </w:r>
    </w:p>
    <w:p w14:paraId="5C2DDD7B">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5.1.3 除专用合同条款另有约定外，买方无需将包装物退还给卖方。</w:t>
      </w:r>
    </w:p>
    <w:p w14:paraId="03A410E0">
      <w:pPr>
        <w:pStyle w:val="91"/>
        <w:spacing w:line="50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bookmarkStart w:id="207" w:name="_bookmark123"/>
      <w:bookmarkEnd w:id="207"/>
      <w:r>
        <w:rPr>
          <w:rFonts w:hint="eastAsia" w:ascii="宋体" w:hAnsi="宋体" w:eastAsia="宋体" w:cs="宋体"/>
          <w:color w:val="000000" w:themeColor="text1"/>
          <w:sz w:val="24"/>
          <w:szCs w:val="24"/>
          <w14:textFill>
            <w14:solidFill>
              <w14:schemeClr w14:val="tx1"/>
            </w14:solidFill>
          </w14:textFill>
        </w:rPr>
        <w:t>5.2标记</w:t>
      </w:r>
    </w:p>
    <w:p w14:paraId="19B315B2">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5.2.1 </w:t>
      </w:r>
      <w:r>
        <w:rPr>
          <w:rFonts w:hint="eastAsia" w:ascii="宋体" w:hAnsi="宋体" w:eastAsia="宋体" w:cs="宋体"/>
          <w:b w:val="0"/>
          <w:bCs w:val="0"/>
          <w:color w:val="000000" w:themeColor="text1"/>
          <w:spacing w:val="-4"/>
          <w:szCs w:val="24"/>
          <w14:textFill>
            <w14:solidFill>
              <w14:schemeClr w14:val="tx1"/>
            </w14:solidFill>
          </w14:textFill>
        </w:rPr>
        <w:t>除专用合同条款另有约定外，卖方应在每一包装箱相邻的四个侧面以不可擦除的、明</w:t>
      </w:r>
      <w:r>
        <w:rPr>
          <w:rFonts w:hint="eastAsia" w:ascii="宋体" w:hAnsi="宋体" w:eastAsia="宋体" w:cs="宋体"/>
          <w:b w:val="0"/>
          <w:bCs w:val="0"/>
          <w:color w:val="000000" w:themeColor="text1"/>
          <w:szCs w:val="24"/>
          <w14:textFill>
            <w14:solidFill>
              <w14:schemeClr w14:val="tx1"/>
            </w14:solidFill>
          </w14:textFill>
        </w:rPr>
        <w:t>显的方式标记必要的装运信息和标记，以满足合同设备运输和保管的需要。</w:t>
      </w:r>
    </w:p>
    <w:p w14:paraId="0E65F2CD">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5.2.2 根据合同设备的特点和运输、保管的不同要求，卖方应在包装箱上清楚地标注</w:t>
      </w:r>
      <w:r>
        <w:rPr>
          <w:rFonts w:hint="eastAsia" w:ascii="宋体" w:hAnsi="宋体" w:eastAsia="宋体" w:cs="宋体"/>
          <w:b w:val="0"/>
          <w:bCs w:val="0"/>
          <w:i/>
          <w:color w:val="000000" w:themeColor="text1"/>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139B07C1">
      <w:pPr>
        <w:pStyle w:val="91"/>
        <w:spacing w:line="50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bookmarkStart w:id="208" w:name="_bookmark124"/>
      <w:bookmarkEnd w:id="208"/>
      <w:r>
        <w:rPr>
          <w:rFonts w:hint="eastAsia" w:ascii="宋体" w:hAnsi="宋体" w:eastAsia="宋体" w:cs="宋体"/>
          <w:color w:val="000000" w:themeColor="text1"/>
          <w:sz w:val="24"/>
          <w:szCs w:val="24"/>
          <w14:textFill>
            <w14:solidFill>
              <w14:schemeClr w14:val="tx1"/>
            </w14:solidFill>
          </w14:textFill>
        </w:rPr>
        <w:t>5.3 运输</w:t>
      </w:r>
    </w:p>
    <w:p w14:paraId="2F3E8DC9">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5.3.1 卖方应自行选择适宜的运输工具及线路安排合同设备运输。</w:t>
      </w:r>
    </w:p>
    <w:p w14:paraId="60DD4DBA">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5.3.2 </w:t>
      </w:r>
      <w:r>
        <w:rPr>
          <w:rFonts w:hint="eastAsia" w:ascii="宋体" w:hAnsi="宋体" w:eastAsia="宋体" w:cs="宋体"/>
          <w:b w:val="0"/>
          <w:bCs w:val="0"/>
          <w:color w:val="000000" w:themeColor="text1"/>
          <w:spacing w:val="-4"/>
          <w:szCs w:val="24"/>
          <w14:textFill>
            <w14:solidFill>
              <w14:schemeClr w14:val="tx1"/>
            </w14:solidFill>
          </w14:textFill>
        </w:rPr>
        <w:t>除专用合同条款另有约定外，每件能够独立运行的设备应整套装运。该设备安装、调</w:t>
      </w:r>
      <w:r>
        <w:rPr>
          <w:rFonts w:hint="eastAsia" w:ascii="宋体" w:hAnsi="宋体" w:eastAsia="宋体" w:cs="宋体"/>
          <w:b w:val="0"/>
          <w:bCs w:val="0"/>
          <w:color w:val="000000" w:themeColor="text1"/>
          <w:szCs w:val="24"/>
          <w14:textFill>
            <w14:solidFill>
              <w14:schemeClr w14:val="tx1"/>
            </w14:solidFill>
          </w14:textFill>
        </w:rPr>
        <w:t>试、考核和运行所使用的备品、备件、易损易耗件等应随相关的主机一齐装运。</w:t>
      </w:r>
    </w:p>
    <w:p w14:paraId="3F94DB33">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5.3.3 除专用合同条款另有约定外，卖方应在合同设备预计启运 7 日前，将合同设备名称、数量</w:t>
      </w:r>
      <w:r>
        <w:rPr>
          <w:rFonts w:hint="eastAsia" w:ascii="宋体" w:hAnsi="宋体" w:eastAsia="宋体" w:cs="宋体"/>
          <w:b w:val="0"/>
          <w:bCs w:val="0"/>
          <w:color w:val="000000" w:themeColor="text1"/>
          <w:spacing w:val="-3"/>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箱</w:t>
      </w:r>
      <w:r>
        <w:rPr>
          <w:rFonts w:hint="eastAsia" w:ascii="宋体" w:hAnsi="宋体" w:eastAsia="宋体" w:cs="宋体"/>
          <w:b w:val="0"/>
          <w:bCs w:val="0"/>
          <w:color w:val="000000" w:themeColor="text1"/>
          <w:spacing w:val="-3"/>
          <w:szCs w:val="24"/>
          <w14:textFill>
            <w14:solidFill>
              <w14:schemeClr w14:val="tx1"/>
            </w14:solidFill>
          </w14:textFill>
        </w:rPr>
        <w:t>数</w:t>
      </w:r>
      <w:r>
        <w:rPr>
          <w:rFonts w:hint="eastAsia" w:ascii="宋体" w:hAnsi="宋体" w:eastAsia="宋体" w:cs="宋体"/>
          <w:b w:val="0"/>
          <w:bCs w:val="0"/>
          <w:color w:val="000000" w:themeColor="text1"/>
          <w:szCs w:val="24"/>
          <w14:textFill>
            <w14:solidFill>
              <w14:schemeClr w14:val="tx1"/>
            </w14:solidFill>
          </w14:textFill>
        </w:rPr>
        <w:t>、</w:t>
      </w:r>
      <w:r>
        <w:rPr>
          <w:rFonts w:hint="eastAsia" w:ascii="宋体" w:hAnsi="宋体" w:eastAsia="宋体" w:cs="宋体"/>
          <w:b w:val="0"/>
          <w:bCs w:val="0"/>
          <w:color w:val="000000" w:themeColor="text1"/>
          <w:spacing w:val="-3"/>
          <w:szCs w:val="24"/>
          <w14:textFill>
            <w14:solidFill>
              <w14:schemeClr w14:val="tx1"/>
            </w14:solidFill>
          </w14:textFill>
        </w:rPr>
        <w:t>总</w:t>
      </w:r>
      <w:r>
        <w:rPr>
          <w:rFonts w:hint="eastAsia" w:ascii="宋体" w:hAnsi="宋体" w:eastAsia="宋体" w:cs="宋体"/>
          <w:b w:val="0"/>
          <w:bCs w:val="0"/>
          <w:color w:val="000000" w:themeColor="text1"/>
          <w:szCs w:val="24"/>
          <w14:textFill>
            <w14:solidFill>
              <w14:schemeClr w14:val="tx1"/>
            </w14:solidFill>
          </w14:textFill>
        </w:rPr>
        <w:t>毛重</w:t>
      </w:r>
      <w:r>
        <w:rPr>
          <w:rFonts w:hint="eastAsia" w:ascii="宋体" w:hAnsi="宋体" w:eastAsia="宋体" w:cs="宋体"/>
          <w:b w:val="0"/>
          <w:bCs w:val="0"/>
          <w:color w:val="000000" w:themeColor="text1"/>
          <w:spacing w:val="-3"/>
          <w:szCs w:val="24"/>
          <w14:textFill>
            <w14:solidFill>
              <w14:schemeClr w14:val="tx1"/>
            </w14:solidFill>
          </w14:textFill>
        </w:rPr>
        <w:t>、总</w:t>
      </w:r>
      <w:r>
        <w:rPr>
          <w:rFonts w:hint="eastAsia" w:ascii="宋体" w:hAnsi="宋体" w:eastAsia="宋体" w:cs="宋体"/>
          <w:b w:val="0"/>
          <w:bCs w:val="0"/>
          <w:color w:val="000000" w:themeColor="text1"/>
          <w:szCs w:val="24"/>
          <w14:textFill>
            <w14:solidFill>
              <w14:schemeClr w14:val="tx1"/>
            </w14:solidFill>
          </w14:textFill>
        </w:rPr>
        <w:t>体积</w:t>
      </w:r>
      <w:r>
        <w:rPr>
          <w:rFonts w:hint="eastAsia" w:ascii="宋体" w:hAnsi="宋体" w:eastAsia="宋体" w:cs="宋体"/>
          <w:b w:val="0"/>
          <w:bCs w:val="0"/>
          <w:color w:val="000000" w:themeColor="text1"/>
          <w:spacing w:val="-3"/>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 xml:space="preserve">用 </w:t>
      </w:r>
      <w:r>
        <w:rPr>
          <w:rFonts w:hint="eastAsia" w:ascii="宋体" w:hAnsi="宋体" w:eastAsia="宋体" w:cs="宋体"/>
          <w:b w:val="0"/>
          <w:bCs w:val="0"/>
          <w:color w:val="000000" w:themeColor="text1"/>
          <w:spacing w:val="-4"/>
          <w:szCs w:val="24"/>
          <w14:textFill>
            <w14:solidFill>
              <w14:schemeClr w14:val="tx1"/>
            </w14:solidFill>
          </w14:textFill>
        </w:rPr>
        <w:t>m</w:t>
      </w:r>
      <w:r>
        <w:rPr>
          <w:rFonts w:hint="eastAsia" w:ascii="宋体" w:hAnsi="宋体" w:eastAsia="宋体" w:cs="宋体"/>
          <w:b w:val="0"/>
          <w:bCs w:val="0"/>
          <w:color w:val="000000" w:themeColor="text1"/>
          <w:position w:val="6"/>
          <w:szCs w:val="24"/>
          <w14:textFill>
            <w14:solidFill>
              <w14:schemeClr w14:val="tx1"/>
            </w14:solidFill>
          </w14:textFill>
        </w:rPr>
        <w:t xml:space="preserve">3  </w:t>
      </w:r>
      <w:r>
        <w:rPr>
          <w:rFonts w:hint="eastAsia" w:ascii="宋体" w:hAnsi="宋体" w:eastAsia="宋体" w:cs="宋体"/>
          <w:b w:val="0"/>
          <w:bCs w:val="0"/>
          <w:color w:val="000000" w:themeColor="text1"/>
          <w:szCs w:val="24"/>
          <w14:textFill>
            <w14:solidFill>
              <w14:schemeClr w14:val="tx1"/>
            </w14:solidFill>
          </w14:textFill>
        </w:rPr>
        <w:t>表示</w:t>
      </w:r>
      <w:r>
        <w:rPr>
          <w:rFonts w:hint="eastAsia" w:ascii="宋体" w:hAnsi="宋体" w:eastAsia="宋体" w:cs="宋体"/>
          <w:b w:val="0"/>
          <w:bCs w:val="0"/>
          <w:color w:val="000000" w:themeColor="text1"/>
          <w:spacing w:val="-108"/>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w:t>
      </w:r>
      <w:r>
        <w:rPr>
          <w:rFonts w:hint="eastAsia" w:ascii="宋体" w:hAnsi="宋体" w:eastAsia="宋体" w:cs="宋体"/>
          <w:b w:val="0"/>
          <w:bCs w:val="0"/>
          <w:color w:val="000000" w:themeColor="text1"/>
          <w:spacing w:val="-3"/>
          <w:szCs w:val="24"/>
          <w14:textFill>
            <w14:solidFill>
              <w14:schemeClr w14:val="tx1"/>
            </w14:solidFill>
          </w14:textFill>
        </w:rPr>
        <w:t>每箱</w:t>
      </w:r>
      <w:r>
        <w:rPr>
          <w:rFonts w:hint="eastAsia" w:ascii="宋体" w:hAnsi="宋体" w:eastAsia="宋体" w:cs="宋体"/>
          <w:b w:val="0"/>
          <w:bCs w:val="0"/>
          <w:color w:val="000000" w:themeColor="text1"/>
          <w:szCs w:val="24"/>
          <w14:textFill>
            <w14:solidFill>
              <w14:schemeClr w14:val="tx1"/>
            </w14:solidFill>
          </w14:textFill>
        </w:rPr>
        <w:t>尺寸</w:t>
      </w:r>
      <w:r>
        <w:rPr>
          <w:rFonts w:hint="eastAsia" w:ascii="宋体" w:hAnsi="宋体" w:eastAsia="宋体" w:cs="宋体"/>
          <w:b w:val="0"/>
          <w:bCs w:val="0"/>
          <w:color w:val="000000" w:themeColor="text1"/>
          <w:spacing w:val="-3"/>
          <w:szCs w:val="24"/>
          <w14:textFill>
            <w14:solidFill>
              <w14:schemeClr w14:val="tx1"/>
            </w14:solidFill>
          </w14:textFill>
        </w:rPr>
        <w:t>（</w:t>
      </w:r>
      <w:r>
        <w:rPr>
          <w:rFonts w:hint="eastAsia" w:ascii="宋体" w:hAnsi="宋体" w:eastAsia="宋体" w:cs="宋体"/>
          <w:b w:val="0"/>
          <w:bCs w:val="0"/>
          <w:color w:val="000000" w:themeColor="text1"/>
          <w:spacing w:val="2"/>
          <w:szCs w:val="24"/>
          <w14:textFill>
            <w14:solidFill>
              <w14:schemeClr w14:val="tx1"/>
            </w14:solidFill>
          </w14:textFill>
        </w:rPr>
        <w:t>长</w:t>
      </w:r>
      <w:r>
        <w:rPr>
          <w:rFonts w:hint="eastAsia" w:ascii="宋体" w:hAnsi="宋体" w:eastAsia="宋体" w:cs="宋体"/>
          <w:b w:val="0"/>
          <w:bCs w:val="0"/>
          <w:color w:val="000000" w:themeColor="text1"/>
          <w:spacing w:val="-4"/>
          <w:szCs w:val="24"/>
          <w14:textFill>
            <w14:solidFill>
              <w14:schemeClr w14:val="tx1"/>
            </w14:solidFill>
          </w14:textFill>
        </w:rPr>
        <w:t>×</w:t>
      </w:r>
      <w:r>
        <w:rPr>
          <w:rFonts w:hint="eastAsia" w:ascii="宋体" w:hAnsi="宋体" w:eastAsia="宋体" w:cs="宋体"/>
          <w:b w:val="0"/>
          <w:bCs w:val="0"/>
          <w:color w:val="000000" w:themeColor="text1"/>
          <w:spacing w:val="2"/>
          <w:szCs w:val="24"/>
          <w14:textFill>
            <w14:solidFill>
              <w14:schemeClr w14:val="tx1"/>
            </w14:solidFill>
          </w14:textFill>
        </w:rPr>
        <w:t>宽</w:t>
      </w:r>
      <w:r>
        <w:rPr>
          <w:rFonts w:hint="eastAsia" w:ascii="宋体" w:hAnsi="宋体" w:eastAsia="宋体" w:cs="宋体"/>
          <w:b w:val="0"/>
          <w:bCs w:val="0"/>
          <w:color w:val="000000" w:themeColor="text1"/>
          <w:spacing w:val="-4"/>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高</w:t>
      </w:r>
      <w:r>
        <w:rPr>
          <w:rFonts w:hint="eastAsia" w:ascii="宋体" w:hAnsi="宋体" w:eastAsia="宋体" w:cs="宋体"/>
          <w:b w:val="0"/>
          <w:bCs w:val="0"/>
          <w:color w:val="000000" w:themeColor="text1"/>
          <w:spacing w:val="-108"/>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、装</w:t>
      </w:r>
      <w:r>
        <w:rPr>
          <w:rFonts w:hint="eastAsia" w:ascii="宋体" w:hAnsi="宋体" w:eastAsia="宋体" w:cs="宋体"/>
          <w:b w:val="0"/>
          <w:bCs w:val="0"/>
          <w:color w:val="000000" w:themeColor="text1"/>
          <w:spacing w:val="-3"/>
          <w:szCs w:val="24"/>
          <w14:textFill>
            <w14:solidFill>
              <w14:schemeClr w14:val="tx1"/>
            </w14:solidFill>
          </w14:textFill>
        </w:rPr>
        <w:t>运合</w:t>
      </w:r>
      <w:r>
        <w:rPr>
          <w:rFonts w:hint="eastAsia" w:ascii="宋体" w:hAnsi="宋体" w:eastAsia="宋体" w:cs="宋体"/>
          <w:b w:val="0"/>
          <w:bCs w:val="0"/>
          <w:color w:val="000000" w:themeColor="text1"/>
          <w:szCs w:val="24"/>
          <w14:textFill>
            <w14:solidFill>
              <w14:schemeClr w14:val="tx1"/>
            </w14:solidFill>
          </w14:textFill>
        </w:rPr>
        <w:t>同设</w:t>
      </w:r>
      <w:r>
        <w:rPr>
          <w:rFonts w:hint="eastAsia" w:ascii="宋体" w:hAnsi="宋体" w:eastAsia="宋体" w:cs="宋体"/>
          <w:b w:val="0"/>
          <w:bCs w:val="0"/>
          <w:color w:val="000000" w:themeColor="text1"/>
          <w:spacing w:val="-3"/>
          <w:szCs w:val="24"/>
          <w14:textFill>
            <w14:solidFill>
              <w14:schemeClr w14:val="tx1"/>
            </w14:solidFill>
          </w14:textFill>
        </w:rPr>
        <w:t>备</w:t>
      </w:r>
      <w:r>
        <w:rPr>
          <w:rFonts w:hint="eastAsia" w:ascii="宋体" w:hAnsi="宋体" w:eastAsia="宋体" w:cs="宋体"/>
          <w:b w:val="0"/>
          <w:bCs w:val="0"/>
          <w:color w:val="000000" w:themeColor="text1"/>
          <w:szCs w:val="24"/>
          <w14:textFill>
            <w14:solidFill>
              <w14:schemeClr w14:val="tx1"/>
            </w14:solidFill>
          </w14:textFill>
        </w:rPr>
        <w:t>总</w:t>
      </w:r>
      <w:r>
        <w:rPr>
          <w:rFonts w:hint="eastAsia" w:ascii="宋体" w:hAnsi="宋体" w:eastAsia="宋体" w:cs="宋体"/>
          <w:b w:val="0"/>
          <w:bCs w:val="0"/>
          <w:color w:val="000000" w:themeColor="text1"/>
          <w:spacing w:val="-3"/>
          <w:szCs w:val="24"/>
          <w14:textFill>
            <w14:solidFill>
              <w14:schemeClr w14:val="tx1"/>
            </w14:solidFill>
          </w14:textFill>
        </w:rPr>
        <w:t>金</w:t>
      </w:r>
      <w:r>
        <w:rPr>
          <w:rFonts w:hint="eastAsia" w:ascii="宋体" w:hAnsi="宋体" w:eastAsia="宋体" w:cs="宋体"/>
          <w:b w:val="0"/>
          <w:bCs w:val="0"/>
          <w:color w:val="000000" w:themeColor="text1"/>
          <w:szCs w:val="24"/>
          <w14:textFill>
            <w14:solidFill>
              <w14:schemeClr w14:val="tx1"/>
            </w14:solidFill>
          </w14:textFill>
        </w:rPr>
        <w:t>额、运输方式、预计交付日期和合同设备在运输、装卸、保管中的注意事项等预通知买方，并在合 同设备启运后24 小时之内正式通知买方。</w:t>
      </w:r>
    </w:p>
    <w:p w14:paraId="7C477D66">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586F1497">
      <w:pPr>
        <w:pStyle w:val="91"/>
        <w:spacing w:line="500" w:lineRule="exact"/>
        <w:ind w:left="0" w:right="0" w:firstLine="480" w:firstLineChars="200"/>
        <w:rPr>
          <w:rFonts w:hint="eastAsia" w:ascii="宋体" w:hAnsi="宋体" w:eastAsia="宋体" w:cs="宋体"/>
          <w:color w:val="000000" w:themeColor="text1"/>
          <w:sz w:val="24"/>
          <w:szCs w:val="24"/>
          <w14:textFill>
            <w14:solidFill>
              <w14:schemeClr w14:val="tx1"/>
            </w14:solidFill>
          </w14:textFill>
        </w:rPr>
      </w:pPr>
      <w:bookmarkStart w:id="209" w:name="_bookmark125"/>
      <w:bookmarkEnd w:id="209"/>
      <w:r>
        <w:rPr>
          <w:rFonts w:hint="eastAsia" w:ascii="宋体" w:hAnsi="宋体" w:eastAsia="宋体" w:cs="宋体"/>
          <w:color w:val="000000" w:themeColor="text1"/>
          <w:sz w:val="24"/>
          <w:szCs w:val="24"/>
          <w14:textFill>
            <w14:solidFill>
              <w14:schemeClr w14:val="tx1"/>
            </w14:solidFill>
          </w14:textFill>
        </w:rPr>
        <w:t>5.4交付</w:t>
      </w:r>
    </w:p>
    <w:p w14:paraId="65B670DF">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5.4.1 </w:t>
      </w:r>
      <w:r>
        <w:rPr>
          <w:rFonts w:hint="eastAsia" w:ascii="宋体" w:hAnsi="宋体" w:eastAsia="宋体" w:cs="宋体"/>
          <w:b w:val="0"/>
          <w:bCs w:val="0"/>
          <w:color w:val="000000" w:themeColor="text1"/>
          <w:spacing w:val="-4"/>
          <w:szCs w:val="24"/>
          <w14:textFill>
            <w14:solidFill>
              <w14:schemeClr w14:val="tx1"/>
            </w14:solidFill>
          </w14:textFill>
        </w:rPr>
        <w:t xml:space="preserve">除专用合同条款另有约定外，卖方应根据合同约定的交付时间和批次在施工场地车面 </w:t>
      </w:r>
      <w:r>
        <w:rPr>
          <w:rFonts w:hint="eastAsia" w:ascii="宋体" w:hAnsi="宋体" w:eastAsia="宋体" w:cs="宋体"/>
          <w:b w:val="0"/>
          <w:bCs w:val="0"/>
          <w:color w:val="000000" w:themeColor="text1"/>
          <w:spacing w:val="-1"/>
          <w:szCs w:val="24"/>
          <w14:textFill>
            <w14:solidFill>
              <w14:schemeClr w14:val="tx1"/>
            </w14:solidFill>
          </w14:textFill>
        </w:rPr>
        <w:t xml:space="preserve">上将合同设备交付给买方。买方对卖方交付的包装的合同设备的外观及件数进行清点核验后应 签发收货清单，并自负风险和费用进行卸货。买方签发收货清单不代表对合同设备的接受，双 </w:t>
      </w:r>
      <w:r>
        <w:rPr>
          <w:rFonts w:hint="eastAsia" w:ascii="宋体" w:hAnsi="宋体" w:eastAsia="宋体" w:cs="宋体"/>
          <w:b w:val="0"/>
          <w:bCs w:val="0"/>
          <w:color w:val="000000" w:themeColor="text1"/>
          <w:szCs w:val="24"/>
          <w14:textFill>
            <w14:solidFill>
              <w14:schemeClr w14:val="tx1"/>
            </w14:solidFill>
          </w14:textFill>
        </w:rPr>
        <w:t>方还应按合同约定进行后续的检验和验收。</w:t>
      </w:r>
    </w:p>
    <w:p w14:paraId="7D2B5C8A">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5.4.2</w:t>
      </w:r>
      <w:r>
        <w:rPr>
          <w:rFonts w:hint="eastAsia" w:ascii="宋体" w:hAnsi="宋体" w:eastAsia="宋体" w:cs="宋体"/>
          <w:b w:val="0"/>
          <w:bCs w:val="0"/>
          <w:color w:val="000000" w:themeColor="text1"/>
          <w:spacing w:val="-4"/>
          <w:szCs w:val="24"/>
          <w14:textFill>
            <w14:solidFill>
              <w14:schemeClr w14:val="tx1"/>
            </w14:solidFill>
          </w14:textFill>
        </w:rPr>
        <w:t xml:space="preserve">合同设备的所有权和风险自交付时起由卖方转移至买方，合同设备交付给买方之前包 </w:t>
      </w:r>
      <w:r>
        <w:rPr>
          <w:rFonts w:hint="eastAsia" w:ascii="宋体" w:hAnsi="宋体" w:eastAsia="宋体" w:cs="宋体"/>
          <w:b w:val="0"/>
          <w:bCs w:val="0"/>
          <w:color w:val="000000" w:themeColor="text1"/>
          <w:szCs w:val="24"/>
          <w14:textFill>
            <w14:solidFill>
              <w14:schemeClr w14:val="tx1"/>
            </w14:solidFill>
          </w14:textFill>
        </w:rPr>
        <w:t>括运输在内的所有风险均由卖方承担。</w:t>
      </w:r>
    </w:p>
    <w:p w14:paraId="1B98BCF7">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5.4.3除专用合同条款另有约定外，买方如果发现技术资料存在短缺和（或）损坏，卖方应在收到买方的通知后 7 日内免费补齐短缺和（或）损坏的部分。如果买方发现卖方提供的技术</w:t>
      </w:r>
    </w:p>
    <w:p w14:paraId="42D96BA8">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资料</w:t>
      </w:r>
      <w:r>
        <w:rPr>
          <w:rFonts w:hint="eastAsia" w:ascii="宋体" w:hAnsi="宋体" w:eastAsia="宋体" w:cs="宋体"/>
          <w:b w:val="0"/>
          <w:bCs w:val="0"/>
          <w:color w:val="000000" w:themeColor="text1"/>
          <w:spacing w:val="-3"/>
          <w:szCs w:val="24"/>
          <w14:textFill>
            <w14:solidFill>
              <w14:schemeClr w14:val="tx1"/>
            </w14:solidFill>
          </w14:textFill>
        </w:rPr>
        <w:t>有</w:t>
      </w:r>
      <w:r>
        <w:rPr>
          <w:rFonts w:hint="eastAsia" w:ascii="宋体" w:hAnsi="宋体" w:eastAsia="宋体" w:cs="宋体"/>
          <w:b w:val="0"/>
          <w:bCs w:val="0"/>
          <w:color w:val="000000" w:themeColor="text1"/>
          <w:szCs w:val="24"/>
          <w14:textFill>
            <w14:solidFill>
              <w14:schemeClr w14:val="tx1"/>
            </w14:solidFill>
          </w14:textFill>
        </w:rPr>
        <w:t>误</w:t>
      </w:r>
      <w:r>
        <w:rPr>
          <w:rFonts w:hint="eastAsia" w:ascii="宋体" w:hAnsi="宋体" w:eastAsia="宋体" w:cs="宋体"/>
          <w:b w:val="0"/>
          <w:bCs w:val="0"/>
          <w:color w:val="000000" w:themeColor="text1"/>
          <w:spacing w:val="-99"/>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卖</w:t>
      </w:r>
      <w:r>
        <w:rPr>
          <w:rFonts w:hint="eastAsia" w:ascii="宋体" w:hAnsi="宋体" w:eastAsia="宋体" w:cs="宋体"/>
          <w:b w:val="0"/>
          <w:bCs w:val="0"/>
          <w:color w:val="000000" w:themeColor="text1"/>
          <w:spacing w:val="-3"/>
          <w:szCs w:val="24"/>
          <w14:textFill>
            <w14:solidFill>
              <w14:schemeClr w14:val="tx1"/>
            </w14:solidFill>
          </w14:textFill>
        </w:rPr>
        <w:t>方</w:t>
      </w:r>
      <w:r>
        <w:rPr>
          <w:rFonts w:hint="eastAsia" w:ascii="宋体" w:hAnsi="宋体" w:eastAsia="宋体" w:cs="宋体"/>
          <w:b w:val="0"/>
          <w:bCs w:val="0"/>
          <w:color w:val="000000" w:themeColor="text1"/>
          <w:szCs w:val="24"/>
          <w14:textFill>
            <w14:solidFill>
              <w14:schemeClr w14:val="tx1"/>
            </w14:solidFill>
          </w14:textFill>
        </w:rPr>
        <w:t>应</w:t>
      </w:r>
      <w:r>
        <w:rPr>
          <w:rFonts w:hint="eastAsia" w:ascii="宋体" w:hAnsi="宋体" w:eastAsia="宋体" w:cs="宋体"/>
          <w:b w:val="0"/>
          <w:bCs w:val="0"/>
          <w:color w:val="000000" w:themeColor="text1"/>
          <w:spacing w:val="-3"/>
          <w:szCs w:val="24"/>
          <w14:textFill>
            <w14:solidFill>
              <w14:schemeClr w14:val="tx1"/>
            </w14:solidFill>
          </w14:textFill>
        </w:rPr>
        <w:t>在</w:t>
      </w:r>
      <w:r>
        <w:rPr>
          <w:rFonts w:hint="eastAsia" w:ascii="宋体" w:hAnsi="宋体" w:eastAsia="宋体" w:cs="宋体"/>
          <w:b w:val="0"/>
          <w:bCs w:val="0"/>
          <w:color w:val="000000" w:themeColor="text1"/>
          <w:szCs w:val="24"/>
          <w14:textFill>
            <w14:solidFill>
              <w14:schemeClr w14:val="tx1"/>
            </w14:solidFill>
          </w14:textFill>
        </w:rPr>
        <w:t>收</w:t>
      </w:r>
      <w:r>
        <w:rPr>
          <w:rFonts w:hint="eastAsia" w:ascii="宋体" w:hAnsi="宋体" w:eastAsia="宋体" w:cs="宋体"/>
          <w:b w:val="0"/>
          <w:bCs w:val="0"/>
          <w:color w:val="000000" w:themeColor="text1"/>
          <w:spacing w:val="-3"/>
          <w:szCs w:val="24"/>
          <w14:textFill>
            <w14:solidFill>
              <w14:schemeClr w14:val="tx1"/>
            </w14:solidFill>
          </w14:textFill>
        </w:rPr>
        <w:t>到买</w:t>
      </w:r>
      <w:r>
        <w:rPr>
          <w:rFonts w:hint="eastAsia" w:ascii="宋体" w:hAnsi="宋体" w:eastAsia="宋体" w:cs="宋体"/>
          <w:b w:val="0"/>
          <w:bCs w:val="0"/>
          <w:color w:val="000000" w:themeColor="text1"/>
          <w:szCs w:val="24"/>
          <w14:textFill>
            <w14:solidFill>
              <w14:schemeClr w14:val="tx1"/>
            </w14:solidFill>
          </w14:textFill>
        </w:rPr>
        <w:t>方通</w:t>
      </w:r>
      <w:r>
        <w:rPr>
          <w:rFonts w:hint="eastAsia" w:ascii="宋体" w:hAnsi="宋体" w:eastAsia="宋体" w:cs="宋体"/>
          <w:b w:val="0"/>
          <w:bCs w:val="0"/>
          <w:color w:val="000000" w:themeColor="text1"/>
          <w:spacing w:val="-3"/>
          <w:szCs w:val="24"/>
          <w14:textFill>
            <w14:solidFill>
              <w14:schemeClr w14:val="tx1"/>
            </w14:solidFill>
          </w14:textFill>
        </w:rPr>
        <w:t>知</w:t>
      </w:r>
      <w:r>
        <w:rPr>
          <w:rFonts w:hint="eastAsia" w:ascii="宋体" w:hAnsi="宋体" w:eastAsia="宋体" w:cs="宋体"/>
          <w:b w:val="0"/>
          <w:bCs w:val="0"/>
          <w:color w:val="000000" w:themeColor="text1"/>
          <w:szCs w:val="24"/>
          <w14:textFill>
            <w14:solidFill>
              <w14:schemeClr w14:val="tx1"/>
            </w14:solidFill>
          </w14:textFill>
        </w:rPr>
        <w:t>后7日</w:t>
      </w:r>
      <w:r>
        <w:rPr>
          <w:rFonts w:hint="eastAsia" w:ascii="宋体" w:hAnsi="宋体" w:eastAsia="宋体" w:cs="宋体"/>
          <w:b w:val="0"/>
          <w:bCs w:val="0"/>
          <w:color w:val="000000" w:themeColor="text1"/>
          <w:spacing w:val="-3"/>
          <w:szCs w:val="24"/>
          <w14:textFill>
            <w14:solidFill>
              <w14:schemeClr w14:val="tx1"/>
            </w14:solidFill>
          </w14:textFill>
        </w:rPr>
        <w:t>内</w:t>
      </w:r>
      <w:r>
        <w:rPr>
          <w:rFonts w:hint="eastAsia" w:ascii="宋体" w:hAnsi="宋体" w:eastAsia="宋体" w:cs="宋体"/>
          <w:b w:val="0"/>
          <w:bCs w:val="0"/>
          <w:color w:val="000000" w:themeColor="text1"/>
          <w:szCs w:val="24"/>
          <w14:textFill>
            <w14:solidFill>
              <w14:schemeClr w14:val="tx1"/>
            </w14:solidFill>
          </w14:textFill>
        </w:rPr>
        <w:t>免</w:t>
      </w:r>
      <w:r>
        <w:rPr>
          <w:rFonts w:hint="eastAsia" w:ascii="宋体" w:hAnsi="宋体" w:eastAsia="宋体" w:cs="宋体"/>
          <w:b w:val="0"/>
          <w:bCs w:val="0"/>
          <w:color w:val="000000" w:themeColor="text1"/>
          <w:spacing w:val="-3"/>
          <w:szCs w:val="24"/>
          <w14:textFill>
            <w14:solidFill>
              <w14:schemeClr w14:val="tx1"/>
            </w14:solidFill>
          </w14:textFill>
        </w:rPr>
        <w:t>费</w:t>
      </w:r>
      <w:r>
        <w:rPr>
          <w:rFonts w:hint="eastAsia" w:ascii="宋体" w:hAnsi="宋体" w:eastAsia="宋体" w:cs="宋体"/>
          <w:b w:val="0"/>
          <w:bCs w:val="0"/>
          <w:color w:val="000000" w:themeColor="text1"/>
          <w:szCs w:val="24"/>
          <w14:textFill>
            <w14:solidFill>
              <w14:schemeClr w14:val="tx1"/>
            </w14:solidFill>
          </w14:textFill>
        </w:rPr>
        <w:t>替</w:t>
      </w:r>
      <w:r>
        <w:rPr>
          <w:rFonts w:hint="eastAsia" w:ascii="宋体" w:hAnsi="宋体" w:eastAsia="宋体" w:cs="宋体"/>
          <w:b w:val="0"/>
          <w:bCs w:val="0"/>
          <w:color w:val="000000" w:themeColor="text1"/>
          <w:spacing w:val="-3"/>
          <w:szCs w:val="24"/>
          <w14:textFill>
            <w14:solidFill>
              <w14:schemeClr w14:val="tx1"/>
            </w14:solidFill>
          </w14:textFill>
        </w:rPr>
        <w:t>换</w:t>
      </w:r>
      <w:r>
        <w:rPr>
          <w:rFonts w:hint="eastAsia" w:ascii="宋体" w:hAnsi="宋体" w:eastAsia="宋体" w:cs="宋体"/>
          <w:b w:val="0"/>
          <w:bCs w:val="0"/>
          <w:color w:val="000000" w:themeColor="text1"/>
          <w:spacing w:val="-99"/>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如由</w:t>
      </w:r>
      <w:r>
        <w:rPr>
          <w:rFonts w:hint="eastAsia" w:ascii="宋体" w:hAnsi="宋体" w:eastAsia="宋体" w:cs="宋体"/>
          <w:b w:val="0"/>
          <w:bCs w:val="0"/>
          <w:color w:val="000000" w:themeColor="text1"/>
          <w:spacing w:val="-3"/>
          <w:szCs w:val="24"/>
          <w14:textFill>
            <w14:solidFill>
              <w14:schemeClr w14:val="tx1"/>
            </w14:solidFill>
          </w14:textFill>
        </w:rPr>
        <w:t>于</w:t>
      </w:r>
      <w:r>
        <w:rPr>
          <w:rFonts w:hint="eastAsia" w:ascii="宋体" w:hAnsi="宋体" w:eastAsia="宋体" w:cs="宋体"/>
          <w:b w:val="0"/>
          <w:bCs w:val="0"/>
          <w:color w:val="000000" w:themeColor="text1"/>
          <w:szCs w:val="24"/>
          <w14:textFill>
            <w14:solidFill>
              <w14:schemeClr w14:val="tx1"/>
            </w14:solidFill>
          </w14:textFill>
        </w:rPr>
        <w:t>买</w:t>
      </w:r>
      <w:r>
        <w:rPr>
          <w:rFonts w:hint="eastAsia" w:ascii="宋体" w:hAnsi="宋体" w:eastAsia="宋体" w:cs="宋体"/>
          <w:b w:val="0"/>
          <w:bCs w:val="0"/>
          <w:color w:val="000000" w:themeColor="text1"/>
          <w:spacing w:val="-3"/>
          <w:szCs w:val="24"/>
          <w14:textFill>
            <w14:solidFill>
              <w14:schemeClr w14:val="tx1"/>
            </w14:solidFill>
          </w14:textFill>
        </w:rPr>
        <w:t>方</w:t>
      </w:r>
      <w:r>
        <w:rPr>
          <w:rFonts w:hint="eastAsia" w:ascii="宋体" w:hAnsi="宋体" w:eastAsia="宋体" w:cs="宋体"/>
          <w:b w:val="0"/>
          <w:bCs w:val="0"/>
          <w:color w:val="000000" w:themeColor="text1"/>
          <w:szCs w:val="24"/>
          <w14:textFill>
            <w14:solidFill>
              <w14:schemeClr w14:val="tx1"/>
            </w14:solidFill>
          </w14:textFill>
        </w:rPr>
        <w:t>原</w:t>
      </w:r>
      <w:r>
        <w:rPr>
          <w:rFonts w:hint="eastAsia" w:ascii="宋体" w:hAnsi="宋体" w:eastAsia="宋体" w:cs="宋体"/>
          <w:b w:val="0"/>
          <w:bCs w:val="0"/>
          <w:color w:val="000000" w:themeColor="text1"/>
          <w:spacing w:val="-3"/>
          <w:szCs w:val="24"/>
          <w14:textFill>
            <w14:solidFill>
              <w14:schemeClr w14:val="tx1"/>
            </w14:solidFill>
          </w14:textFill>
        </w:rPr>
        <w:t>因</w:t>
      </w:r>
      <w:r>
        <w:rPr>
          <w:rFonts w:hint="eastAsia" w:ascii="宋体" w:hAnsi="宋体" w:eastAsia="宋体" w:cs="宋体"/>
          <w:b w:val="0"/>
          <w:bCs w:val="0"/>
          <w:color w:val="000000" w:themeColor="text1"/>
          <w:szCs w:val="24"/>
          <w14:textFill>
            <w14:solidFill>
              <w14:schemeClr w14:val="tx1"/>
            </w14:solidFill>
          </w14:textFill>
        </w:rPr>
        <w:t>导</w:t>
      </w:r>
      <w:r>
        <w:rPr>
          <w:rFonts w:hint="eastAsia" w:ascii="宋体" w:hAnsi="宋体" w:eastAsia="宋体" w:cs="宋体"/>
          <w:b w:val="0"/>
          <w:bCs w:val="0"/>
          <w:color w:val="000000" w:themeColor="text1"/>
          <w:spacing w:val="-3"/>
          <w:szCs w:val="24"/>
          <w14:textFill>
            <w14:solidFill>
              <w14:schemeClr w14:val="tx1"/>
            </w14:solidFill>
          </w14:textFill>
        </w:rPr>
        <w:t>致</w:t>
      </w:r>
      <w:r>
        <w:rPr>
          <w:rFonts w:hint="eastAsia" w:ascii="宋体" w:hAnsi="宋体" w:eastAsia="宋体" w:cs="宋体"/>
          <w:b w:val="0"/>
          <w:bCs w:val="0"/>
          <w:color w:val="000000" w:themeColor="text1"/>
          <w:szCs w:val="24"/>
          <w14:textFill>
            <w14:solidFill>
              <w14:schemeClr w14:val="tx1"/>
            </w14:solidFill>
          </w14:textFill>
        </w:rPr>
        <w:t>技</w:t>
      </w:r>
      <w:r>
        <w:rPr>
          <w:rFonts w:hint="eastAsia" w:ascii="宋体" w:hAnsi="宋体" w:eastAsia="宋体" w:cs="宋体"/>
          <w:b w:val="0"/>
          <w:bCs w:val="0"/>
          <w:color w:val="000000" w:themeColor="text1"/>
          <w:spacing w:val="-3"/>
          <w:szCs w:val="24"/>
          <w14:textFill>
            <w14:solidFill>
              <w14:schemeClr w14:val="tx1"/>
            </w14:solidFill>
          </w14:textFill>
        </w:rPr>
        <w:t>术</w:t>
      </w:r>
      <w:r>
        <w:rPr>
          <w:rFonts w:hint="eastAsia" w:ascii="宋体" w:hAnsi="宋体" w:eastAsia="宋体" w:cs="宋体"/>
          <w:b w:val="0"/>
          <w:bCs w:val="0"/>
          <w:color w:val="000000" w:themeColor="text1"/>
          <w:szCs w:val="24"/>
          <w14:textFill>
            <w14:solidFill>
              <w14:schemeClr w14:val="tx1"/>
            </w14:solidFill>
          </w14:textFill>
        </w:rPr>
        <w:t>资料</w:t>
      </w:r>
      <w:r>
        <w:rPr>
          <w:rFonts w:hint="eastAsia" w:ascii="宋体" w:hAnsi="宋体" w:eastAsia="宋体" w:cs="宋体"/>
          <w:b w:val="0"/>
          <w:bCs w:val="0"/>
          <w:color w:val="000000" w:themeColor="text1"/>
          <w:spacing w:val="-3"/>
          <w:szCs w:val="24"/>
          <w14:textFill>
            <w14:solidFill>
              <w14:schemeClr w14:val="tx1"/>
            </w14:solidFill>
          </w14:textFill>
        </w:rPr>
        <w:t>丢</w:t>
      </w:r>
      <w:r>
        <w:rPr>
          <w:rFonts w:hint="eastAsia" w:ascii="宋体" w:hAnsi="宋体" w:eastAsia="宋体" w:cs="宋体"/>
          <w:b w:val="0"/>
          <w:bCs w:val="0"/>
          <w:color w:val="000000" w:themeColor="text1"/>
          <w:szCs w:val="24"/>
          <w14:textFill>
            <w14:solidFill>
              <w14:schemeClr w14:val="tx1"/>
            </w14:solidFill>
          </w14:textFill>
        </w:rPr>
        <w:t>失</w:t>
      </w:r>
      <w:r>
        <w:rPr>
          <w:rFonts w:hint="eastAsia" w:ascii="宋体" w:hAnsi="宋体" w:eastAsia="宋体" w:cs="宋体"/>
          <w:b w:val="0"/>
          <w:bCs w:val="0"/>
          <w:color w:val="000000" w:themeColor="text1"/>
          <w:spacing w:val="-99"/>
          <w:szCs w:val="24"/>
          <w14:textFill>
            <w14:solidFill>
              <w14:schemeClr w14:val="tx1"/>
            </w14:solidFill>
          </w14:textFill>
        </w:rPr>
        <w:t>和</w:t>
      </w:r>
      <w:r>
        <w:rPr>
          <w:rFonts w:hint="eastAsia" w:ascii="宋体" w:hAnsi="宋体" w:eastAsia="宋体" w:cs="宋体"/>
          <w:b w:val="0"/>
          <w:bCs w:val="0"/>
          <w:color w:val="000000" w:themeColor="text1"/>
          <w:szCs w:val="24"/>
          <w14:textFill>
            <w14:solidFill>
              <w14:schemeClr w14:val="tx1"/>
            </w14:solidFill>
          </w14:textFill>
        </w:rPr>
        <w:t>（或）损坏，卖方应在收到买方的通知后 7 日内补齐丢失和（或）损坏的部分，但买方应向卖方支付合理的复制、邮寄费用。</w:t>
      </w:r>
      <w:bookmarkStart w:id="210" w:name="_bookmark126"/>
      <w:bookmarkEnd w:id="210"/>
    </w:p>
    <w:p w14:paraId="20CC9160">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bookmarkStart w:id="211" w:name="_bookmark131"/>
      <w:bookmarkEnd w:id="211"/>
      <w:r>
        <w:rPr>
          <w:rFonts w:hint="eastAsia" w:ascii="宋体" w:hAnsi="宋体" w:eastAsia="宋体" w:cs="宋体"/>
          <w:b w:val="0"/>
          <w:bCs w:val="0"/>
          <w:color w:val="000000" w:themeColor="text1"/>
          <w:sz w:val="24"/>
          <w:szCs w:val="24"/>
          <w14:textFill>
            <w14:solidFill>
              <w14:schemeClr w14:val="tx1"/>
            </w14:solidFill>
          </w14:textFill>
        </w:rPr>
        <w:t>7. 技术服务</w:t>
      </w:r>
    </w:p>
    <w:p w14:paraId="24E48190">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7.1卖方应派遣技术熟练、称职的技术人员到施工场地为买方提供技术服务。卖方的技术服务应符合合同的约定。</w:t>
      </w:r>
    </w:p>
    <w:p w14:paraId="79A0020E">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7.2买方应免费为卖方技术人员提供工作条件及便利，包括但不限于必要的办公场所、技术资料及出入许可等。除专用合同条款另有约定外，卖方技术人员的交通、食宿费用由卖方承担。</w:t>
      </w:r>
    </w:p>
    <w:p w14:paraId="4997BFDE">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7.3卖方技术人员应遵守买方施工现场的各项规章制度和安全操作规程，并服从买方的现场管理。</w:t>
      </w:r>
    </w:p>
    <w:p w14:paraId="3FC96DFA">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7.4 如果任何技术人员不合格，买方有权要求卖方撤换，因撤换而产生的费用应由卖方承担。在不影响技术服务并且征得买方同意的条件下，卖方也可自负费用更换其技术人员。</w:t>
      </w:r>
    </w:p>
    <w:p w14:paraId="5B53883E">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bookmarkStart w:id="212" w:name="_bookmark132"/>
      <w:bookmarkEnd w:id="212"/>
      <w:r>
        <w:rPr>
          <w:rFonts w:hint="eastAsia" w:ascii="宋体" w:hAnsi="宋体" w:eastAsia="宋体" w:cs="宋体"/>
          <w:b w:val="0"/>
          <w:bCs w:val="0"/>
          <w:color w:val="000000" w:themeColor="text1"/>
          <w:sz w:val="24"/>
          <w:szCs w:val="24"/>
          <w14:textFill>
            <w14:solidFill>
              <w14:schemeClr w14:val="tx1"/>
            </w14:solidFill>
          </w14:textFill>
        </w:rPr>
        <w:t>8. 质量保证期</w:t>
      </w:r>
    </w:p>
    <w:p w14:paraId="02026FE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8.1除专用合同条款和（或）供货要求等合同文件另有约定外，合同设备整体质量保证期为验收之日起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个月。在合同第6.4.3 项情形下，无论合同设备何时验收，其质量保证期最长为签署验收款支付函后6个月。</w:t>
      </w:r>
    </w:p>
    <w:p w14:paraId="4D2156B0">
      <w:pPr>
        <w:pStyle w:val="14"/>
        <w:spacing w:before="6" w:line="500" w:lineRule="exact"/>
        <w:ind w:left="100" w:right="102" w:firstLine="419"/>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8.2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53167F3B">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8.3质量保证期届满后，买方应在 7 日内或专用合同条款另行约定的时间内向卖方出具合同设备的质量保证期届满证书。</w:t>
      </w:r>
    </w:p>
    <w:p w14:paraId="73518D30">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8.4在合同第 6.4.2 项情形下，如在验收款支付函签署后 12 个月内由于买方原因合同设备</w:t>
      </w:r>
      <w:r>
        <w:rPr>
          <w:rFonts w:hint="eastAsia" w:ascii="宋体" w:hAnsi="宋体" w:eastAsia="宋体" w:cs="宋体"/>
          <w:b w:val="0"/>
          <w:bCs w:val="0"/>
          <w:color w:val="000000" w:themeColor="text1"/>
          <w:spacing w:val="-5"/>
          <w:szCs w:val="24"/>
          <w14:textFill>
            <w14:solidFill>
              <w14:schemeClr w14:val="tx1"/>
            </w14:solidFill>
          </w14:textFill>
        </w:rPr>
        <w:t xml:space="preserve">仍未能达到技术性能考核指标，则买卖双方应在该 </w:t>
      </w:r>
      <w:r>
        <w:rPr>
          <w:rFonts w:hint="eastAsia" w:ascii="宋体" w:hAnsi="宋体" w:eastAsia="宋体" w:cs="宋体"/>
          <w:b w:val="0"/>
          <w:bCs w:val="0"/>
          <w:color w:val="000000" w:themeColor="text1"/>
          <w:szCs w:val="24"/>
          <w14:textFill>
            <w14:solidFill>
              <w14:schemeClr w14:val="tx1"/>
            </w14:solidFill>
          </w14:textFill>
        </w:rPr>
        <w:t>12个月届满后7日内或专用合同条款另行约定的时间内签署结清款支付函。</w:t>
      </w:r>
    </w:p>
    <w:p w14:paraId="103FB73F">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8.5在合同第6.4.3 </w:t>
      </w:r>
      <w:r>
        <w:rPr>
          <w:rFonts w:hint="eastAsia" w:ascii="宋体" w:hAnsi="宋体" w:eastAsia="宋体" w:cs="宋体"/>
          <w:b w:val="0"/>
          <w:bCs w:val="0"/>
          <w:color w:val="000000" w:themeColor="text1"/>
          <w:spacing w:val="-3"/>
          <w:szCs w:val="24"/>
          <w14:textFill>
            <w14:solidFill>
              <w14:schemeClr w14:val="tx1"/>
            </w14:solidFill>
          </w14:textFill>
        </w:rPr>
        <w:t xml:space="preserve">项情形下，如在验收款支付函签署后 </w:t>
      </w:r>
      <w:r>
        <w:rPr>
          <w:rFonts w:hint="eastAsia" w:ascii="宋体" w:hAnsi="宋体" w:eastAsia="宋体" w:cs="宋体"/>
          <w:b w:val="0"/>
          <w:bCs w:val="0"/>
          <w:color w:val="000000" w:themeColor="text1"/>
          <w:szCs w:val="24"/>
          <w14:textFill>
            <w14:solidFill>
              <w14:schemeClr w14:val="tx1"/>
            </w14:solidFill>
          </w14:textFill>
        </w:rPr>
        <w:t>6 个月内由于买方原因合同设备仍未进行考核或仍未达到技术性能考核指标，则买卖双方应在该 6 个月届满后7 日内或专用合同条款另行约定的时间内签署结清款支付函。</w:t>
      </w:r>
    </w:p>
    <w:p w14:paraId="05C66E9C">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8.6在第 8.4 款和第8.5 </w:t>
      </w:r>
      <w:r>
        <w:rPr>
          <w:rFonts w:hint="eastAsia" w:ascii="宋体" w:hAnsi="宋体" w:eastAsia="宋体" w:cs="宋体"/>
          <w:b w:val="0"/>
          <w:bCs w:val="0"/>
          <w:color w:val="000000" w:themeColor="text1"/>
          <w:spacing w:val="-3"/>
          <w:szCs w:val="24"/>
          <w14:textFill>
            <w14:solidFill>
              <w14:schemeClr w14:val="tx1"/>
            </w14:solidFill>
          </w14:textFill>
        </w:rPr>
        <w:t>款情形下，卖方也可单方签署结清款支付函提交买方，如果买方在</w:t>
      </w:r>
      <w:r>
        <w:rPr>
          <w:rFonts w:hint="eastAsia" w:ascii="宋体" w:hAnsi="宋体" w:eastAsia="宋体" w:cs="宋体"/>
          <w:b w:val="0"/>
          <w:bCs w:val="0"/>
          <w:color w:val="000000" w:themeColor="text1"/>
          <w:szCs w:val="24"/>
          <w14:textFill>
            <w14:solidFill>
              <w14:schemeClr w14:val="tx1"/>
            </w14:solidFill>
          </w14:textFill>
        </w:rPr>
        <w:t xml:space="preserve">收到卖方签署的结清款支付函后 14 </w:t>
      </w:r>
      <w:r>
        <w:rPr>
          <w:rFonts w:hint="eastAsia" w:ascii="宋体" w:hAnsi="宋体" w:eastAsia="宋体" w:cs="宋体"/>
          <w:b w:val="0"/>
          <w:bCs w:val="0"/>
          <w:color w:val="000000" w:themeColor="text1"/>
          <w:spacing w:val="-5"/>
          <w:szCs w:val="24"/>
          <w14:textFill>
            <w14:solidFill>
              <w14:schemeClr w14:val="tx1"/>
            </w14:solidFill>
          </w14:textFill>
        </w:rPr>
        <w:t>日内未向卖方提出书面异议，则结清款支付函自签署之日起</w:t>
      </w:r>
      <w:r>
        <w:rPr>
          <w:rFonts w:hint="eastAsia" w:ascii="宋体" w:hAnsi="宋体" w:eastAsia="宋体" w:cs="宋体"/>
          <w:b w:val="0"/>
          <w:bCs w:val="0"/>
          <w:color w:val="000000" w:themeColor="text1"/>
          <w:szCs w:val="24"/>
          <w14:textFill>
            <w14:solidFill>
              <w14:schemeClr w14:val="tx1"/>
            </w14:solidFill>
          </w14:textFill>
        </w:rPr>
        <w:t>生效。</w:t>
      </w:r>
      <w:bookmarkStart w:id="213" w:name="_bookmark133"/>
      <w:bookmarkEnd w:id="213"/>
    </w:p>
    <w:p w14:paraId="39B7B2B1">
      <w:pPr>
        <w:pStyle w:val="14"/>
        <w:spacing w:line="500" w:lineRule="exact"/>
        <w:ind w:firstLine="496" w:firstLineChars="200"/>
        <w:outlineLvl w:val="2"/>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9. 质保期服务</w:t>
      </w:r>
    </w:p>
    <w:p w14:paraId="29D26F3F">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9.1 卖方应为质保期服务配备充足的技术人员、工具和备件并保证提供的联系方式畅通。</w:t>
      </w:r>
    </w:p>
    <w:p w14:paraId="2FD02415">
      <w:pPr>
        <w:pStyle w:val="14"/>
        <w:spacing w:line="500" w:lineRule="exact"/>
        <w:ind w:firstLine="464"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pacing w:val="-4"/>
          <w:szCs w:val="24"/>
          <w14:textFill>
            <w14:solidFill>
              <w14:schemeClr w14:val="tx1"/>
            </w14:solidFill>
          </w14:textFill>
        </w:rPr>
        <w:t xml:space="preserve">除专用合同条款和（或）供货要求等合同文件另有约定外，卖方应在收到买方通知后 </w:t>
      </w:r>
      <w:r>
        <w:rPr>
          <w:rFonts w:hint="eastAsia" w:ascii="宋体" w:hAnsi="宋体" w:eastAsia="宋体" w:cs="宋体"/>
          <w:b w:val="0"/>
          <w:bCs w:val="0"/>
          <w:color w:val="000000" w:themeColor="text1"/>
          <w:szCs w:val="24"/>
          <w14:textFill>
            <w14:solidFill>
              <w14:schemeClr w14:val="tx1"/>
            </w14:solidFill>
          </w14:textFill>
        </w:rPr>
        <w:t>24 小时内</w:t>
      </w:r>
      <w:r>
        <w:rPr>
          <w:rFonts w:hint="eastAsia" w:ascii="宋体" w:hAnsi="宋体" w:eastAsia="宋体" w:cs="宋体"/>
          <w:b w:val="0"/>
          <w:bCs w:val="0"/>
          <w:color w:val="000000" w:themeColor="text1"/>
          <w:spacing w:val="-3"/>
          <w:szCs w:val="24"/>
          <w14:textFill>
            <w14:solidFill>
              <w14:schemeClr w14:val="tx1"/>
            </w14:solidFill>
          </w14:textFill>
        </w:rPr>
        <w:t xml:space="preserve">做出响应，如需卖方到合同设备现场，卖方应在收到买方通知后 </w:t>
      </w:r>
      <w:r>
        <w:rPr>
          <w:rFonts w:hint="eastAsia" w:ascii="宋体" w:hAnsi="宋体" w:eastAsia="宋体" w:cs="宋体"/>
          <w:b w:val="0"/>
          <w:bCs w:val="0"/>
          <w:color w:val="000000" w:themeColor="text1"/>
          <w:szCs w:val="24"/>
          <w14:textFill>
            <w14:solidFill>
              <w14:schemeClr w14:val="tx1"/>
            </w14:solidFill>
          </w14:textFill>
        </w:rPr>
        <w:t xml:space="preserve">48 </w:t>
      </w:r>
      <w:r>
        <w:rPr>
          <w:rFonts w:hint="eastAsia" w:ascii="宋体" w:hAnsi="宋体" w:eastAsia="宋体" w:cs="宋体"/>
          <w:b w:val="0"/>
          <w:bCs w:val="0"/>
          <w:color w:val="000000" w:themeColor="text1"/>
          <w:spacing w:val="-3"/>
          <w:szCs w:val="24"/>
          <w14:textFill>
            <w14:solidFill>
              <w14:schemeClr w14:val="tx1"/>
            </w14:solidFill>
          </w14:textFill>
        </w:rPr>
        <w:t xml:space="preserve">小时内到达，并在到达后 </w:t>
      </w:r>
      <w:r>
        <w:rPr>
          <w:rFonts w:hint="eastAsia" w:ascii="宋体" w:hAnsi="宋体" w:eastAsia="宋体" w:cs="宋体"/>
          <w:b w:val="0"/>
          <w:bCs w:val="0"/>
          <w:color w:val="000000" w:themeColor="text1"/>
          <w:szCs w:val="24"/>
          <w14:textFill>
            <w14:solidFill>
              <w14:schemeClr w14:val="tx1"/>
            </w14:solidFill>
          </w14:textFill>
        </w:rPr>
        <w:t>7 日内</w:t>
      </w:r>
      <w:r>
        <w:rPr>
          <w:rFonts w:hint="eastAsia" w:ascii="宋体" w:hAnsi="宋体" w:eastAsia="宋体" w:cs="宋体"/>
          <w:b w:val="0"/>
          <w:bCs w:val="0"/>
          <w:color w:val="000000" w:themeColor="text1"/>
          <w:spacing w:val="-3"/>
          <w:szCs w:val="24"/>
          <w14:textFill>
            <w14:solidFill>
              <w14:schemeClr w14:val="tx1"/>
            </w14:solidFill>
          </w14:textFill>
        </w:rPr>
        <w:t>解</w:t>
      </w:r>
      <w:r>
        <w:rPr>
          <w:rFonts w:hint="eastAsia" w:ascii="宋体" w:hAnsi="宋体" w:eastAsia="宋体" w:cs="宋体"/>
          <w:b w:val="0"/>
          <w:bCs w:val="0"/>
          <w:color w:val="000000" w:themeColor="text1"/>
          <w:szCs w:val="24"/>
          <w14:textFill>
            <w14:solidFill>
              <w14:schemeClr w14:val="tx1"/>
            </w14:solidFill>
          </w14:textFill>
        </w:rPr>
        <w:t>决</w:t>
      </w:r>
      <w:r>
        <w:rPr>
          <w:rFonts w:hint="eastAsia" w:ascii="宋体" w:hAnsi="宋体" w:eastAsia="宋体" w:cs="宋体"/>
          <w:b w:val="0"/>
          <w:bCs w:val="0"/>
          <w:color w:val="000000" w:themeColor="text1"/>
          <w:spacing w:val="-3"/>
          <w:szCs w:val="24"/>
          <w14:textFill>
            <w14:solidFill>
              <w14:schemeClr w14:val="tx1"/>
            </w14:solidFill>
          </w14:textFill>
        </w:rPr>
        <w:t>合</w:t>
      </w:r>
      <w:r>
        <w:rPr>
          <w:rFonts w:hint="eastAsia" w:ascii="宋体" w:hAnsi="宋体" w:eastAsia="宋体" w:cs="宋体"/>
          <w:b w:val="0"/>
          <w:bCs w:val="0"/>
          <w:color w:val="000000" w:themeColor="text1"/>
          <w:szCs w:val="24"/>
          <w14:textFill>
            <w14:solidFill>
              <w14:schemeClr w14:val="tx1"/>
            </w14:solidFill>
          </w14:textFill>
        </w:rPr>
        <w:t>同</w:t>
      </w:r>
      <w:r>
        <w:rPr>
          <w:rFonts w:hint="eastAsia" w:ascii="宋体" w:hAnsi="宋体" w:eastAsia="宋体" w:cs="宋体"/>
          <w:b w:val="0"/>
          <w:bCs w:val="0"/>
          <w:color w:val="000000" w:themeColor="text1"/>
          <w:spacing w:val="-3"/>
          <w:szCs w:val="24"/>
          <w14:textFill>
            <w14:solidFill>
              <w14:schemeClr w14:val="tx1"/>
            </w14:solidFill>
          </w14:textFill>
        </w:rPr>
        <w:t>设</w:t>
      </w:r>
      <w:r>
        <w:rPr>
          <w:rFonts w:hint="eastAsia" w:ascii="宋体" w:hAnsi="宋体" w:eastAsia="宋体" w:cs="宋体"/>
          <w:b w:val="0"/>
          <w:bCs w:val="0"/>
          <w:color w:val="000000" w:themeColor="text1"/>
          <w:szCs w:val="24"/>
          <w14:textFill>
            <w14:solidFill>
              <w14:schemeClr w14:val="tx1"/>
            </w14:solidFill>
          </w14:textFill>
        </w:rPr>
        <w:t>备</w:t>
      </w:r>
      <w:r>
        <w:rPr>
          <w:rFonts w:hint="eastAsia" w:ascii="宋体" w:hAnsi="宋体" w:eastAsia="宋体" w:cs="宋体"/>
          <w:b w:val="0"/>
          <w:bCs w:val="0"/>
          <w:color w:val="000000" w:themeColor="text1"/>
          <w:spacing w:val="-3"/>
          <w:szCs w:val="24"/>
          <w14:textFill>
            <w14:solidFill>
              <w14:schemeClr w14:val="tx1"/>
            </w14:solidFill>
          </w14:textFill>
        </w:rPr>
        <w:t>的</w:t>
      </w:r>
      <w:r>
        <w:rPr>
          <w:rFonts w:hint="eastAsia" w:ascii="宋体" w:hAnsi="宋体" w:eastAsia="宋体" w:cs="宋体"/>
          <w:b w:val="0"/>
          <w:bCs w:val="0"/>
          <w:color w:val="000000" w:themeColor="text1"/>
          <w:szCs w:val="24"/>
          <w14:textFill>
            <w14:solidFill>
              <w14:schemeClr w14:val="tx1"/>
            </w14:solidFill>
          </w14:textFill>
        </w:rPr>
        <w:t>故</w:t>
      </w:r>
      <w:r>
        <w:rPr>
          <w:rFonts w:hint="eastAsia" w:ascii="宋体" w:hAnsi="宋体" w:eastAsia="宋体" w:cs="宋体"/>
          <w:b w:val="0"/>
          <w:bCs w:val="0"/>
          <w:color w:val="000000" w:themeColor="text1"/>
          <w:spacing w:val="-27"/>
          <w:szCs w:val="24"/>
          <w14:textFill>
            <w14:solidFill>
              <w14:schemeClr w14:val="tx1"/>
            </w14:solidFill>
          </w14:textFill>
        </w:rPr>
        <w:t>障</w:t>
      </w:r>
      <w:r>
        <w:rPr>
          <w:rFonts w:hint="eastAsia" w:ascii="宋体" w:hAnsi="宋体" w:eastAsia="宋体" w:cs="宋体"/>
          <w:b w:val="0"/>
          <w:bCs w:val="0"/>
          <w:color w:val="000000" w:themeColor="text1"/>
          <w:szCs w:val="24"/>
          <w14:textFill>
            <w14:solidFill>
              <w14:schemeClr w14:val="tx1"/>
            </w14:solidFill>
          </w14:textFill>
        </w:rPr>
        <w:t>（</w:t>
      </w:r>
      <w:r>
        <w:rPr>
          <w:rFonts w:hint="eastAsia" w:ascii="宋体" w:hAnsi="宋体" w:eastAsia="宋体" w:cs="宋体"/>
          <w:b w:val="0"/>
          <w:bCs w:val="0"/>
          <w:color w:val="000000" w:themeColor="text1"/>
          <w:spacing w:val="-3"/>
          <w:szCs w:val="24"/>
          <w14:textFill>
            <w14:solidFill>
              <w14:schemeClr w14:val="tx1"/>
            </w14:solidFill>
          </w14:textFill>
        </w:rPr>
        <w:t>重</w:t>
      </w:r>
      <w:r>
        <w:rPr>
          <w:rFonts w:hint="eastAsia" w:ascii="宋体" w:hAnsi="宋体" w:eastAsia="宋体" w:cs="宋体"/>
          <w:b w:val="0"/>
          <w:bCs w:val="0"/>
          <w:color w:val="000000" w:themeColor="text1"/>
          <w:szCs w:val="24"/>
          <w14:textFill>
            <w14:solidFill>
              <w14:schemeClr w14:val="tx1"/>
            </w14:solidFill>
          </w14:textFill>
        </w:rPr>
        <w:t>大</w:t>
      </w:r>
      <w:r>
        <w:rPr>
          <w:rFonts w:hint="eastAsia" w:ascii="宋体" w:hAnsi="宋体" w:eastAsia="宋体" w:cs="宋体"/>
          <w:b w:val="0"/>
          <w:bCs w:val="0"/>
          <w:color w:val="000000" w:themeColor="text1"/>
          <w:spacing w:val="-3"/>
          <w:szCs w:val="24"/>
          <w14:textFill>
            <w14:solidFill>
              <w14:schemeClr w14:val="tx1"/>
            </w14:solidFill>
          </w14:textFill>
        </w:rPr>
        <w:t>故</w:t>
      </w:r>
      <w:r>
        <w:rPr>
          <w:rFonts w:hint="eastAsia" w:ascii="宋体" w:hAnsi="宋体" w:eastAsia="宋体" w:cs="宋体"/>
          <w:b w:val="0"/>
          <w:bCs w:val="0"/>
          <w:color w:val="000000" w:themeColor="text1"/>
          <w:szCs w:val="24"/>
          <w14:textFill>
            <w14:solidFill>
              <w14:schemeClr w14:val="tx1"/>
            </w14:solidFill>
          </w14:textFill>
        </w:rPr>
        <w:t>障</w:t>
      </w:r>
      <w:r>
        <w:rPr>
          <w:rFonts w:hint="eastAsia" w:ascii="宋体" w:hAnsi="宋体" w:eastAsia="宋体" w:cs="宋体"/>
          <w:b w:val="0"/>
          <w:bCs w:val="0"/>
          <w:color w:val="000000" w:themeColor="text1"/>
          <w:spacing w:val="-3"/>
          <w:szCs w:val="24"/>
          <w14:textFill>
            <w14:solidFill>
              <w14:schemeClr w14:val="tx1"/>
            </w14:solidFill>
          </w14:textFill>
        </w:rPr>
        <w:t>除</w:t>
      </w:r>
      <w:r>
        <w:rPr>
          <w:rFonts w:hint="eastAsia" w:ascii="宋体" w:hAnsi="宋体" w:eastAsia="宋体" w:cs="宋体"/>
          <w:b w:val="0"/>
          <w:bCs w:val="0"/>
          <w:color w:val="000000" w:themeColor="text1"/>
          <w:szCs w:val="24"/>
          <w14:textFill>
            <w14:solidFill>
              <w14:schemeClr w14:val="tx1"/>
            </w14:solidFill>
          </w14:textFill>
        </w:rPr>
        <w:t>外</w:t>
      </w:r>
      <w:r>
        <w:rPr>
          <w:rFonts w:hint="eastAsia" w:ascii="宋体" w:hAnsi="宋体" w:eastAsia="宋体" w:cs="宋体"/>
          <w:b w:val="0"/>
          <w:bCs w:val="0"/>
          <w:color w:val="000000" w:themeColor="text1"/>
          <w:spacing w:val="-108"/>
          <w:szCs w:val="24"/>
          <w14:textFill>
            <w14:solidFill>
              <w14:schemeClr w14:val="tx1"/>
            </w14:solidFill>
          </w14:textFill>
        </w:rPr>
        <w:t>）</w:t>
      </w:r>
      <w:r>
        <w:rPr>
          <w:rFonts w:hint="eastAsia" w:ascii="宋体" w:hAnsi="宋体" w:eastAsia="宋体" w:cs="宋体"/>
          <w:b w:val="0"/>
          <w:bCs w:val="0"/>
          <w:color w:val="000000" w:themeColor="text1"/>
          <w:spacing w:val="-27"/>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如</w:t>
      </w:r>
      <w:r>
        <w:rPr>
          <w:rFonts w:hint="eastAsia" w:ascii="宋体" w:hAnsi="宋体" w:eastAsia="宋体" w:cs="宋体"/>
          <w:b w:val="0"/>
          <w:bCs w:val="0"/>
          <w:color w:val="000000" w:themeColor="text1"/>
          <w:spacing w:val="-3"/>
          <w:szCs w:val="24"/>
          <w14:textFill>
            <w14:solidFill>
              <w14:schemeClr w14:val="tx1"/>
            </w14:solidFill>
          </w14:textFill>
        </w:rPr>
        <w:t>果卖</w:t>
      </w:r>
      <w:r>
        <w:rPr>
          <w:rFonts w:hint="eastAsia" w:ascii="宋体" w:hAnsi="宋体" w:eastAsia="宋体" w:cs="宋体"/>
          <w:b w:val="0"/>
          <w:bCs w:val="0"/>
          <w:color w:val="000000" w:themeColor="text1"/>
          <w:szCs w:val="24"/>
          <w14:textFill>
            <w14:solidFill>
              <w14:schemeClr w14:val="tx1"/>
            </w14:solidFill>
          </w14:textFill>
        </w:rPr>
        <w:t>方未</w:t>
      </w:r>
      <w:r>
        <w:rPr>
          <w:rFonts w:hint="eastAsia" w:ascii="宋体" w:hAnsi="宋体" w:eastAsia="宋体" w:cs="宋体"/>
          <w:b w:val="0"/>
          <w:bCs w:val="0"/>
          <w:color w:val="000000" w:themeColor="text1"/>
          <w:spacing w:val="-3"/>
          <w:szCs w:val="24"/>
          <w14:textFill>
            <w14:solidFill>
              <w14:schemeClr w14:val="tx1"/>
            </w14:solidFill>
          </w14:textFill>
        </w:rPr>
        <w:t>在</w:t>
      </w:r>
      <w:r>
        <w:rPr>
          <w:rFonts w:hint="eastAsia" w:ascii="宋体" w:hAnsi="宋体" w:eastAsia="宋体" w:cs="宋体"/>
          <w:b w:val="0"/>
          <w:bCs w:val="0"/>
          <w:color w:val="000000" w:themeColor="text1"/>
          <w:szCs w:val="24"/>
          <w14:textFill>
            <w14:solidFill>
              <w14:schemeClr w14:val="tx1"/>
            </w14:solidFill>
          </w14:textFill>
        </w:rPr>
        <w:t>上</w:t>
      </w:r>
      <w:r>
        <w:rPr>
          <w:rFonts w:hint="eastAsia" w:ascii="宋体" w:hAnsi="宋体" w:eastAsia="宋体" w:cs="宋体"/>
          <w:b w:val="0"/>
          <w:bCs w:val="0"/>
          <w:color w:val="000000" w:themeColor="text1"/>
          <w:spacing w:val="-3"/>
          <w:szCs w:val="24"/>
          <w14:textFill>
            <w14:solidFill>
              <w14:schemeClr w14:val="tx1"/>
            </w14:solidFill>
          </w14:textFill>
        </w:rPr>
        <w:t>述</w:t>
      </w:r>
      <w:r>
        <w:rPr>
          <w:rFonts w:hint="eastAsia" w:ascii="宋体" w:hAnsi="宋体" w:eastAsia="宋体" w:cs="宋体"/>
          <w:b w:val="0"/>
          <w:bCs w:val="0"/>
          <w:color w:val="000000" w:themeColor="text1"/>
          <w:szCs w:val="24"/>
          <w14:textFill>
            <w14:solidFill>
              <w14:schemeClr w14:val="tx1"/>
            </w14:solidFill>
          </w14:textFill>
        </w:rPr>
        <w:t>时</w:t>
      </w:r>
      <w:r>
        <w:rPr>
          <w:rFonts w:hint="eastAsia" w:ascii="宋体" w:hAnsi="宋体" w:eastAsia="宋体" w:cs="宋体"/>
          <w:b w:val="0"/>
          <w:bCs w:val="0"/>
          <w:color w:val="000000" w:themeColor="text1"/>
          <w:spacing w:val="-3"/>
          <w:szCs w:val="24"/>
          <w14:textFill>
            <w14:solidFill>
              <w14:schemeClr w14:val="tx1"/>
            </w14:solidFill>
          </w14:textFill>
        </w:rPr>
        <w:t>间</w:t>
      </w:r>
      <w:r>
        <w:rPr>
          <w:rFonts w:hint="eastAsia" w:ascii="宋体" w:hAnsi="宋体" w:eastAsia="宋体" w:cs="宋体"/>
          <w:b w:val="0"/>
          <w:bCs w:val="0"/>
          <w:color w:val="000000" w:themeColor="text1"/>
          <w:szCs w:val="24"/>
          <w14:textFill>
            <w14:solidFill>
              <w14:schemeClr w14:val="tx1"/>
            </w14:solidFill>
          </w14:textFill>
        </w:rPr>
        <w:t>内</w:t>
      </w:r>
      <w:r>
        <w:rPr>
          <w:rFonts w:hint="eastAsia" w:ascii="宋体" w:hAnsi="宋体" w:eastAsia="宋体" w:cs="宋体"/>
          <w:b w:val="0"/>
          <w:bCs w:val="0"/>
          <w:color w:val="000000" w:themeColor="text1"/>
          <w:spacing w:val="-3"/>
          <w:szCs w:val="24"/>
          <w14:textFill>
            <w14:solidFill>
              <w14:schemeClr w14:val="tx1"/>
            </w14:solidFill>
          </w14:textFill>
        </w:rPr>
        <w:t>作</w:t>
      </w:r>
      <w:r>
        <w:rPr>
          <w:rFonts w:hint="eastAsia" w:ascii="宋体" w:hAnsi="宋体" w:eastAsia="宋体" w:cs="宋体"/>
          <w:b w:val="0"/>
          <w:bCs w:val="0"/>
          <w:color w:val="000000" w:themeColor="text1"/>
          <w:szCs w:val="24"/>
          <w14:textFill>
            <w14:solidFill>
              <w14:schemeClr w14:val="tx1"/>
            </w14:solidFill>
          </w14:textFill>
        </w:rPr>
        <w:t>出</w:t>
      </w:r>
      <w:r>
        <w:rPr>
          <w:rFonts w:hint="eastAsia" w:ascii="宋体" w:hAnsi="宋体" w:eastAsia="宋体" w:cs="宋体"/>
          <w:b w:val="0"/>
          <w:bCs w:val="0"/>
          <w:color w:val="000000" w:themeColor="text1"/>
          <w:spacing w:val="-3"/>
          <w:szCs w:val="24"/>
          <w14:textFill>
            <w14:solidFill>
              <w14:schemeClr w14:val="tx1"/>
            </w14:solidFill>
          </w14:textFill>
        </w:rPr>
        <w:t>响</w:t>
      </w:r>
      <w:r>
        <w:rPr>
          <w:rFonts w:hint="eastAsia" w:ascii="宋体" w:hAnsi="宋体" w:eastAsia="宋体" w:cs="宋体"/>
          <w:b w:val="0"/>
          <w:bCs w:val="0"/>
          <w:color w:val="000000" w:themeColor="text1"/>
          <w:szCs w:val="24"/>
          <w14:textFill>
            <w14:solidFill>
              <w14:schemeClr w14:val="tx1"/>
            </w14:solidFill>
          </w14:textFill>
        </w:rPr>
        <w:t>应</w:t>
      </w:r>
      <w:r>
        <w:rPr>
          <w:rFonts w:hint="eastAsia" w:ascii="宋体" w:hAnsi="宋体" w:eastAsia="宋体" w:cs="宋体"/>
          <w:b w:val="0"/>
          <w:bCs w:val="0"/>
          <w:color w:val="000000" w:themeColor="text1"/>
          <w:spacing w:val="-27"/>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则</w:t>
      </w:r>
      <w:r>
        <w:rPr>
          <w:rFonts w:hint="eastAsia" w:ascii="宋体" w:hAnsi="宋体" w:eastAsia="宋体" w:cs="宋体"/>
          <w:b w:val="0"/>
          <w:bCs w:val="0"/>
          <w:color w:val="000000" w:themeColor="text1"/>
          <w:spacing w:val="-3"/>
          <w:szCs w:val="24"/>
          <w14:textFill>
            <w14:solidFill>
              <w14:schemeClr w14:val="tx1"/>
            </w14:solidFill>
          </w14:textFill>
        </w:rPr>
        <w:t>买</w:t>
      </w:r>
      <w:r>
        <w:rPr>
          <w:rFonts w:hint="eastAsia" w:ascii="宋体" w:hAnsi="宋体" w:eastAsia="宋体" w:cs="宋体"/>
          <w:b w:val="0"/>
          <w:bCs w:val="0"/>
          <w:color w:val="000000" w:themeColor="text1"/>
          <w:szCs w:val="24"/>
          <w14:textFill>
            <w14:solidFill>
              <w14:schemeClr w14:val="tx1"/>
            </w14:solidFill>
          </w14:textFill>
        </w:rPr>
        <w:t>方</w:t>
      </w:r>
      <w:r>
        <w:rPr>
          <w:rFonts w:hint="eastAsia" w:ascii="宋体" w:hAnsi="宋体" w:eastAsia="宋体" w:cs="宋体"/>
          <w:b w:val="0"/>
          <w:bCs w:val="0"/>
          <w:color w:val="000000" w:themeColor="text1"/>
          <w:spacing w:val="-3"/>
          <w:szCs w:val="24"/>
          <w14:textFill>
            <w14:solidFill>
              <w14:schemeClr w14:val="tx1"/>
            </w14:solidFill>
          </w14:textFill>
        </w:rPr>
        <w:t>有</w:t>
      </w:r>
      <w:r>
        <w:rPr>
          <w:rFonts w:hint="eastAsia" w:ascii="宋体" w:hAnsi="宋体" w:eastAsia="宋体" w:cs="宋体"/>
          <w:b w:val="0"/>
          <w:bCs w:val="0"/>
          <w:color w:val="000000" w:themeColor="text1"/>
          <w:szCs w:val="24"/>
          <w14:textFill>
            <w14:solidFill>
              <w14:schemeClr w14:val="tx1"/>
            </w14:solidFill>
          </w14:textFill>
        </w:rPr>
        <w:t>权自</w:t>
      </w:r>
      <w:r>
        <w:rPr>
          <w:rFonts w:hint="eastAsia" w:ascii="宋体" w:hAnsi="宋体" w:eastAsia="宋体" w:cs="宋体"/>
          <w:b w:val="0"/>
          <w:bCs w:val="0"/>
          <w:color w:val="000000" w:themeColor="text1"/>
          <w:spacing w:val="-2"/>
          <w:szCs w:val="24"/>
          <w14:textFill>
            <w14:solidFill>
              <w14:schemeClr w14:val="tx1"/>
            </w14:solidFill>
          </w14:textFill>
        </w:rPr>
        <w:t xml:space="preserve">行或委托他人解决相关问题或查找和解决合同设备的故障，卖方应承担由此发生的全部费用。 </w:t>
      </w:r>
      <w:r>
        <w:rPr>
          <w:rFonts w:hint="eastAsia" w:ascii="宋体" w:hAnsi="宋体" w:eastAsia="宋体" w:cs="宋体"/>
          <w:b w:val="0"/>
          <w:bCs w:val="0"/>
          <w:color w:val="000000" w:themeColor="text1"/>
          <w:szCs w:val="24"/>
          <w14:textFill>
            <w14:solidFill>
              <w14:schemeClr w14:val="tx1"/>
            </w14:solidFill>
          </w14:textFill>
        </w:rPr>
        <w:t>9.2 如卖方技术人员需到合同设备现场进行质保期服务，则买方应免费为卖方技术人员提</w:t>
      </w:r>
      <w:r>
        <w:rPr>
          <w:rFonts w:hint="eastAsia" w:ascii="宋体" w:hAnsi="宋体" w:eastAsia="宋体" w:cs="宋体"/>
          <w:b w:val="0"/>
          <w:bCs w:val="0"/>
          <w:color w:val="000000" w:themeColor="text1"/>
          <w:spacing w:val="-1"/>
          <w:szCs w:val="24"/>
          <w14:textFill>
            <w14:solidFill>
              <w14:schemeClr w14:val="tx1"/>
            </w14:solidFill>
          </w14:textFill>
        </w:rPr>
        <w:t>供工作条件及便利，包括但不限于必要的办公场所、技术资料及出入许可等。除专用合同条款另有约定外，卖方技术人员的交通、食宿费用由卖方承担。卖方技术人员应遵守买方施工现场</w:t>
      </w:r>
      <w:r>
        <w:rPr>
          <w:rFonts w:hint="eastAsia" w:ascii="宋体" w:hAnsi="宋体" w:eastAsia="宋体" w:cs="宋体"/>
          <w:b w:val="0"/>
          <w:bCs w:val="0"/>
          <w:color w:val="000000" w:themeColor="text1"/>
          <w:szCs w:val="24"/>
          <w14:textFill>
            <w14:solidFill>
              <w14:schemeClr w14:val="tx1"/>
            </w14:solidFill>
          </w14:textFill>
        </w:rPr>
        <w:t>的各项规章制度和安全操作规程，并服从买方的现场管理。</w:t>
      </w:r>
    </w:p>
    <w:p w14:paraId="3B4DB5DE">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9.3 如果任何技术人员不合格，买方有权要求卖方撤换，因撤换而产生的费用应由卖方承担。在不影响质保期服务并且征得买方同意的条件下，卖方也可自负费用更换其技术人员。</w:t>
      </w:r>
    </w:p>
    <w:p w14:paraId="52E72CD9">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9.4 除专用合同条款另有约定外，卖方应就在施工现场进行质保期服务的情况进行记录</w:t>
      </w:r>
      <w:r>
        <w:rPr>
          <w:rFonts w:hint="eastAsia" w:ascii="宋体" w:eastAsia="宋体" w:cs="宋体"/>
          <w:b w:val="0"/>
          <w:bCs w:val="0"/>
          <w:color w:val="000000" w:themeColor="text1"/>
          <w:szCs w:val="24"/>
          <w:lang w:eastAsia="zh-CN"/>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记载合同设备故障发生的时间、原因及解决情况等，由买方签字确认，并在质量保证期结束后提交给买方。</w:t>
      </w:r>
    </w:p>
    <w:p w14:paraId="52D0E992">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bookmarkStart w:id="214" w:name="_bookmark134"/>
      <w:bookmarkEnd w:id="214"/>
      <w:r>
        <w:rPr>
          <w:rFonts w:hint="eastAsia" w:ascii="宋体" w:hAnsi="宋体" w:eastAsia="宋体" w:cs="宋体"/>
          <w:b w:val="0"/>
          <w:bCs w:val="0"/>
          <w:color w:val="000000" w:themeColor="text1"/>
          <w:sz w:val="24"/>
          <w:szCs w:val="24"/>
          <w14:textFill>
            <w14:solidFill>
              <w14:schemeClr w14:val="tx1"/>
            </w14:solidFill>
          </w14:textFill>
        </w:rPr>
        <w:t>10. 履约保证金</w:t>
      </w:r>
    </w:p>
    <w:p w14:paraId="20974F53">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除专用合同条款另有约定外，履约保证金自合同生效之日起生效，在合同设备验收证书或验收款支付函签署之日起 28 </w:t>
      </w:r>
      <w:r>
        <w:rPr>
          <w:rFonts w:hint="eastAsia" w:ascii="宋体" w:hAnsi="宋体" w:eastAsia="宋体" w:cs="宋体"/>
          <w:b w:val="0"/>
          <w:bCs w:val="0"/>
          <w:color w:val="000000" w:themeColor="text1"/>
          <w:spacing w:val="-4"/>
          <w:szCs w:val="24"/>
          <w14:textFill>
            <w14:solidFill>
              <w14:schemeClr w14:val="tx1"/>
            </w14:solidFill>
          </w14:textFill>
        </w:rPr>
        <w:t>日后失效。如果卖方不履行合同约定的义务或其履行不符合合同的</w:t>
      </w:r>
      <w:r>
        <w:rPr>
          <w:rFonts w:hint="eastAsia" w:ascii="宋体" w:hAnsi="宋体" w:eastAsia="宋体" w:cs="宋体"/>
          <w:b w:val="0"/>
          <w:bCs w:val="0"/>
          <w:color w:val="000000" w:themeColor="text1"/>
          <w:szCs w:val="24"/>
          <w14:textFill>
            <w14:solidFill>
              <w14:schemeClr w14:val="tx1"/>
            </w14:solidFill>
          </w14:textFill>
        </w:rPr>
        <w:t>约定，买方有权扣划相应金额的履约保证金。</w:t>
      </w:r>
    </w:p>
    <w:p w14:paraId="2AE9A880">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bookmarkStart w:id="215" w:name="_bookmark135"/>
      <w:bookmarkEnd w:id="215"/>
      <w:r>
        <w:rPr>
          <w:rFonts w:hint="eastAsia" w:ascii="宋体" w:hAnsi="宋体" w:eastAsia="宋体" w:cs="宋体"/>
          <w:b w:val="0"/>
          <w:bCs w:val="0"/>
          <w:color w:val="000000" w:themeColor="text1"/>
          <w:sz w:val="24"/>
          <w:szCs w:val="24"/>
          <w14:textFill>
            <w14:solidFill>
              <w14:schemeClr w14:val="tx1"/>
            </w14:solidFill>
          </w14:textFill>
        </w:rPr>
        <w:t>11. 保证</w:t>
      </w:r>
    </w:p>
    <w:p w14:paraId="268A64D1">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11.1 卖方保证其具有完全的能力履行本合同项下的全部义务。</w:t>
      </w:r>
    </w:p>
    <w:p w14:paraId="5D50A33D">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11.2 卖方保证其所提供的合同设备及对合同的履行符合所有应适用的法律、行政法规、地方性法规、自治条例和单行条例、规章及其他规范性文件的强制性规定。</w:t>
      </w:r>
    </w:p>
    <w:p w14:paraId="1EF8AD48">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11.3 卖方保证其对合同设备的销售不损害任何第三方的合法权益和社会公众利益。任何第三方不会因卖方原因而基于所有权、抵押权、留置权或其他任何权利或事由对合同设备主张权利。</w:t>
      </w:r>
    </w:p>
    <w:p w14:paraId="0B7AF602">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11.4 卖方保证合同设备符合合同约定的规格、标准、技术性能考核指标等，能够安全和稳定地运行，且合同设备（包括全部部件）全新、完整、未使用过，除非专用合同条款和（或）供货要求等合同文件另有约定。</w:t>
      </w:r>
    </w:p>
    <w:p w14:paraId="3F3CD8A3">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11.5 卖方保证，卖方所提供的技术资料完整、清晰、准确，符合合同约定并且能够满足合同设备的安装、调试、考核、操作以及维修和保养的需要。</w:t>
      </w:r>
    </w:p>
    <w:p w14:paraId="11E33183">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7CF03A64">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14:paraId="32FFD6C7">
      <w:pPr>
        <w:pStyle w:val="14"/>
        <w:spacing w:line="500" w:lineRule="exact"/>
        <w:ind w:firstLine="464"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pacing w:val="-4"/>
          <w:szCs w:val="24"/>
          <w14:textFill>
            <w14:solidFill>
              <w14:schemeClr w14:val="tx1"/>
            </w14:solidFill>
          </w14:textFill>
        </w:rPr>
        <w:t>（1）以不高于同期市场价格或其向任何第三方销售同类产品的价格提供合同设备正常运行</w:t>
      </w:r>
      <w:r>
        <w:rPr>
          <w:rFonts w:hint="eastAsia" w:ascii="宋体" w:hAnsi="宋体" w:eastAsia="宋体" w:cs="宋体"/>
          <w:b w:val="0"/>
          <w:bCs w:val="0"/>
          <w:color w:val="000000" w:themeColor="text1"/>
          <w:szCs w:val="24"/>
          <w14:textFill>
            <w14:solidFill>
              <w14:schemeClr w14:val="tx1"/>
            </w14:solidFill>
          </w14:textFill>
        </w:rPr>
        <w:t>所需的全部备品备件。或</w:t>
      </w:r>
    </w:p>
    <w:p w14:paraId="6CF7677C">
      <w:pPr>
        <w:pStyle w:val="14"/>
        <w:spacing w:line="500" w:lineRule="exact"/>
        <w:ind w:firstLine="464"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pacing w:val="-4"/>
          <w:szCs w:val="24"/>
          <w14:textFill>
            <w14:solidFill>
              <w14:schemeClr w14:val="tx1"/>
            </w14:solidFill>
          </w14:textFill>
        </w:rPr>
        <w:t>（2）免费提供可供买方或第三方制造停产备品备件所需的全部技术资料，以便买方持续获</w:t>
      </w:r>
      <w:r>
        <w:rPr>
          <w:rFonts w:hint="eastAsia" w:ascii="宋体" w:hAnsi="宋体" w:eastAsia="宋体" w:cs="宋体"/>
          <w:b w:val="0"/>
          <w:bCs w:val="0"/>
          <w:color w:val="000000" w:themeColor="text1"/>
          <w:spacing w:val="-1"/>
          <w:szCs w:val="24"/>
          <w14:textFill>
            <w14:solidFill>
              <w14:schemeClr w14:val="tx1"/>
            </w14:solidFill>
          </w14:textFill>
        </w:rPr>
        <w:t>得上述备品备件以满足合同设备在寿命期内正常运行的需要。卖方保证买方或买方委托的第三</w:t>
      </w:r>
      <w:r>
        <w:rPr>
          <w:rFonts w:hint="eastAsia" w:ascii="宋体" w:hAnsi="宋体" w:eastAsia="宋体" w:cs="宋体"/>
          <w:b w:val="0"/>
          <w:bCs w:val="0"/>
          <w:color w:val="000000" w:themeColor="text1"/>
          <w:szCs w:val="24"/>
          <w14:textFill>
            <w14:solidFill>
              <w14:schemeClr w14:val="tx1"/>
            </w14:solidFill>
          </w14:textFill>
        </w:rPr>
        <w:t>方制造及买方使用这些备品备件不侵犯任何人的知识产权。</w:t>
      </w:r>
    </w:p>
    <w:p w14:paraId="58769EC1">
      <w:pPr>
        <w:pStyle w:val="89"/>
        <w:spacing w:line="500" w:lineRule="exact"/>
        <w:ind w:left="0" w:right="0" w:firstLine="480" w:firstLineChars="200"/>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11.8 卖方保证，在合同设备设计使用寿命期内，如果卖方发现合同设备由于设计、制造、标识等原因存在足以危及人身、财产安全的缺陷，卖方将及时通知买方并及时采取修正或者补充标识、修理、更换等措施消除缺陷。</w:t>
      </w:r>
      <w:bookmarkStart w:id="216" w:name="_bookmark136"/>
      <w:bookmarkEnd w:id="216"/>
    </w:p>
    <w:p w14:paraId="401E8F20">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12. 知识产权</w:t>
      </w:r>
    </w:p>
    <w:p w14:paraId="7FFA7D58">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12.1买方在履行合同过程中提供给卖方的全部图纸、文件和其他含有数据和信息的资料，其知识产权属于买方。</w:t>
      </w:r>
    </w:p>
    <w:p w14:paraId="20E2F978">
      <w:pPr>
        <w:pStyle w:val="14"/>
        <w:spacing w:line="500" w:lineRule="exact"/>
        <w:ind w:firstLine="496" w:firstLineChars="200"/>
        <w:jc w:val="left"/>
        <w:rPr>
          <w:rFonts w:hint="eastAsia" w:ascii="宋体" w:hAnsi="宋体" w:eastAsia="宋体" w:cs="宋体"/>
          <w:b w:val="0"/>
          <w:bCs w:val="0"/>
          <w:color w:val="000000" w:themeColor="text1"/>
          <w:spacing w:val="-6"/>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12.2</w:t>
      </w:r>
      <w:r>
        <w:rPr>
          <w:rFonts w:hint="eastAsia" w:ascii="宋体" w:hAnsi="宋体" w:eastAsia="宋体" w:cs="宋体"/>
          <w:b w:val="0"/>
          <w:bCs w:val="0"/>
          <w:color w:val="000000" w:themeColor="text1"/>
          <w:spacing w:val="-3"/>
          <w:szCs w:val="24"/>
          <w14:textFill>
            <w14:solidFill>
              <w14:schemeClr w14:val="tx1"/>
            </w14:solidFill>
          </w14:textFill>
        </w:rPr>
        <w:t>除专用合同条款另有约定外，买方不因签署和履行合同而享有卖方在履行合同过程中</w:t>
      </w:r>
      <w:r>
        <w:rPr>
          <w:rFonts w:hint="eastAsia" w:ascii="宋体" w:hAnsi="宋体" w:eastAsia="宋体" w:cs="宋体"/>
          <w:b w:val="0"/>
          <w:bCs w:val="0"/>
          <w:color w:val="000000" w:themeColor="text1"/>
          <w:spacing w:val="-6"/>
          <w:szCs w:val="24"/>
          <w14:textFill>
            <w14:solidFill>
              <w14:schemeClr w14:val="tx1"/>
            </w14:solidFill>
          </w14:textFill>
        </w:rPr>
        <w:t xml:space="preserve">提供给买方的图纸、文件、配套软件、电子辅助程序和其他含有数据和信息的资料的知识产权。 </w:t>
      </w:r>
    </w:p>
    <w:p w14:paraId="29F4E9F8">
      <w:pPr>
        <w:pStyle w:val="14"/>
        <w:spacing w:line="500" w:lineRule="exact"/>
        <w:ind w:firstLine="496" w:firstLineChars="200"/>
        <w:jc w:val="left"/>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12.3</w:t>
      </w:r>
      <w:r>
        <w:rPr>
          <w:rFonts w:hint="eastAsia" w:ascii="宋体" w:hAnsi="宋体" w:eastAsia="宋体" w:cs="宋体"/>
          <w:b w:val="0"/>
          <w:bCs w:val="0"/>
          <w:color w:val="000000" w:themeColor="text1"/>
          <w:spacing w:val="-3"/>
          <w:szCs w:val="24"/>
          <w14:textFill>
            <w14:solidFill>
              <w14:schemeClr w14:val="tx1"/>
            </w14:solidFill>
          </w14:textFill>
        </w:rPr>
        <w:t>如合同设备涉及知识产权，则卖方保证买方在使用合同设备过程中免于受到第三方提</w:t>
      </w:r>
      <w:r>
        <w:rPr>
          <w:rFonts w:hint="eastAsia" w:ascii="宋体" w:hAnsi="宋体" w:eastAsia="宋体" w:cs="宋体"/>
          <w:b w:val="0"/>
          <w:bCs w:val="0"/>
          <w:color w:val="000000" w:themeColor="text1"/>
          <w:szCs w:val="24"/>
          <w14:textFill>
            <w14:solidFill>
              <w14:schemeClr w14:val="tx1"/>
            </w14:solidFill>
          </w14:textFill>
        </w:rPr>
        <w:t>出的有关知识产权侵权的主张、索赔或诉讼的伤害。</w:t>
      </w:r>
    </w:p>
    <w:p w14:paraId="4650D49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12.4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28 日内未作表示，买方可以自己的名义进行这些索赔或诉讼，因此发生的费用和遭受的损失均应由卖方承担。</w:t>
      </w:r>
    </w:p>
    <w:p w14:paraId="238F5676">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bookmarkStart w:id="217" w:name="_bookmark137"/>
      <w:bookmarkEnd w:id="217"/>
      <w:r>
        <w:rPr>
          <w:rFonts w:hint="eastAsia" w:ascii="宋体" w:hAnsi="宋体" w:eastAsia="宋体" w:cs="宋体"/>
          <w:b w:val="0"/>
          <w:bCs w:val="0"/>
          <w:color w:val="000000" w:themeColor="text1"/>
          <w:sz w:val="24"/>
          <w:szCs w:val="24"/>
          <w14:textFill>
            <w14:solidFill>
              <w14:schemeClr w14:val="tx1"/>
            </w14:solidFill>
          </w14:textFill>
        </w:rPr>
        <w:t>13.保密</w:t>
      </w:r>
    </w:p>
    <w:p w14:paraId="45C65CD3">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合同双方应对因履行合同而取得的另一方当事人的信息、资料等予以保密。未经另一方当事人书面同意，任何一方均不得为与履行合同无关的目的使用或向第三方披露另一方当事人提供的信息、资料。</w:t>
      </w:r>
    </w:p>
    <w:p w14:paraId="08FFC7F4">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合同当事人的保密义务不适用于下列信息：</w:t>
      </w:r>
    </w:p>
    <w:p w14:paraId="21B84013">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（1）非因接受信息一方的过失现在或以后进入公共领域的信息；</w:t>
      </w:r>
    </w:p>
    <w:p w14:paraId="0FF2967F">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（2）接受信息一方当事人合法地从第三方获得并且据其善意了解第三方也不对此承担保密义务的信息；</w:t>
      </w:r>
    </w:p>
    <w:p w14:paraId="6466534E">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（3）法律或法律的执行要求披露的信息。</w:t>
      </w:r>
    </w:p>
    <w:p w14:paraId="19407FAF">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bookmarkStart w:id="218" w:name="_bookmark138"/>
      <w:bookmarkEnd w:id="218"/>
      <w:r>
        <w:rPr>
          <w:rFonts w:hint="eastAsia" w:ascii="宋体" w:hAnsi="宋体" w:eastAsia="宋体" w:cs="宋体"/>
          <w:b w:val="0"/>
          <w:bCs w:val="0"/>
          <w:color w:val="000000" w:themeColor="text1"/>
          <w:sz w:val="24"/>
          <w:szCs w:val="24"/>
          <w14:textFill>
            <w14:solidFill>
              <w14:schemeClr w14:val="tx1"/>
            </w14:solidFill>
          </w14:textFill>
        </w:rPr>
        <w:t>14.  违约责任</w:t>
      </w:r>
    </w:p>
    <w:p w14:paraId="2AEC6092">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14.1 合同一方不履行合同义务、履行合同义务不符合约定或者违反合同项下所作保证的，应向对方承担继续履行、采取修理、更换、退货等补救措施或者赔偿损失等违约责任。</w:t>
      </w:r>
    </w:p>
    <w:p w14:paraId="183A9C9F">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 xml:space="preserve">14.2 </w:t>
      </w:r>
      <w:r>
        <w:rPr>
          <w:rFonts w:hint="eastAsia" w:ascii="宋体" w:hAnsi="宋体" w:eastAsia="宋体" w:cs="宋体"/>
          <w:b w:val="0"/>
          <w:bCs w:val="0"/>
          <w:color w:val="000000" w:themeColor="text1"/>
          <w:spacing w:val="-3"/>
          <w:szCs w:val="24"/>
          <w14:textFill>
            <w14:solidFill>
              <w14:schemeClr w14:val="tx1"/>
            </w14:solidFill>
          </w14:textFill>
        </w:rPr>
        <w:t>卖方未能按时交付合同设备（包括仅迟延交付技术资料但足以导致合同设备安装、调</w:t>
      </w:r>
      <w:r>
        <w:rPr>
          <w:rFonts w:hint="eastAsia" w:ascii="宋体" w:hAnsi="宋体" w:eastAsia="宋体" w:cs="宋体"/>
          <w:b w:val="0"/>
          <w:bCs w:val="0"/>
          <w:color w:val="000000" w:themeColor="text1"/>
          <w:spacing w:val="-6"/>
          <w:szCs w:val="24"/>
          <w14:textFill>
            <w14:solidFill>
              <w14:schemeClr w14:val="tx1"/>
            </w14:solidFill>
          </w14:textFill>
        </w:rPr>
        <w:t>试、考核、验收工作推迟的）的，应向买方支付迟延交付违约金。除专用合同条款另有约定外，</w:t>
      </w:r>
      <w:r>
        <w:rPr>
          <w:rFonts w:hint="eastAsia" w:ascii="宋体" w:hAnsi="宋体" w:eastAsia="宋体" w:cs="宋体"/>
          <w:b w:val="0"/>
          <w:bCs w:val="0"/>
          <w:color w:val="000000" w:themeColor="text1"/>
          <w:szCs w:val="24"/>
          <w14:textFill>
            <w14:solidFill>
              <w14:schemeClr w14:val="tx1"/>
            </w14:solidFill>
          </w14:textFill>
        </w:rPr>
        <w:t>迟延交付违约金的计算方法如下：</w:t>
      </w:r>
    </w:p>
    <w:p w14:paraId="133C8BF1">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（1）从迟交的第一周到第四周，每周迟延交付违约金为迟交合同设备价格的 0.5%；</w:t>
      </w:r>
    </w:p>
    <w:p w14:paraId="79076702">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（2）从迟交的第五周到第八周，每周迟延交付违约金为迟交合同设备价格的 1%；</w:t>
      </w:r>
    </w:p>
    <w:p w14:paraId="54C3319C">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（3）从迟交第九周起，每周迟延交付违约金为迟交合同设备价格的 1.5%。在计算迟延交付违约金时，迟交不足一周的按一周计算。迟延交付违约金的总额不得超过合同价格的 10%。迟延交付违约金的支付不能免除卖方继续交付相关合同设备的义务，但如迟延交付必然导致合同设备安装、调试、考核、验收工作推迟的，相关工作应相应顺延。</w:t>
      </w:r>
    </w:p>
    <w:p w14:paraId="108FBA2E">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14.3 买方未能按合同约定支付合同价款的，应向卖方支付延迟付款违约金。除专用合同条款另有约定外，迟延付款违约金的计算方法如下：</w:t>
      </w:r>
    </w:p>
    <w:p w14:paraId="14E95DEA">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（1）从迟付的第一周到第四周，每周迟延付款违约金为迟延付款金额的 0.5%；</w:t>
      </w:r>
    </w:p>
    <w:p w14:paraId="734AFA77">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（2）从迟付的第五周到第八周，每周迟延付款违约金为迟延付款金额的 1%；</w:t>
      </w:r>
    </w:p>
    <w:p w14:paraId="095FF058">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（3）从迟付第九周起，每周迟延付款违约金为迟延付款金额的 1.5%。在计算迟延付款违约金时，迟付不足一周的按一周计算。迟延付款违约金的总额不得超过</w:t>
      </w:r>
    </w:p>
    <w:p w14:paraId="53F18BAC">
      <w:pPr>
        <w:pStyle w:val="14"/>
        <w:spacing w:line="500" w:lineRule="exact"/>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合同价格的10%。</w:t>
      </w:r>
    </w:p>
    <w:p w14:paraId="34CF3CC8">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bookmarkStart w:id="219" w:name="_bookmark139"/>
      <w:bookmarkEnd w:id="219"/>
      <w:r>
        <w:rPr>
          <w:rFonts w:hint="eastAsia" w:ascii="宋体" w:hAnsi="宋体" w:eastAsia="宋体" w:cs="宋体"/>
          <w:b w:val="0"/>
          <w:bCs w:val="0"/>
          <w:color w:val="000000" w:themeColor="text1"/>
          <w:sz w:val="24"/>
          <w:szCs w:val="24"/>
          <w14:textFill>
            <w14:solidFill>
              <w14:schemeClr w14:val="tx1"/>
            </w14:solidFill>
          </w14:textFill>
        </w:rPr>
        <w:t>15. 合同的解除</w:t>
      </w:r>
    </w:p>
    <w:p w14:paraId="26DBEE0B">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除专用合同条款另有约定外，有下述情形之一，当事人可发出书面通知全部或部分地解除合同，合同自通知到达对方时全部或部分地解除：</w:t>
      </w:r>
    </w:p>
    <w:p w14:paraId="4219E826">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（1）卖方迟延交付合同设备超过3 个月；</w:t>
      </w:r>
    </w:p>
    <w:p w14:paraId="45690E58">
      <w:pPr>
        <w:pStyle w:val="14"/>
        <w:spacing w:line="500" w:lineRule="exact"/>
        <w:ind w:firstLine="464"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pacing w:val="-4"/>
          <w:szCs w:val="24"/>
          <w14:textFill>
            <w14:solidFill>
              <w14:schemeClr w14:val="tx1"/>
            </w14:solidFill>
          </w14:textFill>
        </w:rPr>
        <w:t>（2）合同设备由于卖方原因三次考核均未能达到技术性能考核指标或在合同约定了或双方</w:t>
      </w:r>
      <w:r>
        <w:rPr>
          <w:rFonts w:hint="eastAsia" w:ascii="宋体" w:hAnsi="宋体" w:eastAsia="宋体" w:cs="宋体"/>
          <w:b w:val="0"/>
          <w:bCs w:val="0"/>
          <w:color w:val="000000" w:themeColor="text1"/>
          <w:spacing w:val="-1"/>
          <w:szCs w:val="24"/>
          <w14:textFill>
            <w14:solidFill>
              <w14:schemeClr w14:val="tx1"/>
            </w14:solidFill>
          </w14:textFill>
        </w:rPr>
        <w:t>在考核中另行达成了最低技术性能考核指标时均未能达到最低技术性能考核指标，且买卖双方</w:t>
      </w:r>
      <w:r>
        <w:rPr>
          <w:rFonts w:hint="eastAsia" w:ascii="宋体" w:hAnsi="宋体" w:eastAsia="宋体" w:cs="宋体"/>
          <w:b w:val="0"/>
          <w:bCs w:val="0"/>
          <w:color w:val="000000" w:themeColor="text1"/>
          <w:szCs w:val="24"/>
          <w14:textFill>
            <w14:solidFill>
              <w14:schemeClr w14:val="tx1"/>
            </w14:solidFill>
          </w14:textFill>
        </w:rPr>
        <w:t>未就合同的后续履行协商达成一致；</w:t>
      </w:r>
    </w:p>
    <w:p w14:paraId="41E2BF10">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（3）买方迟延付款超过3 个月；</w:t>
      </w:r>
    </w:p>
    <w:p w14:paraId="598F007F">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（4）合同一方当事</w:t>
      </w:r>
      <w:r>
        <w:rPr>
          <w:rFonts w:hint="eastAsia" w:ascii="宋体" w:hAnsi="宋体" w:eastAsia="宋体" w:cs="宋体"/>
          <w:b w:val="0"/>
          <w:bCs w:val="0"/>
          <w:color w:val="000000" w:themeColor="text1"/>
          <w:spacing w:val="-3"/>
          <w:szCs w:val="24"/>
          <w14:textFill>
            <w14:solidFill>
              <w14:schemeClr w14:val="tx1"/>
            </w14:solidFill>
          </w14:textFill>
        </w:rPr>
        <w:t>人</w:t>
      </w:r>
      <w:r>
        <w:rPr>
          <w:rFonts w:hint="eastAsia" w:ascii="宋体" w:hAnsi="宋体" w:eastAsia="宋体" w:cs="宋体"/>
          <w:b w:val="0"/>
          <w:bCs w:val="0"/>
          <w:color w:val="000000" w:themeColor="text1"/>
          <w:szCs w:val="24"/>
          <w14:textFill>
            <w14:solidFill>
              <w14:schemeClr w14:val="tx1"/>
            </w14:solidFill>
          </w14:textFill>
        </w:rPr>
        <w:t>未</w:t>
      </w:r>
      <w:r>
        <w:rPr>
          <w:rFonts w:hint="eastAsia" w:ascii="宋体" w:hAnsi="宋体" w:eastAsia="宋体" w:cs="宋体"/>
          <w:b w:val="0"/>
          <w:bCs w:val="0"/>
          <w:color w:val="000000" w:themeColor="text1"/>
          <w:spacing w:val="-3"/>
          <w:szCs w:val="24"/>
          <w14:textFill>
            <w14:solidFill>
              <w14:schemeClr w14:val="tx1"/>
            </w14:solidFill>
          </w14:textFill>
        </w:rPr>
        <w:t>能</w:t>
      </w:r>
      <w:r>
        <w:rPr>
          <w:rFonts w:hint="eastAsia" w:ascii="宋体" w:hAnsi="宋体" w:eastAsia="宋体" w:cs="宋体"/>
          <w:b w:val="0"/>
          <w:bCs w:val="0"/>
          <w:color w:val="000000" w:themeColor="text1"/>
          <w:szCs w:val="24"/>
          <w14:textFill>
            <w14:solidFill>
              <w14:schemeClr w14:val="tx1"/>
            </w14:solidFill>
          </w14:textFill>
        </w:rPr>
        <w:t>履行合同项下任</w:t>
      </w:r>
      <w:r>
        <w:rPr>
          <w:rFonts w:hint="eastAsia" w:ascii="宋体" w:hAnsi="宋体" w:eastAsia="宋体" w:cs="宋体"/>
          <w:b w:val="0"/>
          <w:bCs w:val="0"/>
          <w:color w:val="000000" w:themeColor="text1"/>
          <w:spacing w:val="-3"/>
          <w:szCs w:val="24"/>
          <w14:textFill>
            <w14:solidFill>
              <w14:schemeClr w14:val="tx1"/>
            </w14:solidFill>
          </w14:textFill>
        </w:rPr>
        <w:t>何</w:t>
      </w:r>
      <w:r>
        <w:rPr>
          <w:rFonts w:hint="eastAsia" w:ascii="宋体" w:hAnsi="宋体" w:eastAsia="宋体" w:cs="宋体"/>
          <w:b w:val="0"/>
          <w:bCs w:val="0"/>
          <w:color w:val="000000" w:themeColor="text1"/>
          <w:szCs w:val="24"/>
          <w14:textFill>
            <w14:solidFill>
              <w14:schemeClr w14:val="tx1"/>
            </w14:solidFill>
          </w14:textFill>
        </w:rPr>
        <w:t>其它</w:t>
      </w:r>
      <w:r>
        <w:rPr>
          <w:rFonts w:hint="eastAsia" w:ascii="宋体" w:hAnsi="宋体" w:eastAsia="宋体" w:cs="宋体"/>
          <w:b w:val="0"/>
          <w:bCs w:val="0"/>
          <w:color w:val="000000" w:themeColor="text1"/>
          <w:spacing w:val="-3"/>
          <w:szCs w:val="24"/>
          <w14:textFill>
            <w14:solidFill>
              <w14:schemeClr w14:val="tx1"/>
            </w14:solidFill>
          </w14:textFill>
        </w:rPr>
        <w:t>义</w:t>
      </w:r>
      <w:r>
        <w:rPr>
          <w:rFonts w:hint="eastAsia" w:ascii="宋体" w:hAnsi="宋体" w:eastAsia="宋体" w:cs="宋体"/>
          <w:b w:val="0"/>
          <w:bCs w:val="0"/>
          <w:color w:val="000000" w:themeColor="text1"/>
          <w:szCs w:val="24"/>
          <w14:textFill>
            <w14:solidFill>
              <w14:schemeClr w14:val="tx1"/>
            </w14:solidFill>
          </w14:textFill>
        </w:rPr>
        <w:t>务（细微义务除</w:t>
      </w:r>
      <w:r>
        <w:rPr>
          <w:rFonts w:hint="eastAsia" w:ascii="宋体" w:hAnsi="宋体" w:eastAsia="宋体" w:cs="宋体"/>
          <w:b w:val="0"/>
          <w:bCs w:val="0"/>
          <w:color w:val="000000" w:themeColor="text1"/>
          <w:spacing w:val="-3"/>
          <w:szCs w:val="24"/>
          <w14:textFill>
            <w14:solidFill>
              <w14:schemeClr w14:val="tx1"/>
            </w14:solidFill>
          </w14:textFill>
        </w:rPr>
        <w:t>外</w:t>
      </w:r>
      <w:r>
        <w:rPr>
          <w:rFonts w:hint="eastAsia" w:ascii="宋体" w:hAnsi="宋体" w:eastAsia="宋体" w:cs="宋体"/>
          <w:b w:val="0"/>
          <w:bCs w:val="0"/>
          <w:color w:val="000000" w:themeColor="text1"/>
          <w:spacing w:val="-104"/>
          <w:szCs w:val="24"/>
          <w14:textFill>
            <w14:solidFill>
              <w14:schemeClr w14:val="tx1"/>
            </w14:solidFill>
          </w14:textFill>
        </w:rPr>
        <w:t>）</w:t>
      </w:r>
      <w:r>
        <w:rPr>
          <w:rFonts w:hint="eastAsia" w:ascii="宋体" w:hAnsi="宋体" w:eastAsia="宋体" w:cs="宋体"/>
          <w:b w:val="0"/>
          <w:bCs w:val="0"/>
          <w:color w:val="000000" w:themeColor="text1"/>
          <w:spacing w:val="-3"/>
          <w:szCs w:val="24"/>
          <w14:textFill>
            <w14:solidFill>
              <w14:schemeClr w14:val="tx1"/>
            </w14:solidFill>
          </w14:textFill>
        </w:rPr>
        <w:t>，</w:t>
      </w:r>
      <w:r>
        <w:rPr>
          <w:rFonts w:hint="eastAsia" w:ascii="宋体" w:hAnsi="宋体" w:eastAsia="宋体" w:cs="宋体"/>
          <w:b w:val="0"/>
          <w:bCs w:val="0"/>
          <w:color w:val="000000" w:themeColor="text1"/>
          <w:szCs w:val="24"/>
          <w14:textFill>
            <w14:solidFill>
              <w14:schemeClr w14:val="tx1"/>
            </w14:solidFill>
          </w14:textFill>
        </w:rPr>
        <w:t>或</w:t>
      </w:r>
      <w:r>
        <w:rPr>
          <w:rFonts w:hint="eastAsia" w:ascii="宋体" w:hAnsi="宋体" w:eastAsia="宋体" w:cs="宋体"/>
          <w:b w:val="0"/>
          <w:bCs w:val="0"/>
          <w:color w:val="000000" w:themeColor="text1"/>
          <w:spacing w:val="-3"/>
          <w:szCs w:val="24"/>
          <w14:textFill>
            <w14:solidFill>
              <w14:schemeClr w14:val="tx1"/>
            </w14:solidFill>
          </w14:textFill>
        </w:rPr>
        <w:t>在</w:t>
      </w:r>
      <w:r>
        <w:rPr>
          <w:rFonts w:hint="eastAsia" w:ascii="宋体" w:hAnsi="宋体" w:eastAsia="宋体" w:cs="宋体"/>
          <w:b w:val="0"/>
          <w:bCs w:val="0"/>
          <w:color w:val="000000" w:themeColor="text1"/>
          <w:szCs w:val="24"/>
          <w14:textFill>
            <w14:solidFill>
              <w14:schemeClr w14:val="tx1"/>
            </w14:solidFill>
          </w14:textFill>
        </w:rPr>
        <w:t>未事先征得</w:t>
      </w:r>
      <w:r>
        <w:rPr>
          <w:rFonts w:hint="eastAsia" w:ascii="宋体" w:hAnsi="宋体" w:eastAsia="宋体" w:cs="宋体"/>
          <w:b w:val="0"/>
          <w:bCs w:val="0"/>
          <w:color w:val="000000" w:themeColor="text1"/>
          <w:spacing w:val="-1"/>
          <w:szCs w:val="24"/>
          <w14:textFill>
            <w14:solidFill>
              <w14:schemeClr w14:val="tx1"/>
            </w14:solidFill>
          </w14:textFill>
        </w:rPr>
        <w:t xml:space="preserve">另一方当事人同意的情况下，从事任何可能在实质上不利影响其履行合同能力的活动，经另一 </w:t>
      </w:r>
      <w:r>
        <w:rPr>
          <w:rFonts w:hint="eastAsia" w:ascii="宋体" w:hAnsi="宋体" w:eastAsia="宋体" w:cs="宋体"/>
          <w:b w:val="0"/>
          <w:bCs w:val="0"/>
          <w:color w:val="000000" w:themeColor="text1"/>
          <w:szCs w:val="24"/>
          <w14:textFill>
            <w14:solidFill>
              <w14:schemeClr w14:val="tx1"/>
            </w14:solidFill>
          </w14:textFill>
        </w:rPr>
        <w:t>方当事人书面通知后14日内或在专用合同条款约定的其他期限内未能对其行为作出补救；</w:t>
      </w:r>
    </w:p>
    <w:p w14:paraId="66CBC20A">
      <w:pPr>
        <w:pStyle w:val="89"/>
        <w:spacing w:line="500" w:lineRule="exact"/>
        <w:ind w:left="0" w:right="0" w:firstLine="464" w:firstLineChars="200"/>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4"/>
          <w:sz w:val="24"/>
          <w:szCs w:val="24"/>
          <w14:textFill>
            <w14:solidFill>
              <w14:schemeClr w14:val="tx1"/>
            </w14:solidFill>
          </w14:textFill>
        </w:rPr>
        <w:t>（5）合同一方当事人出现破产、清算、资不抵债、成为失信被执行人等可能丧失履约能力</w:t>
      </w:r>
      <w:r>
        <w:rPr>
          <w:rFonts w:hint="eastAsia" w:ascii="宋体" w:hAnsi="宋体" w:eastAsia="宋体" w:cs="宋体"/>
          <w:b w:val="0"/>
          <w:bCs w:val="0"/>
          <w:color w:val="000000" w:themeColor="text1"/>
          <w:sz w:val="24"/>
          <w:szCs w:val="24"/>
          <w14:textFill>
            <w14:solidFill>
              <w14:schemeClr w14:val="tx1"/>
            </w14:solidFill>
          </w14:textFill>
        </w:rPr>
        <w:t>的情形，且未能提供令对方满意的履约保证金。</w:t>
      </w:r>
      <w:bookmarkStart w:id="220" w:name="_bookmark140"/>
      <w:bookmarkEnd w:id="220"/>
    </w:p>
    <w:p w14:paraId="3A1613AD">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16. 不可抗力</w:t>
      </w:r>
    </w:p>
    <w:p w14:paraId="02D2B13E">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16.1</w:t>
      </w:r>
      <w:r>
        <w:rPr>
          <w:rFonts w:hint="eastAsia" w:ascii="宋体" w:hAnsi="宋体" w:eastAsia="宋体" w:cs="宋体"/>
          <w:b w:val="0"/>
          <w:bCs w:val="0"/>
          <w:color w:val="000000" w:themeColor="text1"/>
          <w:spacing w:val="-3"/>
          <w:szCs w:val="24"/>
          <w14:textFill>
            <w14:solidFill>
              <w14:schemeClr w14:val="tx1"/>
            </w14:solidFill>
          </w14:textFill>
        </w:rPr>
        <w:t>如果任何一方当事人受到不能预见、不能避免且不能克服的不可抗力事件的影响，例</w:t>
      </w:r>
      <w:r>
        <w:rPr>
          <w:rFonts w:hint="eastAsia" w:ascii="宋体" w:hAnsi="宋体" w:eastAsia="宋体" w:cs="宋体"/>
          <w:b w:val="0"/>
          <w:bCs w:val="0"/>
          <w:color w:val="000000" w:themeColor="text1"/>
          <w:spacing w:val="-1"/>
          <w:szCs w:val="24"/>
          <w14:textFill>
            <w14:solidFill>
              <w14:schemeClr w14:val="tx1"/>
            </w14:solidFill>
          </w14:textFill>
        </w:rPr>
        <w:t>如战争、严重的火灾、台风、地震、洪水和专用合同条款约定的其他情形，而无法履行合同项下的任何义务，则受影响的一方当事人应立即将此类事件的发生通知另一方当事人，并应在不</w:t>
      </w:r>
      <w:r>
        <w:rPr>
          <w:rFonts w:hint="eastAsia" w:ascii="宋体" w:hAnsi="宋体" w:eastAsia="宋体" w:cs="宋体"/>
          <w:b w:val="0"/>
          <w:bCs w:val="0"/>
          <w:color w:val="000000" w:themeColor="text1"/>
          <w:szCs w:val="24"/>
          <w14:textFill>
            <w14:solidFill>
              <w14:schemeClr w14:val="tx1"/>
            </w14:solidFill>
          </w14:textFill>
        </w:rPr>
        <w:t>可抗力事件发生后28 日内将有关当局或机构出具的证明文件提交给另一方当事人。</w:t>
      </w:r>
    </w:p>
    <w:p w14:paraId="137C4B82">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16.2受不可抗力事件影响的一方当事人对于不可抗力事件导致的任何合同义务的迟延履行或不能履行不承担违约责任。但该方当事人应尽快将不可抗力事件结束或消除的情况通知另一方当事人。</w:t>
      </w:r>
    </w:p>
    <w:p w14:paraId="5B3191F5">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16.3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14:paraId="09C38087">
      <w:pPr>
        <w:pStyle w:val="89"/>
        <w:spacing w:line="500" w:lineRule="exact"/>
        <w:ind w:left="0" w:right="0" w:firstLine="480" w:firstLineChars="200"/>
        <w:rPr>
          <w:rFonts w:hint="eastAsia" w:ascii="宋体" w:hAnsi="宋体" w:eastAsia="宋体" w:cs="宋体"/>
          <w:b w:val="0"/>
          <w:bCs w:val="0"/>
          <w:color w:val="000000" w:themeColor="text1"/>
          <w:sz w:val="24"/>
          <w:szCs w:val="24"/>
          <w14:textFill>
            <w14:solidFill>
              <w14:schemeClr w14:val="tx1"/>
            </w14:solidFill>
          </w14:textFill>
        </w:rPr>
      </w:pPr>
      <w:bookmarkStart w:id="221" w:name="_bookmark141"/>
      <w:bookmarkEnd w:id="221"/>
      <w:r>
        <w:rPr>
          <w:rFonts w:hint="eastAsia" w:ascii="宋体" w:hAnsi="宋体" w:eastAsia="宋体" w:cs="宋体"/>
          <w:b w:val="0"/>
          <w:bCs w:val="0"/>
          <w:color w:val="000000" w:themeColor="text1"/>
          <w:sz w:val="24"/>
          <w:szCs w:val="24"/>
          <w14:textFill>
            <w14:solidFill>
              <w14:schemeClr w14:val="tx1"/>
            </w14:solidFill>
          </w14:textFill>
        </w:rPr>
        <w:t>17.争议的解决</w:t>
      </w:r>
    </w:p>
    <w:p w14:paraId="3BD97881">
      <w:pPr>
        <w:pStyle w:val="14"/>
        <w:spacing w:line="500" w:lineRule="exact"/>
        <w:ind w:firstLine="472"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pacing w:val="-2"/>
          <w:szCs w:val="24"/>
          <w14:textFill>
            <w14:solidFill>
              <w14:schemeClr w14:val="tx1"/>
            </w14:solidFill>
          </w14:textFill>
        </w:rPr>
        <w:t>因本合同引起的或与本合同有关的任何争议,双方可通过友好协商解决。友好协商解决不成</w:t>
      </w:r>
      <w:r>
        <w:rPr>
          <w:rFonts w:hint="eastAsia" w:ascii="宋体" w:hAnsi="宋体" w:eastAsia="宋体" w:cs="宋体"/>
          <w:b w:val="0"/>
          <w:bCs w:val="0"/>
          <w:color w:val="000000" w:themeColor="text1"/>
          <w:szCs w:val="24"/>
          <w14:textFill>
            <w14:solidFill>
              <w14:schemeClr w14:val="tx1"/>
            </w14:solidFill>
          </w14:textFill>
        </w:rPr>
        <w:t>的，可在专用合同条款中约定下列一种方式解决：</w:t>
      </w:r>
    </w:p>
    <w:p w14:paraId="48E4F1C4">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（1）向约定的仲裁委员会申请仲裁；</w:t>
      </w:r>
    </w:p>
    <w:p w14:paraId="66C77BCA">
      <w:pPr>
        <w:pStyle w:val="14"/>
        <w:spacing w:line="500" w:lineRule="exact"/>
        <w:ind w:firstLine="496" w:firstLineChars="20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（2）向有管辖权的人民法院提起诉讼。</w:t>
      </w:r>
    </w:p>
    <w:p w14:paraId="350C9D7C">
      <w:pPr>
        <w:rPr>
          <w:rFonts w:hint="eastAsia" w:ascii="宋体" w:hAnsi="宋体" w:eastAsia="宋体" w:cs="宋体"/>
          <w:color w:val="000000" w:themeColor="text1"/>
          <w14:textFill>
            <w14:solidFill>
              <w14:schemeClr w14:val="tx1"/>
            </w14:solidFill>
          </w14:textFill>
        </w:rPr>
      </w:pPr>
    </w:p>
    <w:p w14:paraId="20EE42A5">
      <w:pPr>
        <w:rPr>
          <w:rFonts w:hint="eastAsia" w:ascii="宋体" w:hAnsi="宋体" w:eastAsia="宋体" w:cs="宋体"/>
          <w:color w:val="000000" w:themeColor="text1"/>
          <w14:textFill>
            <w14:solidFill>
              <w14:schemeClr w14:val="tx1"/>
            </w14:solidFill>
          </w14:textFill>
        </w:rPr>
      </w:pPr>
    </w:p>
    <w:p w14:paraId="23D2F843">
      <w:pPr>
        <w:rPr>
          <w:rFonts w:hint="eastAsia" w:ascii="宋体" w:hAnsi="宋体" w:eastAsia="宋体" w:cs="宋体"/>
          <w:color w:val="000000" w:themeColor="text1"/>
          <w14:textFill>
            <w14:solidFill>
              <w14:schemeClr w14:val="tx1"/>
            </w14:solidFill>
          </w14:textFill>
        </w:rPr>
      </w:pPr>
    </w:p>
    <w:p w14:paraId="40E60506">
      <w:pPr>
        <w:rPr>
          <w:rFonts w:hint="eastAsia" w:ascii="宋体" w:hAnsi="宋体" w:eastAsia="宋体" w:cs="宋体"/>
          <w:color w:val="000000" w:themeColor="text1"/>
          <w14:textFill>
            <w14:solidFill>
              <w14:schemeClr w14:val="tx1"/>
            </w14:solidFill>
          </w14:textFill>
        </w:rPr>
      </w:pPr>
    </w:p>
    <w:p w14:paraId="46606743">
      <w:pPr>
        <w:rPr>
          <w:rFonts w:hint="eastAsia" w:ascii="宋体" w:hAnsi="宋体" w:eastAsia="宋体" w:cs="宋体"/>
          <w:color w:val="000000" w:themeColor="text1"/>
          <w14:textFill>
            <w14:solidFill>
              <w14:schemeClr w14:val="tx1"/>
            </w14:solidFill>
          </w14:textFill>
        </w:rPr>
      </w:pPr>
    </w:p>
    <w:p w14:paraId="3390ACE2">
      <w:pPr>
        <w:rPr>
          <w:rFonts w:hint="eastAsia" w:ascii="宋体" w:hAnsi="宋体" w:eastAsia="宋体" w:cs="宋体"/>
          <w:color w:val="000000" w:themeColor="text1"/>
          <w14:textFill>
            <w14:solidFill>
              <w14:schemeClr w14:val="tx1"/>
            </w14:solidFill>
          </w14:textFill>
        </w:rPr>
      </w:pPr>
    </w:p>
    <w:p w14:paraId="48A7F553">
      <w:pPr>
        <w:rPr>
          <w:rFonts w:hint="eastAsia" w:ascii="宋体" w:hAnsi="宋体" w:eastAsia="宋体" w:cs="宋体"/>
          <w:color w:val="000000" w:themeColor="text1"/>
          <w14:textFill>
            <w14:solidFill>
              <w14:schemeClr w14:val="tx1"/>
            </w14:solidFill>
          </w14:textFill>
        </w:rPr>
      </w:pPr>
    </w:p>
    <w:p w14:paraId="38664E33">
      <w:pPr>
        <w:rPr>
          <w:rFonts w:hint="eastAsia" w:ascii="宋体" w:hAnsi="宋体" w:eastAsia="宋体" w:cs="宋体"/>
          <w:color w:val="000000" w:themeColor="text1"/>
          <w14:textFill>
            <w14:solidFill>
              <w14:schemeClr w14:val="tx1"/>
            </w14:solidFill>
          </w14:textFill>
        </w:rPr>
      </w:pPr>
    </w:p>
    <w:p w14:paraId="575BAD09">
      <w:pPr>
        <w:rPr>
          <w:rFonts w:hint="eastAsia" w:ascii="宋体" w:hAnsi="宋体" w:eastAsia="宋体" w:cs="宋体"/>
          <w:color w:val="000000" w:themeColor="text1"/>
          <w14:textFill>
            <w14:solidFill>
              <w14:schemeClr w14:val="tx1"/>
            </w14:solidFill>
          </w14:textFill>
        </w:rPr>
      </w:pPr>
    </w:p>
    <w:p w14:paraId="10A1F8A3">
      <w:pPr>
        <w:rPr>
          <w:rFonts w:hint="eastAsia" w:ascii="宋体" w:hAnsi="宋体" w:eastAsia="宋体" w:cs="宋体"/>
          <w:color w:val="000000" w:themeColor="text1"/>
          <w14:textFill>
            <w14:solidFill>
              <w14:schemeClr w14:val="tx1"/>
            </w14:solidFill>
          </w14:textFill>
        </w:rPr>
      </w:pPr>
    </w:p>
    <w:p w14:paraId="65D61D9F">
      <w:pPr>
        <w:pStyle w:val="28"/>
        <w:rPr>
          <w:rFonts w:hint="eastAsia" w:ascii="宋体" w:hAnsi="宋体" w:eastAsia="宋体" w:cs="宋体"/>
          <w:color w:val="000000" w:themeColor="text1"/>
          <w14:textFill>
            <w14:solidFill>
              <w14:schemeClr w14:val="tx1"/>
            </w14:solidFill>
          </w14:textFill>
        </w:rPr>
      </w:pPr>
    </w:p>
    <w:p w14:paraId="501702DB">
      <w:pPr>
        <w:pStyle w:val="28"/>
        <w:rPr>
          <w:rFonts w:hint="eastAsia" w:ascii="宋体" w:hAnsi="宋体" w:eastAsia="宋体" w:cs="宋体"/>
          <w:color w:val="000000" w:themeColor="text1"/>
          <w14:textFill>
            <w14:solidFill>
              <w14:schemeClr w14:val="tx1"/>
            </w14:solidFill>
          </w14:textFill>
        </w:rPr>
      </w:pPr>
    </w:p>
    <w:p w14:paraId="0ED2363B">
      <w:pPr>
        <w:pStyle w:val="28"/>
        <w:rPr>
          <w:rFonts w:hint="eastAsia" w:ascii="宋体" w:hAnsi="宋体" w:eastAsia="宋体" w:cs="宋体"/>
          <w:color w:val="000000" w:themeColor="text1"/>
          <w14:textFill>
            <w14:solidFill>
              <w14:schemeClr w14:val="tx1"/>
            </w14:solidFill>
          </w14:textFill>
        </w:rPr>
      </w:pPr>
    </w:p>
    <w:p w14:paraId="56CC9E34">
      <w:pPr>
        <w:pStyle w:val="28"/>
        <w:rPr>
          <w:rFonts w:hint="eastAsia" w:ascii="宋体" w:hAnsi="宋体" w:eastAsia="宋体" w:cs="宋体"/>
          <w:color w:val="000000" w:themeColor="text1"/>
          <w14:textFill>
            <w14:solidFill>
              <w14:schemeClr w14:val="tx1"/>
            </w14:solidFill>
          </w14:textFill>
        </w:rPr>
      </w:pPr>
    </w:p>
    <w:p w14:paraId="2E88D598">
      <w:pPr>
        <w:pStyle w:val="28"/>
        <w:rPr>
          <w:rFonts w:hint="eastAsia" w:ascii="宋体" w:hAnsi="宋体" w:eastAsia="宋体" w:cs="宋体"/>
          <w:color w:val="000000" w:themeColor="text1"/>
          <w14:textFill>
            <w14:solidFill>
              <w14:schemeClr w14:val="tx1"/>
            </w14:solidFill>
          </w14:textFill>
        </w:rPr>
      </w:pPr>
    </w:p>
    <w:p w14:paraId="0BB889F3">
      <w:pPr>
        <w:pStyle w:val="28"/>
        <w:rPr>
          <w:rFonts w:hint="eastAsia" w:ascii="宋体" w:hAnsi="宋体" w:eastAsia="宋体" w:cs="宋体"/>
          <w:color w:val="000000" w:themeColor="text1"/>
          <w14:textFill>
            <w14:solidFill>
              <w14:schemeClr w14:val="tx1"/>
            </w14:solidFill>
          </w14:textFill>
        </w:rPr>
      </w:pPr>
    </w:p>
    <w:p w14:paraId="452EB053">
      <w:pPr>
        <w:pStyle w:val="28"/>
        <w:rPr>
          <w:rFonts w:hint="eastAsia" w:ascii="宋体" w:hAnsi="宋体" w:eastAsia="宋体" w:cs="宋体"/>
          <w:color w:val="000000" w:themeColor="text1"/>
          <w14:textFill>
            <w14:solidFill>
              <w14:schemeClr w14:val="tx1"/>
            </w14:solidFill>
          </w14:textFill>
        </w:rPr>
      </w:pPr>
    </w:p>
    <w:p w14:paraId="58515720">
      <w:pPr>
        <w:pStyle w:val="28"/>
        <w:rPr>
          <w:rFonts w:hint="eastAsia" w:ascii="宋体" w:hAnsi="宋体" w:eastAsia="宋体" w:cs="宋体"/>
          <w:color w:val="000000" w:themeColor="text1"/>
          <w14:textFill>
            <w14:solidFill>
              <w14:schemeClr w14:val="tx1"/>
            </w14:solidFill>
          </w14:textFill>
        </w:rPr>
      </w:pPr>
    </w:p>
    <w:p w14:paraId="4DE9297A">
      <w:pPr>
        <w:pStyle w:val="28"/>
        <w:rPr>
          <w:rFonts w:hint="eastAsia" w:ascii="宋体" w:hAnsi="宋体" w:eastAsia="宋体" w:cs="宋体"/>
          <w:color w:val="000000" w:themeColor="text1"/>
          <w14:textFill>
            <w14:solidFill>
              <w14:schemeClr w14:val="tx1"/>
            </w14:solidFill>
          </w14:textFill>
        </w:rPr>
      </w:pPr>
    </w:p>
    <w:p w14:paraId="37492222">
      <w:pPr>
        <w:pStyle w:val="28"/>
        <w:rPr>
          <w:rFonts w:hint="eastAsia" w:ascii="宋体" w:hAnsi="宋体" w:eastAsia="宋体" w:cs="宋体"/>
          <w:color w:val="000000" w:themeColor="text1"/>
          <w14:textFill>
            <w14:solidFill>
              <w14:schemeClr w14:val="tx1"/>
            </w14:solidFill>
          </w14:textFill>
        </w:rPr>
      </w:pPr>
    </w:p>
    <w:p w14:paraId="796CF92F">
      <w:pPr>
        <w:pStyle w:val="28"/>
        <w:rPr>
          <w:rFonts w:hint="eastAsia" w:ascii="宋体" w:hAnsi="宋体" w:eastAsia="宋体" w:cs="宋体"/>
          <w:color w:val="000000" w:themeColor="text1"/>
          <w14:textFill>
            <w14:solidFill>
              <w14:schemeClr w14:val="tx1"/>
            </w14:solidFill>
          </w14:textFill>
        </w:rPr>
      </w:pPr>
    </w:p>
    <w:p w14:paraId="50C07809">
      <w:pPr>
        <w:spacing w:line="600" w:lineRule="auto"/>
        <w:jc w:val="center"/>
        <w:outlineLvl w:val="0"/>
        <w:rPr>
          <w:rFonts w:hint="eastAsia" w:ascii="宋体" w:hAnsi="宋体" w:eastAsia="宋体" w:cs="宋体"/>
          <w:b/>
          <w:bCs/>
          <w:color w:val="000000" w:themeColor="text1"/>
          <w:sz w:val="36"/>
          <w:szCs w:val="36"/>
          <w14:textFill>
            <w14:solidFill>
              <w14:schemeClr w14:val="tx1"/>
            </w14:solidFill>
          </w14:textFill>
        </w:rPr>
      </w:pPr>
      <w:bookmarkStart w:id="222" w:name="_Toc13248"/>
      <w:r>
        <w:rPr>
          <w:rFonts w:hint="eastAsia" w:ascii="宋体" w:hAnsi="宋体" w:eastAsia="宋体" w:cs="宋体"/>
          <w:b/>
          <w:bCs/>
          <w:color w:val="000000" w:themeColor="text1"/>
          <w:sz w:val="36"/>
          <w:szCs w:val="36"/>
          <w14:textFill>
            <w14:solidFill>
              <w14:schemeClr w14:val="tx1"/>
            </w14:solidFill>
          </w14:textFill>
        </w:rPr>
        <w:br w:type="page"/>
      </w:r>
      <w:r>
        <w:rPr>
          <w:rFonts w:hint="eastAsia" w:ascii="宋体" w:hAnsi="宋体" w:eastAsia="宋体" w:cs="宋体"/>
          <w:b/>
          <w:bCs/>
          <w:color w:val="000000" w:themeColor="text1"/>
          <w:sz w:val="36"/>
          <w:szCs w:val="36"/>
          <w14:textFill>
            <w14:solidFill>
              <w14:schemeClr w14:val="tx1"/>
            </w14:solidFill>
          </w14:textFill>
        </w:rPr>
        <w:t>第五章 项目采购需求</w:t>
      </w:r>
      <w:bookmarkEnd w:id="172"/>
      <w:bookmarkEnd w:id="222"/>
    </w:p>
    <w:p w14:paraId="00D7CBCC">
      <w:pPr>
        <w:rPr>
          <w:rFonts w:hint="eastAsia" w:ascii="宋体" w:hAnsi="宋体" w:eastAsia="宋体" w:cs="宋体"/>
          <w:color w:val="000000" w:themeColor="text1"/>
          <w:sz w:val="24"/>
          <w:szCs w:val="24"/>
          <w14:textFill>
            <w14:solidFill>
              <w14:schemeClr w14:val="tx1"/>
            </w14:solidFill>
          </w14:textFill>
        </w:rPr>
      </w:pPr>
    </w:p>
    <w:p w14:paraId="05EAEF90">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一、采购内容</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none"/>
          <w:lang w:val="en-US" w:eastAsia="zh-CN"/>
          <w14:textFill>
            <w14:solidFill>
              <w14:schemeClr w14:val="tx1"/>
            </w14:solidFill>
          </w14:textFill>
        </w:rPr>
        <w:t>特种车辆采购</w:t>
      </w:r>
      <w:r>
        <w:rPr>
          <w:rFonts w:hint="eastAsia" w:ascii="宋体" w:hAnsi="宋体" w:eastAsia="宋体" w:cs="宋体"/>
          <w:color w:val="000000" w:themeColor="text1"/>
          <w:sz w:val="24"/>
          <w:szCs w:val="24"/>
          <w:u w:val="none"/>
          <w:lang w:val="en-US" w:eastAsia="zh-CN"/>
          <w14:textFill>
            <w14:solidFill>
              <w14:schemeClr w14:val="tx1"/>
            </w14:solidFill>
          </w14:textFill>
        </w:rPr>
        <w:t>。</w:t>
      </w:r>
    </w:p>
    <w:p w14:paraId="5614B96C">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二、交付地点：</w:t>
      </w:r>
      <w:r>
        <w:rPr>
          <w:rFonts w:hint="eastAsia" w:ascii="宋体" w:hAnsi="宋体" w:cs="宋体"/>
          <w:color w:val="000000" w:themeColor="text1"/>
          <w:sz w:val="24"/>
          <w:szCs w:val="24"/>
          <w14:textFill>
            <w14:solidFill>
              <w14:schemeClr w14:val="tx1"/>
            </w14:solidFill>
          </w14:textFill>
        </w:rPr>
        <w:t>采购人指定地点。</w:t>
      </w:r>
    </w:p>
    <w:p w14:paraId="341EC4DF">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color w:val="000000" w:themeColor="text1"/>
          <w:sz w:val="24"/>
          <w:szCs w:val="24"/>
          <w:highlight w:val="lightGray"/>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三、合同履行期限：</w:t>
      </w:r>
      <w:r>
        <w:rPr>
          <w:rFonts w:hint="eastAsia" w:ascii="宋体" w:hAnsi="宋体" w:eastAsia="宋体" w:cs="宋体"/>
          <w:color w:val="000000" w:themeColor="text1"/>
          <w:sz w:val="24"/>
          <w:szCs w:val="24"/>
          <w:highlight w:val="none"/>
          <w:lang w:val="zh-CN"/>
          <w14:textFill>
            <w14:solidFill>
              <w14:schemeClr w14:val="tx1"/>
            </w14:solidFill>
          </w14:textFill>
        </w:rPr>
        <w:t>自签订合同之日起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eastAsia="zh-CN"/>
          <w14:textFill>
            <w14:solidFill>
              <w14:schemeClr w14:val="tx1"/>
            </w14:solidFill>
          </w14:textFill>
        </w:rPr>
        <w:t>天</w:t>
      </w:r>
      <w:r>
        <w:rPr>
          <w:rFonts w:hint="eastAsia" w:ascii="宋体" w:hAnsi="宋体" w:eastAsia="宋体" w:cs="宋体"/>
          <w:color w:val="000000" w:themeColor="text1"/>
          <w:sz w:val="24"/>
          <w:szCs w:val="24"/>
          <w:highlight w:val="none"/>
          <w:u w:val="none"/>
          <w14:textFill>
            <w14:solidFill>
              <w14:schemeClr w14:val="tx1"/>
            </w14:solidFill>
          </w14:textFill>
        </w:rPr>
        <w:t>内</w:t>
      </w:r>
      <w:r>
        <w:rPr>
          <w:rFonts w:hint="eastAsia" w:ascii="宋体" w:hAnsi="宋体" w:eastAsia="宋体" w:cs="宋体"/>
          <w:color w:val="000000" w:themeColor="text1"/>
          <w:sz w:val="24"/>
          <w:szCs w:val="24"/>
          <w:highlight w:val="none"/>
          <w14:textFill>
            <w14:solidFill>
              <w14:schemeClr w14:val="tx1"/>
            </w14:solidFill>
          </w14:textFill>
        </w:rPr>
        <w:t>完成</w:t>
      </w:r>
      <w:r>
        <w:rPr>
          <w:rFonts w:hint="eastAsia" w:ascii="宋体" w:hAnsi="宋体" w:cs="宋体"/>
          <w:color w:val="000000" w:themeColor="text1"/>
          <w:sz w:val="24"/>
          <w:szCs w:val="24"/>
          <w:highlight w:val="none"/>
          <w:lang w:eastAsia="zh-CN"/>
          <w14:textFill>
            <w14:solidFill>
              <w14:schemeClr w14:val="tx1"/>
            </w14:solidFill>
          </w14:textFill>
        </w:rPr>
        <w:t>。</w:t>
      </w:r>
    </w:p>
    <w:p w14:paraId="11FD8472">
      <w:pPr>
        <w:pStyle w:val="14"/>
        <w:keepNext w:val="0"/>
        <w:keepLines w:val="0"/>
        <w:pageBreakBefore w:val="0"/>
        <w:widowControl w:val="0"/>
        <w:kinsoku/>
        <w:wordWrap/>
        <w:overflowPunct/>
        <w:topLinePunct w:val="0"/>
        <w:autoSpaceDE/>
        <w:autoSpaceDN/>
        <w:bidi w:val="0"/>
        <w:adjustRightInd/>
        <w:snapToGrid/>
        <w:spacing w:line="500" w:lineRule="exact"/>
        <w:ind w:firstLine="249" w:firstLineChars="100"/>
        <w:textAlignment w:val="auto"/>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t>四、预算金额：</w:t>
      </w:r>
      <w:r>
        <w:rPr>
          <w:rFonts w:hint="eastAsia" w:ascii="宋体" w:hAnsi="宋体" w:eastAsia="宋体" w:cs="宋体"/>
          <w:b w:val="0"/>
          <w:bCs w:val="0"/>
          <w:color w:val="000000" w:themeColor="text1"/>
          <w:kern w:val="0"/>
          <w:szCs w:val="24"/>
          <w14:textFill>
            <w14:solidFill>
              <w14:schemeClr w14:val="tx1"/>
            </w14:solidFill>
          </w14:textFill>
        </w:rPr>
        <w:t>人</w:t>
      </w:r>
      <w:r>
        <w:rPr>
          <w:rFonts w:hint="eastAsia" w:ascii="宋体" w:hAnsi="宋体" w:eastAsia="宋体" w:cs="宋体"/>
          <w:b w:val="0"/>
          <w:bCs w:val="0"/>
          <w:color w:val="000000" w:themeColor="text1"/>
          <w:kern w:val="0"/>
          <w:szCs w:val="24"/>
          <w:highlight w:val="none"/>
          <w14:textFill>
            <w14:solidFill>
              <w14:schemeClr w14:val="tx1"/>
            </w14:solidFill>
          </w14:textFill>
        </w:rPr>
        <w:t>民币</w:t>
      </w:r>
      <w:r>
        <w:rPr>
          <w:rFonts w:hint="eastAsia" w:ascii="宋体" w:eastAsia="宋体" w:cs="宋体"/>
          <w:b w:val="0"/>
          <w:bCs w:val="0"/>
          <w:color w:val="000000" w:themeColor="text1"/>
          <w:kern w:val="0"/>
          <w:szCs w:val="24"/>
          <w:highlight w:val="none"/>
          <w:lang w:val="en-US" w:eastAsia="zh-CN"/>
          <w14:textFill>
            <w14:solidFill>
              <w14:schemeClr w14:val="tx1"/>
            </w14:solidFill>
          </w14:textFill>
        </w:rPr>
        <w:t>1,420,000.00</w:t>
      </w:r>
      <w:r>
        <w:rPr>
          <w:rFonts w:hint="eastAsia" w:ascii="宋体" w:hAnsi="宋体" w:eastAsia="宋体" w:cs="宋体"/>
          <w:b w:val="0"/>
          <w:bCs w:val="0"/>
          <w:color w:val="000000" w:themeColor="text1"/>
          <w:kern w:val="0"/>
          <w:szCs w:val="24"/>
          <w:highlight w:val="none"/>
          <w14:textFill>
            <w14:solidFill>
              <w14:schemeClr w14:val="tx1"/>
            </w14:solidFill>
          </w14:textFill>
        </w:rPr>
        <w:t>元</w:t>
      </w:r>
    </w:p>
    <w:p w14:paraId="40222AFD">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五、质量要求：</w:t>
      </w:r>
      <w:r>
        <w:rPr>
          <w:rFonts w:hint="eastAsia" w:ascii="宋体" w:hAnsi="宋体" w:eastAsia="宋体" w:cs="宋体"/>
          <w:color w:val="000000" w:themeColor="text1"/>
          <w:sz w:val="24"/>
          <w:szCs w:val="24"/>
          <w14:textFill>
            <w14:solidFill>
              <w14:schemeClr w14:val="tx1"/>
            </w14:solidFill>
          </w14:textFill>
        </w:rPr>
        <w:t>符合国家质量验收合格标准。</w:t>
      </w:r>
    </w:p>
    <w:p w14:paraId="7D41A2E0">
      <w:pPr>
        <w:pStyle w:val="17"/>
        <w:keepNext w:val="0"/>
        <w:keepLines w:val="0"/>
        <w:pageBreakBefore w:val="0"/>
        <w:widowControl w:val="0"/>
        <w:kinsoku/>
        <w:wordWrap/>
        <w:overflowPunct/>
        <w:topLinePunct w:val="0"/>
        <w:autoSpaceDE/>
        <w:autoSpaceDN/>
        <w:bidi w:val="0"/>
        <w:adjustRightInd/>
        <w:snapToGrid/>
        <w:spacing w:after="0" w:line="500" w:lineRule="exact"/>
        <w:ind w:left="0" w:leftChars="0" w:right="1470" w:firstLine="241" w:firstLineChars="100"/>
        <w:textAlignment w:val="auto"/>
        <w:rPr>
          <w:rFonts w:hint="eastAsia" w:ascii="宋体" w:hAnsi="宋体" w:eastAsia="宋体" w:cs="宋体"/>
          <w:b/>
          <w:sz w:val="24"/>
          <w:szCs w:val="24"/>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六</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项目采购需求如下</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4724386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w:t>
      </w:r>
      <w:r>
        <w:rPr>
          <w:rFonts w:hint="eastAsia" w:ascii="宋体" w:hAnsi="宋体" w:eastAsia="宋体" w:cs="宋体"/>
          <w:b/>
          <w:sz w:val="24"/>
          <w:szCs w:val="24"/>
        </w:rPr>
        <w:t>野生动物救护流动服务车1台</w:t>
      </w:r>
    </w:p>
    <w:p w14:paraId="10881A1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燃油类型：柴油</w:t>
      </w:r>
    </w:p>
    <w:p w14:paraId="55268E6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发动机排量≥1800ml</w:t>
      </w:r>
    </w:p>
    <w:p w14:paraId="32C1DCD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发动机功率≥90kw</w:t>
      </w:r>
    </w:p>
    <w:p w14:paraId="02F4FA6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整车尺寸≥5000*1900*2000mm</w:t>
      </w:r>
    </w:p>
    <w:p w14:paraId="51593D8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轴距≥2900mm</w:t>
      </w:r>
    </w:p>
    <w:p w14:paraId="5E16082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其他配置要求：手动6速变速箱、医疗舱窗户左右侧黑色玻璃、后舱内部LED照明灯、500w正弦波逆变系统1套、交直流220V电源插座2个及12V电源插座1个、前置两驱、ABS+EBD+BAS、冷暖空调。</w:t>
      </w:r>
    </w:p>
    <w:p w14:paraId="00DE6BD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w:t>
      </w:r>
      <w:r>
        <w:rPr>
          <w:rFonts w:hint="eastAsia" w:ascii="宋体" w:hAnsi="宋体" w:eastAsia="宋体" w:cs="宋体"/>
          <w:b/>
          <w:sz w:val="24"/>
          <w:szCs w:val="24"/>
        </w:rPr>
        <w:t>运兵车2台</w:t>
      </w:r>
    </w:p>
    <w:p w14:paraId="226453B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燃油类型：汽油</w:t>
      </w:r>
    </w:p>
    <w:p w14:paraId="5D0D8E8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发动机排量≥2000ml</w:t>
      </w:r>
    </w:p>
    <w:p w14:paraId="2FDF417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发动机功率≥100kw</w:t>
      </w:r>
    </w:p>
    <w:p w14:paraId="4B0014A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整车尺寸≥5100*1800*2000mm</w:t>
      </w:r>
    </w:p>
    <w:p w14:paraId="3A2F3A4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轴距≥3150mm</w:t>
      </w:r>
    </w:p>
    <w:p w14:paraId="327B87A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座位数≥9座</w:t>
      </w:r>
    </w:p>
    <w:p w14:paraId="319FA6C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sz w:val="24"/>
          <w:szCs w:val="24"/>
        </w:rPr>
      </w:pPr>
      <w:r>
        <w:rPr>
          <w:rFonts w:hint="eastAsia" w:ascii="宋体" w:hAnsi="宋体" w:eastAsia="宋体" w:cs="宋体"/>
          <w:sz w:val="24"/>
          <w:szCs w:val="24"/>
        </w:rPr>
        <w:t>其他配置要求：手动5速变速箱、四轮驱动、前后盘式制动、ABS+EBD+BAS、前后冷暖空调、车顶行李架、后爬梯、前防撞杠、前置电动绞盘、警灯、警报扩音器。</w:t>
      </w:r>
    </w:p>
    <w:p w14:paraId="7D79847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3</w:t>
      </w:r>
      <w:r>
        <w:rPr>
          <w:rFonts w:hint="eastAsia" w:ascii="宋体" w:hAnsi="宋体" w:eastAsia="宋体" w:cs="宋体"/>
          <w:b/>
          <w:sz w:val="24"/>
          <w:szCs w:val="24"/>
          <w:lang w:eastAsia="zh-CN"/>
        </w:rPr>
        <w:t>）</w:t>
      </w:r>
      <w:r>
        <w:rPr>
          <w:rFonts w:hint="eastAsia" w:ascii="宋体" w:hAnsi="宋体" w:eastAsia="宋体" w:cs="宋体"/>
          <w:b/>
          <w:sz w:val="24"/>
          <w:szCs w:val="24"/>
        </w:rPr>
        <w:t>扑火机具运输车3台</w:t>
      </w:r>
    </w:p>
    <w:p w14:paraId="3DFC55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燃油类型：汽油</w:t>
      </w:r>
    </w:p>
    <w:p w14:paraId="2AD1F7D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发动机排量≥1800ml</w:t>
      </w:r>
    </w:p>
    <w:p w14:paraId="25FC4F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发动机功率≥120kw</w:t>
      </w:r>
    </w:p>
    <w:p w14:paraId="647DC2F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整车尺寸≥5000*1900*1800mm</w:t>
      </w:r>
    </w:p>
    <w:p w14:paraId="0E9AE82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轴距≥3100mm</w:t>
      </w:r>
    </w:p>
    <w:p w14:paraId="582282A2">
      <w:pPr>
        <w:pStyle w:val="17"/>
        <w:keepNext w:val="0"/>
        <w:keepLines w:val="0"/>
        <w:pageBreakBefore w:val="0"/>
        <w:widowControl w:val="0"/>
        <w:kinsoku/>
        <w:wordWrap/>
        <w:overflowPunct/>
        <w:topLinePunct w:val="0"/>
        <w:autoSpaceDE/>
        <w:autoSpaceDN/>
        <w:bidi w:val="0"/>
        <w:adjustRightInd/>
        <w:snapToGrid/>
        <w:spacing w:after="0" w:line="460" w:lineRule="exact"/>
        <w:ind w:left="0" w:leftChars="0" w:right="1470" w:firstLine="0" w:firstLine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rPr>
        <w:t>其他配置要求：自动变速箱、</w:t>
      </w:r>
      <w:r>
        <w:rPr>
          <w:rFonts w:hint="eastAsia" w:ascii="宋体" w:hAnsi="宋体" w:eastAsia="宋体" w:cs="宋体"/>
          <w:snapToGrid w:val="0"/>
          <w:kern w:val="0"/>
          <w:sz w:val="24"/>
          <w:szCs w:val="24"/>
        </w:rPr>
        <w:t>四轮驱动、ABS+EBD、刹车辅助、牵引力控制、车身稳定控制、胎压显示、自动驻车、上坡辅助、陡坡缓降、后驻车雷达、360度全景影像、卫星导航系统、车顶行李架、发动机电子防盗、车内中控锁、遥控钥匙、无钥匙进入、LED日间行车灯。</w:t>
      </w:r>
    </w:p>
    <w:p w14:paraId="4A6C1780">
      <w:pPr>
        <w:pStyle w:val="17"/>
        <w:spacing w:after="0" w:line="500" w:lineRule="exact"/>
        <w:ind w:left="0" w:leftChars="0" w:right="1470" w:firstLine="241" w:firstLineChars="100"/>
        <w:rPr>
          <w:rFonts w:hint="eastAsia" w:ascii="宋体" w:hAnsi="宋体" w:eastAsia="宋体" w:cs="宋体"/>
          <w:b/>
          <w:bCs/>
          <w:color w:val="000000" w:themeColor="text1"/>
          <w:sz w:val="24"/>
          <w:szCs w:val="24"/>
          <w:highlight w:val="yellow"/>
          <w:lang w:eastAsia="zh-CN"/>
          <w14:textFill>
            <w14:solidFill>
              <w14:schemeClr w14:val="tx1"/>
            </w14:solidFill>
          </w14:textFill>
        </w:rPr>
      </w:pPr>
    </w:p>
    <w:p w14:paraId="1A36BECB">
      <w:pPr>
        <w:spacing w:line="500" w:lineRule="atLeast"/>
        <w:jc w:val="center"/>
        <w:outlineLvl w:val="0"/>
        <w:rPr>
          <w:rFonts w:hint="eastAsia" w:ascii="宋体" w:hAnsi="宋体" w:eastAsia="宋体" w:cs="宋体"/>
          <w:b/>
          <w:bCs/>
          <w:color w:val="000000" w:themeColor="text1"/>
          <w:sz w:val="36"/>
          <w:szCs w:val="36"/>
          <w14:textFill>
            <w14:solidFill>
              <w14:schemeClr w14:val="tx1"/>
            </w14:solidFill>
          </w14:textFill>
        </w:rPr>
      </w:pPr>
      <w:bookmarkStart w:id="223" w:name="_Toc16780"/>
      <w:bookmarkStart w:id="224" w:name="_Toc18013"/>
    </w:p>
    <w:p w14:paraId="3A51554F">
      <w:pPr>
        <w:pStyle w:val="15"/>
        <w:ind w:left="0" w:leftChars="0" w:firstLine="0" w:firstLineChars="0"/>
        <w:jc w:val="both"/>
        <w:rPr>
          <w:rFonts w:hint="eastAsia" w:ascii="宋体" w:hAnsi="宋体" w:eastAsia="宋体" w:cs="宋体"/>
          <w:b/>
          <w:bCs/>
          <w:color w:val="000000" w:themeColor="text1"/>
          <w:sz w:val="36"/>
          <w:szCs w:val="36"/>
          <w14:textFill>
            <w14:solidFill>
              <w14:schemeClr w14:val="tx1"/>
            </w14:solidFill>
          </w14:textFill>
        </w:rPr>
      </w:pPr>
    </w:p>
    <w:p w14:paraId="70D296B3">
      <w:pPr>
        <w:pStyle w:val="14"/>
        <w:rPr>
          <w:rFonts w:hint="eastAsia"/>
        </w:rPr>
      </w:pPr>
    </w:p>
    <w:p w14:paraId="7F3C0E54">
      <w:pPr>
        <w:rPr>
          <w:rFonts w:hint="eastAsia"/>
        </w:rPr>
      </w:pPr>
    </w:p>
    <w:p w14:paraId="549CC643">
      <w:pPr>
        <w:spacing w:line="500" w:lineRule="atLeast"/>
        <w:jc w:val="center"/>
        <w:outlineLvl w:val="0"/>
        <w:rPr>
          <w:rFonts w:hint="eastAsia" w:ascii="宋体" w:hAnsi="宋体" w:eastAsia="宋体" w:cs="宋体"/>
          <w:b/>
          <w:bCs/>
          <w:color w:val="000000" w:themeColor="text1"/>
          <w:sz w:val="36"/>
          <w:szCs w:val="36"/>
          <w14:textFill>
            <w14:solidFill>
              <w14:schemeClr w14:val="tx1"/>
            </w14:solidFill>
          </w14:textFill>
        </w:rPr>
      </w:pPr>
    </w:p>
    <w:p w14:paraId="7ECBC826">
      <w:pP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br w:type="page"/>
      </w:r>
    </w:p>
    <w:p w14:paraId="7DECAB5F">
      <w:pPr>
        <w:spacing w:line="500" w:lineRule="atLeast"/>
        <w:jc w:val="center"/>
        <w:outlineLvl w:val="0"/>
        <w:rPr>
          <w:rFonts w:hint="eastAsia" w:ascii="宋体" w:hAnsi="宋体" w:eastAsia="宋体" w:cs="宋体"/>
          <w:b/>
          <w:bCs/>
          <w:color w:val="000000" w:themeColor="text1"/>
          <w:sz w:val="36"/>
          <w:szCs w:val="36"/>
          <w14:textFill>
            <w14:solidFill>
              <w14:schemeClr w14:val="tx1"/>
            </w14:solidFill>
          </w14:textFill>
        </w:rPr>
      </w:pPr>
    </w:p>
    <w:p w14:paraId="3EBD0AF7">
      <w:pPr>
        <w:spacing w:line="500" w:lineRule="atLeast"/>
        <w:jc w:val="center"/>
        <w:outlineLvl w:val="0"/>
        <w:rPr>
          <w:rFonts w:hint="eastAsia" w:ascii="宋体" w:hAnsi="宋体" w:eastAsia="宋体" w:cs="宋体"/>
          <w:b/>
          <w:bCs/>
          <w:color w:val="000000" w:themeColor="text1"/>
          <w:sz w:val="36"/>
          <w:szCs w:val="36"/>
          <w14:textFill>
            <w14:solidFill>
              <w14:schemeClr w14:val="tx1"/>
            </w14:solidFill>
          </w14:textFill>
        </w:rPr>
      </w:pPr>
    </w:p>
    <w:p w14:paraId="3649E1E2">
      <w:pPr>
        <w:spacing w:line="500" w:lineRule="atLeast"/>
        <w:jc w:val="center"/>
        <w:outlineLvl w:val="0"/>
        <w:rPr>
          <w:rFonts w:hint="eastAsia" w:ascii="宋体" w:hAnsi="宋体" w:eastAsia="宋体" w:cs="宋体"/>
          <w:b/>
          <w:bCs/>
          <w:color w:val="000000" w:themeColor="text1"/>
          <w:sz w:val="36"/>
          <w:szCs w:val="36"/>
          <w14:textFill>
            <w14:solidFill>
              <w14:schemeClr w14:val="tx1"/>
            </w14:solidFill>
          </w14:textFill>
        </w:rPr>
      </w:pPr>
    </w:p>
    <w:p w14:paraId="101D04FD">
      <w:pPr>
        <w:spacing w:line="500" w:lineRule="atLeast"/>
        <w:jc w:val="center"/>
        <w:outlineLvl w:val="0"/>
        <w:rPr>
          <w:rFonts w:hint="eastAsia" w:ascii="宋体" w:hAnsi="宋体" w:eastAsia="宋体" w:cs="宋体"/>
          <w:b/>
          <w:bCs/>
          <w:color w:val="000000" w:themeColor="text1"/>
          <w:sz w:val="36"/>
          <w:szCs w:val="36"/>
          <w14:textFill>
            <w14:solidFill>
              <w14:schemeClr w14:val="tx1"/>
            </w14:solidFill>
          </w14:textFill>
        </w:rPr>
      </w:pPr>
    </w:p>
    <w:p w14:paraId="1010DD59">
      <w:pPr>
        <w:spacing w:line="500" w:lineRule="atLeast"/>
        <w:jc w:val="center"/>
        <w:outlineLvl w:val="0"/>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第六章</w:t>
      </w:r>
      <w:bookmarkEnd w:id="173"/>
      <w:bookmarkEnd w:id="174"/>
      <w:bookmarkEnd w:id="175"/>
      <w:r>
        <w:rPr>
          <w:rFonts w:hint="eastAsia" w:ascii="宋体" w:hAnsi="宋体" w:eastAsia="宋体" w:cs="宋体"/>
          <w:b/>
          <w:bCs/>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14:textFill>
            <w14:solidFill>
              <w14:schemeClr w14:val="tx1"/>
            </w14:solidFill>
          </w14:textFill>
        </w:rPr>
        <w:t>竞争性磋商响应文件格式</w:t>
      </w:r>
      <w:bookmarkEnd w:id="176"/>
      <w:bookmarkEnd w:id="177"/>
      <w:bookmarkEnd w:id="223"/>
      <w:bookmarkEnd w:id="224"/>
    </w:p>
    <w:p w14:paraId="54E20748">
      <w:pPr>
        <w:keepNext w:val="0"/>
        <w:keepLines w:val="0"/>
        <w:pageBreakBefore w:val="0"/>
        <w:widowControl w:val="0"/>
        <w:kinsoku/>
        <w:wordWrap/>
        <w:overflowPunct/>
        <w:topLinePunct w:val="0"/>
        <w:autoSpaceDE/>
        <w:autoSpaceDN/>
        <w:bidi w:val="0"/>
        <w:adjustRightInd/>
        <w:snapToGrid/>
        <w:spacing w:line="500" w:lineRule="atLeast"/>
        <w:ind w:firstLine="1265" w:firstLineChars="450"/>
        <w:jc w:val="right"/>
        <w:textAlignment w:val="auto"/>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r>
        <w:rPr>
          <w:rFonts w:hint="eastAsia" w:ascii="宋体" w:hAnsi="宋体" w:eastAsia="宋体" w:cs="宋体"/>
          <w:color w:val="000000" w:themeColor="text1"/>
          <w:sz w:val="32"/>
          <w:szCs w:val="32"/>
          <w:highlight w:val="none"/>
          <w14:textFill>
            <w14:solidFill>
              <w14:schemeClr w14:val="tx1"/>
            </w14:solidFill>
          </w14:textFill>
        </w:rPr>
        <w:t>正本或副本</w:t>
      </w:r>
    </w:p>
    <w:p w14:paraId="5C7FCBA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000000" w:themeColor="text1"/>
          <w:sz w:val="32"/>
          <w:szCs w:val="32"/>
          <w:highlight w:val="none"/>
          <w:u w:val="single"/>
          <w14:textFill>
            <w14:solidFill>
              <w14:schemeClr w14:val="tx1"/>
            </w14:solidFill>
          </w14:textFill>
        </w:rPr>
      </w:pPr>
    </w:p>
    <w:p w14:paraId="30221C24">
      <w:pPr>
        <w:keepNext w:val="0"/>
        <w:keepLines w:val="0"/>
        <w:pageBreakBefore w:val="0"/>
        <w:widowControl w:val="0"/>
        <w:kinsoku/>
        <w:wordWrap/>
        <w:overflowPunct/>
        <w:topLinePunct w:val="0"/>
        <w:autoSpaceDE/>
        <w:autoSpaceDN/>
        <w:bidi w:val="0"/>
        <w:adjustRightInd/>
        <w:snapToGrid/>
        <w:spacing w:line="360" w:lineRule="auto"/>
        <w:ind w:firstLine="2570" w:firstLineChars="800"/>
        <w:textAlignment w:val="auto"/>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（项目名称）</w:t>
      </w:r>
    </w:p>
    <w:p w14:paraId="7703EB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p>
    <w:p w14:paraId="2FD0994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72"/>
          <w:szCs w:val="72"/>
          <w:highlight w:val="none"/>
          <w14:textFill>
            <w14:solidFill>
              <w14:schemeClr w14:val="tx1"/>
            </w14:solidFill>
          </w14:textFill>
        </w:rPr>
      </w:pPr>
      <w:bookmarkStart w:id="225" w:name="_Toc28735"/>
      <w:bookmarkStart w:id="226" w:name="_Toc23155"/>
      <w:bookmarkStart w:id="227" w:name="_Toc8932_WPSOffice_Level1"/>
      <w:bookmarkStart w:id="228" w:name="_Toc31530_WPSOffice_Level1"/>
      <w:bookmarkStart w:id="229" w:name="_Toc6237"/>
      <w:bookmarkStart w:id="230" w:name="OLE_LINK19"/>
      <w:bookmarkStart w:id="231" w:name="_Toc21146"/>
      <w:r>
        <w:rPr>
          <w:rFonts w:hint="eastAsia" w:ascii="宋体" w:hAnsi="宋体" w:eastAsia="宋体" w:cs="宋体"/>
          <w:b/>
          <w:bCs/>
          <w:color w:val="000000" w:themeColor="text1"/>
          <w:sz w:val="72"/>
          <w:szCs w:val="72"/>
          <w:highlight w:val="none"/>
          <w14:textFill>
            <w14:solidFill>
              <w14:schemeClr w14:val="tx1"/>
            </w14:solidFill>
          </w14:textFill>
        </w:rPr>
        <w:t>竞争性磋商响应</w:t>
      </w:r>
      <w:r>
        <w:rPr>
          <w:rFonts w:hint="eastAsia" w:ascii="宋体" w:hAnsi="宋体" w:eastAsia="宋体" w:cs="宋体"/>
          <w:b/>
          <w:bCs/>
          <w:color w:val="000000" w:themeColor="text1"/>
          <w:sz w:val="72"/>
          <w:szCs w:val="72"/>
          <w:highlight w:val="none"/>
          <w:lang w:val="zh-CN"/>
          <w14:textFill>
            <w14:solidFill>
              <w14:schemeClr w14:val="tx1"/>
            </w14:solidFill>
          </w14:textFill>
        </w:rPr>
        <w:t>文件</w:t>
      </w:r>
      <w:bookmarkEnd w:id="225"/>
      <w:bookmarkEnd w:id="226"/>
      <w:bookmarkEnd w:id="227"/>
      <w:bookmarkEnd w:id="228"/>
      <w:bookmarkEnd w:id="229"/>
      <w:bookmarkEnd w:id="230"/>
      <w:bookmarkEnd w:id="231"/>
    </w:p>
    <w:p w14:paraId="476FA09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000000" w:themeColor="text1"/>
          <w:sz w:val="44"/>
          <w:szCs w:val="44"/>
          <w:highlight w:val="none"/>
          <w14:textFill>
            <w14:solidFill>
              <w14:schemeClr w14:val="tx1"/>
            </w14:solidFill>
          </w14:textFill>
        </w:rPr>
      </w:pPr>
    </w:p>
    <w:p w14:paraId="38581949">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outlineLvl w:val="9"/>
        <w:rPr>
          <w:rFonts w:hint="eastAsia" w:ascii="宋体" w:hAnsi="宋体" w:eastAsia="宋体" w:cs="宋体"/>
          <w:b/>
          <w:color w:val="000000" w:themeColor="text1"/>
          <w:sz w:val="28"/>
          <w:szCs w:val="28"/>
          <w:highlight w:val="none"/>
          <w14:textFill>
            <w14:solidFill>
              <w14:schemeClr w14:val="tx1"/>
            </w14:solidFill>
          </w14:textFill>
        </w:rPr>
      </w:pPr>
      <w:bookmarkStart w:id="232" w:name="_Toc31559"/>
      <w:bookmarkStart w:id="233" w:name="_Toc20780_WPSOffice_Level1"/>
      <w:bookmarkStart w:id="234" w:name="_Toc28392"/>
      <w:bookmarkStart w:id="235" w:name="_Toc147"/>
      <w:bookmarkStart w:id="236" w:name="_Toc459_WPSOffice_Level1"/>
      <w:bookmarkStart w:id="237" w:name="_Toc26319"/>
      <w:r>
        <w:rPr>
          <w:rFonts w:hint="eastAsia" w:ascii="宋体" w:hAnsi="宋体" w:eastAsia="宋体" w:cs="宋体"/>
          <w:color w:val="000000" w:themeColor="text1"/>
          <w:sz w:val="28"/>
          <w:szCs w:val="28"/>
          <w:highlight w:val="none"/>
          <w:lang w:val="zh-CN"/>
          <w14:textFill>
            <w14:solidFill>
              <w14:schemeClr w14:val="tx1"/>
            </w14:solidFill>
          </w14:textFill>
        </w:rPr>
        <w:t>项目编号：</w:t>
      </w:r>
      <w:bookmarkEnd w:id="232"/>
      <w:bookmarkEnd w:id="233"/>
      <w:bookmarkEnd w:id="234"/>
      <w:bookmarkEnd w:id="235"/>
      <w:bookmarkEnd w:id="236"/>
      <w:bookmarkEnd w:id="237"/>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5F2B9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p>
    <w:p w14:paraId="21AD08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p>
    <w:p w14:paraId="5334B7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p>
    <w:p w14:paraId="417C0F4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highlight w:val="none"/>
          <w14:textFill>
            <w14:solidFill>
              <w14:schemeClr w14:val="tx1"/>
            </w14:solidFill>
          </w14:textFill>
        </w:rPr>
      </w:pPr>
    </w:p>
    <w:p w14:paraId="482BF4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highlight w:val="none"/>
          <w14:textFill>
            <w14:solidFill>
              <w14:schemeClr w14:val="tx1"/>
            </w14:solidFill>
          </w14:textFill>
        </w:rPr>
      </w:pPr>
    </w:p>
    <w:p w14:paraId="77408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p>
    <w:p w14:paraId="2FD3C2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p>
    <w:p w14:paraId="3065929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themeColor="text1"/>
          <w:highlight w:val="none"/>
          <w14:textFill>
            <w14:solidFill>
              <w14:schemeClr w14:val="tx1"/>
            </w14:solidFill>
          </w14:textFill>
        </w:rPr>
      </w:pPr>
    </w:p>
    <w:p w14:paraId="3B0590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p>
    <w:p w14:paraId="5BC5E1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p>
    <w:p w14:paraId="109570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highlight w:val="none"/>
          <w14:textFill>
            <w14:solidFill>
              <w14:schemeClr w14:val="tx1"/>
            </w14:solidFill>
          </w14:textFill>
        </w:rPr>
      </w:pPr>
    </w:p>
    <w:p w14:paraId="38AFE173">
      <w:pPr>
        <w:keepNext w:val="0"/>
        <w:keepLines w:val="0"/>
        <w:pageBreakBefore w:val="0"/>
        <w:widowControl w:val="0"/>
        <w:kinsoku/>
        <w:wordWrap/>
        <w:overflowPunct/>
        <w:topLinePunct w:val="0"/>
        <w:autoSpaceDE/>
        <w:autoSpaceDN/>
        <w:bidi w:val="0"/>
        <w:adjustRightInd/>
        <w:snapToGrid/>
        <w:spacing w:line="360" w:lineRule="auto"/>
        <w:ind w:firstLine="840" w:firstLineChars="300"/>
        <w:jc w:val="both"/>
        <w:textAlignment w:val="auto"/>
        <w:outlineLvl w:val="9"/>
        <w:rPr>
          <w:rFonts w:hint="eastAsia" w:ascii="宋体" w:hAnsi="宋体" w:eastAsia="宋体" w:cs="宋体"/>
          <w:color w:val="000000" w:themeColor="text1"/>
          <w:sz w:val="28"/>
          <w:szCs w:val="28"/>
          <w:highlight w:val="none"/>
          <w14:textFill>
            <w14:solidFill>
              <w14:schemeClr w14:val="tx1"/>
            </w14:solidFill>
          </w14:textFill>
        </w:rPr>
      </w:pPr>
      <w:bookmarkStart w:id="238" w:name="_Toc20053"/>
      <w:bookmarkStart w:id="239" w:name="_Toc25332"/>
      <w:bookmarkStart w:id="240" w:name="_Toc11262"/>
      <w:r>
        <w:rPr>
          <w:rFonts w:hint="eastAsia" w:ascii="宋体" w:hAnsi="宋体" w:eastAsia="宋体" w:cs="宋体"/>
          <w:color w:val="000000" w:themeColor="text1"/>
          <w:sz w:val="28"/>
          <w:szCs w:val="28"/>
          <w:highlight w:val="none"/>
          <w14:textFill>
            <w14:solidFill>
              <w14:schemeClr w14:val="tx1"/>
            </w14:solidFill>
          </w14:textFill>
        </w:rPr>
        <w:t>供</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应</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商：</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盖单位公章</w:t>
      </w:r>
      <w:r>
        <w:rPr>
          <w:rFonts w:hint="eastAsia" w:ascii="宋体" w:hAnsi="宋体" w:eastAsia="宋体" w:cs="宋体"/>
          <w:color w:val="000000" w:themeColor="text1"/>
          <w:sz w:val="28"/>
          <w:szCs w:val="28"/>
          <w:highlight w:val="none"/>
          <w14:textFill>
            <w14:solidFill>
              <w14:schemeClr w14:val="tx1"/>
            </w14:solidFill>
          </w14:textFill>
        </w:rPr>
        <w:t>）</w:t>
      </w:r>
      <w:bookmarkEnd w:id="238"/>
      <w:bookmarkEnd w:id="239"/>
      <w:bookmarkEnd w:id="240"/>
    </w:p>
    <w:p w14:paraId="431B4D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000000" w:themeColor="text1"/>
          <w:sz w:val="28"/>
          <w:szCs w:val="28"/>
          <w:highlight w:val="none"/>
          <w14:textFill>
            <w14:solidFill>
              <w14:schemeClr w14:val="tx1"/>
            </w14:solidFill>
          </w14:textFill>
        </w:rPr>
      </w:pPr>
    </w:p>
    <w:p w14:paraId="784665AE">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000000" w:themeColor="text1"/>
          <w:sz w:val="28"/>
          <w:szCs w:val="28"/>
          <w:highlight w:val="none"/>
          <w14:textFill>
            <w14:solidFill>
              <w14:schemeClr w14:val="tx1"/>
            </w14:solidFill>
          </w14:textFill>
        </w:rPr>
      </w:pPr>
      <w:bookmarkStart w:id="241" w:name="_Toc16905"/>
      <w:bookmarkStart w:id="242" w:name="_Toc10326"/>
      <w:bookmarkStart w:id="243" w:name="_Toc21675"/>
      <w:bookmarkStart w:id="244" w:name="_Toc3624"/>
      <w:r>
        <w:rPr>
          <w:rFonts w:hint="eastAsia" w:ascii="宋体" w:hAnsi="宋体" w:eastAsia="宋体" w:cs="宋体"/>
          <w:color w:val="000000" w:themeColor="text1"/>
          <w:sz w:val="28"/>
          <w:szCs w:val="28"/>
          <w:highlight w:val="none"/>
          <w:lang w:eastAsia="zh-CN"/>
          <w14:textFill>
            <w14:solidFill>
              <w14:schemeClr w14:val="tx1"/>
            </w14:solidFill>
          </w14:textFill>
        </w:rPr>
        <w:t>法定代表人</w:t>
      </w:r>
      <w:r>
        <w:rPr>
          <w:rFonts w:hint="eastAsia" w:ascii="宋体" w:hAnsi="宋体" w:eastAsia="宋体" w:cs="宋体"/>
          <w:color w:val="000000" w:themeColor="text1"/>
          <w:sz w:val="28"/>
          <w:szCs w:val="28"/>
          <w:highlight w:val="none"/>
          <w14:textFill>
            <w14:solidFill>
              <w14:schemeClr w14:val="tx1"/>
            </w14:solidFill>
          </w14:textFill>
        </w:rPr>
        <w:t>或其委托代理人：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字）</w:t>
      </w:r>
      <w:bookmarkEnd w:id="241"/>
      <w:bookmarkEnd w:id="242"/>
      <w:bookmarkEnd w:id="243"/>
      <w:bookmarkEnd w:id="244"/>
    </w:p>
    <w:p w14:paraId="79EF12A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highlight w:val="none"/>
          <w:u w:val="single"/>
          <w14:textFill>
            <w14:solidFill>
              <w14:schemeClr w14:val="tx1"/>
            </w14:solidFill>
          </w14:textFill>
        </w:rPr>
      </w:pPr>
    </w:p>
    <w:p w14:paraId="19BC482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000000" w:themeColor="text1"/>
          <w:highlight w:val="none"/>
          <w:u w:val="none"/>
          <w:lang w:val="en-US" w:eastAsia="zh-CN"/>
          <w14:textFill>
            <w14:solidFill>
              <w14:schemeClr w14:val="tx1"/>
            </w14:solidFill>
          </w14:textFill>
        </w:rPr>
      </w:pPr>
      <w:r>
        <w:rPr>
          <w:rFonts w:hint="eastAsia" w:ascii="宋体" w:hAnsi="宋体" w:eastAsia="宋体" w:cs="宋体"/>
          <w:color w:val="000000" w:themeColor="text1"/>
          <w:highlight w:val="none"/>
          <w:u w:val="none"/>
          <w:lang w:val="en-US" w:eastAsia="zh-CN"/>
          <w14:textFill>
            <w14:solidFill>
              <w14:schemeClr w14:val="tx1"/>
            </w14:solidFill>
          </w14:textFill>
        </w:rPr>
        <w:t xml:space="preserve">                                           </w:t>
      </w:r>
    </w:p>
    <w:p w14:paraId="649F8FE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highlight w:val="none"/>
          <w14:textFill>
            <w14:solidFill>
              <w14:schemeClr w14:val="tx1"/>
            </w14:solidFill>
          </w14:textFill>
        </w:rPr>
        <w:sectPr>
          <w:footerReference r:id="rId14" w:type="default"/>
          <w:pgSz w:w="11905" w:h="16838"/>
          <w:pgMar w:top="1440" w:right="1803" w:bottom="1440" w:left="1803" w:header="1140" w:footer="720" w:gutter="0"/>
          <w:pgNumType w:fmt="decimal"/>
          <w:cols w:space="0" w:num="1"/>
          <w:rtlGutter w:val="0"/>
          <w:docGrid w:type="lines" w:linePitch="317" w:charSpace="0"/>
        </w:sectPr>
      </w:pPr>
      <w:bookmarkStart w:id="245" w:name="_Toc14601"/>
      <w:bookmarkStart w:id="246" w:name="_Toc9067"/>
      <w:bookmarkStart w:id="247" w:name="_Toc19569"/>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bookmarkEnd w:id="245"/>
      <w:bookmarkEnd w:id="246"/>
      <w:bookmarkEnd w:id="247"/>
    </w:p>
    <w:p w14:paraId="076F4BF7">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目  录</w:t>
      </w:r>
    </w:p>
    <w:p w14:paraId="40162FD3">
      <w:pPr>
        <w:spacing w:line="360" w:lineRule="auto"/>
        <w:jc w:val="center"/>
        <w:rPr>
          <w:rFonts w:hint="eastAsia" w:ascii="宋体" w:hAnsi="宋体" w:eastAsia="宋体" w:cs="宋体"/>
          <w:b/>
          <w:color w:val="000000" w:themeColor="text1"/>
          <w:sz w:val="32"/>
          <w:szCs w:val="32"/>
          <w14:textFill>
            <w14:solidFill>
              <w14:schemeClr w14:val="tx1"/>
            </w14:solidFill>
          </w14:textFill>
        </w:rPr>
      </w:pPr>
    </w:p>
    <w:p w14:paraId="503844F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一、磋商函</w:t>
      </w:r>
    </w:p>
    <w:p w14:paraId="3017D9E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二、法定代表人身份证明及授权委托书</w:t>
      </w:r>
    </w:p>
    <w:p w14:paraId="0072FFA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三、磋商保证金</w:t>
      </w:r>
    </w:p>
    <w:p w14:paraId="271A911A">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w:t>
      </w:r>
      <w:r>
        <w:rPr>
          <w:rFonts w:hint="eastAsia" w:ascii="宋体" w:hAnsi="宋体" w:eastAsia="宋体" w:cs="宋体"/>
          <w:color w:val="000000" w:themeColor="text1"/>
          <w:sz w:val="24"/>
          <w:szCs w:val="24"/>
          <w:lang w:eastAsia="zh-CN"/>
          <w14:textFill>
            <w14:solidFill>
              <w14:schemeClr w14:val="tx1"/>
            </w14:solidFill>
          </w14:textFill>
        </w:rPr>
        <w:t>磋商报价表</w:t>
      </w:r>
    </w:p>
    <w:p w14:paraId="48B3BB0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五、服务内容及标准偏离表</w:t>
      </w:r>
    </w:p>
    <w:p w14:paraId="079AF8C9">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w:t>
      </w:r>
      <w:r>
        <w:rPr>
          <w:rFonts w:hint="eastAsia" w:ascii="宋体" w:hAnsi="宋体" w:eastAsia="宋体" w:cs="宋体"/>
          <w:color w:val="000000" w:themeColor="text1"/>
          <w:sz w:val="24"/>
          <w:szCs w:val="24"/>
          <w:lang w:eastAsia="zh-CN"/>
          <w14:textFill>
            <w14:solidFill>
              <w14:schemeClr w14:val="tx1"/>
            </w14:solidFill>
          </w14:textFill>
        </w:rPr>
        <w:t>资格审查资料</w:t>
      </w:r>
    </w:p>
    <w:p w14:paraId="70C11DB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七、技术方案</w:t>
      </w:r>
    </w:p>
    <w:p w14:paraId="38082B3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八、其他资料</w:t>
      </w:r>
    </w:p>
    <w:p w14:paraId="0D98DE8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0A89FB0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6041D606">
      <w:pPr>
        <w:spacing w:line="360" w:lineRule="auto"/>
        <w:jc w:val="center"/>
        <w:rPr>
          <w:rFonts w:hint="eastAsia" w:ascii="宋体" w:hAnsi="宋体" w:eastAsia="宋体" w:cs="宋体"/>
          <w:b/>
          <w:color w:val="000000" w:themeColor="text1"/>
          <w:sz w:val="24"/>
          <w:szCs w:val="24"/>
          <w14:textFill>
            <w14:solidFill>
              <w14:schemeClr w14:val="tx1"/>
            </w14:solidFill>
          </w14:textFill>
        </w:rPr>
      </w:pPr>
    </w:p>
    <w:p w14:paraId="2405B837">
      <w:pPr>
        <w:spacing w:line="360" w:lineRule="auto"/>
        <w:ind w:firstLine="482" w:firstLineChars="20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备注：响应文件及目录必须编制页码。</w:t>
      </w:r>
    </w:p>
    <w:p w14:paraId="02BFEA96">
      <w:pPr>
        <w:spacing w:line="360" w:lineRule="auto"/>
        <w:jc w:val="left"/>
        <w:rPr>
          <w:rFonts w:hint="eastAsia" w:ascii="宋体" w:hAnsi="宋体" w:eastAsia="宋体" w:cs="宋体"/>
          <w:b/>
          <w:color w:val="000000" w:themeColor="text1"/>
          <w14:textFill>
            <w14:solidFill>
              <w14:schemeClr w14:val="tx1"/>
            </w14:solidFill>
          </w14:textFill>
        </w:rPr>
      </w:pPr>
    </w:p>
    <w:p w14:paraId="52FE25A9">
      <w:pPr>
        <w:pStyle w:val="20"/>
        <w:spacing w:line="360" w:lineRule="auto"/>
        <w:ind w:firstLine="420" w:firstLineChars="200"/>
        <w:rPr>
          <w:rFonts w:hint="eastAsia" w:ascii="宋体" w:hAnsi="宋体" w:eastAsia="宋体" w:cs="宋体"/>
          <w:color w:val="000000" w:themeColor="text1"/>
          <w14:textFill>
            <w14:solidFill>
              <w14:schemeClr w14:val="tx1"/>
            </w14:solidFill>
          </w14:textFill>
        </w:rPr>
        <w:sectPr>
          <w:pgSz w:w="11905" w:h="16838"/>
          <w:pgMar w:top="1440" w:right="1803" w:bottom="1440" w:left="1803" w:header="1140" w:footer="720" w:gutter="0"/>
          <w:cols w:space="0" w:num="1"/>
          <w:docGrid w:type="lines" w:linePitch="317" w:charSpace="0"/>
        </w:sectPr>
      </w:pPr>
    </w:p>
    <w:p w14:paraId="18A881B9">
      <w:pPr>
        <w:pStyle w:val="28"/>
        <w:rPr>
          <w:rFonts w:hint="eastAsia" w:ascii="宋体" w:hAnsi="宋体" w:eastAsia="宋体" w:cs="宋体"/>
          <w:color w:val="000000" w:themeColor="text1"/>
          <w14:textFill>
            <w14:solidFill>
              <w14:schemeClr w14:val="tx1"/>
            </w14:solidFill>
          </w14:textFill>
        </w:rPr>
      </w:pPr>
    </w:p>
    <w:p w14:paraId="584EDC3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000000" w:themeColor="text1"/>
          <w:sz w:val="32"/>
          <w:szCs w:val="32"/>
          <w:highlight w:val="none"/>
          <w14:textFill>
            <w14:solidFill>
              <w14:schemeClr w14:val="tx1"/>
            </w14:solidFill>
          </w14:textFill>
        </w:rPr>
      </w:pPr>
      <w:bookmarkStart w:id="248" w:name="_Toc4018"/>
      <w:bookmarkStart w:id="249" w:name="_Toc9822"/>
      <w:bookmarkStart w:id="250" w:name="_Toc4909"/>
      <w:bookmarkStart w:id="251" w:name="_Toc16224"/>
      <w:bookmarkStart w:id="252" w:name="_Toc13735"/>
      <w:bookmarkStart w:id="253" w:name="_Toc32405"/>
      <w:bookmarkStart w:id="254" w:name="_Toc1758"/>
      <w:bookmarkStart w:id="255" w:name="_Toc21117"/>
      <w:bookmarkStart w:id="256" w:name="_Toc18357"/>
      <w:bookmarkStart w:id="257" w:name="_Toc32622"/>
      <w:bookmarkStart w:id="258" w:name="_Toc21044"/>
      <w:r>
        <w:rPr>
          <w:rFonts w:hint="eastAsia" w:ascii="宋体" w:hAnsi="宋体" w:eastAsia="宋体" w:cs="宋体"/>
          <w:b/>
          <w:bCs/>
          <w:color w:val="000000" w:themeColor="text1"/>
          <w:sz w:val="32"/>
          <w:szCs w:val="32"/>
          <w:highlight w:val="none"/>
          <w14:textFill>
            <w14:solidFill>
              <w14:schemeClr w14:val="tx1"/>
            </w14:solidFill>
          </w14:textFill>
        </w:rPr>
        <w:t>一、磋商函</w:t>
      </w:r>
      <w:bookmarkEnd w:id="248"/>
      <w:bookmarkEnd w:id="249"/>
      <w:bookmarkEnd w:id="250"/>
      <w:bookmarkEnd w:id="251"/>
      <w:bookmarkEnd w:id="252"/>
      <w:bookmarkEnd w:id="253"/>
      <w:bookmarkEnd w:id="254"/>
    </w:p>
    <w:p w14:paraId="258BF7AE">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703E55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59" w:name="_Toc466454741"/>
      <w:bookmarkStart w:id="260" w:name="_Toc465257490"/>
      <w:bookmarkStart w:id="261" w:name="_Toc466466385"/>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（采购人名称）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A8B1F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1．我方已仔细研究了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（项目名称）竞争性磋商文件的全部内容，愿意以第二轮的最终报价做为本项目的磋商总报价，合同履行期限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，按合同约定实施和完成</w:t>
      </w:r>
      <w:r>
        <w:rPr>
          <w:rFonts w:hint="eastAsia" w:ascii="宋体" w:hAnsi="宋体" w:eastAsia="宋体" w:cs="宋体"/>
          <w:color w:val="000000" w:themeColor="text1"/>
          <w:sz w:val="24"/>
          <w:szCs w:val="24"/>
          <w:highlight w:val="none"/>
          <w:lang w:eastAsia="zh-CN"/>
          <w14:textFill>
            <w14:solidFill>
              <w14:schemeClr w14:val="tx1"/>
            </w14:solidFill>
          </w14:textFill>
        </w:rPr>
        <w:t>本采购</w:t>
      </w:r>
      <w:r>
        <w:rPr>
          <w:rFonts w:hint="eastAsia" w:ascii="宋体" w:hAnsi="宋体" w:eastAsia="宋体" w:cs="宋体"/>
          <w:color w:val="000000" w:themeColor="text1"/>
          <w:sz w:val="24"/>
          <w:szCs w:val="24"/>
          <w:highlight w:val="none"/>
          <w14:textFill>
            <w14:solidFill>
              <w14:schemeClr w14:val="tx1"/>
            </w14:solidFill>
          </w14:textFill>
        </w:rPr>
        <w:t>项目，质量达到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要求。</w:t>
      </w:r>
    </w:p>
    <w:p w14:paraId="5DA73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2．我方承诺磋商有效期为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日历天，在磋商有效期内不修改、撤销响应文件。</w:t>
      </w:r>
    </w:p>
    <w:p w14:paraId="2CD651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3．随同本磋商响应函递交磋商响应保证金一份，金额为人民币（大写）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3A8635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4．如我方成交：</w:t>
      </w:r>
    </w:p>
    <w:p w14:paraId="2CEDE5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(l）我方承诺在收到成交通知书后，在成交通知书规定的期限内与你方签订合同。</w:t>
      </w:r>
    </w:p>
    <w:p w14:paraId="7C527F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(2）随同本磋商响应函递交的磋商响应函附录属于合同文件的组成部分。</w:t>
      </w:r>
    </w:p>
    <w:p w14:paraId="65622D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(3）我方承诺按照竞争性磋商文件规定向你方递交履约担保。</w:t>
      </w:r>
    </w:p>
    <w:p w14:paraId="29C79C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(4）我方承诺在合同约定的期限内完成全部合同内容。</w:t>
      </w:r>
    </w:p>
    <w:p w14:paraId="2EBA00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5．我方在此声明，所递交的响应文件及有关资料内容完整、真实和准确，且不存在第二章“供应商须知”第1.4.3 项规定的任何一种情形。</w:t>
      </w:r>
    </w:p>
    <w:p w14:paraId="1C22ED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6.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（其他补充说明）。</w:t>
      </w:r>
    </w:p>
    <w:p w14:paraId="55FDECB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盖单位公章</w:t>
      </w:r>
      <w:r>
        <w:rPr>
          <w:rFonts w:hint="eastAsia" w:ascii="宋体" w:hAnsi="宋体" w:eastAsia="宋体" w:cs="宋体"/>
          <w:color w:val="000000" w:themeColor="text1"/>
          <w:sz w:val="24"/>
          <w:szCs w:val="24"/>
          <w:highlight w:val="none"/>
          <w14:textFill>
            <w14:solidFill>
              <w14:schemeClr w14:val="tx1"/>
            </w14:solidFill>
          </w14:textFill>
        </w:rPr>
        <w:t>）</w:t>
      </w:r>
    </w:p>
    <w:p w14:paraId="0769F51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p>
    <w:p w14:paraId="0EA5195F">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1B3848B0">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D30AED8">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02AF4605">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481B51C4">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22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2A300512">
      <w:pPr>
        <w:keepNext w:val="0"/>
        <w:keepLines w:val="0"/>
        <w:pageBreakBefore w:val="0"/>
        <w:widowControl w:val="0"/>
        <w:kinsoku/>
        <w:wordWrap/>
        <w:overflowPunct/>
        <w:topLinePunct w:val="0"/>
        <w:autoSpaceDE/>
        <w:autoSpaceDN/>
        <w:bidi w:val="0"/>
        <w:adjustRightInd/>
        <w:snapToGrid/>
        <w:spacing w:line="360" w:lineRule="auto"/>
        <w:ind w:left="0" w:leftChars="0" w:firstLine="4569" w:firstLineChars="1904"/>
        <w:jc w:val="right"/>
        <w:textAlignment w:val="auto"/>
        <w:rPr>
          <w:rFonts w:hint="eastAsia" w:ascii="宋体" w:hAnsi="宋体" w:eastAsia="宋体" w:cs="宋体"/>
          <w:color w:val="000000" w:themeColor="text1"/>
          <w:highlight w:val="none"/>
          <w14:textFill>
            <w14:solidFill>
              <w14:schemeClr w14:val="tx1"/>
            </w14:solidFill>
          </w14:textFill>
        </w:rPr>
        <w:sectPr>
          <w:pgSz w:w="11905" w:h="16838"/>
          <w:pgMar w:top="1440" w:right="1803" w:bottom="1440" w:left="1803" w:header="1140" w:footer="720" w:gutter="0"/>
          <w:pgNumType w:fmt="decimal"/>
          <w:cols w:space="0" w:num="1"/>
          <w:rtlGutter w:val="0"/>
          <w:docGrid w:type="lines" w:linePitch="317" w:charSpace="0"/>
        </w:sect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bookmarkEnd w:id="255"/>
    <w:bookmarkEnd w:id="256"/>
    <w:bookmarkEnd w:id="257"/>
    <w:bookmarkEnd w:id="258"/>
    <w:bookmarkEnd w:id="259"/>
    <w:bookmarkEnd w:id="260"/>
    <w:bookmarkEnd w:id="261"/>
    <w:p w14:paraId="537B3CB7">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outlineLvl w:val="1"/>
        <w:rPr>
          <w:rFonts w:hint="eastAsia" w:ascii="宋体" w:hAnsi="宋体" w:eastAsia="宋体" w:cs="宋体"/>
          <w:b/>
          <w:bCs/>
          <w:color w:val="000000" w:themeColor="text1"/>
          <w:sz w:val="32"/>
          <w:szCs w:val="32"/>
          <w:highlight w:val="none"/>
          <w14:textFill>
            <w14:solidFill>
              <w14:schemeClr w14:val="tx1"/>
            </w14:solidFill>
          </w14:textFill>
        </w:rPr>
      </w:pPr>
      <w:bookmarkStart w:id="262" w:name="_Toc12522"/>
      <w:bookmarkStart w:id="263" w:name="_Toc10849"/>
      <w:bookmarkStart w:id="264" w:name="_Toc19693"/>
      <w:bookmarkStart w:id="265" w:name="_Toc2769"/>
      <w:bookmarkStart w:id="266" w:name="_Toc5936"/>
      <w:bookmarkStart w:id="267" w:name="_Toc4246"/>
      <w:bookmarkStart w:id="268" w:name="_Toc30634"/>
      <w:r>
        <w:rPr>
          <w:rFonts w:hint="eastAsia" w:ascii="宋体" w:hAnsi="宋体" w:eastAsia="宋体" w:cs="宋体"/>
          <w:b/>
          <w:bCs/>
          <w:color w:val="000000" w:themeColor="text1"/>
          <w:sz w:val="32"/>
          <w:szCs w:val="32"/>
          <w:highlight w:val="none"/>
          <w14:textFill>
            <w14:solidFill>
              <w14:schemeClr w14:val="tx1"/>
            </w14:solidFill>
          </w14:textFill>
        </w:rPr>
        <w:t>二、</w:t>
      </w:r>
      <w:r>
        <w:rPr>
          <w:rFonts w:hint="eastAsia" w:ascii="宋体" w:hAnsi="宋体" w:eastAsia="宋体" w:cs="宋体"/>
          <w:b/>
          <w:bCs/>
          <w:color w:val="000000" w:themeColor="text1"/>
          <w:sz w:val="32"/>
          <w:szCs w:val="32"/>
          <w:highlight w:val="none"/>
          <w:lang w:eastAsia="zh-CN"/>
          <w14:textFill>
            <w14:solidFill>
              <w14:schemeClr w14:val="tx1"/>
            </w14:solidFill>
          </w14:textFill>
        </w:rPr>
        <w:t>法定代表人</w:t>
      </w:r>
      <w:r>
        <w:rPr>
          <w:rFonts w:hint="eastAsia" w:ascii="宋体" w:hAnsi="宋体" w:eastAsia="宋体" w:cs="宋体"/>
          <w:b/>
          <w:bCs/>
          <w:color w:val="000000" w:themeColor="text1"/>
          <w:sz w:val="32"/>
          <w:szCs w:val="32"/>
          <w:highlight w:val="none"/>
          <w14:textFill>
            <w14:solidFill>
              <w14:schemeClr w14:val="tx1"/>
            </w14:solidFill>
          </w14:textFill>
        </w:rPr>
        <w:t>身份证明及授权委托书</w:t>
      </w:r>
      <w:bookmarkEnd w:id="262"/>
      <w:bookmarkEnd w:id="263"/>
      <w:bookmarkEnd w:id="264"/>
    </w:p>
    <w:p w14:paraId="15124B2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w:t>
      </w:r>
      <w:r>
        <w:rPr>
          <w:rFonts w:hint="eastAsia" w:ascii="宋体" w:hAnsi="宋体" w:eastAsia="宋体" w:cs="宋体"/>
          <w:color w:val="000000" w:themeColor="text1"/>
          <w:sz w:val="32"/>
          <w:szCs w:val="32"/>
          <w:highlight w:val="none"/>
          <w:lang w:eastAsia="zh-CN"/>
          <w14:textFill>
            <w14:solidFill>
              <w14:schemeClr w14:val="tx1"/>
            </w14:solidFill>
          </w14:textFill>
        </w:rPr>
        <w:t>法定代表人</w:t>
      </w:r>
      <w:r>
        <w:rPr>
          <w:rFonts w:hint="eastAsia" w:ascii="宋体" w:hAnsi="宋体" w:eastAsia="宋体" w:cs="宋体"/>
          <w:color w:val="000000" w:themeColor="text1"/>
          <w:sz w:val="32"/>
          <w:szCs w:val="32"/>
          <w:highlight w:val="none"/>
          <w14:textFill>
            <w14:solidFill>
              <w14:schemeClr w14:val="tx1"/>
            </w14:solidFill>
          </w14:textFill>
        </w:rPr>
        <w:t>身份证明</w:t>
      </w:r>
    </w:p>
    <w:p w14:paraId="5634F097">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0818B6B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E84899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单位性质：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AB1292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F0A292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成立时间：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65B30F0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4C4CE4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2CE7CE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（供应商名称）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法定代表人（负责人）</w:t>
      </w:r>
    </w:p>
    <w:p w14:paraId="6B4229CA">
      <w:pPr>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特此证明。</w:t>
      </w:r>
    </w:p>
    <w:p w14:paraId="7A22D622">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65C486A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980440</wp:posOffset>
                </wp:positionH>
                <wp:positionV relativeFrom="paragraph">
                  <wp:posOffset>215265</wp:posOffset>
                </wp:positionV>
                <wp:extent cx="3362960" cy="1572260"/>
                <wp:effectExtent l="4445" t="4445" r="23495" b="23495"/>
                <wp:wrapNone/>
                <wp:docPr id="1" name="文本框 8"/>
                <wp:cNvGraphicFramePr/>
                <a:graphic xmlns:a="http://schemas.openxmlformats.org/drawingml/2006/main">
                  <a:graphicData uri="http://schemas.microsoft.com/office/word/2010/wordprocessingShape">
                    <wps:wsp>
                      <wps:cNvSpPr txBox="1"/>
                      <wps:spPr>
                        <a:xfrm>
                          <a:off x="0" y="0"/>
                          <a:ext cx="3086100" cy="1485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4D90509">
                            <w:pPr>
                              <w:jc w:val="center"/>
                              <w:rPr>
                                <w:rFonts w:ascii="黑体" w:eastAsia="黑体" w:cs="Times New Roman"/>
                                <w:sz w:val="32"/>
                                <w:szCs w:val="32"/>
                              </w:rPr>
                            </w:pPr>
                          </w:p>
                          <w:p w14:paraId="65ECB601">
                            <w:pPr>
                              <w:spacing w:line="480" w:lineRule="auto"/>
                              <w:jc w:val="center"/>
                              <w:rPr>
                                <w:rFonts w:hint="eastAsia" w:ascii="宋体" w:hAnsi="宋体" w:eastAsia="宋体" w:cs="宋体"/>
                                <w:b/>
                                <w:bCs/>
                                <w:sz w:val="24"/>
                                <w:szCs w:val="24"/>
                                <w:lang w:eastAsia="zh-CN"/>
                              </w:rPr>
                            </w:pPr>
                            <w:r>
                              <w:rPr>
                                <w:rFonts w:hint="eastAsia" w:ascii="宋体" w:hAnsi="宋体" w:eastAsia="宋体" w:cs="宋体"/>
                                <w:b/>
                                <w:bCs/>
                                <w:color w:val="000000" w:themeColor="text1"/>
                                <w:sz w:val="24"/>
                                <w:szCs w:val="24"/>
                                <w:highlight w:val="none"/>
                                <w14:textFill>
                                  <w14:solidFill>
                                    <w14:schemeClr w14:val="tx1"/>
                                  </w14:solidFill>
                                </w14:textFill>
                              </w:rPr>
                              <w:t>法定代表人（负责人）身份证</w:t>
                            </w:r>
                            <w:r>
                              <w:rPr>
                                <w:rFonts w:hint="eastAsia" w:ascii="宋体" w:hAnsi="宋体" w:eastAsia="宋体" w:cs="宋体"/>
                                <w:b/>
                                <w:bCs/>
                                <w:color w:val="000000" w:themeColor="text1"/>
                                <w:sz w:val="24"/>
                                <w:szCs w:val="24"/>
                                <w:highlight w:val="none"/>
                                <w:lang w:eastAsia="zh-CN"/>
                                <w14:textFill>
                                  <w14:solidFill>
                                    <w14:schemeClr w14:val="tx1"/>
                                  </w14:solidFill>
                                </w14:textFill>
                              </w:rPr>
                              <w:t>正、反</w:t>
                            </w:r>
                            <w:r>
                              <w:rPr>
                                <w:rFonts w:hint="eastAsia" w:ascii="宋体" w:hAnsi="宋体" w:eastAsia="宋体" w:cs="宋体"/>
                                <w:b/>
                                <w:bCs/>
                                <w:color w:val="000000" w:themeColor="text1"/>
                                <w:sz w:val="24"/>
                                <w:szCs w:val="24"/>
                                <w:highlight w:val="none"/>
                                <w14:textFill>
                                  <w14:solidFill>
                                    <w14:schemeClr w14:val="tx1"/>
                                  </w14:solidFill>
                                </w14:textFill>
                              </w:rPr>
                              <w:t>复印件</w:t>
                            </w:r>
                          </w:p>
                        </w:txbxContent>
                      </wps:txbx>
                      <wps:bodyPr wrap="square" upright="1"/>
                    </wps:wsp>
                  </a:graphicData>
                </a:graphic>
              </wp:anchor>
            </w:drawing>
          </mc:Choice>
          <mc:Fallback>
            <w:pict>
              <v:shape id="文本框 8" o:spid="_x0000_s1026" o:spt="202" type="#_x0000_t202" style="position:absolute;left:0pt;margin-left:77.2pt;margin-top:16.95pt;height:123.8pt;width:264.8pt;z-index:251660288;mso-width-relative:page;mso-height-relative:page;" fillcolor="#FFFFFF" filled="t" stroked="t" coordsize="21600,21600" o:gfxdata="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5/bx2QAAAAoB&#10;AAAPAAAAAAAAAAEAIAAAACIAAABkcnMvZG93bnJldi54bWxQSwECFAAUAAAACACHTuJA0mJ8lxoC&#10;AABTBAAADgAAAAAAAAABACAAAAAoAQAAZHJzL2Uyb0RvYy54bWxQSwUGAAAAAAYABgBZAQAAtAUA&#10;AAAA&#10;">
                <v:fill on="t" focussize="0,0"/>
                <v:stroke color="#000000" joinstyle="miter"/>
                <v:imagedata o:title=""/>
                <o:lock v:ext="edit" aspectratio="f"/>
                <v:textbox>
                  <w:txbxContent>
                    <w:p w14:paraId="04D90509">
                      <w:pPr>
                        <w:jc w:val="center"/>
                        <w:rPr>
                          <w:rFonts w:ascii="黑体" w:eastAsia="黑体" w:cs="Times New Roman"/>
                          <w:sz w:val="32"/>
                          <w:szCs w:val="32"/>
                        </w:rPr>
                      </w:pPr>
                    </w:p>
                    <w:p w14:paraId="65ECB601">
                      <w:pPr>
                        <w:spacing w:line="480" w:lineRule="auto"/>
                        <w:jc w:val="center"/>
                        <w:rPr>
                          <w:rFonts w:hint="eastAsia" w:ascii="宋体" w:hAnsi="宋体" w:eastAsia="宋体" w:cs="宋体"/>
                          <w:b/>
                          <w:bCs/>
                          <w:sz w:val="24"/>
                          <w:szCs w:val="24"/>
                          <w:lang w:eastAsia="zh-CN"/>
                        </w:rPr>
                      </w:pPr>
                      <w:r>
                        <w:rPr>
                          <w:rFonts w:hint="eastAsia" w:ascii="宋体" w:hAnsi="宋体" w:eastAsia="宋体" w:cs="宋体"/>
                          <w:b/>
                          <w:bCs/>
                          <w:color w:val="000000" w:themeColor="text1"/>
                          <w:sz w:val="24"/>
                          <w:szCs w:val="24"/>
                          <w:highlight w:val="none"/>
                          <w14:textFill>
                            <w14:solidFill>
                              <w14:schemeClr w14:val="tx1"/>
                            </w14:solidFill>
                          </w14:textFill>
                        </w:rPr>
                        <w:t>法定代表人（负责人）身份证</w:t>
                      </w:r>
                      <w:r>
                        <w:rPr>
                          <w:rFonts w:hint="eastAsia" w:ascii="宋体" w:hAnsi="宋体" w:eastAsia="宋体" w:cs="宋体"/>
                          <w:b/>
                          <w:bCs/>
                          <w:color w:val="000000" w:themeColor="text1"/>
                          <w:sz w:val="24"/>
                          <w:szCs w:val="24"/>
                          <w:highlight w:val="none"/>
                          <w:lang w:eastAsia="zh-CN"/>
                          <w14:textFill>
                            <w14:solidFill>
                              <w14:schemeClr w14:val="tx1"/>
                            </w14:solidFill>
                          </w14:textFill>
                        </w:rPr>
                        <w:t>正、反</w:t>
                      </w:r>
                      <w:r>
                        <w:rPr>
                          <w:rFonts w:hint="eastAsia" w:ascii="宋体" w:hAnsi="宋体" w:eastAsia="宋体" w:cs="宋体"/>
                          <w:b/>
                          <w:bCs/>
                          <w:color w:val="000000" w:themeColor="text1"/>
                          <w:sz w:val="24"/>
                          <w:szCs w:val="24"/>
                          <w:highlight w:val="none"/>
                          <w14:textFill>
                            <w14:solidFill>
                              <w14:schemeClr w14:val="tx1"/>
                            </w14:solidFill>
                          </w14:textFill>
                        </w:rPr>
                        <w:t>复印件</w:t>
                      </w:r>
                    </w:p>
                  </w:txbxContent>
                </v:textbox>
              </v:shape>
            </w:pict>
          </mc:Fallback>
        </mc:AlternateContent>
      </w:r>
    </w:p>
    <w:p w14:paraId="1E4AEAB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52475D83">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65FAF73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023445EC">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6930A42B">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1129F35F">
      <w:pPr>
        <w:spacing w:line="360" w:lineRule="auto"/>
        <w:rPr>
          <w:rFonts w:hint="eastAsia" w:ascii="宋体" w:hAnsi="宋体" w:eastAsia="宋体" w:cs="宋体"/>
          <w:color w:val="000000" w:themeColor="text1"/>
          <w:highlight w:val="none"/>
          <w14:textFill>
            <w14:solidFill>
              <w14:schemeClr w14:val="tx1"/>
            </w14:solidFill>
          </w14:textFill>
        </w:rPr>
      </w:pPr>
    </w:p>
    <w:p w14:paraId="2FCD03C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18680FAB">
      <w:pPr>
        <w:spacing w:line="360"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盖单位公章</w:t>
      </w:r>
      <w:r>
        <w:rPr>
          <w:rFonts w:hint="eastAsia" w:ascii="宋体" w:hAnsi="宋体" w:eastAsia="宋体" w:cs="宋体"/>
          <w:color w:val="000000" w:themeColor="text1"/>
          <w:sz w:val="24"/>
          <w:szCs w:val="24"/>
          <w:highlight w:val="none"/>
          <w14:textFill>
            <w14:solidFill>
              <w14:schemeClr w14:val="tx1"/>
            </w14:solidFill>
          </w14:textFill>
        </w:rPr>
        <w:t>）</w:t>
      </w:r>
    </w:p>
    <w:p w14:paraId="2F1840DD">
      <w:pPr>
        <w:spacing w:line="360" w:lineRule="auto"/>
        <w:ind w:firstLine="5160" w:firstLineChars="2150"/>
        <w:rPr>
          <w:rFonts w:hint="eastAsia" w:ascii="宋体" w:hAnsi="宋体" w:eastAsia="宋体" w:cs="宋体"/>
          <w:color w:val="000000" w:themeColor="text1"/>
          <w:sz w:val="24"/>
          <w:szCs w:val="24"/>
          <w:highlight w:val="none"/>
          <w:u w:val="single"/>
          <w14:textFill>
            <w14:solidFill>
              <w14:schemeClr w14:val="tx1"/>
            </w14:solidFill>
          </w14:textFill>
        </w:rPr>
      </w:pPr>
    </w:p>
    <w:p w14:paraId="36F2135D">
      <w:pPr>
        <w:pStyle w:val="20"/>
        <w:spacing w:line="360" w:lineRule="auto"/>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46BB55DB">
      <w:pPr>
        <w:pStyle w:val="20"/>
        <w:ind w:firstLine="420" w:firstLineChars="200"/>
        <w:rPr>
          <w:rFonts w:hint="eastAsia" w:ascii="宋体" w:hAnsi="宋体" w:eastAsia="宋体" w:cs="宋体"/>
          <w:color w:val="000000" w:themeColor="text1"/>
          <w:highlight w:val="none"/>
          <w14:textFill>
            <w14:solidFill>
              <w14:schemeClr w14:val="tx1"/>
            </w14:solidFill>
          </w14:textFill>
        </w:rPr>
      </w:pPr>
    </w:p>
    <w:p w14:paraId="7585A0F0">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color w:val="000000" w:themeColor="text1"/>
          <w:sz w:val="32"/>
          <w:szCs w:val="32"/>
          <w:highlight w:val="none"/>
          <w14:textFill>
            <w14:solidFill>
              <w14:schemeClr w14:val="tx1"/>
            </w14:solidFill>
          </w14:textFill>
        </w:rPr>
      </w:pPr>
      <w:bookmarkStart w:id="269" w:name="_Toc465257491"/>
      <w:bookmarkStart w:id="270" w:name="_Toc466454742"/>
      <w:bookmarkStart w:id="271" w:name="_Toc466466386"/>
      <w:r>
        <w:rPr>
          <w:rFonts w:hint="eastAsia" w:ascii="宋体" w:hAnsi="宋体" w:eastAsia="宋体" w:cs="宋体"/>
          <w:color w:val="000000" w:themeColor="text1"/>
          <w:sz w:val="28"/>
          <w:szCs w:val="28"/>
          <w:highlight w:val="none"/>
          <w14:textFill>
            <w14:solidFill>
              <w14:schemeClr w14:val="tx1"/>
            </w14:solidFill>
          </w14:textFill>
        </w:rPr>
        <w:br w:type="page"/>
      </w:r>
      <w:bookmarkEnd w:id="269"/>
      <w:bookmarkEnd w:id="270"/>
      <w:bookmarkEnd w:id="271"/>
      <w:r>
        <w:rPr>
          <w:rFonts w:hint="eastAsia" w:ascii="宋体" w:hAnsi="宋体" w:eastAsia="宋体" w:cs="宋体"/>
          <w:b/>
          <w:color w:val="000000" w:themeColor="text1"/>
          <w:sz w:val="28"/>
          <w:szCs w:val="28"/>
          <w:highlight w:val="none"/>
          <w14:textFill>
            <w14:solidFill>
              <w14:schemeClr w14:val="tx1"/>
            </w14:solidFill>
          </w14:textFill>
        </w:rPr>
        <w:t>（二）</w:t>
      </w:r>
      <w:r>
        <w:rPr>
          <w:rFonts w:hint="eastAsia" w:ascii="宋体" w:hAnsi="宋体" w:eastAsia="宋体" w:cs="宋体"/>
          <w:b/>
          <w:bCs/>
          <w:color w:val="000000" w:themeColor="text1"/>
          <w:sz w:val="32"/>
          <w:szCs w:val="32"/>
          <w:highlight w:val="none"/>
          <w14:textFill>
            <w14:solidFill>
              <w14:schemeClr w14:val="tx1"/>
            </w14:solidFill>
          </w14:textFill>
        </w:rPr>
        <w:t>授权委托书</w:t>
      </w:r>
    </w:p>
    <w:p w14:paraId="17E40C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2098B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（姓名）</w:t>
      </w:r>
      <w:r>
        <w:rPr>
          <w:rFonts w:hint="eastAsia" w:ascii="宋体" w:hAnsi="宋体" w:eastAsia="宋体" w:cs="宋体"/>
          <w:i w:val="0"/>
          <w:i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（供应商名称）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，现委托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（姓名）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为我方代理人。代理人根据授权，以我方名义签署、澄清、说明、补正、递交、撤回、修改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szCs w:val="24"/>
          <w:highlight w:val="none"/>
          <w14:textFill>
            <w14:solidFill>
              <w14:schemeClr w14:val="tx1"/>
            </w14:solidFill>
          </w14:textFill>
        </w:rPr>
        <w:t>响应文件、签订合同和处理有关事宜，其法律后果由我方承担。</w:t>
      </w:r>
    </w:p>
    <w:p w14:paraId="5BC376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0BCC1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代理人无转委托权。</w:t>
      </w:r>
    </w:p>
    <w:p w14:paraId="4B5781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869950</wp:posOffset>
                </wp:positionH>
                <wp:positionV relativeFrom="paragraph">
                  <wp:posOffset>189865</wp:posOffset>
                </wp:positionV>
                <wp:extent cx="3636645" cy="1739265"/>
                <wp:effectExtent l="4445" t="4445" r="16510" b="8890"/>
                <wp:wrapNone/>
                <wp:docPr id="2" name="文本框 15"/>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8054FC8">
                            <w:pPr>
                              <w:rPr>
                                <w:rFonts w:hint="eastAsia" w:ascii="黑体" w:eastAsia="黑体"/>
                                <w:sz w:val="32"/>
                                <w:szCs w:val="32"/>
                              </w:rPr>
                            </w:pPr>
                          </w:p>
                          <w:p w14:paraId="0346428B">
                            <w:pPr>
                              <w:pStyle w:val="35"/>
                              <w:rPr>
                                <w:rFonts w:hint="eastAsia"/>
                              </w:rPr>
                            </w:pPr>
                          </w:p>
                          <w:p w14:paraId="1B2A2159">
                            <w:pPr>
                              <w:jc w:val="center"/>
                              <w:rPr>
                                <w:rFonts w:hint="eastAsia" w:ascii="宋体" w:hAnsi="宋体" w:eastAsia="宋体" w:cs="宋体"/>
                                <w:b/>
                                <w:bCs/>
                                <w:sz w:val="24"/>
                                <w:highlight w:val="none"/>
                                <w:lang w:eastAsia="zh-CN"/>
                              </w:rPr>
                            </w:pPr>
                            <w:r>
                              <w:rPr>
                                <w:rFonts w:hint="eastAsia" w:ascii="宋体" w:hAnsi="宋体" w:eastAsia="宋体" w:cs="宋体"/>
                                <w:b/>
                                <w:bCs/>
                                <w:color w:val="000000" w:themeColor="text1"/>
                                <w:sz w:val="24"/>
                                <w:szCs w:val="24"/>
                                <w:highlight w:val="none"/>
                                <w14:textFill>
                                  <w14:solidFill>
                                    <w14:schemeClr w14:val="tx1"/>
                                  </w14:solidFill>
                                </w14:textFill>
                              </w:rPr>
                              <w:t>法定代表人（负责人）身份证</w:t>
                            </w:r>
                            <w:r>
                              <w:rPr>
                                <w:rFonts w:hint="eastAsia" w:ascii="宋体" w:hAnsi="宋体" w:eastAsia="宋体" w:cs="宋体"/>
                                <w:b/>
                                <w:bCs/>
                                <w:color w:val="000000" w:themeColor="text1"/>
                                <w:sz w:val="24"/>
                                <w:szCs w:val="24"/>
                                <w:highlight w:val="none"/>
                                <w:lang w:eastAsia="zh-CN"/>
                                <w14:textFill>
                                  <w14:solidFill>
                                    <w14:schemeClr w14:val="tx1"/>
                                  </w14:solidFill>
                                </w14:textFill>
                              </w:rPr>
                              <w:t>正、反</w:t>
                            </w:r>
                            <w:r>
                              <w:rPr>
                                <w:rFonts w:hint="eastAsia" w:ascii="宋体" w:hAnsi="宋体" w:eastAsia="宋体" w:cs="宋体"/>
                                <w:b/>
                                <w:bCs/>
                                <w:color w:val="000000" w:themeColor="text1"/>
                                <w:sz w:val="24"/>
                                <w:szCs w:val="24"/>
                                <w:highlight w:val="none"/>
                                <w14:textFill>
                                  <w14:solidFill>
                                    <w14:schemeClr w14:val="tx1"/>
                                  </w14:solidFill>
                                </w14:textFill>
                              </w:rPr>
                              <w:t>复印件</w:t>
                            </w:r>
                          </w:p>
                        </w:txbxContent>
                      </wps:txbx>
                      <wps:bodyPr wrap="square" upright="1"/>
                    </wps:wsp>
                  </a:graphicData>
                </a:graphic>
              </wp:anchor>
            </w:drawing>
          </mc:Choice>
          <mc:Fallback>
            <w:pict>
              <v:shape id="文本框 15" o:spid="_x0000_s1026" o:spt="202" type="#_x0000_t202" style="position:absolute;left:0pt;margin-left:68.5pt;margin-top:14.95pt;height:136.95pt;width:286.35pt;z-index:251661312;mso-width-relative:page;mso-height-relative:page;" fillcolor="#FFFFFF" filled="t" stroked="t" coordsize="21600,21600" o:gfxdata="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iGaYNkA&#10;AAAKAQAADwAAAAAAAAABACAAAAAiAAAAZHJzL2Rvd25yZXYueG1sUEsBAhQAFAAAAAgAh07iQA9M&#10;fuUeAgAAVAQAAA4AAAAAAAAAAQAgAAAAKAEAAGRycy9lMm9Eb2MueG1sUEsFBgAAAAAGAAYAWQEA&#10;ALgFAAAAAA==&#10;">
                <v:fill on="t" focussize="0,0"/>
                <v:stroke color="#000000" joinstyle="miter"/>
                <v:imagedata o:title=""/>
                <o:lock v:ext="edit" aspectratio="f"/>
                <v:textbox>
                  <w:txbxContent>
                    <w:p w14:paraId="38054FC8">
                      <w:pPr>
                        <w:rPr>
                          <w:rFonts w:hint="eastAsia" w:ascii="黑体" w:eastAsia="黑体"/>
                          <w:sz w:val="32"/>
                          <w:szCs w:val="32"/>
                        </w:rPr>
                      </w:pPr>
                    </w:p>
                    <w:p w14:paraId="0346428B">
                      <w:pPr>
                        <w:pStyle w:val="35"/>
                        <w:rPr>
                          <w:rFonts w:hint="eastAsia"/>
                        </w:rPr>
                      </w:pPr>
                    </w:p>
                    <w:p w14:paraId="1B2A2159">
                      <w:pPr>
                        <w:jc w:val="center"/>
                        <w:rPr>
                          <w:rFonts w:hint="eastAsia" w:ascii="宋体" w:hAnsi="宋体" w:eastAsia="宋体" w:cs="宋体"/>
                          <w:b/>
                          <w:bCs/>
                          <w:sz w:val="24"/>
                          <w:highlight w:val="none"/>
                          <w:lang w:eastAsia="zh-CN"/>
                        </w:rPr>
                      </w:pPr>
                      <w:r>
                        <w:rPr>
                          <w:rFonts w:hint="eastAsia" w:ascii="宋体" w:hAnsi="宋体" w:eastAsia="宋体" w:cs="宋体"/>
                          <w:b/>
                          <w:bCs/>
                          <w:color w:val="000000" w:themeColor="text1"/>
                          <w:sz w:val="24"/>
                          <w:szCs w:val="24"/>
                          <w:highlight w:val="none"/>
                          <w14:textFill>
                            <w14:solidFill>
                              <w14:schemeClr w14:val="tx1"/>
                            </w14:solidFill>
                          </w14:textFill>
                        </w:rPr>
                        <w:t>法定代表人（负责人）身份证</w:t>
                      </w:r>
                      <w:r>
                        <w:rPr>
                          <w:rFonts w:hint="eastAsia" w:ascii="宋体" w:hAnsi="宋体" w:eastAsia="宋体" w:cs="宋体"/>
                          <w:b/>
                          <w:bCs/>
                          <w:color w:val="000000" w:themeColor="text1"/>
                          <w:sz w:val="24"/>
                          <w:szCs w:val="24"/>
                          <w:highlight w:val="none"/>
                          <w:lang w:eastAsia="zh-CN"/>
                          <w14:textFill>
                            <w14:solidFill>
                              <w14:schemeClr w14:val="tx1"/>
                            </w14:solidFill>
                          </w14:textFill>
                        </w:rPr>
                        <w:t>正、反</w:t>
                      </w:r>
                      <w:r>
                        <w:rPr>
                          <w:rFonts w:hint="eastAsia" w:ascii="宋体" w:hAnsi="宋体" w:eastAsia="宋体" w:cs="宋体"/>
                          <w:b/>
                          <w:bCs/>
                          <w:color w:val="000000" w:themeColor="text1"/>
                          <w:sz w:val="24"/>
                          <w:szCs w:val="24"/>
                          <w:highlight w:val="none"/>
                          <w14:textFill>
                            <w14:solidFill>
                              <w14:schemeClr w14:val="tx1"/>
                            </w14:solidFill>
                          </w14:textFill>
                        </w:rPr>
                        <w:t>复印件</w:t>
                      </w:r>
                    </w:p>
                  </w:txbxContent>
                </v:textbox>
              </v:shape>
            </w:pict>
          </mc:Fallback>
        </mc:AlternateContent>
      </w:r>
    </w:p>
    <w:p w14:paraId="0BC8C1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1E86AF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08BD46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7AC6FE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6E0F7B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5DDBF8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16311E50">
      <w:pPr>
        <w:keepNext w:val="0"/>
        <w:keepLines w:val="0"/>
        <w:pageBreakBefore w:val="0"/>
        <w:widowControl w:val="0"/>
        <w:kinsoku/>
        <w:wordWrap/>
        <w:overflowPunct/>
        <w:topLinePunct w:val="0"/>
        <w:autoSpaceDE/>
        <w:autoSpaceDN/>
        <w:bidi w:val="0"/>
        <w:adjustRightInd/>
        <w:snapToGrid/>
        <w:spacing w:line="480" w:lineRule="auto"/>
        <w:ind w:right="-13" w:rightChars="-6"/>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盖单位公章</w:t>
      </w:r>
      <w:r>
        <w:rPr>
          <w:rFonts w:hint="eastAsia" w:ascii="宋体" w:hAnsi="宋体" w:eastAsia="宋体" w:cs="宋体"/>
          <w:color w:val="000000" w:themeColor="text1"/>
          <w:sz w:val="24"/>
          <w:szCs w:val="24"/>
          <w:highlight w:val="none"/>
          <w14:textFill>
            <w14:solidFill>
              <w14:schemeClr w14:val="tx1"/>
            </w14:solidFill>
          </w14:textFill>
        </w:rPr>
        <w:t>）</w:t>
      </w:r>
    </w:p>
    <w:p w14:paraId="4433A07D">
      <w:pPr>
        <w:keepNext w:val="0"/>
        <w:keepLines w:val="0"/>
        <w:pageBreakBefore w:val="0"/>
        <w:widowControl w:val="0"/>
        <w:kinsoku/>
        <w:wordWrap/>
        <w:overflowPunct/>
        <w:topLinePunct w:val="0"/>
        <w:autoSpaceDE/>
        <w:autoSpaceDN/>
        <w:bidi w:val="0"/>
        <w:adjustRightInd/>
        <w:snapToGrid/>
        <w:spacing w:line="480" w:lineRule="auto"/>
        <w:ind w:right="-13" w:rightChars="-6"/>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字）</w:t>
      </w:r>
    </w:p>
    <w:p w14:paraId="3F501C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904240</wp:posOffset>
                </wp:positionH>
                <wp:positionV relativeFrom="paragraph">
                  <wp:posOffset>172085</wp:posOffset>
                </wp:positionV>
                <wp:extent cx="3593465" cy="1670050"/>
                <wp:effectExtent l="4445" t="4445" r="21590" b="20955"/>
                <wp:wrapNone/>
                <wp:docPr id="3" name="文本框 1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71CB3A">
                            <w:pPr>
                              <w:spacing w:line="600" w:lineRule="auto"/>
                              <w:jc w:val="center"/>
                              <w:rPr>
                                <w:rFonts w:hint="eastAsia" w:ascii="黑体" w:eastAsia="黑体" w:cs="黑体"/>
                                <w:color w:val="000000" w:themeColor="text1"/>
                                <w:sz w:val="24"/>
                                <w:szCs w:val="24"/>
                                <w:highlight w:val="none"/>
                                <w:lang w:eastAsia="zh-CN"/>
                                <w14:textFill>
                                  <w14:solidFill>
                                    <w14:schemeClr w14:val="tx1"/>
                                  </w14:solidFill>
                                </w14:textFill>
                              </w:rPr>
                            </w:pPr>
                          </w:p>
                          <w:p w14:paraId="5440A8E7">
                            <w:pPr>
                              <w:spacing w:line="600" w:lineRule="auto"/>
                              <w:jc w:val="center"/>
                              <w:rPr>
                                <w:rFonts w:hint="eastAsia" w:ascii="宋体" w:hAnsi="宋体" w:eastAsia="宋体" w:cs="宋体"/>
                                <w:b/>
                                <w:bCs/>
                                <w:lang w:eastAsia="zh-CN"/>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委托代理人</w:t>
                            </w:r>
                            <w:r>
                              <w:rPr>
                                <w:rFonts w:hint="eastAsia" w:ascii="宋体" w:hAnsi="宋体" w:eastAsia="宋体" w:cs="宋体"/>
                                <w:b/>
                                <w:bCs/>
                                <w:color w:val="000000" w:themeColor="text1"/>
                                <w:sz w:val="24"/>
                                <w:szCs w:val="24"/>
                                <w:highlight w:val="none"/>
                                <w14:textFill>
                                  <w14:solidFill>
                                    <w14:schemeClr w14:val="tx1"/>
                                  </w14:solidFill>
                                </w14:textFill>
                              </w:rPr>
                              <w:t>身份证</w:t>
                            </w:r>
                            <w:r>
                              <w:rPr>
                                <w:rFonts w:hint="eastAsia" w:ascii="宋体" w:hAnsi="宋体" w:eastAsia="宋体" w:cs="宋体"/>
                                <w:b/>
                                <w:bCs/>
                                <w:color w:val="000000" w:themeColor="text1"/>
                                <w:sz w:val="24"/>
                                <w:szCs w:val="24"/>
                                <w:highlight w:val="none"/>
                                <w:lang w:eastAsia="zh-CN"/>
                                <w14:textFill>
                                  <w14:solidFill>
                                    <w14:schemeClr w14:val="tx1"/>
                                  </w14:solidFill>
                                </w14:textFill>
                              </w:rPr>
                              <w:t>正、反</w:t>
                            </w:r>
                            <w:r>
                              <w:rPr>
                                <w:rFonts w:hint="eastAsia" w:ascii="宋体" w:hAnsi="宋体" w:eastAsia="宋体" w:cs="宋体"/>
                                <w:b/>
                                <w:bCs/>
                                <w:color w:val="000000" w:themeColor="text1"/>
                                <w:sz w:val="24"/>
                                <w:szCs w:val="24"/>
                                <w:highlight w:val="none"/>
                                <w14:textFill>
                                  <w14:solidFill>
                                    <w14:schemeClr w14:val="tx1"/>
                                  </w14:solidFill>
                                </w14:textFill>
                              </w:rPr>
                              <w:t>复印件</w:t>
                            </w:r>
                          </w:p>
                        </w:txbxContent>
                      </wps:txbx>
                      <wps:bodyPr wrap="square" upright="1"/>
                    </wps:wsp>
                  </a:graphicData>
                </a:graphic>
              </wp:anchor>
            </w:drawing>
          </mc:Choice>
          <mc:Fallback>
            <w:pict>
              <v:shape id="文本框 16" o:spid="_x0000_s1026" o:spt="202" type="#_x0000_t202" style="position:absolute;left:0pt;margin-left:71.2pt;margin-top:13.55pt;height:131.5pt;width:282.95pt;z-index:251662336;mso-width-relative:page;mso-height-relative:page;" fillcolor="#FFFFFF" filled="t" stroked="t" coordsize="21600,21600" o:gfxdata="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Av8VNkA&#10;AAAKAQAADwAAAAAAAAABACAAAAAiAAAAZHJzL2Rvd25yZXYueG1sUEsBAhQAFAAAAAgAh07iQHR6&#10;vnkeAgAAVAQAAA4AAAAAAAAAAQAgAAAAKAEAAGRycy9lMm9Eb2MueG1sUEsFBgAAAAAGAAYAWQEA&#10;ALgFAAAAAA==&#10;">
                <v:fill on="t" focussize="0,0"/>
                <v:stroke color="#000000" joinstyle="miter"/>
                <v:imagedata o:title=""/>
                <o:lock v:ext="edit" aspectratio="f"/>
                <v:textbox>
                  <w:txbxContent>
                    <w:p w14:paraId="0671CB3A">
                      <w:pPr>
                        <w:spacing w:line="600" w:lineRule="auto"/>
                        <w:jc w:val="center"/>
                        <w:rPr>
                          <w:rFonts w:hint="eastAsia" w:ascii="黑体" w:eastAsia="黑体" w:cs="黑体"/>
                          <w:color w:val="000000" w:themeColor="text1"/>
                          <w:sz w:val="24"/>
                          <w:szCs w:val="24"/>
                          <w:highlight w:val="none"/>
                          <w:lang w:eastAsia="zh-CN"/>
                          <w14:textFill>
                            <w14:solidFill>
                              <w14:schemeClr w14:val="tx1"/>
                            </w14:solidFill>
                          </w14:textFill>
                        </w:rPr>
                      </w:pPr>
                    </w:p>
                    <w:p w14:paraId="5440A8E7">
                      <w:pPr>
                        <w:spacing w:line="600" w:lineRule="auto"/>
                        <w:jc w:val="center"/>
                        <w:rPr>
                          <w:rFonts w:hint="eastAsia" w:ascii="宋体" w:hAnsi="宋体" w:eastAsia="宋体" w:cs="宋体"/>
                          <w:b/>
                          <w:bCs/>
                          <w:lang w:eastAsia="zh-CN"/>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委托代理人</w:t>
                      </w:r>
                      <w:r>
                        <w:rPr>
                          <w:rFonts w:hint="eastAsia" w:ascii="宋体" w:hAnsi="宋体" w:eastAsia="宋体" w:cs="宋体"/>
                          <w:b/>
                          <w:bCs/>
                          <w:color w:val="000000" w:themeColor="text1"/>
                          <w:sz w:val="24"/>
                          <w:szCs w:val="24"/>
                          <w:highlight w:val="none"/>
                          <w14:textFill>
                            <w14:solidFill>
                              <w14:schemeClr w14:val="tx1"/>
                            </w14:solidFill>
                          </w14:textFill>
                        </w:rPr>
                        <w:t>身份证</w:t>
                      </w:r>
                      <w:r>
                        <w:rPr>
                          <w:rFonts w:hint="eastAsia" w:ascii="宋体" w:hAnsi="宋体" w:eastAsia="宋体" w:cs="宋体"/>
                          <w:b/>
                          <w:bCs/>
                          <w:color w:val="000000" w:themeColor="text1"/>
                          <w:sz w:val="24"/>
                          <w:szCs w:val="24"/>
                          <w:highlight w:val="none"/>
                          <w:lang w:eastAsia="zh-CN"/>
                          <w14:textFill>
                            <w14:solidFill>
                              <w14:schemeClr w14:val="tx1"/>
                            </w14:solidFill>
                          </w14:textFill>
                        </w:rPr>
                        <w:t>正、反</w:t>
                      </w:r>
                      <w:r>
                        <w:rPr>
                          <w:rFonts w:hint="eastAsia" w:ascii="宋体" w:hAnsi="宋体" w:eastAsia="宋体" w:cs="宋体"/>
                          <w:b/>
                          <w:bCs/>
                          <w:color w:val="000000" w:themeColor="text1"/>
                          <w:sz w:val="24"/>
                          <w:szCs w:val="24"/>
                          <w:highlight w:val="none"/>
                          <w14:textFill>
                            <w14:solidFill>
                              <w14:schemeClr w14:val="tx1"/>
                            </w14:solidFill>
                          </w14:textFill>
                        </w:rPr>
                        <w:t>复印件</w:t>
                      </w:r>
                    </w:p>
                  </w:txbxContent>
                </v:textbox>
              </v:shape>
            </w:pict>
          </mc:Fallback>
        </mc:AlternateContent>
      </w:r>
    </w:p>
    <w:p w14:paraId="1CB76F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0367F9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4CEBEE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537BD3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484FC5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6BB7E5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24863952">
      <w:pPr>
        <w:keepNext w:val="0"/>
        <w:keepLines w:val="0"/>
        <w:pageBreakBefore w:val="0"/>
        <w:widowControl w:val="0"/>
        <w:kinsoku/>
        <w:wordWrap w:val="0"/>
        <w:overflowPunct/>
        <w:topLinePunct w:val="0"/>
        <w:autoSpaceDE/>
        <w:autoSpaceDN/>
        <w:bidi w:val="0"/>
        <w:adjustRightInd/>
        <w:snapToGrid/>
        <w:spacing w:line="480" w:lineRule="auto"/>
        <w:ind w:right="-13" w:rightChars="-6"/>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（签字）性</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别：</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DB20781">
      <w:pPr>
        <w:keepNext w:val="0"/>
        <w:keepLines w:val="0"/>
        <w:pageBreakBefore w:val="0"/>
        <w:widowControl w:val="0"/>
        <w:kinsoku/>
        <w:wordWrap w:val="0"/>
        <w:overflowPunct/>
        <w:topLinePunct w:val="0"/>
        <w:autoSpaceDE/>
        <w:autoSpaceDN/>
        <w:bidi w:val="0"/>
        <w:adjustRightInd/>
        <w:snapToGrid/>
        <w:spacing w:line="480" w:lineRule="auto"/>
        <w:ind w:right="-13" w:rightChars="-6"/>
        <w:jc w:val="right"/>
        <w:textAlignment w:val="auto"/>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年 </w:t>
      </w:r>
      <w:r>
        <w:rPr>
          <w:rFonts w:hint="eastAsia" w:ascii="宋体" w:hAnsi="宋体" w:eastAsia="宋体" w:cs="宋体"/>
          <w:color w:val="000000" w:themeColor="text1"/>
          <w:sz w:val="24"/>
          <w:szCs w:val="24"/>
          <w:highlight w:val="none"/>
          <w14:textFill>
            <w14:solidFill>
              <w14:schemeClr w14:val="tx1"/>
            </w14:solidFill>
          </w14:textFill>
        </w:rPr>
        <w:t>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5E2E0418">
      <w:pPr>
        <w:keepNext w:val="0"/>
        <w:keepLines w:val="0"/>
        <w:pageBreakBefore w:val="0"/>
        <w:widowControl w:val="0"/>
        <w:kinsoku/>
        <w:wordWrap/>
        <w:overflowPunct/>
        <w:topLinePunct w:val="0"/>
        <w:autoSpaceDE/>
        <w:autoSpaceDN/>
        <w:bidi w:val="0"/>
        <w:adjustRightInd/>
        <w:snapToGrid/>
        <w:spacing w:line="480" w:lineRule="auto"/>
        <w:ind w:firstLine="1200" w:firstLineChars="500"/>
        <w:jc w:val="righ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sectPr>
          <w:pgSz w:w="11905" w:h="16838"/>
          <w:pgMar w:top="1440" w:right="1803" w:bottom="1440" w:left="1803" w:header="1140" w:footer="720" w:gutter="0"/>
          <w:pgNumType w:fmt="decimal"/>
          <w:cols w:space="0" w:num="1"/>
          <w:rtlGutter w:val="0"/>
          <w:docGrid w:type="lines" w:linePitch="317" w:charSpace="0"/>
        </w:sect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w:t>
      </w:r>
    </w:p>
    <w:p w14:paraId="0E22DBFF">
      <w:pPr>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bookmarkStart w:id="272" w:name="_Toc22810"/>
      <w:r>
        <w:rPr>
          <w:rFonts w:hint="eastAsia" w:ascii="宋体" w:hAnsi="宋体" w:eastAsia="宋体" w:cs="宋体"/>
          <w:b/>
          <w:color w:val="000000" w:themeColor="text1"/>
          <w:sz w:val="32"/>
          <w:szCs w:val="32"/>
          <w14:textFill>
            <w14:solidFill>
              <w14:schemeClr w14:val="tx1"/>
            </w14:solidFill>
          </w14:textFill>
        </w:rPr>
        <w:t>三、磋商保证金</w:t>
      </w:r>
      <w:bookmarkEnd w:id="265"/>
      <w:bookmarkEnd w:id="266"/>
      <w:bookmarkEnd w:id="267"/>
      <w:bookmarkEnd w:id="268"/>
      <w:bookmarkEnd w:id="272"/>
    </w:p>
    <w:p w14:paraId="728EF9C2">
      <w:pPr>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p>
    <w:p w14:paraId="405A1435">
      <w:pPr>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若采用现金或支票，供应商应在此提供汇款凭证的复印件、开户许可证复印件（如有），并填写备注表格。</w:t>
      </w:r>
    </w:p>
    <w:p w14:paraId="7BDAC53D">
      <w:pPr>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p>
    <w:p w14:paraId="07183EC3">
      <w:pPr>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p>
    <w:p w14:paraId="56011E4C">
      <w:pPr>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若采用银行保函，供应商应在此提供银行保函的复印件，并填写备注表格。</w:t>
      </w:r>
    </w:p>
    <w:p w14:paraId="5918CFAE">
      <w:pPr>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p>
    <w:p w14:paraId="22F3E51B">
      <w:pPr>
        <w:spacing w:line="360" w:lineRule="auto"/>
        <w:rPr>
          <w:rFonts w:hint="eastAsia" w:ascii="宋体" w:hAnsi="宋体" w:eastAsia="宋体" w:cs="宋体"/>
          <w:color w:val="000000" w:themeColor="text1"/>
          <w:sz w:val="24"/>
          <w:szCs w:val="24"/>
          <w14:textFill>
            <w14:solidFill>
              <w14:schemeClr w14:val="tx1"/>
            </w14:solidFill>
          </w14:textFill>
        </w:rPr>
      </w:pPr>
    </w:p>
    <w:p w14:paraId="451E7476">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备注：（必填）</w:t>
      </w:r>
    </w:p>
    <w:p w14:paraId="59F343F3">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1、供应商可采用采购人认可的磋商保函格式，但相关内容不得背离竞争性磋商文件约定的实质性内容。</w:t>
      </w:r>
    </w:p>
    <w:p w14:paraId="57CDA60E">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2、根据本单位递交保证金的形式填写下表信息。</w:t>
      </w:r>
    </w:p>
    <w:p w14:paraId="2AD32DA0">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p>
    <w:tbl>
      <w:tblPr>
        <w:tblStyle w:val="36"/>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5693"/>
      </w:tblGrid>
      <w:tr w14:paraId="7059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779" w:type="dxa"/>
            <w:noWrap/>
            <w:vAlign w:val="center"/>
          </w:tcPr>
          <w:p w14:paraId="3FC4772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磋商保证金缴纳形式</w:t>
            </w:r>
          </w:p>
        </w:tc>
        <w:tc>
          <w:tcPr>
            <w:tcW w:w="5693" w:type="dxa"/>
            <w:noWrap/>
            <w:vAlign w:val="center"/>
          </w:tcPr>
          <w:p w14:paraId="7A7F1209">
            <w:pPr>
              <w:spacing w:line="360" w:lineRule="auto"/>
              <w:ind w:firstLine="120" w:firstLine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□现金支票     □保兑支票      □银行汇票</w:t>
            </w:r>
          </w:p>
          <w:p w14:paraId="441D8A67">
            <w:pPr>
              <w:spacing w:line="360" w:lineRule="auto"/>
              <w:ind w:firstLine="120" w:firstLine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□银行保函     □担保供应商保函   □保险保函</w:t>
            </w:r>
          </w:p>
        </w:tc>
      </w:tr>
      <w:tr w14:paraId="5A01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2779" w:type="dxa"/>
            <w:noWrap/>
            <w:vAlign w:val="center"/>
          </w:tcPr>
          <w:p w14:paraId="735B26C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供应商基本账户开户银行或承保银名称</w:t>
            </w:r>
          </w:p>
        </w:tc>
        <w:tc>
          <w:tcPr>
            <w:tcW w:w="5693" w:type="dxa"/>
            <w:noWrap/>
            <w:vAlign w:val="center"/>
          </w:tcPr>
          <w:p w14:paraId="5040279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5F68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779" w:type="dxa"/>
            <w:noWrap/>
            <w:vAlign w:val="center"/>
          </w:tcPr>
          <w:p w14:paraId="0A2303D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经营地址</w:t>
            </w:r>
          </w:p>
        </w:tc>
        <w:tc>
          <w:tcPr>
            <w:tcW w:w="5693" w:type="dxa"/>
            <w:noWrap/>
            <w:vAlign w:val="center"/>
          </w:tcPr>
          <w:p w14:paraId="787249B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1D85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79" w:type="dxa"/>
            <w:noWrap/>
            <w:vAlign w:val="center"/>
          </w:tcPr>
          <w:p w14:paraId="1D40B1E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5693" w:type="dxa"/>
            <w:noWrap/>
            <w:vAlign w:val="center"/>
          </w:tcPr>
          <w:p w14:paraId="1E236D3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bl>
    <w:p w14:paraId="2448A409">
      <w:pPr>
        <w:spacing w:line="360" w:lineRule="auto"/>
        <w:jc w:val="center"/>
        <w:rPr>
          <w:rFonts w:hint="eastAsia" w:ascii="宋体" w:hAnsi="宋体" w:eastAsia="宋体" w:cs="宋体"/>
          <w:color w:val="000000" w:themeColor="text1"/>
          <w14:textFill>
            <w14:solidFill>
              <w14:schemeClr w14:val="tx1"/>
            </w14:solidFill>
          </w14:textFill>
        </w:rPr>
      </w:pPr>
    </w:p>
    <w:p w14:paraId="56FA2C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273" w:name="_Toc29238"/>
      <w:bookmarkStart w:id="274" w:name="_Toc12737"/>
      <w:bookmarkStart w:id="275" w:name="_Toc1722"/>
      <w:bookmarkStart w:id="276" w:name="_Toc32698"/>
      <w:bookmarkStart w:id="277" w:name="_Toc30794"/>
      <w:bookmarkStart w:id="278" w:name="_Toc25610"/>
      <w:bookmarkStart w:id="279" w:name="_Toc10078"/>
      <w:bookmarkStart w:id="280" w:name="_Toc9884"/>
      <w:bookmarkStart w:id="281" w:name="_Toc14698"/>
      <w:bookmarkStart w:id="282" w:name="_Toc5896"/>
      <w:bookmarkStart w:id="283" w:name="_Toc20554"/>
      <w:r>
        <w:rPr>
          <w:rFonts w:hint="eastAsia" w:ascii="宋体" w:hAnsi="宋体" w:eastAsia="宋体" w:cs="宋体"/>
          <w:b/>
          <w:color w:val="000000" w:themeColor="text1"/>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sz w:val="32"/>
          <w:szCs w:val="32"/>
          <w:highlight w:val="none"/>
          <w14:textFill>
            <w14:solidFill>
              <w14:schemeClr w14:val="tx1"/>
            </w14:solidFill>
          </w14:textFill>
        </w:rPr>
        <w:t>磋商报价表</w:t>
      </w:r>
      <w:bookmarkEnd w:id="273"/>
      <w:bookmarkEnd w:id="274"/>
      <w:bookmarkEnd w:id="275"/>
      <w:bookmarkEnd w:id="276"/>
      <w:bookmarkEnd w:id="277"/>
      <w:bookmarkEnd w:id="278"/>
      <w:bookmarkEnd w:id="279"/>
    </w:p>
    <w:p w14:paraId="21B215A6">
      <w:pPr>
        <w:keepNext w:val="0"/>
        <w:keepLines w:val="0"/>
        <w:pageBreakBefore w:val="0"/>
        <w:widowControl w:val="0"/>
        <w:kinsoku/>
        <w:wordWrap/>
        <w:overflowPunct/>
        <w:topLinePunct w:val="0"/>
        <w:autoSpaceDE/>
        <w:autoSpaceDN/>
        <w:bidi w:val="0"/>
        <w:adjustRightInd/>
        <w:snapToGrid/>
        <w:spacing w:before="312" w:beforeLines="100" w:after="312" w:afterLines="10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 xml:space="preserve"> </w:t>
      </w:r>
    </w:p>
    <w:p w14:paraId="0E29AF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E18DE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bl>
      <w:tblPr>
        <w:tblStyle w:val="36"/>
        <w:tblW w:w="8283"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3533"/>
        <w:gridCol w:w="1645"/>
        <w:gridCol w:w="1650"/>
      </w:tblGrid>
      <w:tr w14:paraId="6625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55" w:type="dxa"/>
            <w:noWrap w:val="0"/>
            <w:vAlign w:val="center"/>
          </w:tcPr>
          <w:p w14:paraId="0B1EB1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p>
        </w:tc>
        <w:tc>
          <w:tcPr>
            <w:tcW w:w="3533" w:type="dxa"/>
            <w:noWrap w:val="0"/>
            <w:vAlign w:val="center"/>
          </w:tcPr>
          <w:p w14:paraId="3C20DF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磋商报价（元）</w:t>
            </w:r>
          </w:p>
        </w:tc>
        <w:tc>
          <w:tcPr>
            <w:tcW w:w="1645" w:type="dxa"/>
            <w:noWrap w:val="0"/>
            <w:vAlign w:val="center"/>
          </w:tcPr>
          <w:p w14:paraId="72991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合同履行</w:t>
            </w:r>
          </w:p>
          <w:p w14:paraId="78A447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期限</w:t>
            </w:r>
          </w:p>
        </w:tc>
        <w:tc>
          <w:tcPr>
            <w:tcW w:w="1650" w:type="dxa"/>
            <w:noWrap w:val="0"/>
            <w:vAlign w:val="center"/>
          </w:tcPr>
          <w:p w14:paraId="006822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质量要求</w:t>
            </w:r>
          </w:p>
        </w:tc>
      </w:tr>
      <w:tr w14:paraId="2CDC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55" w:type="dxa"/>
            <w:vMerge w:val="restart"/>
            <w:noWrap w:val="0"/>
            <w:vAlign w:val="center"/>
          </w:tcPr>
          <w:p w14:paraId="681855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57" w:right="57" w:firstLine="57"/>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3533" w:type="dxa"/>
            <w:noWrap w:val="0"/>
            <w:vAlign w:val="center"/>
          </w:tcPr>
          <w:p w14:paraId="7D810A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大写：</w:t>
            </w:r>
          </w:p>
        </w:tc>
        <w:tc>
          <w:tcPr>
            <w:tcW w:w="1645" w:type="dxa"/>
            <w:vMerge w:val="restart"/>
            <w:noWrap w:val="0"/>
            <w:vAlign w:val="center"/>
          </w:tcPr>
          <w:p w14:paraId="5F9B5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57" w:right="57" w:firstLine="57"/>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650" w:type="dxa"/>
            <w:vMerge w:val="restart"/>
            <w:noWrap w:val="0"/>
            <w:vAlign w:val="center"/>
          </w:tcPr>
          <w:p w14:paraId="560CE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57" w:right="57" w:firstLine="57"/>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55B3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55" w:type="dxa"/>
            <w:vMerge w:val="continue"/>
            <w:noWrap w:val="0"/>
            <w:vAlign w:val="center"/>
          </w:tcPr>
          <w:p w14:paraId="1DB84A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57" w:right="57" w:firstLine="57"/>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3533" w:type="dxa"/>
            <w:noWrap w:val="0"/>
            <w:vAlign w:val="center"/>
          </w:tcPr>
          <w:p w14:paraId="30DC45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小写：</w:t>
            </w:r>
          </w:p>
        </w:tc>
        <w:tc>
          <w:tcPr>
            <w:tcW w:w="1645" w:type="dxa"/>
            <w:vMerge w:val="continue"/>
            <w:noWrap w:val="0"/>
            <w:vAlign w:val="center"/>
          </w:tcPr>
          <w:p w14:paraId="48A296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57" w:right="57" w:firstLine="57"/>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650" w:type="dxa"/>
            <w:vMerge w:val="continue"/>
            <w:noWrap w:val="0"/>
            <w:vAlign w:val="center"/>
          </w:tcPr>
          <w:p w14:paraId="6F8883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57" w:right="57" w:firstLine="57"/>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22BA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455" w:type="dxa"/>
            <w:noWrap w:val="0"/>
            <w:vAlign w:val="center"/>
          </w:tcPr>
          <w:p w14:paraId="624AEA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828" w:type="dxa"/>
            <w:gridSpan w:val="3"/>
            <w:noWrap w:val="0"/>
            <w:vAlign w:val="top"/>
          </w:tcPr>
          <w:p w14:paraId="0F5732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6F242B58">
      <w:pPr>
        <w:keepNext w:val="0"/>
        <w:keepLines w:val="0"/>
        <w:pageBreakBefore w:val="0"/>
        <w:widowControl w:val="0"/>
        <w:kinsoku/>
        <w:wordWrap/>
        <w:overflowPunct/>
        <w:topLinePunct w:val="0"/>
        <w:autoSpaceDE/>
        <w:autoSpaceDN/>
        <w:bidi w:val="0"/>
        <w:adjustRightInd/>
        <w:snapToGrid/>
        <w:spacing w:line="360" w:lineRule="auto"/>
        <w:ind w:left="840" w:hanging="840" w:hangingChars="35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66381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报价说明：</w:t>
      </w:r>
    </w:p>
    <w:p w14:paraId="6EB3BE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1、报价中应包含对项目服务的全部内容进行报价，其中磋商报价中已包括</w:t>
      </w:r>
      <w:r>
        <w:rPr>
          <w:rFonts w:hint="eastAsia" w:ascii="宋体" w:hAnsi="宋体" w:eastAsia="宋体" w:cs="宋体"/>
          <w:bCs/>
          <w:color w:val="000000" w:themeColor="text1"/>
          <w:sz w:val="24"/>
          <w:szCs w:val="24"/>
          <w:highlight w:val="none"/>
          <w14:textFill>
            <w14:solidFill>
              <w14:schemeClr w14:val="tx1"/>
            </w14:solidFill>
          </w14:textFill>
        </w:rPr>
        <w:t>利润、管理费、税金及合同包含的所有风险、责任等各项应有费用。</w:t>
      </w:r>
    </w:p>
    <w:p w14:paraId="5F9A4BA5">
      <w:pPr>
        <w:keepNext w:val="0"/>
        <w:keepLines w:val="0"/>
        <w:pageBreakBefore w:val="0"/>
        <w:widowControl w:val="0"/>
        <w:kinsoku/>
        <w:wordWrap/>
        <w:overflowPunct/>
        <w:topLinePunct w:val="0"/>
        <w:autoSpaceDE/>
        <w:autoSpaceDN/>
        <w:bidi w:val="0"/>
        <w:adjustRightInd/>
        <w:snapToGrid/>
        <w:spacing w:line="360" w:lineRule="auto"/>
        <w:ind w:firstLine="566" w:firstLineChars="23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2、供应商在计算报价时应考虑自身的管理水平和其他风险，在项目实施期间不因政策性费率、物价和市场因素的变化而调整。</w:t>
      </w:r>
    </w:p>
    <w:p w14:paraId="2077FDC3">
      <w:pPr>
        <w:spacing w:line="360" w:lineRule="auto"/>
        <w:ind w:left="839" w:leftChars="228" w:hanging="360" w:hangingChars="15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3、附分项报价表（如有）。</w:t>
      </w:r>
    </w:p>
    <w:p w14:paraId="55F567CA">
      <w:pPr>
        <w:spacing w:line="360" w:lineRule="auto"/>
        <w:ind w:left="839" w:leftChars="228" w:hanging="360" w:hangingChars="150"/>
        <w:rPr>
          <w:rFonts w:hint="eastAsia" w:ascii="宋体" w:hAnsi="宋体" w:eastAsia="宋体" w:cs="宋体"/>
          <w:color w:val="auto"/>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auto"/>
          <w:sz w:val="24"/>
          <w:szCs w:val="24"/>
          <w:highlight w:val="none"/>
        </w:rPr>
        <w:t>此表中，</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总价应和分项报价表的总价相一致</w:t>
      </w:r>
      <w:r>
        <w:rPr>
          <w:rFonts w:hint="eastAsia" w:ascii="宋体" w:hAnsi="宋体" w:eastAsia="宋体" w:cs="宋体"/>
          <w:color w:val="auto"/>
          <w:sz w:val="24"/>
          <w:szCs w:val="24"/>
          <w:highlight w:val="none"/>
          <w:lang w:eastAsia="zh-CN"/>
        </w:rPr>
        <w:t>。</w:t>
      </w:r>
    </w:p>
    <w:p w14:paraId="6307BA90">
      <w:pPr>
        <w:keepNext w:val="0"/>
        <w:keepLines w:val="0"/>
        <w:pageBreakBefore w:val="0"/>
        <w:widowControl w:val="0"/>
        <w:kinsoku/>
        <w:wordWrap/>
        <w:overflowPunct/>
        <w:topLinePunct w:val="0"/>
        <w:autoSpaceDE/>
        <w:autoSpaceDN/>
        <w:bidi w:val="0"/>
        <w:adjustRightInd/>
        <w:snapToGrid/>
        <w:spacing w:line="360" w:lineRule="auto"/>
        <w:ind w:firstLine="616" w:firstLineChars="257"/>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FD485D9">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盖单位公章</w:t>
      </w:r>
      <w:r>
        <w:rPr>
          <w:rFonts w:hint="eastAsia" w:ascii="宋体" w:hAnsi="宋体" w:eastAsia="宋体" w:cs="宋体"/>
          <w:color w:val="000000" w:themeColor="text1"/>
          <w:sz w:val="24"/>
          <w:szCs w:val="24"/>
          <w:highlight w:val="none"/>
          <w14:textFill>
            <w14:solidFill>
              <w14:schemeClr w14:val="tx1"/>
            </w14:solidFill>
          </w14:textFill>
        </w:rPr>
        <w:t>）</w:t>
      </w:r>
    </w:p>
    <w:p w14:paraId="15256126">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p>
    <w:p w14:paraId="13B46D9B">
      <w:pPr>
        <w:pStyle w:val="20"/>
        <w:keepNext w:val="0"/>
        <w:keepLines w:val="0"/>
        <w:pageBreakBefore w:val="0"/>
        <w:widowControl w:val="0"/>
        <w:kinsoku/>
        <w:wordWrap/>
        <w:overflowPunct/>
        <w:topLinePunct w:val="0"/>
        <w:autoSpaceDE/>
        <w:autoSpaceDN/>
        <w:bidi w:val="0"/>
        <w:adjustRightInd/>
        <w:snapToGrid/>
        <w:spacing w:line="480" w:lineRule="auto"/>
        <w:ind w:firstLine="336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7557CCD6">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pgSz w:w="11905" w:h="16838"/>
          <w:pgMar w:top="1440" w:right="1803" w:bottom="1440" w:left="1803" w:header="1140" w:footer="720" w:gutter="0"/>
          <w:pgNumType w:fmt="decimal"/>
          <w:cols w:space="0" w:num="1"/>
          <w:rtlGutter w:val="0"/>
          <w:docGrid w:type="lines" w:linePitch="317" w:charSpace="0"/>
        </w:sectPr>
      </w:pPr>
    </w:p>
    <w:bookmarkEnd w:id="280"/>
    <w:bookmarkEnd w:id="281"/>
    <w:bookmarkEnd w:id="282"/>
    <w:bookmarkEnd w:id="283"/>
    <w:p w14:paraId="58EDBA9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000000" w:themeColor="text1"/>
          <w:sz w:val="32"/>
          <w:szCs w:val="32"/>
          <w:highlight w:val="none"/>
          <w14:textFill>
            <w14:solidFill>
              <w14:schemeClr w14:val="tx1"/>
            </w14:solidFill>
          </w14:textFill>
        </w:rPr>
      </w:pPr>
      <w:bookmarkStart w:id="284" w:name="_Toc1407"/>
      <w:bookmarkStart w:id="285" w:name="_Toc26881"/>
      <w:bookmarkStart w:id="286" w:name="_Toc1281"/>
      <w:r>
        <w:rPr>
          <w:rFonts w:hint="eastAsia" w:ascii="宋体" w:hAnsi="宋体" w:eastAsia="宋体" w:cs="宋体"/>
          <w:b/>
          <w:bCs/>
          <w:color w:val="000000" w:themeColor="text1"/>
          <w:sz w:val="32"/>
          <w:szCs w:val="32"/>
          <w:highlight w:val="none"/>
          <w14:textFill>
            <w14:solidFill>
              <w14:schemeClr w14:val="tx1"/>
            </w14:solidFill>
          </w14:textFill>
        </w:rPr>
        <w:t>五、服务内容及标准偏离表</w:t>
      </w:r>
      <w:bookmarkEnd w:id="284"/>
      <w:bookmarkEnd w:id="285"/>
      <w:bookmarkEnd w:id="286"/>
    </w:p>
    <w:p w14:paraId="5F43667F">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43F2C814">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w:t>
      </w:r>
    </w:p>
    <w:p w14:paraId="0C6EAB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w:t>
      </w:r>
    </w:p>
    <w:p w14:paraId="4C716FC8">
      <w:pPr>
        <w:pStyle w:val="14"/>
        <w:spacing w:line="360" w:lineRule="auto"/>
        <w:rPr>
          <w:rFonts w:hint="eastAsia" w:ascii="宋体" w:hAnsi="宋体" w:eastAsia="宋体" w:cs="宋体"/>
          <w:color w:val="000000" w:themeColor="text1"/>
          <w:sz w:val="24"/>
          <w:szCs w:val="24"/>
          <w:highlight w:val="none"/>
          <w14:textFill>
            <w14:solidFill>
              <w14:schemeClr w14:val="tx1"/>
            </w14:solidFill>
          </w14:textFill>
        </w:rPr>
      </w:pPr>
    </w:p>
    <w:tbl>
      <w:tblPr>
        <w:tblStyle w:val="36"/>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473"/>
        <w:gridCol w:w="2605"/>
        <w:gridCol w:w="1001"/>
        <w:gridCol w:w="1184"/>
      </w:tblGrid>
      <w:tr w14:paraId="269D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14:paraId="3CBCC170">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87" w:name="_Toc27741031"/>
            <w:bookmarkStart w:id="288" w:name="_Toc27741231"/>
            <w:r>
              <w:rPr>
                <w:rFonts w:hint="eastAsia" w:ascii="宋体" w:hAnsi="宋体" w:eastAsia="宋体" w:cs="宋体"/>
                <w:color w:val="000000" w:themeColor="text1"/>
                <w:sz w:val="24"/>
                <w:szCs w:val="24"/>
                <w:highlight w:val="none"/>
                <w14:textFill>
                  <w14:solidFill>
                    <w14:schemeClr w14:val="tx1"/>
                  </w14:solidFill>
                </w14:textFill>
              </w:rPr>
              <w:t>序号</w:t>
            </w:r>
            <w:bookmarkEnd w:id="287"/>
            <w:bookmarkEnd w:id="288"/>
          </w:p>
        </w:tc>
        <w:tc>
          <w:tcPr>
            <w:tcW w:w="2473" w:type="dxa"/>
            <w:tcBorders>
              <w:top w:val="single" w:color="auto" w:sz="4" w:space="0"/>
              <w:left w:val="nil"/>
              <w:bottom w:val="single" w:color="auto" w:sz="4" w:space="0"/>
              <w:right w:val="single" w:color="auto" w:sz="4" w:space="0"/>
            </w:tcBorders>
            <w:noWrap w:val="0"/>
            <w:vAlign w:val="center"/>
          </w:tcPr>
          <w:p w14:paraId="212B2332">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89" w:name="_Toc27741233"/>
            <w:bookmarkStart w:id="290" w:name="_Toc27741033"/>
            <w:r>
              <w:rPr>
                <w:rFonts w:hint="eastAsia" w:ascii="宋体" w:hAnsi="宋体" w:eastAsia="宋体" w:cs="宋体"/>
                <w:color w:val="000000" w:themeColor="text1"/>
                <w:sz w:val="24"/>
                <w:szCs w:val="24"/>
                <w:highlight w:val="none"/>
                <w14:textFill>
                  <w14:solidFill>
                    <w14:schemeClr w14:val="tx1"/>
                  </w14:solidFill>
                </w14:textFill>
              </w:rPr>
              <w:t>竞争性磋商文件规定的服务内容及标准</w:t>
            </w:r>
            <w:bookmarkEnd w:id="289"/>
            <w:bookmarkEnd w:id="290"/>
          </w:p>
        </w:tc>
        <w:tc>
          <w:tcPr>
            <w:tcW w:w="2605" w:type="dxa"/>
            <w:tcBorders>
              <w:top w:val="single" w:color="auto" w:sz="4" w:space="0"/>
              <w:left w:val="nil"/>
              <w:bottom w:val="single" w:color="auto" w:sz="4" w:space="0"/>
              <w:right w:val="single" w:color="auto" w:sz="4" w:space="0"/>
            </w:tcBorders>
            <w:noWrap w:val="0"/>
            <w:vAlign w:val="center"/>
          </w:tcPr>
          <w:p w14:paraId="0797306A">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91" w:name="_Toc27741034"/>
            <w:bookmarkStart w:id="292" w:name="_Toc27741234"/>
            <w:r>
              <w:rPr>
                <w:rFonts w:hint="eastAsia" w:ascii="宋体" w:hAnsi="宋体" w:eastAsia="宋体" w:cs="宋体"/>
                <w:color w:val="000000" w:themeColor="text1"/>
                <w:sz w:val="24"/>
                <w:szCs w:val="24"/>
                <w:highlight w:val="none"/>
                <w14:textFill>
                  <w14:solidFill>
                    <w14:schemeClr w14:val="tx1"/>
                  </w14:solidFill>
                </w14:textFill>
              </w:rPr>
              <w:t>响应文件对应的</w:t>
            </w:r>
            <w:bookmarkEnd w:id="291"/>
            <w:bookmarkEnd w:id="292"/>
          </w:p>
          <w:p w14:paraId="4061FCB4">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93" w:name="_Toc27741035"/>
            <w:bookmarkStart w:id="294" w:name="_Toc27741235"/>
            <w:r>
              <w:rPr>
                <w:rFonts w:hint="eastAsia" w:ascii="宋体" w:hAnsi="宋体" w:eastAsia="宋体" w:cs="宋体"/>
                <w:color w:val="000000" w:themeColor="text1"/>
                <w:sz w:val="24"/>
                <w:szCs w:val="24"/>
                <w:highlight w:val="none"/>
                <w14:textFill>
                  <w14:solidFill>
                    <w14:schemeClr w14:val="tx1"/>
                  </w14:solidFill>
                </w14:textFill>
              </w:rPr>
              <w:t>服务响应条款</w:t>
            </w:r>
            <w:bookmarkEnd w:id="293"/>
            <w:bookmarkEnd w:id="294"/>
          </w:p>
        </w:tc>
        <w:tc>
          <w:tcPr>
            <w:tcW w:w="1001" w:type="dxa"/>
            <w:tcBorders>
              <w:top w:val="single" w:color="auto" w:sz="4" w:space="0"/>
              <w:left w:val="nil"/>
              <w:bottom w:val="single" w:color="auto" w:sz="4" w:space="0"/>
              <w:right w:val="single" w:color="auto" w:sz="4" w:space="0"/>
            </w:tcBorders>
            <w:noWrap w:val="0"/>
            <w:vAlign w:val="center"/>
          </w:tcPr>
          <w:p w14:paraId="4C949A81">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95" w:name="_Toc27741236"/>
            <w:bookmarkStart w:id="296" w:name="_Toc27741036"/>
            <w:r>
              <w:rPr>
                <w:rFonts w:hint="eastAsia" w:ascii="宋体" w:hAnsi="宋体" w:eastAsia="宋体" w:cs="宋体"/>
                <w:color w:val="000000" w:themeColor="text1"/>
                <w:sz w:val="24"/>
                <w:szCs w:val="24"/>
                <w:highlight w:val="none"/>
                <w14:textFill>
                  <w14:solidFill>
                    <w14:schemeClr w14:val="tx1"/>
                  </w14:solidFill>
                </w14:textFill>
              </w:rPr>
              <w:t>是否</w:t>
            </w:r>
          </w:p>
          <w:p w14:paraId="04A97744">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bookmarkEnd w:id="295"/>
            <w:bookmarkEnd w:id="296"/>
          </w:p>
        </w:tc>
        <w:tc>
          <w:tcPr>
            <w:tcW w:w="1184" w:type="dxa"/>
            <w:tcBorders>
              <w:top w:val="single" w:color="auto" w:sz="4" w:space="0"/>
              <w:left w:val="nil"/>
              <w:bottom w:val="single" w:color="auto" w:sz="4" w:space="0"/>
              <w:right w:val="single" w:color="auto" w:sz="4" w:space="0"/>
            </w:tcBorders>
            <w:noWrap w:val="0"/>
            <w:vAlign w:val="center"/>
          </w:tcPr>
          <w:p w14:paraId="28038A45">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97" w:name="_Toc27741237"/>
            <w:bookmarkStart w:id="298" w:name="_Toc27741037"/>
            <w:r>
              <w:rPr>
                <w:rFonts w:hint="eastAsia" w:ascii="宋体" w:hAnsi="宋体" w:eastAsia="宋体" w:cs="宋体"/>
                <w:color w:val="000000" w:themeColor="text1"/>
                <w:sz w:val="24"/>
                <w:szCs w:val="24"/>
                <w:highlight w:val="none"/>
                <w14:textFill>
                  <w14:solidFill>
                    <w14:schemeClr w14:val="tx1"/>
                  </w14:solidFill>
                </w14:textFill>
              </w:rPr>
              <w:t>备注</w:t>
            </w:r>
            <w:bookmarkEnd w:id="297"/>
            <w:bookmarkEnd w:id="298"/>
          </w:p>
        </w:tc>
      </w:tr>
      <w:tr w14:paraId="5A36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1060" w:type="dxa"/>
            <w:tcBorders>
              <w:top w:val="single" w:color="auto" w:sz="4" w:space="0"/>
              <w:left w:val="single" w:color="auto" w:sz="4" w:space="0"/>
              <w:right w:val="single" w:color="auto" w:sz="4" w:space="0"/>
            </w:tcBorders>
            <w:noWrap w:val="0"/>
            <w:vAlign w:val="top"/>
          </w:tcPr>
          <w:p w14:paraId="3A6E8E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2473" w:type="dxa"/>
            <w:tcBorders>
              <w:top w:val="single" w:color="auto" w:sz="4" w:space="0"/>
              <w:left w:val="nil"/>
              <w:right w:val="single" w:color="auto" w:sz="4" w:space="0"/>
            </w:tcBorders>
            <w:noWrap w:val="0"/>
            <w:vAlign w:val="top"/>
          </w:tcPr>
          <w:p w14:paraId="41A156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2605" w:type="dxa"/>
            <w:tcBorders>
              <w:top w:val="single" w:color="auto" w:sz="4" w:space="0"/>
              <w:left w:val="nil"/>
              <w:right w:val="single" w:color="auto" w:sz="4" w:space="0"/>
            </w:tcBorders>
            <w:noWrap w:val="0"/>
            <w:vAlign w:val="top"/>
          </w:tcPr>
          <w:p w14:paraId="0F9CC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001" w:type="dxa"/>
            <w:tcBorders>
              <w:top w:val="single" w:color="auto" w:sz="4" w:space="0"/>
              <w:left w:val="nil"/>
              <w:right w:val="single" w:color="auto" w:sz="4" w:space="0"/>
            </w:tcBorders>
            <w:noWrap w:val="0"/>
            <w:vAlign w:val="top"/>
          </w:tcPr>
          <w:p w14:paraId="13356B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tcBorders>
              <w:top w:val="single" w:color="auto" w:sz="4" w:space="0"/>
              <w:left w:val="nil"/>
              <w:bottom w:val="single" w:color="auto" w:sz="4" w:space="0"/>
              <w:right w:val="single" w:color="auto" w:sz="4" w:space="0"/>
            </w:tcBorders>
            <w:noWrap w:val="0"/>
            <w:vAlign w:val="top"/>
          </w:tcPr>
          <w:p w14:paraId="5474A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bl>
    <w:p w14:paraId="3ED83D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97E0C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14:paraId="47ACBB08">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1.服务条款均应根据响应文件对竞争性磋商文件的偏离情况相对应地填列，如不填写，则视为完全响应竞争性磋商文件的</w:t>
      </w:r>
      <w:r>
        <w:rPr>
          <w:rFonts w:hint="eastAsia" w:ascii="宋体" w:hAnsi="宋体" w:eastAsia="宋体" w:cs="宋体"/>
          <w:color w:val="000000" w:themeColor="text1"/>
          <w:sz w:val="24"/>
          <w:szCs w:val="24"/>
          <w:highlight w:val="none"/>
          <w:lang w:eastAsia="zh-CN"/>
          <w14:textFill>
            <w14:solidFill>
              <w14:schemeClr w14:val="tx1"/>
            </w14:solidFill>
          </w14:textFill>
        </w:rPr>
        <w:t>项目采购需求、</w:t>
      </w:r>
      <w:r>
        <w:rPr>
          <w:rFonts w:hint="eastAsia" w:ascii="宋体" w:hAnsi="宋体" w:eastAsia="宋体" w:cs="宋体"/>
          <w:color w:val="000000" w:themeColor="text1"/>
          <w:sz w:val="24"/>
          <w:szCs w:val="24"/>
          <w:highlight w:val="none"/>
          <w14:textFill>
            <w14:solidFill>
              <w14:schemeClr w14:val="tx1"/>
            </w14:solidFill>
          </w14:textFill>
        </w:rPr>
        <w:t>技术及商务要求。</w:t>
      </w:r>
    </w:p>
    <w:p w14:paraId="4D08901F">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2.表内如果填列不全，可另外附页说明并按规定签字和加盖公章。             </w:t>
      </w:r>
    </w:p>
    <w:p w14:paraId="26A91393">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99" w:name="_Toc27741238"/>
      <w:bookmarkStart w:id="300" w:name="_Toc27741038"/>
      <w:r>
        <w:rPr>
          <w:rFonts w:hint="eastAsia" w:ascii="宋体" w:hAnsi="宋体" w:eastAsia="宋体" w:cs="宋体"/>
          <w:color w:val="000000" w:themeColor="text1"/>
          <w:sz w:val="24"/>
          <w:szCs w:val="24"/>
          <w:highlight w:val="none"/>
          <w14:textFill>
            <w14:solidFill>
              <w14:schemeClr w14:val="tx1"/>
            </w14:solidFill>
          </w14:textFill>
        </w:rPr>
        <w:t>3.采购人要求供应商认真填写本表。</w:t>
      </w:r>
      <w:bookmarkEnd w:id="299"/>
      <w:bookmarkEnd w:id="300"/>
    </w:p>
    <w:p w14:paraId="302DF260">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301" w:name="_Toc27741039"/>
      <w:bookmarkStart w:id="302" w:name="_Toc27741239"/>
      <w:r>
        <w:rPr>
          <w:rFonts w:hint="eastAsia" w:ascii="宋体" w:hAnsi="宋体" w:eastAsia="宋体" w:cs="宋体"/>
          <w:color w:val="000000" w:themeColor="text1"/>
          <w:sz w:val="24"/>
          <w:szCs w:val="24"/>
          <w:highlight w:val="none"/>
          <w14:textFill>
            <w14:solidFill>
              <w14:schemeClr w14:val="tx1"/>
            </w14:solidFill>
          </w14:textFill>
        </w:rPr>
        <w:t>4.此表可根据需要自行拉长加宽。</w:t>
      </w:r>
      <w:bookmarkEnd w:id="301"/>
      <w:bookmarkEnd w:id="302"/>
    </w:p>
    <w:p w14:paraId="47EE04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275FA93">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0AD877B">
      <w:pPr>
        <w:pStyle w:val="13"/>
        <w:keepNext w:val="0"/>
        <w:keepLines w:val="0"/>
        <w:pageBreakBefore w:val="0"/>
        <w:widowControl w:val="0"/>
        <w:kinsoku/>
        <w:wordWrap/>
        <w:overflowPunct/>
        <w:topLinePunct w:val="0"/>
        <w:autoSpaceDE/>
        <w:autoSpaceDN/>
        <w:bidi w:val="0"/>
        <w:adjustRightInd/>
        <w:snapToGrid/>
        <w:spacing w:line="480" w:lineRule="auto"/>
        <w:ind w:firstLine="1440" w:firstLineChars="600"/>
        <w:jc w:val="righ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盖单位公章</w:t>
      </w:r>
      <w:r>
        <w:rPr>
          <w:rFonts w:hint="eastAsia" w:ascii="宋体" w:hAnsi="宋体" w:eastAsia="宋体" w:cs="宋体"/>
          <w:color w:val="000000" w:themeColor="text1"/>
          <w:sz w:val="24"/>
          <w:szCs w:val="24"/>
          <w:highlight w:val="none"/>
          <w14:textFill>
            <w14:solidFill>
              <w14:schemeClr w14:val="tx1"/>
            </w14:solidFill>
          </w14:textFill>
        </w:rPr>
        <w:t>)</w:t>
      </w:r>
    </w:p>
    <w:p w14:paraId="453B0ED7">
      <w:pPr>
        <w:pStyle w:val="13"/>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或其授权代表：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p>
    <w:p w14:paraId="7AAF7D25">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7937C2D">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263B8D48">
      <w:pPr>
        <w:pStyle w:val="20"/>
        <w:spacing w:line="360" w:lineRule="auto"/>
        <w:rPr>
          <w:rFonts w:hint="eastAsia" w:ascii="宋体" w:hAnsi="宋体" w:eastAsia="宋体" w:cs="宋体"/>
          <w:color w:val="000000" w:themeColor="text1"/>
          <w14:textFill>
            <w14:solidFill>
              <w14:schemeClr w14:val="tx1"/>
            </w14:solidFill>
          </w14:textFill>
        </w:rPr>
      </w:pPr>
    </w:p>
    <w:p w14:paraId="4C3534C9">
      <w:pPr>
        <w:pStyle w:val="20"/>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64E4876D">
      <w:pPr>
        <w:spacing w:line="360" w:lineRule="auto"/>
        <w:jc w:val="center"/>
        <w:outlineLvl w:val="1"/>
        <w:rPr>
          <w:rFonts w:hint="eastAsia" w:ascii="宋体" w:hAnsi="宋体" w:eastAsia="宋体" w:cs="宋体"/>
          <w:b/>
          <w:bCs/>
          <w:color w:val="000000" w:themeColor="text1"/>
          <w:sz w:val="32"/>
          <w:szCs w:val="32"/>
          <w:lang w:eastAsia="zh-CN"/>
          <w14:textFill>
            <w14:solidFill>
              <w14:schemeClr w14:val="tx1"/>
            </w14:solidFill>
          </w14:textFill>
        </w:rPr>
      </w:pPr>
      <w:bookmarkStart w:id="303" w:name="_Toc8229"/>
      <w:bookmarkStart w:id="304" w:name="_Toc27699"/>
      <w:bookmarkStart w:id="305" w:name="_Toc26900"/>
      <w:bookmarkStart w:id="306" w:name="_Toc13214"/>
      <w:r>
        <w:rPr>
          <w:rFonts w:hint="eastAsia" w:ascii="宋体" w:hAnsi="宋体" w:eastAsia="宋体" w:cs="宋体"/>
          <w:b/>
          <w:bCs/>
          <w:color w:val="000000" w:themeColor="text1"/>
          <w:sz w:val="32"/>
          <w:szCs w:val="32"/>
          <w14:textFill>
            <w14:solidFill>
              <w14:schemeClr w14:val="tx1"/>
            </w14:solidFill>
          </w14:textFill>
        </w:rPr>
        <w:br w:type="page"/>
      </w:r>
      <w:bookmarkStart w:id="307" w:name="_Toc8113"/>
      <w:r>
        <w:rPr>
          <w:rFonts w:hint="eastAsia" w:ascii="宋体" w:hAnsi="宋体" w:eastAsia="宋体" w:cs="宋体"/>
          <w:b/>
          <w:bCs/>
          <w:color w:val="000000" w:themeColor="text1"/>
          <w:sz w:val="32"/>
          <w:szCs w:val="32"/>
          <w14:textFill>
            <w14:solidFill>
              <w14:schemeClr w14:val="tx1"/>
            </w14:solidFill>
          </w14:textFill>
        </w:rPr>
        <w:t>六、</w:t>
      </w:r>
      <w:bookmarkEnd w:id="303"/>
      <w:bookmarkEnd w:id="304"/>
      <w:bookmarkEnd w:id="305"/>
      <w:bookmarkEnd w:id="306"/>
      <w:bookmarkEnd w:id="307"/>
      <w:r>
        <w:rPr>
          <w:rFonts w:hint="eastAsia" w:ascii="宋体" w:hAnsi="宋体" w:eastAsia="宋体" w:cs="宋体"/>
          <w:b/>
          <w:bCs/>
          <w:color w:val="000000" w:themeColor="text1"/>
          <w:sz w:val="32"/>
          <w:szCs w:val="32"/>
          <w:lang w:eastAsia="zh-CN"/>
          <w14:textFill>
            <w14:solidFill>
              <w14:schemeClr w14:val="tx1"/>
            </w14:solidFill>
          </w14:textFill>
        </w:rPr>
        <w:t>资格审查资料</w:t>
      </w:r>
    </w:p>
    <w:p w14:paraId="75C354FF">
      <w:pPr>
        <w:pStyle w:val="20"/>
        <w:spacing w:line="360" w:lineRule="auto"/>
        <w:jc w:val="center"/>
        <w:outlineLvl w:val="2"/>
        <w:rPr>
          <w:rFonts w:hint="eastAsia" w:ascii="宋体" w:hAnsi="宋体" w:eastAsia="宋体" w:cs="宋体"/>
          <w:b/>
          <w:bCs/>
          <w:color w:val="000000" w:themeColor="text1"/>
          <w:sz w:val="32"/>
          <w:szCs w:val="32"/>
          <w14:textFill>
            <w14:solidFill>
              <w14:schemeClr w14:val="tx1"/>
            </w14:solidFill>
          </w14:textFill>
        </w:rPr>
      </w:pPr>
      <w:bookmarkStart w:id="308" w:name="_Toc465257495"/>
      <w:bookmarkStart w:id="309" w:name="_Toc466466390"/>
      <w:bookmarkStart w:id="310" w:name="_Toc466454746"/>
      <w:r>
        <w:rPr>
          <w:rFonts w:hint="eastAsia" w:ascii="宋体" w:hAnsi="宋体" w:eastAsia="宋体" w:cs="宋体"/>
          <w:b/>
          <w:bCs/>
          <w:color w:val="000000" w:themeColor="text1"/>
          <w:sz w:val="32"/>
          <w:szCs w:val="32"/>
          <w14:textFill>
            <w14:solidFill>
              <w14:schemeClr w14:val="tx1"/>
            </w14:solidFill>
          </w14:textFill>
        </w:rPr>
        <w:t>（一）基本情况表</w:t>
      </w:r>
    </w:p>
    <w:p w14:paraId="434D4D3E">
      <w:pPr>
        <w:pStyle w:val="2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(公章)</w:t>
      </w:r>
    </w:p>
    <w:tbl>
      <w:tblPr>
        <w:tblStyle w:val="36"/>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28"/>
        <w:gridCol w:w="2148"/>
        <w:gridCol w:w="1482"/>
        <w:gridCol w:w="1160"/>
        <w:gridCol w:w="1092"/>
      </w:tblGrid>
      <w:tr w14:paraId="3D37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96" w:type="dxa"/>
            <w:gridSpan w:val="2"/>
            <w:noWrap/>
            <w:vAlign w:val="center"/>
          </w:tcPr>
          <w:p w14:paraId="5AC35F48">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w:t>
            </w:r>
          </w:p>
        </w:tc>
        <w:tc>
          <w:tcPr>
            <w:tcW w:w="2148" w:type="dxa"/>
            <w:noWrap/>
            <w:vAlign w:val="center"/>
          </w:tcPr>
          <w:p w14:paraId="3F32CB3F">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642" w:type="dxa"/>
            <w:gridSpan w:val="2"/>
            <w:noWrap/>
            <w:vAlign w:val="center"/>
          </w:tcPr>
          <w:p w14:paraId="4957C076">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p w14:paraId="44B2816D">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（负责人）</w:t>
            </w:r>
          </w:p>
        </w:tc>
        <w:tc>
          <w:tcPr>
            <w:tcW w:w="1092" w:type="dxa"/>
            <w:noWrap/>
            <w:vAlign w:val="center"/>
          </w:tcPr>
          <w:p w14:paraId="7DD23823">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7C1E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96" w:type="dxa"/>
            <w:gridSpan w:val="2"/>
            <w:noWrap/>
            <w:vAlign w:val="center"/>
          </w:tcPr>
          <w:p w14:paraId="7FF6A097">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组织机构代码</w:t>
            </w:r>
          </w:p>
        </w:tc>
        <w:tc>
          <w:tcPr>
            <w:tcW w:w="2148" w:type="dxa"/>
            <w:noWrap/>
            <w:vAlign w:val="center"/>
          </w:tcPr>
          <w:p w14:paraId="6C9883AB">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642" w:type="dxa"/>
            <w:gridSpan w:val="2"/>
            <w:noWrap/>
            <w:vAlign w:val="center"/>
          </w:tcPr>
          <w:p w14:paraId="671ABC17">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tc>
        <w:tc>
          <w:tcPr>
            <w:tcW w:w="1092" w:type="dxa"/>
            <w:noWrap/>
            <w:vAlign w:val="center"/>
          </w:tcPr>
          <w:p w14:paraId="4ADEC562">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4F68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96" w:type="dxa"/>
            <w:gridSpan w:val="2"/>
            <w:noWrap/>
            <w:vAlign w:val="center"/>
          </w:tcPr>
          <w:p w14:paraId="6FF8A747">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w:t>
            </w:r>
          </w:p>
        </w:tc>
        <w:tc>
          <w:tcPr>
            <w:tcW w:w="2148" w:type="dxa"/>
            <w:noWrap/>
            <w:vAlign w:val="center"/>
          </w:tcPr>
          <w:p w14:paraId="0DA66BEA">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642" w:type="dxa"/>
            <w:gridSpan w:val="2"/>
            <w:noWrap/>
            <w:vAlign w:val="center"/>
          </w:tcPr>
          <w:p w14:paraId="75990622">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1092" w:type="dxa"/>
            <w:noWrap/>
            <w:vAlign w:val="center"/>
          </w:tcPr>
          <w:p w14:paraId="1F24358D">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208B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96" w:type="dxa"/>
            <w:gridSpan w:val="2"/>
            <w:noWrap/>
            <w:vAlign w:val="center"/>
          </w:tcPr>
          <w:p w14:paraId="3C640896">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2148" w:type="dxa"/>
            <w:noWrap/>
            <w:vAlign w:val="center"/>
          </w:tcPr>
          <w:p w14:paraId="162E8449">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642" w:type="dxa"/>
            <w:gridSpan w:val="2"/>
            <w:noWrap/>
            <w:vAlign w:val="center"/>
          </w:tcPr>
          <w:p w14:paraId="0E107749">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w:t>
            </w:r>
          </w:p>
        </w:tc>
        <w:tc>
          <w:tcPr>
            <w:tcW w:w="1092" w:type="dxa"/>
            <w:noWrap/>
            <w:vAlign w:val="center"/>
          </w:tcPr>
          <w:p w14:paraId="2DD08F91">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0924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96" w:type="dxa"/>
            <w:gridSpan w:val="2"/>
            <w:noWrap/>
            <w:vAlign w:val="center"/>
          </w:tcPr>
          <w:p w14:paraId="5AC63B3C">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上年营业收入</w:t>
            </w:r>
          </w:p>
        </w:tc>
        <w:tc>
          <w:tcPr>
            <w:tcW w:w="2148" w:type="dxa"/>
            <w:noWrap/>
            <w:vAlign w:val="center"/>
          </w:tcPr>
          <w:p w14:paraId="10C7E62B">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642" w:type="dxa"/>
            <w:gridSpan w:val="2"/>
            <w:noWrap/>
            <w:vAlign w:val="center"/>
          </w:tcPr>
          <w:p w14:paraId="54F89AFC">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员工总人数</w:t>
            </w:r>
          </w:p>
        </w:tc>
        <w:tc>
          <w:tcPr>
            <w:tcW w:w="1092" w:type="dxa"/>
            <w:noWrap/>
            <w:vAlign w:val="center"/>
          </w:tcPr>
          <w:p w14:paraId="327E1B21">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3B3B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96" w:type="dxa"/>
            <w:gridSpan w:val="2"/>
            <w:noWrap/>
            <w:vAlign w:val="center"/>
          </w:tcPr>
          <w:p w14:paraId="3AABD664">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基本账户开户行及</w:t>
            </w:r>
          </w:p>
          <w:p w14:paraId="6D44C8C5">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账号</w:t>
            </w:r>
          </w:p>
        </w:tc>
        <w:tc>
          <w:tcPr>
            <w:tcW w:w="5882" w:type="dxa"/>
            <w:gridSpan w:val="4"/>
            <w:noWrap/>
            <w:vAlign w:val="center"/>
          </w:tcPr>
          <w:p w14:paraId="1413D157">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7834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96" w:type="dxa"/>
            <w:gridSpan w:val="2"/>
            <w:noWrap/>
            <w:vAlign w:val="center"/>
          </w:tcPr>
          <w:p w14:paraId="5722E312">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税务登记机关</w:t>
            </w:r>
          </w:p>
        </w:tc>
        <w:tc>
          <w:tcPr>
            <w:tcW w:w="5882" w:type="dxa"/>
            <w:gridSpan w:val="4"/>
            <w:noWrap/>
            <w:vAlign w:val="center"/>
          </w:tcPr>
          <w:p w14:paraId="15785724">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325B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96" w:type="dxa"/>
            <w:gridSpan w:val="2"/>
            <w:noWrap/>
            <w:vAlign w:val="center"/>
          </w:tcPr>
          <w:p w14:paraId="19E9ACA0">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资质名称</w:t>
            </w:r>
          </w:p>
        </w:tc>
        <w:tc>
          <w:tcPr>
            <w:tcW w:w="2148" w:type="dxa"/>
            <w:noWrap/>
            <w:vAlign w:val="center"/>
          </w:tcPr>
          <w:p w14:paraId="2C85A405">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等级</w:t>
            </w:r>
          </w:p>
        </w:tc>
        <w:tc>
          <w:tcPr>
            <w:tcW w:w="1482" w:type="dxa"/>
            <w:noWrap/>
            <w:vAlign w:val="center"/>
          </w:tcPr>
          <w:p w14:paraId="6F5FB10F">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发证机关</w:t>
            </w:r>
          </w:p>
        </w:tc>
        <w:tc>
          <w:tcPr>
            <w:tcW w:w="2252" w:type="dxa"/>
            <w:gridSpan w:val="2"/>
            <w:noWrap/>
            <w:vAlign w:val="center"/>
          </w:tcPr>
          <w:p w14:paraId="55FC4FA7">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有效期</w:t>
            </w:r>
          </w:p>
        </w:tc>
      </w:tr>
      <w:tr w14:paraId="132D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96" w:type="dxa"/>
            <w:gridSpan w:val="2"/>
            <w:noWrap/>
            <w:vAlign w:val="center"/>
          </w:tcPr>
          <w:p w14:paraId="5A6B3A72">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148" w:type="dxa"/>
            <w:noWrap/>
            <w:vAlign w:val="center"/>
          </w:tcPr>
          <w:p w14:paraId="6AB09C3E">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482" w:type="dxa"/>
            <w:noWrap/>
            <w:vAlign w:val="center"/>
          </w:tcPr>
          <w:p w14:paraId="037BFAC3">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52" w:type="dxa"/>
            <w:gridSpan w:val="2"/>
            <w:noWrap/>
            <w:vAlign w:val="center"/>
          </w:tcPr>
          <w:p w14:paraId="278AA471">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6900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96" w:type="dxa"/>
            <w:gridSpan w:val="2"/>
            <w:noWrap/>
            <w:vAlign w:val="center"/>
          </w:tcPr>
          <w:p w14:paraId="313FAD94">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148" w:type="dxa"/>
            <w:noWrap/>
            <w:vAlign w:val="center"/>
          </w:tcPr>
          <w:p w14:paraId="2FE81A12">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482" w:type="dxa"/>
            <w:noWrap/>
            <w:vAlign w:val="center"/>
          </w:tcPr>
          <w:p w14:paraId="5BB07A8E">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52" w:type="dxa"/>
            <w:gridSpan w:val="2"/>
            <w:noWrap/>
            <w:vAlign w:val="center"/>
          </w:tcPr>
          <w:p w14:paraId="68286C11">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7044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68" w:type="dxa"/>
            <w:noWrap/>
            <w:vAlign w:val="center"/>
          </w:tcPr>
          <w:p w14:paraId="3231DEC3">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c>
          <w:tcPr>
            <w:tcW w:w="6710" w:type="dxa"/>
            <w:gridSpan w:val="5"/>
            <w:noWrap/>
            <w:vAlign w:val="center"/>
          </w:tcPr>
          <w:p w14:paraId="72D63D8B">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bl>
    <w:p w14:paraId="7E86097A">
      <w:pPr>
        <w:pStyle w:val="2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注：后附营业执照副本或新版营业执照副本（有二维码的）等相关证书复印件。</w:t>
      </w:r>
    </w:p>
    <w:p w14:paraId="5DE2B302">
      <w:pPr>
        <w:spacing w:line="360" w:lineRule="auto"/>
        <w:jc w:val="center"/>
        <w:outlineLvl w:val="2"/>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bookmarkEnd w:id="308"/>
      <w:bookmarkEnd w:id="309"/>
      <w:bookmarkEnd w:id="310"/>
      <w:r>
        <w:rPr>
          <w:rFonts w:hint="eastAsia" w:ascii="宋体" w:hAnsi="宋体" w:eastAsia="宋体" w:cs="宋体"/>
          <w:b/>
          <w:bCs/>
          <w:color w:val="000000" w:themeColor="text1"/>
          <w:sz w:val="32"/>
          <w:szCs w:val="32"/>
          <w14:textFill>
            <w14:solidFill>
              <w14:schemeClr w14:val="tx1"/>
            </w14:solidFill>
          </w14:textFill>
        </w:rPr>
        <w:t>（二）近年度财务状况表</w:t>
      </w:r>
    </w:p>
    <w:p w14:paraId="130F9506">
      <w:pPr>
        <w:spacing w:line="360" w:lineRule="auto"/>
        <w:rPr>
          <w:rFonts w:hint="eastAsia" w:ascii="宋体" w:hAnsi="宋体" w:eastAsia="宋体" w:cs="宋体"/>
          <w:color w:val="000000" w:themeColor="text1"/>
          <w:sz w:val="24"/>
          <w14:textFill>
            <w14:solidFill>
              <w14:schemeClr w14:val="tx1"/>
            </w14:solidFill>
          </w14:textFill>
        </w:rPr>
      </w:pPr>
    </w:p>
    <w:p w14:paraId="2A7AC00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r>
        <w:rPr>
          <w:rFonts w:hint="eastAsia" w:ascii="宋体" w:hAnsi="宋体" w:eastAsia="宋体" w:cs="宋体"/>
          <w:color w:val="000000" w:themeColor="text1"/>
          <w:sz w:val="24"/>
          <w:szCs w:val="24"/>
          <w:lang w:val="zh-CN"/>
          <w14:textFill>
            <w14:solidFill>
              <w14:schemeClr w14:val="tx1"/>
            </w14:solidFill>
          </w14:textFill>
        </w:rPr>
        <w:t>提供近年</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年度）财</w:t>
      </w:r>
      <w:r>
        <w:rPr>
          <w:rFonts w:hint="eastAsia" w:ascii="宋体" w:hAnsi="宋体" w:eastAsia="宋体" w:cs="宋体"/>
          <w:color w:val="000000" w:themeColor="text1"/>
          <w:sz w:val="24"/>
          <w:szCs w:val="24"/>
          <w:lang w:val="zh-CN"/>
          <w14:textFill>
            <w14:solidFill>
              <w14:schemeClr w14:val="tx1"/>
            </w14:solidFill>
          </w14:textFill>
        </w:rPr>
        <w:t>务审计报告或财务报表（含资产负债表、现金流量表、利润表），新成立企业提供当年验资报告或银行出具的供应商资信证明</w:t>
      </w:r>
      <w:r>
        <w:rPr>
          <w:rFonts w:hint="eastAsia" w:ascii="宋体" w:hAnsi="宋体" w:eastAsia="宋体" w:cs="宋体"/>
          <w:color w:val="000000" w:themeColor="text1"/>
          <w:sz w:val="24"/>
          <w:szCs w:val="24"/>
          <w14:textFill>
            <w14:solidFill>
              <w14:schemeClr w14:val="tx1"/>
            </w14:solidFill>
          </w14:textFill>
        </w:rPr>
        <w:t>。</w:t>
      </w:r>
    </w:p>
    <w:p w14:paraId="0E329054">
      <w:pPr>
        <w:pStyle w:val="2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3EDA29EC">
      <w:pPr>
        <w:pStyle w:val="2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276240BA">
      <w:pPr>
        <w:spacing w:line="360" w:lineRule="auto"/>
        <w:rPr>
          <w:rFonts w:hint="eastAsia" w:ascii="宋体" w:hAnsi="宋体" w:eastAsia="宋体" w:cs="宋体"/>
          <w:color w:val="000000" w:themeColor="text1"/>
          <w:sz w:val="30"/>
          <w:szCs w:val="30"/>
          <w14:textFill>
            <w14:solidFill>
              <w14:schemeClr w14:val="tx1"/>
            </w14:solidFill>
          </w14:textFill>
        </w:rPr>
      </w:pPr>
      <w:bookmarkStart w:id="311" w:name="_Toc466454748"/>
      <w:bookmarkStart w:id="312" w:name="_Toc466466392"/>
      <w:bookmarkStart w:id="313" w:name="_Toc465257497"/>
    </w:p>
    <w:p w14:paraId="209DB2E4">
      <w:pPr>
        <w:spacing w:line="360" w:lineRule="auto"/>
        <w:jc w:val="center"/>
        <w:outlineLvl w:val="2"/>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br w:type="page"/>
      </w:r>
      <w:r>
        <w:rPr>
          <w:rFonts w:hint="eastAsia" w:ascii="宋体" w:hAnsi="宋体" w:eastAsia="宋体" w:cs="宋体"/>
          <w:b/>
          <w:bCs/>
          <w:color w:val="000000" w:themeColor="text1"/>
          <w:sz w:val="32"/>
          <w:szCs w:val="32"/>
          <w14:textFill>
            <w14:solidFill>
              <w14:schemeClr w14:val="tx1"/>
            </w14:solidFill>
          </w14:textFill>
        </w:rPr>
        <w:t>（三）依法缴纳税收</w:t>
      </w:r>
      <w:bookmarkEnd w:id="311"/>
      <w:bookmarkEnd w:id="312"/>
      <w:bookmarkEnd w:id="313"/>
      <w:r>
        <w:rPr>
          <w:rFonts w:hint="eastAsia" w:ascii="宋体" w:hAnsi="宋体" w:eastAsia="宋体" w:cs="宋体"/>
          <w:b/>
          <w:bCs/>
          <w:color w:val="000000" w:themeColor="text1"/>
          <w:sz w:val="32"/>
          <w:szCs w:val="32"/>
          <w14:textFill>
            <w14:solidFill>
              <w14:schemeClr w14:val="tx1"/>
            </w14:solidFill>
          </w14:textFill>
        </w:rPr>
        <w:t>和社会保障资金的相关证明</w:t>
      </w:r>
    </w:p>
    <w:p w14:paraId="6C28314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6293A87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备注：依法缴纳税收供应商须提供投标截止日期前六个月内任意一个月的依法缴纳税收和社会保障资金相关证明材料。</w:t>
      </w:r>
    </w:p>
    <w:p w14:paraId="4C099212">
      <w:pPr>
        <w:pStyle w:val="20"/>
        <w:ind w:firstLine="480" w:firstLineChars="200"/>
        <w:rPr>
          <w:rFonts w:hint="eastAsia" w:ascii="宋体" w:hAnsi="宋体" w:eastAsia="宋体" w:cs="宋体"/>
          <w:color w:val="000000" w:themeColor="text1"/>
          <w:sz w:val="24"/>
          <w14:textFill>
            <w14:solidFill>
              <w14:schemeClr w14:val="tx1"/>
            </w14:solidFill>
          </w14:textFill>
        </w:rPr>
      </w:pPr>
    </w:p>
    <w:p w14:paraId="740125F0">
      <w:pPr>
        <w:pStyle w:val="20"/>
        <w:ind w:firstLine="480" w:firstLineChars="200"/>
        <w:rPr>
          <w:rFonts w:hint="eastAsia" w:ascii="宋体" w:hAnsi="宋体" w:eastAsia="宋体" w:cs="宋体"/>
          <w:color w:val="000000" w:themeColor="text1"/>
          <w:sz w:val="24"/>
          <w14:textFill>
            <w14:solidFill>
              <w14:schemeClr w14:val="tx1"/>
            </w14:solidFill>
          </w14:textFill>
        </w:rPr>
      </w:pPr>
    </w:p>
    <w:p w14:paraId="03DBC098">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（四）承诺书</w:t>
      </w:r>
    </w:p>
    <w:p w14:paraId="69A3A6B9">
      <w:pPr>
        <w:pStyle w:val="28"/>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06A823D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参加政府采购活动前三年内，在经营活动中没有重大违法记录的承诺书</w:t>
      </w:r>
    </w:p>
    <w:p w14:paraId="670543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致：</w:t>
      </w:r>
    </w:p>
    <w:p w14:paraId="5ABFA6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）政府采购招标活动中。</w:t>
      </w:r>
    </w:p>
    <w:p w14:paraId="7B3E0A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w:t>
      </w:r>
    </w:p>
    <w:p w14:paraId="034992E4">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我方参加本项目采购活动前</w:t>
      </w:r>
      <w:r>
        <w:rPr>
          <w:rFonts w:hint="eastAsia" w:ascii="宋体" w:hAnsi="宋体" w:eastAsia="宋体" w:cs="宋体"/>
          <w:color w:val="000000" w:themeColor="text1"/>
          <w:sz w:val="24"/>
          <w:szCs w:val="24"/>
          <w:highlight w:val="none"/>
          <w:lang w:val="en-US" w:eastAsia="zh-CN"/>
          <w14:textFill>
            <w14:solidFill>
              <w14:schemeClr w14:val="tx1"/>
            </w14:solidFill>
          </w14:textFill>
        </w:rPr>
        <w:t>3年内未发生重大违法记录（重大违法记录指供应商因违法经营受到刑事处罚或者责令停产停业，吊销许可证或者执照，较大数额罚款等行政处罚；政府采购活动前3年内因违法经营被禁止在一定期限内参加政府采购活动）。符合《中华人民共和国政府采购法》、《中华人民共和国政府采购法实施条例》规定的供应商资格条件。</w:t>
      </w:r>
    </w:p>
    <w:p w14:paraId="43E495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我方对此声明负全部法律责任。</w:t>
      </w:r>
    </w:p>
    <w:p w14:paraId="112A56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0FA19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E721D30">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盖单位公章</w:t>
      </w:r>
      <w:r>
        <w:rPr>
          <w:rFonts w:hint="eastAsia" w:ascii="宋体" w:hAnsi="宋体" w:eastAsia="宋体" w:cs="宋体"/>
          <w:color w:val="000000" w:themeColor="text1"/>
          <w:sz w:val="24"/>
          <w:szCs w:val="24"/>
          <w:highlight w:val="none"/>
          <w14:textFill>
            <w14:solidFill>
              <w14:schemeClr w14:val="tx1"/>
            </w14:solidFill>
          </w14:textFill>
        </w:rPr>
        <w:t>）</w:t>
      </w:r>
    </w:p>
    <w:p w14:paraId="3769E322">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5CFF0F6">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字）</w:t>
      </w:r>
    </w:p>
    <w:p w14:paraId="3DF5921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1411BE1">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6EAA42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Cs w:val="32"/>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color w:val="000000" w:themeColor="text1"/>
          <w:sz w:val="32"/>
          <w:szCs w:val="32"/>
          <w:highlight w:val="none"/>
          <w14:textFill>
            <w14:solidFill>
              <w14:schemeClr w14:val="tx1"/>
            </w14:solidFill>
          </w14:textFill>
        </w:rPr>
        <w:t>（2）无不良信用记录承诺书</w:t>
      </w:r>
    </w:p>
    <w:p w14:paraId="72E18515">
      <w:pPr>
        <w:spacing w:line="360" w:lineRule="auto"/>
        <w:rPr>
          <w:rFonts w:hint="eastAsia" w:ascii="宋体" w:hAnsi="宋体" w:eastAsia="宋体" w:cs="宋体"/>
          <w:color w:val="000000" w:themeColor="text1"/>
          <w:sz w:val="24"/>
          <w:szCs w:val="20"/>
          <w:highlight w:val="none"/>
          <w14:textFill>
            <w14:solidFill>
              <w14:schemeClr w14:val="tx1"/>
            </w14:solidFill>
          </w14:textFill>
        </w:rPr>
      </w:pPr>
    </w:p>
    <w:p w14:paraId="487231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w:t>
      </w:r>
    </w:p>
    <w:p w14:paraId="1D6709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本单位郑重承诺，我单位无以下不良信用记录情形：</w:t>
      </w:r>
    </w:p>
    <w:p w14:paraId="590034C8">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1、被人民法院列入失信被执行人；</w:t>
      </w:r>
    </w:p>
    <w:p w14:paraId="05178CA2">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2、被税务部门列入</w:t>
      </w:r>
      <w:r>
        <w:rPr>
          <w:rFonts w:hint="eastAsia" w:ascii="宋体" w:hAnsi="宋体" w:eastAsia="宋体" w:cs="宋体"/>
          <w:color w:val="000000" w:themeColor="text1"/>
          <w:sz w:val="24"/>
          <w:szCs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24"/>
          <w:highlight w:val="none"/>
          <w14:textFill>
            <w14:solidFill>
              <w14:schemeClr w14:val="tx1"/>
            </w14:solidFill>
          </w14:textFill>
        </w:rPr>
        <w:t>；</w:t>
      </w:r>
    </w:p>
    <w:p w14:paraId="2523A144">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3、被政府采购监管部门列入政府采购严重违法失信行为记录名单；</w:t>
      </w:r>
    </w:p>
    <w:p w14:paraId="3C50C8CB">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4、不符合政府采购法第二十二条规定的条件。</w:t>
      </w:r>
    </w:p>
    <w:p w14:paraId="5B29150F">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我单位已就上述不良信用行为按照磋商文件中</w:t>
      </w:r>
      <w:r>
        <w:rPr>
          <w:rFonts w:hint="eastAsia" w:ascii="宋体" w:hAnsi="宋体" w:eastAsia="宋体" w:cs="宋体"/>
          <w:bCs/>
          <w:color w:val="000000" w:themeColor="text1"/>
          <w:sz w:val="24"/>
          <w:szCs w:val="24"/>
          <w:highlight w:val="none"/>
          <w14:textFill>
            <w14:solidFill>
              <w14:schemeClr w14:val="tx1"/>
            </w14:solidFill>
          </w14:textFill>
        </w:rPr>
        <w:t>供应商须知前附表</w:t>
      </w:r>
      <w:r>
        <w:rPr>
          <w:rFonts w:hint="eastAsia" w:ascii="宋体" w:hAnsi="宋体" w:eastAsia="宋体" w:cs="宋体"/>
          <w:color w:val="000000" w:themeColor="text1"/>
          <w:sz w:val="24"/>
          <w:szCs w:val="24"/>
          <w:highlight w:val="none"/>
          <w14:textFill>
            <w14:solidFill>
              <w14:schemeClr w14:val="tx1"/>
            </w14:solidFill>
          </w14:textFill>
        </w:rPr>
        <w:t xml:space="preserve">规定进行了查询。我单位承诺：合同签订前，若我单位具有不良信用记录情形，贵方可取消我单位中标资格或者不授予合同，所有责任由我单位自行承担。同时，我单位愿意无条件接受监管部门的调查处理。 </w:t>
      </w:r>
    </w:p>
    <w:p w14:paraId="47E2A8BC">
      <w:pPr>
        <w:keepNext w:val="0"/>
        <w:keepLines w:val="0"/>
        <w:pageBreakBefore w:val="0"/>
        <w:widowControl w:val="0"/>
        <w:tabs>
          <w:tab w:val="left" w:pos="630"/>
        </w:tabs>
        <w:kinsoku/>
        <w:wordWrap/>
        <w:overflowPunct/>
        <w:topLinePunct w:val="0"/>
        <w:autoSpaceDE/>
        <w:autoSpaceDN/>
        <w:bidi w:val="0"/>
        <w:adjustRightInd/>
        <w:snapToGrid/>
        <w:spacing w:line="500" w:lineRule="exact"/>
        <w:ind w:firstLine="63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C1A61E8">
      <w:pPr>
        <w:keepNext w:val="0"/>
        <w:keepLines w:val="0"/>
        <w:pageBreakBefore w:val="0"/>
        <w:widowControl w:val="0"/>
        <w:kinsoku/>
        <w:wordWrap/>
        <w:overflowPunct/>
        <w:topLinePunct w:val="0"/>
        <w:autoSpaceDE/>
        <w:autoSpaceDN/>
        <w:bidi w:val="0"/>
        <w:adjustRightInd/>
        <w:snapToGrid/>
        <w:spacing w:line="500" w:lineRule="exact"/>
        <w:ind w:firstLine="4228" w:firstLineChars="1762"/>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B6AC359">
      <w:pPr>
        <w:keepNext w:val="0"/>
        <w:keepLines w:val="0"/>
        <w:pageBreakBefore w:val="0"/>
        <w:widowControl w:val="0"/>
        <w:kinsoku/>
        <w:wordWrap/>
        <w:overflowPunct/>
        <w:topLinePunct w:val="0"/>
        <w:autoSpaceDE/>
        <w:autoSpaceDN/>
        <w:bidi w:val="0"/>
        <w:adjustRightInd/>
        <w:snapToGrid/>
        <w:spacing w:line="500" w:lineRule="exact"/>
        <w:ind w:firstLine="2880" w:firstLineChars="1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盖单位公章</w:t>
      </w:r>
      <w:r>
        <w:rPr>
          <w:rFonts w:hint="eastAsia" w:ascii="宋体" w:hAnsi="宋体" w:eastAsia="宋体" w:cs="宋体"/>
          <w:color w:val="000000" w:themeColor="text1"/>
          <w:sz w:val="24"/>
          <w:szCs w:val="24"/>
          <w:highlight w:val="none"/>
          <w14:textFill>
            <w14:solidFill>
              <w14:schemeClr w14:val="tx1"/>
            </w14:solidFill>
          </w14:textFill>
        </w:rPr>
        <w:t>）</w:t>
      </w:r>
    </w:p>
    <w:p w14:paraId="7CA646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3935642A">
      <w:pPr>
        <w:keepNext w:val="0"/>
        <w:keepLines w:val="0"/>
        <w:pageBreakBefore w:val="0"/>
        <w:widowControl w:val="0"/>
        <w:kinsoku/>
        <w:wordWrap/>
        <w:overflowPunct/>
        <w:topLinePunct w:val="0"/>
        <w:autoSpaceDE/>
        <w:autoSpaceDN/>
        <w:bidi w:val="0"/>
        <w:adjustRightInd/>
        <w:snapToGrid/>
        <w:spacing w:line="500" w:lineRule="exact"/>
        <w:ind w:firstLine="2880" w:firstLineChars="1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字）</w:t>
      </w:r>
    </w:p>
    <w:p w14:paraId="3D08AF5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DB7AEEA">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5E45A4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7B44E78">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2C05774A">
      <w:pPr>
        <w:spacing w:line="360" w:lineRule="auto"/>
        <w:jc w:val="left"/>
        <w:rPr>
          <w:rFonts w:hint="eastAsia" w:ascii="宋体" w:hAnsi="宋体" w:eastAsia="宋体" w:cs="宋体"/>
          <w:color w:val="000000" w:themeColor="text1"/>
          <w:sz w:val="24"/>
          <w14:textFill>
            <w14:solidFill>
              <w14:schemeClr w14:val="tx1"/>
            </w14:solidFill>
          </w14:textFill>
        </w:rPr>
      </w:pPr>
    </w:p>
    <w:p w14:paraId="718DCCF1">
      <w:pPr>
        <w:ind w:firstLine="480" w:firstLineChars="200"/>
        <w:rPr>
          <w:rFonts w:hint="eastAsia" w:ascii="宋体" w:hAnsi="宋体" w:eastAsia="宋体" w:cs="宋体"/>
          <w:color w:val="000000" w:themeColor="text1"/>
          <w:sz w:val="24"/>
          <w:szCs w:val="20"/>
          <w14:textFill>
            <w14:solidFill>
              <w14:schemeClr w14:val="tx1"/>
            </w14:solidFill>
          </w14:textFill>
        </w:rPr>
      </w:pPr>
    </w:p>
    <w:p w14:paraId="51A9195E">
      <w:pPr>
        <w:ind w:firstLine="480" w:firstLineChars="200"/>
        <w:rPr>
          <w:rFonts w:hint="eastAsia" w:ascii="宋体" w:hAnsi="宋体" w:eastAsia="宋体" w:cs="宋体"/>
          <w:color w:val="000000" w:themeColor="text1"/>
          <w:sz w:val="24"/>
          <w:szCs w:val="20"/>
          <w14:textFill>
            <w14:solidFill>
              <w14:schemeClr w14:val="tx1"/>
            </w14:solidFill>
          </w14:textFill>
        </w:rPr>
      </w:pPr>
    </w:p>
    <w:p w14:paraId="49F39477">
      <w:pPr>
        <w:ind w:firstLine="480" w:firstLineChars="200"/>
        <w:rPr>
          <w:rFonts w:hint="eastAsia" w:ascii="宋体" w:hAnsi="宋体" w:eastAsia="宋体" w:cs="宋体"/>
          <w:color w:val="000000" w:themeColor="text1"/>
          <w:sz w:val="24"/>
          <w:szCs w:val="20"/>
          <w14:textFill>
            <w14:solidFill>
              <w14:schemeClr w14:val="tx1"/>
            </w14:solidFill>
          </w14:textFill>
        </w:rPr>
      </w:pPr>
    </w:p>
    <w:p w14:paraId="15A8CFF7">
      <w:pPr>
        <w:ind w:firstLine="480" w:firstLineChars="200"/>
        <w:rPr>
          <w:rFonts w:hint="eastAsia" w:ascii="宋体" w:hAnsi="宋体" w:eastAsia="宋体" w:cs="宋体"/>
          <w:color w:val="000000" w:themeColor="text1"/>
          <w:sz w:val="24"/>
          <w:szCs w:val="20"/>
          <w14:textFill>
            <w14:solidFill>
              <w14:schemeClr w14:val="tx1"/>
            </w14:solidFill>
          </w14:textFill>
        </w:rPr>
      </w:pPr>
    </w:p>
    <w:p w14:paraId="1B4A3253">
      <w:pPr>
        <w:spacing w:line="360" w:lineRule="auto"/>
        <w:jc w:val="left"/>
        <w:rPr>
          <w:rFonts w:hint="eastAsia" w:ascii="宋体" w:hAnsi="宋体" w:eastAsia="宋体" w:cs="宋体"/>
          <w:color w:val="000000" w:themeColor="text1"/>
          <w:sz w:val="24"/>
          <w14:textFill>
            <w14:solidFill>
              <w14:schemeClr w14:val="tx1"/>
            </w14:solidFill>
          </w14:textFill>
        </w:rPr>
      </w:pPr>
    </w:p>
    <w:p w14:paraId="11431C50">
      <w:pPr>
        <w:rPr>
          <w:rFonts w:hint="eastAsia" w:ascii="宋体" w:hAnsi="宋体" w:eastAsia="宋体" w:cs="宋体"/>
          <w:color w:val="000000" w:themeColor="text1"/>
          <w:sz w:val="22"/>
          <w:szCs w:val="22"/>
          <w14:textFill>
            <w14:solidFill>
              <w14:schemeClr w14:val="tx1"/>
            </w14:solidFill>
          </w14:textFill>
        </w:rPr>
      </w:pPr>
    </w:p>
    <w:p w14:paraId="790EAFA5">
      <w:pPr>
        <w:rPr>
          <w:rFonts w:hint="eastAsia" w:ascii="宋体" w:hAnsi="宋体" w:eastAsia="宋体" w:cs="宋体"/>
          <w:b/>
          <w:color w:val="000000" w:themeColor="text1"/>
          <w:sz w:val="32"/>
          <w:szCs w:val="22"/>
          <w14:textFill>
            <w14:solidFill>
              <w14:schemeClr w14:val="tx1"/>
            </w14:solidFill>
          </w14:textFill>
        </w:rPr>
      </w:pPr>
    </w:p>
    <w:p w14:paraId="11E8D9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color w:val="000000" w:themeColor="text1"/>
          <w:sz w:val="28"/>
          <w:szCs w:val="28"/>
          <w:highlight w:val="none"/>
          <w14:textFill>
            <w14:solidFill>
              <w14:schemeClr w14:val="tx1"/>
            </w14:solidFill>
          </w14:textFill>
        </w:rPr>
        <w:t>（3）未列入政府取消投标资格记录期间的承诺书</w:t>
      </w:r>
    </w:p>
    <w:p w14:paraId="7E8A5670">
      <w:pPr>
        <w:keepNext w:val="0"/>
        <w:keepLines w:val="0"/>
        <w:pageBreakBefore w:val="0"/>
        <w:widowControl/>
        <w:kinsoku/>
        <w:wordWrap/>
        <w:overflowPunct/>
        <w:topLinePunct w:val="0"/>
        <w:autoSpaceDE/>
        <w:autoSpaceDN/>
        <w:bidi w:val="0"/>
        <w:adjustRightInd/>
        <w:snapToGrid/>
        <w:spacing w:line="360" w:lineRule="auto"/>
        <w:ind w:firstLine="964" w:firstLineChars="400"/>
        <w:jc w:val="center"/>
        <w:textAlignment w:val="auto"/>
        <w:rPr>
          <w:rFonts w:hint="eastAsia" w:ascii="宋体" w:hAnsi="宋体" w:eastAsia="宋体" w:cs="宋体"/>
          <w:b/>
          <w:bCs/>
          <w:color w:val="000000" w:themeColor="text1"/>
          <w:sz w:val="24"/>
          <w:highlight w:val="none"/>
          <w14:textFill>
            <w14:solidFill>
              <w14:schemeClr w14:val="tx1"/>
            </w14:solidFill>
          </w14:textFill>
        </w:rPr>
      </w:pPr>
    </w:p>
    <w:p w14:paraId="11BB243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p>
    <w:p w14:paraId="776545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w:t>
      </w:r>
    </w:p>
    <w:p w14:paraId="38E20E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778C39C">
      <w:pPr>
        <w:keepNext w:val="0"/>
        <w:keepLines w:val="0"/>
        <w:pageBreakBefore w:val="0"/>
        <w:widowControl w:val="0"/>
        <w:kinsoku/>
        <w:wordWrap/>
        <w:overflowPunct/>
        <w:topLinePunct w:val="0"/>
        <w:autoSpaceDE/>
        <w:autoSpaceDN/>
        <w:bidi w:val="0"/>
        <w:adjustRightInd/>
        <w:snapToGrid/>
        <w:spacing w:line="500" w:lineRule="exact"/>
        <w:ind w:firstLine="540" w:firstLineChars="22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我单位未被列入政府取消投标资格的记录。</w:t>
      </w:r>
    </w:p>
    <w:p w14:paraId="2B75A5D6">
      <w:pPr>
        <w:keepNext w:val="0"/>
        <w:keepLines w:val="0"/>
        <w:pageBreakBefore w:val="0"/>
        <w:widowControl w:val="0"/>
        <w:kinsoku/>
        <w:wordWrap/>
        <w:overflowPunct/>
        <w:topLinePunct w:val="0"/>
        <w:autoSpaceDE/>
        <w:autoSpaceDN/>
        <w:bidi w:val="0"/>
        <w:adjustRightInd/>
        <w:snapToGrid/>
        <w:spacing w:line="500" w:lineRule="exact"/>
        <w:ind w:firstLine="540" w:firstLineChars="22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3B0197E1">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D2C4A79">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079416A">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AC621BD">
      <w:pPr>
        <w:keepNext w:val="0"/>
        <w:keepLines w:val="0"/>
        <w:pageBreakBefore w:val="0"/>
        <w:widowControl w:val="0"/>
        <w:kinsoku/>
        <w:wordWrap/>
        <w:overflowPunct/>
        <w:topLinePunct w:val="0"/>
        <w:autoSpaceDE/>
        <w:autoSpaceDN/>
        <w:bidi w:val="0"/>
        <w:adjustRightInd/>
        <w:snapToGrid/>
        <w:spacing w:line="500" w:lineRule="exact"/>
        <w:ind w:firstLine="4228" w:firstLineChars="1762"/>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1054278">
      <w:pPr>
        <w:keepNext w:val="0"/>
        <w:keepLines w:val="0"/>
        <w:pageBreakBefore w:val="0"/>
        <w:widowControl w:val="0"/>
        <w:kinsoku/>
        <w:wordWrap/>
        <w:overflowPunct/>
        <w:topLinePunct w:val="0"/>
        <w:autoSpaceDE/>
        <w:autoSpaceDN/>
        <w:bidi w:val="0"/>
        <w:adjustRightInd/>
        <w:snapToGrid/>
        <w:spacing w:line="500" w:lineRule="exact"/>
        <w:ind w:firstLine="2640" w:firstLineChars="1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盖单位公章</w:t>
      </w:r>
      <w:r>
        <w:rPr>
          <w:rFonts w:hint="eastAsia" w:ascii="宋体" w:hAnsi="宋体" w:eastAsia="宋体" w:cs="宋体"/>
          <w:color w:val="000000" w:themeColor="text1"/>
          <w:sz w:val="24"/>
          <w:szCs w:val="24"/>
          <w:highlight w:val="none"/>
          <w14:textFill>
            <w14:solidFill>
              <w14:schemeClr w14:val="tx1"/>
            </w14:solidFill>
          </w14:textFill>
        </w:rPr>
        <w:t>）</w:t>
      </w:r>
    </w:p>
    <w:p w14:paraId="2F1ABDB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961A919">
      <w:pPr>
        <w:keepNext w:val="0"/>
        <w:keepLines w:val="0"/>
        <w:pageBreakBefore w:val="0"/>
        <w:widowControl w:val="0"/>
        <w:kinsoku/>
        <w:wordWrap/>
        <w:overflowPunct/>
        <w:topLinePunct w:val="0"/>
        <w:autoSpaceDE/>
        <w:autoSpaceDN/>
        <w:bidi w:val="0"/>
        <w:adjustRightInd/>
        <w:snapToGrid/>
        <w:spacing w:line="500" w:lineRule="exact"/>
        <w:ind w:firstLine="2640" w:firstLineChars="1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字）</w:t>
      </w:r>
    </w:p>
    <w:p w14:paraId="5986BCA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0CE4475">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787144D5">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color w:val="000000" w:themeColor="text1"/>
          <w:sz w:val="28"/>
          <w:szCs w:val="28"/>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eastAsia="宋体" w:cs="宋体"/>
          <w:color w:val="000000" w:themeColor="text1"/>
          <w:sz w:val="28"/>
          <w:szCs w:val="28"/>
          <w:highlight w:val="none"/>
          <w:lang w:val="zh-CN"/>
          <w14:textFill>
            <w14:solidFill>
              <w14:schemeClr w14:val="tx1"/>
            </w14:solidFill>
          </w14:textFill>
        </w:rPr>
        <w:t>）完全响应竞争性磋商文件的承诺书</w:t>
      </w:r>
    </w:p>
    <w:p w14:paraId="2B6F8DC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88D8E8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(采购人名称)</w:t>
      </w:r>
    </w:p>
    <w:p w14:paraId="280CED0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0DA4A02">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我方在此声明,我方完全响应</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（项目名称）竞争性磋商文件的全部商务条款及技术标准和采购要求，无任何负偏离</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我方保证上述信息的真实和准确</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17E7C35">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采购人采购后一经发现我方存在虚假信息或有不符合项，采购人有权单方终止合同，并拒付货款，全部退货处理，我方赔偿由此造成的全部损失并承担全部法律责任。</w:t>
      </w:r>
    </w:p>
    <w:p w14:paraId="6EF6298C">
      <w:pPr>
        <w:keepNext w:val="0"/>
        <w:keepLines w:val="0"/>
        <w:pageBreakBefore w:val="0"/>
        <w:kinsoku/>
        <w:wordWrap/>
        <w:overflowPunct/>
        <w:topLinePunct w:val="0"/>
        <w:autoSpaceDE/>
        <w:autoSpaceDN/>
        <w:bidi w:val="0"/>
        <w:adjustRightInd/>
        <w:snapToGrid/>
        <w:spacing w:line="500" w:lineRule="exact"/>
        <w:ind w:firstLine="540" w:firstLineChars="225"/>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FB6B55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432A7A36">
      <w:pPr>
        <w:keepNext w:val="0"/>
        <w:keepLines w:val="0"/>
        <w:pageBreakBefore w:val="0"/>
        <w:kinsoku/>
        <w:wordWrap/>
        <w:overflowPunct/>
        <w:topLinePunct w:val="0"/>
        <w:autoSpaceDE/>
        <w:autoSpaceDN/>
        <w:bidi w:val="0"/>
        <w:adjustRightInd/>
        <w:snapToGrid/>
        <w:spacing w:line="500" w:lineRule="exact"/>
        <w:ind w:firstLine="540" w:firstLineChars="225"/>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C199666">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8ABAF8A">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70C6F32">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DBC17CC">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8147EAC">
      <w:pPr>
        <w:keepNext w:val="0"/>
        <w:keepLines w:val="0"/>
        <w:pageBreakBefore w:val="0"/>
        <w:kinsoku/>
        <w:wordWrap/>
        <w:overflowPunct/>
        <w:topLinePunct w:val="0"/>
        <w:autoSpaceDE/>
        <w:autoSpaceDN/>
        <w:bidi w:val="0"/>
        <w:adjustRightInd/>
        <w:snapToGrid/>
        <w:spacing w:line="500" w:lineRule="exact"/>
        <w:ind w:firstLine="2640" w:firstLineChars="1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盖单位公章</w:t>
      </w:r>
      <w:r>
        <w:rPr>
          <w:rFonts w:hint="eastAsia" w:ascii="宋体" w:hAnsi="宋体" w:eastAsia="宋体" w:cs="宋体"/>
          <w:color w:val="000000" w:themeColor="text1"/>
          <w:sz w:val="24"/>
          <w:szCs w:val="24"/>
          <w:highlight w:val="none"/>
          <w14:textFill>
            <w14:solidFill>
              <w14:schemeClr w14:val="tx1"/>
            </w14:solidFill>
          </w14:textFill>
        </w:rPr>
        <w:t>）</w:t>
      </w:r>
    </w:p>
    <w:p w14:paraId="5F8402F3">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00F6F95D">
      <w:pPr>
        <w:keepNext w:val="0"/>
        <w:keepLines w:val="0"/>
        <w:pageBreakBefore w:val="0"/>
        <w:kinsoku/>
        <w:wordWrap/>
        <w:overflowPunct/>
        <w:topLinePunct w:val="0"/>
        <w:autoSpaceDE/>
        <w:autoSpaceDN/>
        <w:bidi w:val="0"/>
        <w:adjustRightInd/>
        <w:snapToGrid/>
        <w:spacing w:line="500" w:lineRule="exact"/>
        <w:ind w:firstLine="2640" w:firstLineChars="1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字）</w:t>
      </w:r>
    </w:p>
    <w:p w14:paraId="3DAB282E">
      <w:pPr>
        <w:keepNext w:val="0"/>
        <w:keepLines w:val="0"/>
        <w:pageBreakBefore w:val="0"/>
        <w:kinsoku/>
        <w:wordWrap/>
        <w:overflowPunct/>
        <w:topLinePunct w:val="0"/>
        <w:autoSpaceDE/>
        <w:autoSpaceDN/>
        <w:bidi w:val="0"/>
        <w:adjustRightInd/>
        <w:snapToGrid/>
        <w:spacing w:line="500" w:lineRule="exact"/>
        <w:ind w:firstLine="3420" w:firstLineChars="1425"/>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67429B1">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000000" w:themeColor="text1"/>
          <w:sz w:val="24"/>
          <w:szCs w:val="24"/>
          <w:lang w:val="zh-CN"/>
          <w14:textFill>
            <w14:solidFill>
              <w14:schemeClr w14:val="tx1"/>
            </w14:solidFill>
          </w14:textFill>
        </w:rPr>
        <w:sectPr>
          <w:pgSz w:w="11905" w:h="16838"/>
          <w:pgMar w:top="1440" w:right="1803" w:bottom="1440" w:left="1803" w:header="1140" w:footer="720" w:gutter="0"/>
          <w:cols w:space="0" w:num="1"/>
          <w:docGrid w:type="lines" w:linePitch="317"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16F482F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val="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5</w:t>
      </w:r>
      <w:r>
        <w:rPr>
          <w:rFonts w:hint="eastAsia" w:ascii="宋体" w:hAnsi="宋体" w:eastAsia="宋体" w:cs="宋体"/>
          <w:color w:val="000000" w:themeColor="text1"/>
          <w:sz w:val="32"/>
          <w:szCs w:val="32"/>
          <w:highlight w:val="none"/>
          <w:lang w:val="zh-CN"/>
          <w14:textFill>
            <w14:solidFill>
              <w14:schemeClr w14:val="tx1"/>
            </w14:solidFill>
          </w14:textFill>
        </w:rPr>
        <w:t>）政府采购诚信承诺书</w:t>
      </w:r>
    </w:p>
    <w:p w14:paraId="7F06F7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kern w:val="0"/>
          <w:sz w:val="32"/>
          <w:szCs w:val="18"/>
          <w:highlight w:val="none"/>
          <w14:textFill>
            <w14:solidFill>
              <w14:schemeClr w14:val="tx1"/>
            </w14:solidFill>
          </w14:textFill>
        </w:rPr>
      </w:pPr>
    </w:p>
    <w:p w14:paraId="40797E6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(采购人）     </w:t>
      </w:r>
      <w:r>
        <w:rPr>
          <w:rFonts w:hint="eastAsia" w:ascii="宋体" w:hAnsi="宋体" w:eastAsia="宋体" w:cs="宋体"/>
          <w:bCs/>
          <w:color w:val="000000" w:themeColor="text1"/>
          <w:sz w:val="24"/>
          <w:szCs w:val="24"/>
          <w:highlight w:val="none"/>
          <w14:textFill>
            <w14:solidFill>
              <w14:schemeClr w14:val="tx1"/>
            </w14:solidFill>
          </w14:textFill>
        </w:rPr>
        <w:t>：</w:t>
      </w:r>
    </w:p>
    <w:p w14:paraId="522C07A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（供应商名称） </w:t>
      </w:r>
      <w:r>
        <w:rPr>
          <w:rFonts w:hint="eastAsia" w:ascii="宋体" w:hAnsi="宋体" w:eastAsia="宋体" w:cs="宋体"/>
          <w:bCs/>
          <w:color w:val="000000" w:themeColor="text1"/>
          <w:sz w:val="24"/>
          <w:szCs w:val="24"/>
          <w:highlight w:val="none"/>
          <w14:textFill>
            <w14:solidFill>
              <w14:schemeClr w14:val="tx1"/>
            </w14:solidFill>
          </w14:textFill>
        </w:rPr>
        <w:t>已详细阅读了</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（项目名称）        </w:t>
      </w:r>
      <w:r>
        <w:rPr>
          <w:rFonts w:hint="eastAsia" w:ascii="宋体" w:hAnsi="宋体" w:eastAsia="宋体" w:cs="宋体"/>
          <w:bCs/>
          <w:color w:val="000000" w:themeColor="text1"/>
          <w:sz w:val="24"/>
          <w:szCs w:val="24"/>
          <w:highlight w:val="none"/>
          <w14:textFill>
            <w14:solidFill>
              <w14:schemeClr w14:val="tx1"/>
            </w14:solidFill>
          </w14:textFill>
        </w:rPr>
        <w:t>项目（项目编号：</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）的竞争性磋商文件，自愿参加本次磋商，现就有关事项郑重承诺如下：</w:t>
      </w:r>
    </w:p>
    <w:p w14:paraId="2C1508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一、诚信报价，材料真实。</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保证所提供的全部材料、报价内容均真实、合法、有效，保证不出借或者借用其他企业资质，不以他人名义报价，不弄虚作假；未列入失信被执行人、</w:t>
      </w:r>
      <w:r>
        <w:rPr>
          <w:rFonts w:hint="eastAsia" w:ascii="宋体" w:hAnsi="宋体" w:eastAsia="宋体" w:cs="宋体"/>
          <w:bCs/>
          <w:color w:val="000000" w:themeColor="text1"/>
          <w:sz w:val="24"/>
          <w:szCs w:val="24"/>
          <w:highlight w:val="none"/>
          <w:lang w:eastAsia="zh-CN"/>
          <w14:textFill>
            <w14:solidFill>
              <w14:schemeClr w14:val="tx1"/>
            </w14:solidFill>
          </w14:textFill>
        </w:rPr>
        <w:t>重大税收违法失信主体</w:t>
      </w:r>
      <w:r>
        <w:rPr>
          <w:rFonts w:hint="eastAsia" w:ascii="宋体" w:hAnsi="宋体" w:eastAsia="宋体" w:cs="宋体"/>
          <w:bCs/>
          <w:color w:val="000000" w:themeColor="text1"/>
          <w:sz w:val="24"/>
          <w:szCs w:val="24"/>
          <w:highlight w:val="none"/>
          <w14:textFill>
            <w14:solidFill>
              <w14:schemeClr w14:val="tx1"/>
            </w14:solidFill>
          </w14:textFill>
        </w:rPr>
        <w:t>、政府采购严重违法失信行为记录名单及其他不符合《中华人民共和国政府采购法》第二十二条规定条件。</w:t>
      </w:r>
    </w:p>
    <w:p w14:paraId="184EBB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4C631A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三、不捏造事实或借用他人名义进行虚假、恶意质疑和投诉，不以质疑或投诉为名排挤竞争对手，干扰政府采购秩序；</w:t>
      </w:r>
    </w:p>
    <w:p w14:paraId="278CE39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1E2E2C3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若有违反以上承诺内容的行为，</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自愿接受取消磋商资格、记入信用档案、没收磋商保证金、媒体通报、1～3年内禁止参与政府采购活动等处罚；如已成交的，自动放弃成交资格，并承担全部法律责任；给采购人造成损失的，依法承担赔偿责任。</w:t>
      </w:r>
    </w:p>
    <w:p w14:paraId="098CBE32">
      <w:pPr>
        <w:keepNext w:val="0"/>
        <w:keepLines w:val="0"/>
        <w:pageBreakBefore w:val="0"/>
        <w:kinsoku/>
        <w:wordWrap/>
        <w:overflowPunct/>
        <w:topLinePunct w:val="0"/>
        <w:autoSpaceDE/>
        <w:autoSpaceDN/>
        <w:bidi w:val="0"/>
        <w:adjustRightInd/>
        <w:snapToGrid/>
        <w:spacing w:line="480" w:lineRule="auto"/>
        <w:ind w:right="48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盖单位公章</w:t>
      </w:r>
      <w:r>
        <w:rPr>
          <w:rFonts w:hint="eastAsia" w:ascii="宋体" w:hAnsi="宋体" w:eastAsia="宋体" w:cs="宋体"/>
          <w:color w:val="000000" w:themeColor="text1"/>
          <w:sz w:val="24"/>
          <w:szCs w:val="24"/>
          <w:highlight w:val="none"/>
          <w14:textFill>
            <w14:solidFill>
              <w14:schemeClr w14:val="tx1"/>
            </w14:solidFill>
          </w14:textFill>
        </w:rPr>
        <w:t>）</w:t>
      </w:r>
    </w:p>
    <w:p w14:paraId="07B7E435">
      <w:pPr>
        <w:keepNext w:val="0"/>
        <w:keepLines w:val="0"/>
        <w:pageBreakBefore w:val="0"/>
        <w:kinsoku/>
        <w:wordWrap/>
        <w:overflowPunct/>
        <w:topLinePunct w:val="0"/>
        <w:autoSpaceDE/>
        <w:autoSpaceDN/>
        <w:bidi w:val="0"/>
        <w:adjustRightInd/>
        <w:snapToGrid/>
        <w:spacing w:line="480" w:lineRule="auto"/>
        <w:ind w:right="-94" w:rightChars="0" w:firstLine="2640" w:firstLineChars="1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字）</w:t>
      </w:r>
    </w:p>
    <w:p w14:paraId="0AA8441B">
      <w:pPr>
        <w:keepNext w:val="0"/>
        <w:keepLines w:val="0"/>
        <w:pageBreakBefore w:val="0"/>
        <w:widowControl w:val="0"/>
        <w:kinsoku/>
        <w:wordWrap/>
        <w:overflowPunct/>
        <w:topLinePunct w:val="0"/>
        <w:autoSpaceDE/>
        <w:autoSpaceDN/>
        <w:bidi w:val="0"/>
        <w:adjustRightInd/>
        <w:snapToGrid/>
        <w:spacing w:before="160" w:beforeLines="50" w:line="480" w:lineRule="auto"/>
        <w:ind w:right="482"/>
        <w:jc w:val="right"/>
        <w:textAlignment w:val="auto"/>
        <w:rPr>
          <w:rFonts w:hint="eastAsia" w:ascii="宋体" w:hAnsi="宋体" w:eastAsia="宋体" w:cs="宋体"/>
          <w:color w:val="000000" w:themeColor="text1"/>
          <w:sz w:val="24"/>
          <w:szCs w:val="24"/>
          <w:highlight w:val="none"/>
          <w14:textFill>
            <w14:solidFill>
              <w14:schemeClr w14:val="tx1"/>
            </w14:solidFill>
          </w14:textFill>
        </w:rPr>
        <w:sectPr>
          <w:pgSz w:w="11905" w:h="16838"/>
          <w:pgMar w:top="1440" w:right="1803" w:bottom="1440" w:left="1803" w:header="1140" w:footer="720" w:gutter="0"/>
          <w:pgNumType w:fmt="decimal"/>
          <w:cols w:space="0" w:num="1"/>
          <w:rtlGutter w:val="0"/>
          <w:docGrid w:type="lines" w:linePitch="317"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0DD618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32"/>
          <w:szCs w:val="32"/>
          <w:highlight w:val="none"/>
          <w:lang w:val="zh-CN"/>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6</w:t>
      </w:r>
      <w:r>
        <w:rPr>
          <w:rFonts w:hint="eastAsia" w:ascii="宋体" w:hAnsi="宋体" w:eastAsia="宋体" w:cs="宋体"/>
          <w:color w:val="000000" w:themeColor="text1"/>
          <w:sz w:val="28"/>
          <w:szCs w:val="28"/>
          <w:highlight w:val="none"/>
          <w:lang w:val="zh-CN"/>
          <w14:textFill>
            <w14:solidFill>
              <w14:schemeClr w14:val="tx1"/>
            </w14:solidFill>
          </w14:textFill>
        </w:rPr>
        <w:t>）无投资参股关系关联企业同时磋商的承诺书</w:t>
      </w:r>
    </w:p>
    <w:p w14:paraId="6D83A4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highlight w:val="none"/>
          <w:lang w:val="zh-CN"/>
          <w14:textFill>
            <w14:solidFill>
              <w14:schemeClr w14:val="tx1"/>
            </w14:solidFill>
          </w14:textFill>
        </w:rPr>
      </w:pPr>
    </w:p>
    <w:p w14:paraId="02C7495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w:t>
      </w:r>
    </w:p>
    <w:p w14:paraId="02A9AE0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6F765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我单位承诺：无</w:t>
      </w:r>
      <w:r>
        <w:rPr>
          <w:rFonts w:hint="eastAsia" w:ascii="宋体" w:hAnsi="宋体" w:eastAsia="宋体" w:cs="宋体"/>
          <w:color w:val="000000" w:themeColor="text1"/>
          <w:sz w:val="24"/>
          <w:szCs w:val="24"/>
          <w:highlight w:val="none"/>
          <w:lang w:eastAsia="zh-CN"/>
          <w14:textFill>
            <w14:solidFill>
              <w14:schemeClr w14:val="tx1"/>
            </w14:solidFill>
          </w14:textFill>
        </w:rPr>
        <w:t>下列情况！</w:t>
      </w:r>
    </w:p>
    <w:p w14:paraId="3F9B632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具有投资参股关系的关联企业,或具有直接管理和被管理关系的母子供应商，或同一母供应商的子供应商，或法定代表人为同一人的两个及两个以上法人同时对同一标段投标。与采购人存在利害关系可能影响投标公正性的法人、其他组织或者个人。单位负责人为同一人或者存在控股、管理关系的不同单位，参加同一标段投标或者未划分标段的同一项目投标。</w:t>
      </w:r>
    </w:p>
    <w:p w14:paraId="53CB3C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54393B76">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AD4F0A3">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6712F96">
      <w:pPr>
        <w:keepNext w:val="0"/>
        <w:keepLines w:val="0"/>
        <w:pageBreakBefore w:val="0"/>
        <w:kinsoku/>
        <w:wordWrap/>
        <w:overflowPunct/>
        <w:topLinePunct w:val="0"/>
        <w:autoSpaceDE/>
        <w:autoSpaceDN/>
        <w:bidi w:val="0"/>
        <w:adjustRightInd/>
        <w:snapToGrid/>
        <w:spacing w:line="360" w:lineRule="auto"/>
        <w:ind w:firstLine="4228" w:firstLineChars="1762"/>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3A83924">
      <w:pPr>
        <w:keepNext w:val="0"/>
        <w:keepLines w:val="0"/>
        <w:pageBreakBefore w:val="0"/>
        <w:kinsoku/>
        <w:wordWrap/>
        <w:overflowPunct/>
        <w:topLinePunct w:val="0"/>
        <w:autoSpaceDE/>
        <w:autoSpaceDN/>
        <w:bidi w:val="0"/>
        <w:adjustRightInd/>
        <w:snapToGrid/>
        <w:spacing w:line="360" w:lineRule="auto"/>
        <w:ind w:left="0" w:leftChars="0" w:firstLine="420" w:firstLineChars="175"/>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盖单位公章</w:t>
      </w:r>
      <w:r>
        <w:rPr>
          <w:rFonts w:hint="eastAsia" w:ascii="宋体" w:hAnsi="宋体" w:eastAsia="宋体" w:cs="宋体"/>
          <w:color w:val="000000" w:themeColor="text1"/>
          <w:sz w:val="24"/>
          <w:szCs w:val="24"/>
          <w:highlight w:val="none"/>
          <w14:textFill>
            <w14:solidFill>
              <w14:schemeClr w14:val="tx1"/>
            </w14:solidFill>
          </w14:textFill>
        </w:rPr>
        <w:t>）</w:t>
      </w:r>
    </w:p>
    <w:p w14:paraId="5C744D16">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4883E1E8">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字）</w:t>
      </w:r>
    </w:p>
    <w:p w14:paraId="02C60125">
      <w:pPr>
        <w:pStyle w:val="1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73E6BBF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78204E1">
      <w:pPr>
        <w:pStyle w:val="20"/>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4047E221">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14:paraId="226ED0C6">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9"/>
        <w:rPr>
          <w:rFonts w:hint="eastAsia" w:ascii="宋体" w:hAnsi="宋体" w:eastAsia="宋体" w:cs="宋体"/>
          <w:sz w:val="28"/>
          <w:szCs w:val="24"/>
        </w:rPr>
      </w:pPr>
      <w:r>
        <w:rPr>
          <w:rFonts w:hint="eastAsia" w:ascii="宋体" w:hAnsi="宋体" w:eastAsia="宋体" w:cs="宋体"/>
          <w:b/>
          <w:bCs/>
          <w:color w:val="000000" w:themeColor="text1"/>
          <w:sz w:val="32"/>
          <w:szCs w:val="32"/>
          <w14:textFill>
            <w14:solidFill>
              <w14:schemeClr w14:val="tx1"/>
            </w14:solidFill>
          </w14:textFill>
        </w:rPr>
        <w:br w:type="page"/>
      </w:r>
      <w:r>
        <w:rPr>
          <w:rFonts w:hint="eastAsia" w:ascii="宋体" w:hAnsi="宋体" w:eastAsia="宋体" w:cs="宋体"/>
          <w:sz w:val="28"/>
          <w:szCs w:val="24"/>
          <w:lang w:eastAsia="zh-CN"/>
        </w:rPr>
        <w:t>（</w:t>
      </w:r>
      <w:r>
        <w:rPr>
          <w:rFonts w:hint="eastAsia" w:ascii="宋体" w:hAnsi="宋体" w:cs="宋体"/>
          <w:sz w:val="28"/>
          <w:szCs w:val="24"/>
          <w:lang w:val="en-US" w:eastAsia="zh-CN"/>
        </w:rPr>
        <w:t>7</w:t>
      </w:r>
      <w:r>
        <w:rPr>
          <w:rFonts w:hint="eastAsia" w:ascii="宋体" w:hAnsi="宋体" w:eastAsia="宋体" w:cs="宋体"/>
          <w:sz w:val="28"/>
          <w:szCs w:val="24"/>
          <w:lang w:eastAsia="zh-CN"/>
        </w:rPr>
        <w:t>）</w:t>
      </w:r>
      <w:r>
        <w:rPr>
          <w:rFonts w:hint="eastAsia" w:ascii="宋体" w:hAnsi="宋体" w:eastAsia="宋体" w:cs="宋体"/>
          <w:sz w:val="28"/>
          <w:szCs w:val="24"/>
        </w:rPr>
        <w:t>中小企业声明函（服务）</w:t>
      </w:r>
    </w:p>
    <w:p w14:paraId="15775560">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14:paraId="0018B394">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w:t>
      </w:r>
    </w:p>
    <w:p w14:paraId="739F1252">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w:t>
      </w:r>
      <w:r>
        <w:fldChar w:fldCharType="begin"/>
      </w:r>
      <w:r>
        <w:instrText xml:space="preserve"> HYPERLINK \l "_bookmark1" </w:instrText>
      </w:r>
      <w:r>
        <w:fldChar w:fldCharType="separate"/>
      </w:r>
      <w:r>
        <w:rPr>
          <w:w w:val="95"/>
          <w:position w:val="16"/>
          <w:sz w:val="16"/>
        </w:rPr>
        <w:t>1</w:t>
      </w:r>
      <w:r>
        <w:rPr>
          <w:w w:val="95"/>
          <w:position w:val="16"/>
          <w:sz w:val="16"/>
        </w:rPr>
        <w:fldChar w:fldCharType="end"/>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1D055A3">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5F0F145B">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w:t>
      </w:r>
    </w:p>
    <w:p w14:paraId="0EBC2BE9">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C748027">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2DD232E">
      <w:pPr>
        <w:keepNext w:val="0"/>
        <w:keepLines w:val="0"/>
        <w:pageBreakBefore w:val="0"/>
        <w:widowControl w:val="0"/>
        <w:kinsoku/>
        <w:wordWrap/>
        <w:overflowPunct/>
        <w:topLinePunct w:val="0"/>
        <w:autoSpaceDE w:val="0"/>
        <w:autoSpaceDN w:val="0"/>
        <w:bidi w:val="0"/>
        <w:adjustRightInd/>
        <w:snapToGrid/>
        <w:spacing w:line="500" w:lineRule="exact"/>
        <w:ind w:firstLine="3120" w:firstLineChars="1300"/>
        <w:textAlignment w:val="auto"/>
        <w:rPr>
          <w:rFonts w:hint="eastAsia" w:ascii="宋体" w:hAnsi="宋体" w:eastAsia="宋体" w:cs="宋体"/>
          <w:sz w:val="24"/>
          <w:szCs w:val="24"/>
        </w:rPr>
      </w:pPr>
      <w:r>
        <w:rPr>
          <w:rFonts w:hint="eastAsia" w:ascii="宋体" w:hAnsi="宋体" w:eastAsia="宋体" w:cs="宋体"/>
          <w:sz w:val="24"/>
          <w:szCs w:val="24"/>
        </w:rPr>
        <w:t>企业名称（盖章）：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64C5197C">
      <w:pPr>
        <w:keepNext w:val="0"/>
        <w:keepLines w:val="0"/>
        <w:pageBreakBefore w:val="0"/>
        <w:widowControl w:val="0"/>
        <w:kinsoku/>
        <w:wordWrap/>
        <w:overflowPunct/>
        <w:topLinePunct w:val="0"/>
        <w:autoSpaceDE w:val="0"/>
        <w:autoSpaceDN w:val="0"/>
        <w:bidi w:val="0"/>
        <w:adjustRightInd/>
        <w:snapToGrid/>
        <w:spacing w:line="500" w:lineRule="exact"/>
        <w:ind w:firstLine="5040" w:firstLineChars="2100"/>
        <w:textAlignment w:val="auto"/>
        <w:rPr>
          <w:rFonts w:hint="eastAsia" w:ascii="宋体" w:hAnsi="宋体" w:eastAsia="宋体" w:cs="宋体"/>
          <w:sz w:val="24"/>
          <w:szCs w:val="24"/>
        </w:rPr>
      </w:pPr>
    </w:p>
    <w:p w14:paraId="4BA6A3BE">
      <w:pPr>
        <w:keepNext w:val="0"/>
        <w:keepLines w:val="0"/>
        <w:pageBreakBefore w:val="0"/>
        <w:widowControl w:val="0"/>
        <w:kinsoku/>
        <w:wordWrap/>
        <w:overflowPunct/>
        <w:topLinePunct w:val="0"/>
        <w:autoSpaceDE w:val="0"/>
        <w:autoSpaceDN w:val="0"/>
        <w:bidi w:val="0"/>
        <w:adjustRightInd/>
        <w:snapToGrid/>
        <w:spacing w:line="500" w:lineRule="exact"/>
        <w:ind w:firstLine="4560" w:firstLineChars="1900"/>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14:paraId="3DDA021C">
      <w:pPr>
        <w:keepNext w:val="0"/>
        <w:keepLines w:val="0"/>
        <w:pageBreakBefore w:val="0"/>
        <w:widowControl w:val="0"/>
        <w:kinsoku/>
        <w:wordWrap/>
        <w:overflowPunct/>
        <w:topLinePunct w:val="0"/>
        <w:autoSpaceDE w:val="0"/>
        <w:autoSpaceDN w:val="0"/>
        <w:bidi w:val="0"/>
        <w:adjustRightInd/>
        <w:snapToGrid/>
        <w:spacing w:before="0" w:line="500" w:lineRule="exact"/>
        <w:ind w:left="20" w:right="0" w:firstLine="0"/>
        <w:jc w:val="left"/>
        <w:textAlignment w:val="auto"/>
        <w:rPr>
          <w:rFonts w:hint="eastAsia" w:ascii="宋体" w:eastAsia="宋体"/>
          <w:sz w:val="24"/>
          <w:szCs w:val="24"/>
        </w:rPr>
      </w:pPr>
    </w:p>
    <w:p w14:paraId="51E4F27A">
      <w:pPr>
        <w:keepNext w:val="0"/>
        <w:keepLines w:val="0"/>
        <w:pageBreakBefore w:val="0"/>
        <w:widowControl w:val="0"/>
        <w:kinsoku/>
        <w:wordWrap/>
        <w:overflowPunct/>
        <w:topLinePunct w:val="0"/>
        <w:autoSpaceDE w:val="0"/>
        <w:autoSpaceDN w:val="0"/>
        <w:bidi w:val="0"/>
        <w:adjustRightInd/>
        <w:snapToGrid/>
        <w:spacing w:before="0" w:line="500" w:lineRule="exact"/>
        <w:ind w:left="20" w:right="0" w:firstLine="0"/>
        <w:jc w:val="left"/>
        <w:textAlignment w:val="auto"/>
        <w:rPr>
          <w:rFonts w:hint="eastAsia" w:ascii="宋体" w:eastAsia="宋体"/>
          <w:sz w:val="24"/>
          <w:szCs w:val="24"/>
          <w:vertAlign w:val="superscript"/>
          <w:lang w:val="en-US" w:eastAsia="zh-CN"/>
        </w:rPr>
      </w:pPr>
    </w:p>
    <w:p w14:paraId="68587053">
      <w:pPr>
        <w:keepNext w:val="0"/>
        <w:keepLines w:val="0"/>
        <w:pageBreakBefore w:val="0"/>
        <w:widowControl w:val="0"/>
        <w:kinsoku/>
        <w:wordWrap/>
        <w:overflowPunct/>
        <w:topLinePunct w:val="0"/>
        <w:autoSpaceDE w:val="0"/>
        <w:autoSpaceDN w:val="0"/>
        <w:bidi w:val="0"/>
        <w:adjustRightInd/>
        <w:snapToGrid/>
        <w:spacing w:before="0" w:line="500" w:lineRule="exact"/>
        <w:ind w:left="20" w:right="0" w:firstLine="0"/>
        <w:jc w:val="left"/>
        <w:textAlignment w:val="auto"/>
        <w:rPr>
          <w:rFonts w:hint="eastAsia" w:ascii="宋体" w:eastAsia="宋体"/>
          <w:sz w:val="22"/>
          <w:szCs w:val="22"/>
          <w:vertAlign w:val="baseline"/>
          <w:lang w:val="en-US" w:eastAsia="zh-CN"/>
        </w:rPr>
      </w:pPr>
      <w:r>
        <w:rPr>
          <w:rFonts w:hint="eastAsia" w:ascii="宋体" w:eastAsia="宋体"/>
          <w:sz w:val="22"/>
          <w:szCs w:val="22"/>
          <w:vertAlign w:val="baseline"/>
          <w:lang w:val="en-US" w:eastAsia="zh-CN"/>
        </w:rPr>
        <w:t>注：</w:t>
      </w:r>
      <w:r>
        <w:rPr>
          <w:rFonts w:hint="eastAsia"/>
          <w:sz w:val="21"/>
          <w:szCs w:val="21"/>
        </w:rPr>
        <w:t>属于中小微企业的供应商填写此</w:t>
      </w:r>
      <w:r>
        <w:rPr>
          <w:rFonts w:hint="eastAsia"/>
          <w:sz w:val="21"/>
          <w:szCs w:val="21"/>
          <w:lang w:eastAsia="zh-CN"/>
        </w:rPr>
        <w:t>内容。</w:t>
      </w:r>
    </w:p>
    <w:p w14:paraId="27722158">
      <w:pPr>
        <w:rPr>
          <w:rFonts w:hint="eastAsia"/>
          <w:color w:val="auto"/>
          <w:sz w:val="30"/>
          <w:szCs w:val="30"/>
          <w:highlight w:val="none"/>
        </w:rPr>
      </w:pPr>
      <w:r>
        <w:rPr>
          <w:rFonts w:hint="eastAsia" w:ascii="宋体" w:eastAsia="宋体"/>
          <w:sz w:val="22"/>
          <w:szCs w:val="22"/>
          <w:vertAlign w:val="superscript"/>
          <w:lang w:val="en-US" w:eastAsia="zh-CN"/>
        </w:rPr>
        <w:t>1</w:t>
      </w:r>
      <w:r>
        <w:rPr>
          <w:rFonts w:hint="eastAsia" w:ascii="宋体" w:eastAsia="宋体"/>
          <w:sz w:val="22"/>
          <w:szCs w:val="22"/>
        </w:rPr>
        <w:t>从业人员、营业收入、资产总额填报上一年度数据，无上一年度数据的新成立企业可不填报。</w:t>
      </w:r>
    </w:p>
    <w:p w14:paraId="1A693386">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14:paraId="74E3CA03">
      <w:pPr>
        <w:pStyle w:val="20"/>
        <w:spacing w:line="360" w:lineRule="auto"/>
        <w:jc w:val="center"/>
        <w:outlineLvl w:val="2"/>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（五）网络截图</w:t>
      </w:r>
    </w:p>
    <w:p w14:paraId="77067C4E">
      <w:pPr>
        <w:pStyle w:val="28"/>
        <w:spacing w:line="360" w:lineRule="auto"/>
        <w:rPr>
          <w:rFonts w:hint="eastAsia" w:ascii="宋体" w:hAnsi="宋体" w:eastAsia="宋体" w:cs="宋体"/>
          <w:color w:val="000000" w:themeColor="text1"/>
          <w:sz w:val="24"/>
          <w:szCs w:val="24"/>
          <w14:textFill>
            <w14:solidFill>
              <w14:schemeClr w14:val="tx1"/>
            </w14:solidFill>
          </w14:textFill>
        </w:rPr>
      </w:pPr>
    </w:p>
    <w:p w14:paraId="690033C2">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（1）未被列入“信用中国”网站(www.creditchina.gov.cn)、“中国政府采购网”(www.ccgp.gov.cn)等渠道信用记录失信被执行人、重大税收违法案件当事人名单、政府采购严重违法失信行为记录</w:t>
      </w:r>
      <w:r>
        <w:rPr>
          <w:rFonts w:hint="eastAsia" w:ascii="宋体" w:hAnsi="宋体" w:cs="宋体"/>
          <w:color w:val="000000" w:themeColor="text1"/>
          <w:sz w:val="24"/>
          <w:szCs w:val="24"/>
          <w:lang w:eastAsia="zh-CN"/>
          <w14:textFill>
            <w14:solidFill>
              <w14:schemeClr w14:val="tx1"/>
            </w14:solidFill>
          </w14:textFill>
        </w:rPr>
        <w:t>；</w:t>
      </w:r>
    </w:p>
    <w:p w14:paraId="7C599A12">
      <w:pPr>
        <w:spacing w:line="360" w:lineRule="auto"/>
        <w:rPr>
          <w:rFonts w:hint="eastAsia" w:ascii="宋体" w:hAnsi="宋体" w:eastAsia="宋体" w:cs="宋体"/>
          <w:color w:val="000000" w:themeColor="text1"/>
          <w:sz w:val="24"/>
          <w:szCs w:val="24"/>
          <w14:textFill>
            <w14:solidFill>
              <w14:schemeClr w14:val="tx1"/>
            </w14:solidFill>
          </w14:textFill>
        </w:rPr>
      </w:pPr>
    </w:p>
    <w:p w14:paraId="19BC4C42">
      <w:pPr>
        <w:spacing w:line="360" w:lineRule="auto"/>
        <w:jc w:val="center"/>
        <w:rPr>
          <w:rFonts w:hint="eastAsia" w:ascii="宋体" w:hAnsi="宋体" w:eastAsia="宋体" w:cs="宋体"/>
          <w:color w:val="000000" w:themeColor="text1"/>
          <w:sz w:val="24"/>
          <w:szCs w:val="24"/>
          <w14:textFill>
            <w14:solidFill>
              <w14:schemeClr w14:val="tx1"/>
            </w14:solidFill>
          </w14:textFill>
        </w:rPr>
        <w:sectPr>
          <w:pgSz w:w="11905" w:h="16838"/>
          <w:pgMar w:top="1440" w:right="1803" w:bottom="1440" w:left="1803" w:header="1140" w:footer="720" w:gutter="0"/>
          <w:cols w:space="0" w:num="1"/>
          <w:docGrid w:type="lines" w:linePitch="317" w:charSpace="0"/>
        </w:sectPr>
      </w:pPr>
      <w:r>
        <w:rPr>
          <w:rFonts w:hint="eastAsia" w:ascii="宋体" w:hAnsi="宋体" w:eastAsia="宋体" w:cs="宋体"/>
          <w:color w:val="000000" w:themeColor="text1"/>
          <w:sz w:val="24"/>
          <w:szCs w:val="24"/>
          <w14:textFill>
            <w14:solidFill>
              <w14:schemeClr w14:val="tx1"/>
            </w14:solidFill>
          </w14:textFill>
        </w:rPr>
        <w:t>注：提供相关查询记录网络截图</w:t>
      </w:r>
      <w:r>
        <w:rPr>
          <w:rFonts w:hint="eastAsia" w:ascii="宋体" w:hAnsi="宋体" w:eastAsia="宋体" w:cs="宋体"/>
          <w:color w:val="000000" w:themeColor="text1"/>
          <w:sz w:val="24"/>
          <w:szCs w:val="24"/>
          <w:lang w:eastAsia="zh-CN"/>
          <w14:textFill>
            <w14:solidFill>
              <w14:schemeClr w14:val="tx1"/>
            </w14:solidFill>
          </w14:textFill>
        </w:rPr>
        <w:t>加盖公章</w:t>
      </w:r>
    </w:p>
    <w:p w14:paraId="25C4C3C8">
      <w:pPr>
        <w:spacing w:line="50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未被工商行政管理机关在全国企业信用信息公示系统</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bidi="en-US"/>
          <w14:textFill>
            <w14:solidFill>
              <w14:schemeClr w14:val="tx1"/>
            </w14:solidFill>
          </w14:textFill>
        </w:rPr>
        <w:t>http：//www.gsxt.gov.cn/）</w:t>
      </w:r>
      <w:r>
        <w:rPr>
          <w:rFonts w:hint="eastAsia" w:ascii="宋体" w:hAnsi="宋体" w:eastAsia="宋体" w:cs="宋体"/>
          <w:color w:val="000000" w:themeColor="text1"/>
          <w:sz w:val="24"/>
          <w:szCs w:val="24"/>
          <w14:textFill>
            <w14:solidFill>
              <w14:schemeClr w14:val="tx1"/>
            </w14:solidFill>
          </w14:textFill>
        </w:rPr>
        <w:t>中列入严重违法失信企业名单</w:t>
      </w:r>
      <w:r>
        <w:rPr>
          <w:rFonts w:hint="eastAsia" w:ascii="宋体" w:hAnsi="宋体" w:cs="宋体"/>
          <w:color w:val="000000" w:themeColor="text1"/>
          <w:sz w:val="24"/>
          <w:szCs w:val="24"/>
          <w:lang w:eastAsia="zh-CN"/>
          <w14:textFill>
            <w14:solidFill>
              <w14:schemeClr w14:val="tx1"/>
            </w14:solidFill>
          </w14:textFill>
        </w:rPr>
        <w:t>；</w:t>
      </w:r>
    </w:p>
    <w:p w14:paraId="3A4572EB">
      <w:pPr>
        <w:spacing w:line="500" w:lineRule="exact"/>
        <w:rPr>
          <w:rFonts w:hint="eastAsia" w:ascii="宋体" w:hAnsi="宋体" w:eastAsia="宋体" w:cs="宋体"/>
          <w:color w:val="000000" w:themeColor="text1"/>
          <w:sz w:val="24"/>
          <w:szCs w:val="24"/>
          <w14:textFill>
            <w14:solidFill>
              <w14:schemeClr w14:val="tx1"/>
            </w14:solidFill>
          </w14:textFill>
        </w:rPr>
      </w:pPr>
    </w:p>
    <w:p w14:paraId="3279B710">
      <w:pPr>
        <w:pStyle w:val="2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注：提供相关查询记录网络截图</w:t>
      </w:r>
      <w:r>
        <w:rPr>
          <w:rFonts w:hint="eastAsia" w:ascii="宋体" w:hAnsi="宋体" w:eastAsia="宋体" w:cs="宋体"/>
          <w:color w:val="000000" w:themeColor="text1"/>
          <w:sz w:val="24"/>
          <w:szCs w:val="24"/>
          <w:lang w:eastAsia="zh-CN"/>
          <w14:textFill>
            <w14:solidFill>
              <w14:schemeClr w14:val="tx1"/>
            </w14:solidFill>
          </w14:textFill>
        </w:rPr>
        <w:t>加盖公章</w:t>
      </w:r>
    </w:p>
    <w:p w14:paraId="72169804">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2298AFAE">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1B6FFBC3">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351F0E3F">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423F498F">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3E566E92">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07528AC7">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5E1C930B">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0C703F38">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450A8021">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7D2430F8">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618DBB31">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2F4DDCAB">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2F43D31F">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2BD97B5A">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773014A1">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4CAFBEBF">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28784D41">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27883F51">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16CE8DAF">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452B044D">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424CFA30">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2C787552">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7D356B78">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7F46D5FB">
      <w:pPr>
        <w:pStyle w:val="2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p w14:paraId="1EC7B447">
      <w:pPr>
        <w:pStyle w:val="20"/>
        <w:numPr>
          <w:ilvl w:val="0"/>
          <w:numId w:val="5"/>
        </w:numPr>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供应商须对供应商、法定代表人、拟委任的项目经理进行行贿犯罪档案查询[登录中国裁判文书网自行查询，查询时间范围必须包括：本项目信息公告发布之日起（含公告发布当日）前三年]</w:t>
      </w:r>
      <w:r>
        <w:rPr>
          <w:rFonts w:hint="eastAsia" w:hAnsi="宋体" w:cs="宋体"/>
          <w:color w:val="000000" w:themeColor="text1"/>
          <w:sz w:val="24"/>
          <w:szCs w:val="24"/>
          <w:lang w:eastAsia="zh-CN"/>
          <w14:textFill>
            <w14:solidFill>
              <w14:schemeClr w14:val="tx1"/>
            </w14:solidFill>
          </w14:textFill>
        </w:rPr>
        <w:t>。</w:t>
      </w:r>
    </w:p>
    <w:p w14:paraId="42A04987">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p>
    <w:p w14:paraId="12D8C307">
      <w:pPr>
        <w:pStyle w:val="2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注：提供相关查询记录网络截图</w:t>
      </w:r>
      <w:r>
        <w:rPr>
          <w:rFonts w:hint="eastAsia" w:ascii="宋体" w:hAnsi="宋体" w:eastAsia="宋体" w:cs="宋体"/>
          <w:color w:val="000000" w:themeColor="text1"/>
          <w:sz w:val="24"/>
          <w:szCs w:val="24"/>
          <w:lang w:eastAsia="zh-CN"/>
          <w14:textFill>
            <w14:solidFill>
              <w14:schemeClr w14:val="tx1"/>
            </w14:solidFill>
          </w14:textFill>
        </w:rPr>
        <w:t>加盖公章</w:t>
      </w:r>
    </w:p>
    <w:p w14:paraId="49636DF5">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（六）供应商</w:t>
      </w:r>
      <w:r>
        <w:rPr>
          <w:rFonts w:hint="eastAsia" w:ascii="宋体" w:hAnsi="宋体" w:eastAsia="宋体" w:cs="宋体"/>
          <w:b/>
          <w:bCs/>
          <w:color w:val="000000" w:themeColor="text1"/>
          <w:sz w:val="32"/>
          <w:szCs w:val="32"/>
          <w:highlight w:val="none"/>
          <w:lang w:eastAsia="zh-CN"/>
          <w14:textFill>
            <w14:solidFill>
              <w14:schemeClr w14:val="tx1"/>
            </w14:solidFill>
          </w14:textFill>
        </w:rPr>
        <w:t>类似</w:t>
      </w:r>
      <w:r>
        <w:rPr>
          <w:rFonts w:hint="eastAsia" w:ascii="宋体" w:hAnsi="宋体" w:eastAsia="宋体" w:cs="宋体"/>
          <w:b/>
          <w:bCs/>
          <w:color w:val="000000" w:themeColor="text1"/>
          <w:sz w:val="32"/>
          <w:szCs w:val="32"/>
          <w:highlight w:val="none"/>
          <w14:textFill>
            <w14:solidFill>
              <w14:schemeClr w14:val="tx1"/>
            </w14:solidFill>
          </w14:textFill>
        </w:rPr>
        <w:t>项目业绩一览表</w:t>
      </w:r>
    </w:p>
    <w:p w14:paraId="3036C77A">
      <w:pPr>
        <w:pStyle w:val="20"/>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p>
    <w:tbl>
      <w:tblPr>
        <w:tblStyle w:val="36"/>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059"/>
        <w:gridCol w:w="2073"/>
        <w:gridCol w:w="2857"/>
      </w:tblGrid>
      <w:tr w14:paraId="4C1B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1793CB14">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059" w:type="dxa"/>
            <w:tcBorders>
              <w:top w:val="single" w:color="auto" w:sz="4" w:space="0"/>
              <w:left w:val="nil"/>
              <w:bottom w:val="single" w:color="auto" w:sz="4" w:space="0"/>
              <w:right w:val="single" w:color="auto" w:sz="4" w:space="0"/>
            </w:tcBorders>
            <w:noWrap w:val="0"/>
            <w:vAlign w:val="center"/>
          </w:tcPr>
          <w:p w14:paraId="3A93EF3E">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合同名称</w:t>
            </w:r>
          </w:p>
        </w:tc>
        <w:tc>
          <w:tcPr>
            <w:tcW w:w="2073" w:type="dxa"/>
            <w:tcBorders>
              <w:top w:val="single" w:color="auto" w:sz="4" w:space="0"/>
              <w:left w:val="nil"/>
              <w:bottom w:val="single" w:color="auto" w:sz="4" w:space="0"/>
              <w:right w:val="single" w:color="auto" w:sz="4" w:space="0"/>
            </w:tcBorders>
            <w:noWrap w:val="0"/>
            <w:vAlign w:val="center"/>
          </w:tcPr>
          <w:p w14:paraId="7D730985">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合同额（元）</w:t>
            </w:r>
          </w:p>
        </w:tc>
        <w:tc>
          <w:tcPr>
            <w:tcW w:w="2857" w:type="dxa"/>
            <w:tcBorders>
              <w:top w:val="single" w:color="auto" w:sz="4" w:space="0"/>
              <w:left w:val="nil"/>
              <w:bottom w:val="single" w:color="auto" w:sz="4" w:space="0"/>
              <w:right w:val="single" w:color="auto" w:sz="4" w:space="0"/>
            </w:tcBorders>
            <w:noWrap w:val="0"/>
            <w:vAlign w:val="center"/>
          </w:tcPr>
          <w:p w14:paraId="54EFAEF2">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0" w:right="34"/>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合同起止时间</w:t>
            </w:r>
          </w:p>
        </w:tc>
      </w:tr>
      <w:tr w14:paraId="52D3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7A8556C7">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59" w:type="dxa"/>
            <w:tcBorders>
              <w:top w:val="single" w:color="auto" w:sz="4" w:space="0"/>
              <w:left w:val="nil"/>
              <w:bottom w:val="single" w:color="auto" w:sz="4" w:space="0"/>
              <w:right w:val="single" w:color="auto" w:sz="4" w:space="0"/>
            </w:tcBorders>
            <w:noWrap w:val="0"/>
            <w:vAlign w:val="center"/>
          </w:tcPr>
          <w:p w14:paraId="2D4C43DA">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73" w:type="dxa"/>
            <w:tcBorders>
              <w:top w:val="single" w:color="auto" w:sz="4" w:space="0"/>
              <w:left w:val="nil"/>
              <w:bottom w:val="single" w:color="auto" w:sz="4" w:space="0"/>
              <w:right w:val="single" w:color="auto" w:sz="4" w:space="0"/>
            </w:tcBorders>
            <w:noWrap w:val="0"/>
            <w:vAlign w:val="center"/>
          </w:tcPr>
          <w:p w14:paraId="065A0339">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857" w:type="dxa"/>
            <w:tcBorders>
              <w:top w:val="single" w:color="auto" w:sz="4" w:space="0"/>
              <w:left w:val="nil"/>
              <w:bottom w:val="single" w:color="auto" w:sz="4" w:space="0"/>
              <w:right w:val="single" w:color="auto" w:sz="4" w:space="0"/>
            </w:tcBorders>
            <w:noWrap w:val="0"/>
            <w:vAlign w:val="center"/>
          </w:tcPr>
          <w:p w14:paraId="128EC922">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197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4558BB2D">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59" w:type="dxa"/>
            <w:tcBorders>
              <w:top w:val="single" w:color="auto" w:sz="4" w:space="0"/>
              <w:left w:val="nil"/>
              <w:bottom w:val="single" w:color="auto" w:sz="4" w:space="0"/>
              <w:right w:val="single" w:color="auto" w:sz="4" w:space="0"/>
            </w:tcBorders>
            <w:noWrap w:val="0"/>
            <w:vAlign w:val="center"/>
          </w:tcPr>
          <w:p w14:paraId="2A756565">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73" w:type="dxa"/>
            <w:tcBorders>
              <w:top w:val="single" w:color="auto" w:sz="4" w:space="0"/>
              <w:left w:val="nil"/>
              <w:bottom w:val="single" w:color="auto" w:sz="4" w:space="0"/>
              <w:right w:val="single" w:color="auto" w:sz="4" w:space="0"/>
            </w:tcBorders>
            <w:noWrap w:val="0"/>
            <w:vAlign w:val="center"/>
          </w:tcPr>
          <w:p w14:paraId="23FFF0DE">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857" w:type="dxa"/>
            <w:tcBorders>
              <w:top w:val="single" w:color="auto" w:sz="4" w:space="0"/>
              <w:left w:val="nil"/>
              <w:bottom w:val="single" w:color="auto" w:sz="4" w:space="0"/>
              <w:right w:val="single" w:color="auto" w:sz="4" w:space="0"/>
            </w:tcBorders>
            <w:noWrap w:val="0"/>
            <w:vAlign w:val="center"/>
          </w:tcPr>
          <w:p w14:paraId="1CD1776A">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748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3A209A4D">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59" w:type="dxa"/>
            <w:tcBorders>
              <w:top w:val="single" w:color="auto" w:sz="4" w:space="0"/>
              <w:left w:val="nil"/>
              <w:bottom w:val="single" w:color="auto" w:sz="4" w:space="0"/>
              <w:right w:val="single" w:color="auto" w:sz="4" w:space="0"/>
            </w:tcBorders>
            <w:noWrap w:val="0"/>
            <w:vAlign w:val="center"/>
          </w:tcPr>
          <w:p w14:paraId="699D6F94">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73" w:type="dxa"/>
            <w:tcBorders>
              <w:top w:val="single" w:color="auto" w:sz="4" w:space="0"/>
              <w:left w:val="nil"/>
              <w:bottom w:val="single" w:color="auto" w:sz="4" w:space="0"/>
              <w:right w:val="single" w:color="auto" w:sz="4" w:space="0"/>
            </w:tcBorders>
            <w:noWrap w:val="0"/>
            <w:vAlign w:val="center"/>
          </w:tcPr>
          <w:p w14:paraId="374C0F97">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857" w:type="dxa"/>
            <w:tcBorders>
              <w:top w:val="single" w:color="auto" w:sz="4" w:space="0"/>
              <w:left w:val="nil"/>
              <w:bottom w:val="single" w:color="auto" w:sz="4" w:space="0"/>
              <w:right w:val="single" w:color="auto" w:sz="4" w:space="0"/>
            </w:tcBorders>
            <w:noWrap w:val="0"/>
            <w:vAlign w:val="center"/>
          </w:tcPr>
          <w:p w14:paraId="73F9F1EB">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485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627796F4">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59" w:type="dxa"/>
            <w:tcBorders>
              <w:top w:val="single" w:color="auto" w:sz="4" w:space="0"/>
              <w:left w:val="nil"/>
              <w:bottom w:val="single" w:color="auto" w:sz="4" w:space="0"/>
              <w:right w:val="single" w:color="auto" w:sz="4" w:space="0"/>
            </w:tcBorders>
            <w:noWrap w:val="0"/>
            <w:vAlign w:val="center"/>
          </w:tcPr>
          <w:p w14:paraId="012CE28C">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73" w:type="dxa"/>
            <w:tcBorders>
              <w:top w:val="single" w:color="auto" w:sz="4" w:space="0"/>
              <w:left w:val="nil"/>
              <w:bottom w:val="single" w:color="auto" w:sz="4" w:space="0"/>
              <w:right w:val="single" w:color="auto" w:sz="4" w:space="0"/>
            </w:tcBorders>
            <w:noWrap w:val="0"/>
            <w:vAlign w:val="center"/>
          </w:tcPr>
          <w:p w14:paraId="1C60591B">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857" w:type="dxa"/>
            <w:tcBorders>
              <w:top w:val="single" w:color="auto" w:sz="4" w:space="0"/>
              <w:left w:val="nil"/>
              <w:bottom w:val="single" w:color="auto" w:sz="4" w:space="0"/>
              <w:right w:val="single" w:color="auto" w:sz="4" w:space="0"/>
            </w:tcBorders>
            <w:noWrap w:val="0"/>
            <w:vAlign w:val="center"/>
          </w:tcPr>
          <w:p w14:paraId="59EA06B2">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71E5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3A0CD163">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59" w:type="dxa"/>
            <w:tcBorders>
              <w:top w:val="single" w:color="auto" w:sz="4" w:space="0"/>
              <w:left w:val="nil"/>
              <w:bottom w:val="single" w:color="auto" w:sz="4" w:space="0"/>
              <w:right w:val="single" w:color="auto" w:sz="4" w:space="0"/>
            </w:tcBorders>
            <w:noWrap w:val="0"/>
            <w:vAlign w:val="center"/>
          </w:tcPr>
          <w:p w14:paraId="6ED91220">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73" w:type="dxa"/>
            <w:tcBorders>
              <w:top w:val="single" w:color="auto" w:sz="4" w:space="0"/>
              <w:left w:val="nil"/>
              <w:bottom w:val="single" w:color="auto" w:sz="4" w:space="0"/>
              <w:right w:val="single" w:color="auto" w:sz="4" w:space="0"/>
            </w:tcBorders>
            <w:noWrap w:val="0"/>
            <w:vAlign w:val="center"/>
          </w:tcPr>
          <w:p w14:paraId="45D2CFBC">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857" w:type="dxa"/>
            <w:tcBorders>
              <w:top w:val="single" w:color="auto" w:sz="4" w:space="0"/>
              <w:left w:val="nil"/>
              <w:bottom w:val="single" w:color="auto" w:sz="4" w:space="0"/>
              <w:right w:val="single" w:color="auto" w:sz="4" w:space="0"/>
            </w:tcBorders>
            <w:noWrap w:val="0"/>
            <w:vAlign w:val="center"/>
          </w:tcPr>
          <w:p w14:paraId="58F4408E">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54FA0EB0">
      <w:pPr>
        <w:keepNext w:val="0"/>
        <w:keepLines w:val="0"/>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pacing w:line="360" w:lineRule="auto"/>
        <w:ind w:left="359" w:leftChars="171" w:firstLine="360" w:firstLineChars="150"/>
        <w:textAlignment w:val="auto"/>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注：供应商以上业绩需提供加盖公章的中标通知书或合同协议书复印件等书面证明材料。</w:t>
      </w:r>
    </w:p>
    <w:p w14:paraId="6ECAA4FE">
      <w:pPr>
        <w:keepNext w:val="0"/>
        <w:keepLines w:val="0"/>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pacing w:line="360" w:lineRule="auto"/>
        <w:ind w:left="359" w:leftChars="171" w:firstLine="360" w:firstLineChars="150"/>
        <w:textAlignment w:val="auto"/>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供应商必须据实填写，不得虚假响应，否则将取消其投标或中标资格，并按有关规定进行处罚。</w:t>
      </w:r>
    </w:p>
    <w:p w14:paraId="51C78A57">
      <w:pPr>
        <w:keepNext w:val="0"/>
        <w:keepLines w:val="0"/>
        <w:pageBreakBefore w:val="0"/>
        <w:kinsoku/>
        <w:wordWrap/>
        <w:overflowPunct/>
        <w:topLinePunct w:val="0"/>
        <w:autoSpaceDE/>
        <w:autoSpaceDN/>
        <w:bidi w:val="0"/>
        <w:adjustRightInd/>
        <w:spacing w:line="360" w:lineRule="auto"/>
        <w:ind w:left="360"/>
        <w:jc w:val="center"/>
        <w:textAlignment w:val="auto"/>
        <w:rPr>
          <w:rFonts w:hint="eastAsia" w:ascii="宋体" w:hAnsi="宋体" w:eastAsia="宋体" w:cs="宋体"/>
          <w:color w:val="000000" w:themeColor="text1"/>
          <w:sz w:val="24"/>
          <w:szCs w:val="20"/>
          <w:highlight w:val="none"/>
          <w14:textFill>
            <w14:solidFill>
              <w14:schemeClr w14:val="tx1"/>
            </w14:solidFill>
          </w14:textFill>
        </w:rPr>
      </w:pPr>
    </w:p>
    <w:p w14:paraId="64EF5D2A">
      <w:pPr>
        <w:keepNext w:val="0"/>
        <w:keepLines w:val="0"/>
        <w:pageBreakBefore w:val="0"/>
        <w:widowControl/>
        <w:kinsoku/>
        <w:wordWrap/>
        <w:overflowPunct/>
        <w:topLinePunct w:val="0"/>
        <w:autoSpaceDE/>
        <w:autoSpaceDN/>
        <w:bidi w:val="0"/>
        <w:adjustRightInd/>
        <w:spacing w:line="360" w:lineRule="auto"/>
        <w:jc w:val="righ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盖单位公章</w:t>
      </w:r>
      <w:r>
        <w:rPr>
          <w:rFonts w:hint="eastAsia" w:ascii="宋体" w:hAnsi="宋体" w:eastAsia="宋体" w:cs="宋体"/>
          <w:color w:val="000000" w:themeColor="text1"/>
          <w:kern w:val="0"/>
          <w:sz w:val="24"/>
          <w:highlight w:val="none"/>
          <w14:textFill>
            <w14:solidFill>
              <w14:schemeClr w14:val="tx1"/>
            </w14:solidFill>
          </w14:textFill>
        </w:rPr>
        <w:t>）</w:t>
      </w:r>
    </w:p>
    <w:p w14:paraId="0D6EEBF5">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32CA56FF">
      <w:pPr>
        <w:keepNext w:val="0"/>
        <w:keepLines w:val="0"/>
        <w:pageBreakBefore w:val="0"/>
        <w:widowControl/>
        <w:kinsoku/>
        <w:wordWrap/>
        <w:overflowPunct/>
        <w:topLinePunct w:val="0"/>
        <w:autoSpaceDE/>
        <w:autoSpaceDN/>
        <w:bidi w:val="0"/>
        <w:adjustRightInd/>
        <w:spacing w:line="360" w:lineRule="auto"/>
        <w:jc w:val="righ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法定代表人</w:t>
      </w:r>
      <w:r>
        <w:rPr>
          <w:rFonts w:hint="eastAsia" w:ascii="宋体" w:hAnsi="宋体" w:eastAsia="宋体" w:cs="宋体"/>
          <w:color w:val="000000" w:themeColor="text1"/>
          <w:kern w:val="0"/>
          <w:sz w:val="24"/>
          <w:highlight w:val="none"/>
          <w14:textFill>
            <w14:solidFill>
              <w14:schemeClr w14:val="tx1"/>
            </w14:solidFill>
          </w14:textFill>
        </w:rPr>
        <w:t>或其委托代理人：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（签</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字）</w:t>
      </w:r>
    </w:p>
    <w:p w14:paraId="4031AB25">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0D1F3E82">
      <w:pPr>
        <w:keepNext w:val="0"/>
        <w:keepLines w:val="0"/>
        <w:pageBreakBefore w:val="0"/>
        <w:widowControl/>
        <w:kinsoku/>
        <w:wordWrap/>
        <w:overflowPunct/>
        <w:topLinePunct w:val="0"/>
        <w:autoSpaceDE/>
        <w:autoSpaceDN/>
        <w:bidi w:val="0"/>
        <w:adjustRightInd/>
        <w:spacing w:line="360" w:lineRule="auto"/>
        <w:ind w:left="0" w:leftChars="0" w:firstLine="0" w:firstLineChars="0"/>
        <w:jc w:val="right"/>
        <w:textAlignment w:val="auto"/>
        <w:rPr>
          <w:rFonts w:hint="eastAsia" w:ascii="宋体" w:hAnsi="宋体" w:eastAsia="宋体" w:cs="宋体"/>
          <w:color w:val="000000" w:themeColor="text1"/>
          <w:kern w:val="0"/>
          <w:sz w:val="24"/>
          <w:highlight w:val="none"/>
          <w14:textFill>
            <w14:solidFill>
              <w14:schemeClr w14:val="tx1"/>
            </w14:solidFill>
          </w14:textFill>
        </w:rPr>
        <w:sectPr>
          <w:pgSz w:w="11905" w:h="16838"/>
          <w:pgMar w:top="1440" w:right="1803" w:bottom="1440" w:left="1803" w:header="1140" w:footer="720" w:gutter="0"/>
          <w:pgNumType w:fmt="decimal"/>
          <w:cols w:space="0" w:num="1"/>
          <w:rtlGutter w:val="0"/>
          <w:docGrid w:type="lines" w:linePitch="317" w:charSpace="0"/>
        </w:sectPr>
      </w:pPr>
      <w:r>
        <w:rPr>
          <w:rFonts w:hint="eastAsia" w:ascii="宋体" w:hAnsi="宋体" w:eastAsia="宋体" w:cs="宋体"/>
          <w:color w:val="000000" w:themeColor="text1"/>
          <w:kern w:val="0"/>
          <w:sz w:val="24"/>
          <w:highlight w:val="none"/>
          <w14:textFill>
            <w14:solidFill>
              <w14:schemeClr w14:val="tx1"/>
            </w14:solidFill>
          </w14:textFill>
        </w:rPr>
        <w:t>日  期：</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p>
    <w:p w14:paraId="6318F181">
      <w:pPr>
        <w:pStyle w:val="20"/>
        <w:jc w:val="center"/>
        <w:outlineLvl w:val="2"/>
        <w:rPr>
          <w:rFonts w:hint="eastAsia" w:ascii="宋体" w:hAnsi="宋体" w:eastAsia="宋体" w:cs="宋体"/>
          <w:color w:val="000000" w:themeColor="text1"/>
          <w:sz w:val="32"/>
          <w:szCs w:val="32"/>
          <w14:textFill>
            <w14:solidFill>
              <w14:schemeClr w14:val="tx1"/>
            </w14:solidFill>
          </w14:textFill>
        </w:rPr>
        <w:sectPr>
          <w:pgSz w:w="11905" w:h="16838"/>
          <w:pgMar w:top="1440" w:right="1803" w:bottom="1440" w:left="1803" w:header="1140" w:footer="720" w:gutter="0"/>
          <w:cols w:space="0" w:num="1"/>
          <w:docGrid w:type="lines" w:linePitch="317" w:charSpace="0"/>
        </w:sectPr>
      </w:pPr>
      <w:r>
        <w:rPr>
          <w:rFonts w:hint="eastAsia" w:ascii="宋体" w:hAnsi="宋体" w:eastAsia="宋体" w:cs="宋体"/>
          <w:b/>
          <w:bCs/>
          <w:color w:val="000000" w:themeColor="text1"/>
          <w:sz w:val="32"/>
          <w:szCs w:val="32"/>
          <w14:textFill>
            <w14:solidFill>
              <w14:schemeClr w14:val="tx1"/>
            </w14:solidFill>
          </w14:textFill>
        </w:rPr>
        <w:t>（七）近年发生的诉讼及仲裁情况</w:t>
      </w:r>
    </w:p>
    <w:p w14:paraId="1FF4CB51">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color w:val="000000" w:themeColor="text1"/>
          <w:sz w:val="32"/>
          <w:szCs w:val="32"/>
          <w:highlight w:val="none"/>
          <w14:textFill>
            <w14:solidFill>
              <w14:schemeClr w14:val="tx1"/>
            </w14:solidFill>
          </w14:textFill>
        </w:rPr>
      </w:pPr>
      <w:bookmarkStart w:id="314" w:name="_Toc9886"/>
      <w:bookmarkStart w:id="315" w:name="_Toc24462"/>
      <w:bookmarkStart w:id="316" w:name="_Toc5308"/>
      <w:bookmarkStart w:id="317" w:name="_Toc6630"/>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人员情况</w:t>
      </w:r>
    </w:p>
    <w:p w14:paraId="63CD84BC">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000000" w:themeColor="text1"/>
          <w:sz w:val="24"/>
          <w:highlight w:val="none"/>
          <w14:textFill>
            <w14:solidFill>
              <w14:schemeClr w14:val="tx1"/>
            </w14:solidFill>
          </w14:textFill>
        </w:rPr>
      </w:pPr>
      <w:bookmarkStart w:id="318" w:name="_Toc10380"/>
      <w:bookmarkStart w:id="319" w:name="_Toc28953"/>
      <w:bookmarkStart w:id="320" w:name="_Toc31213"/>
      <w:r>
        <w:rPr>
          <w:rFonts w:hint="eastAsia" w:ascii="宋体" w:hAnsi="宋体" w:eastAsia="宋体" w:cs="宋体"/>
          <w:color w:val="000000" w:themeColor="text1"/>
          <w:sz w:val="28"/>
          <w:szCs w:val="28"/>
          <w:highlight w:val="none"/>
          <w14:textFill>
            <w14:solidFill>
              <w14:schemeClr w14:val="tx1"/>
            </w14:solidFill>
          </w14:textFill>
        </w:rPr>
        <w:t>项目团队主要成员简历表</w:t>
      </w:r>
      <w:bookmarkEnd w:id="318"/>
      <w:bookmarkEnd w:id="319"/>
      <w:bookmarkEnd w:id="320"/>
    </w:p>
    <w:p w14:paraId="672D690A">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项目名称：                              </w:t>
      </w:r>
      <w:r>
        <w:rPr>
          <w:rFonts w:hint="eastAsia" w:ascii="宋体" w:hAnsi="宋体" w:eastAsia="宋体" w:cs="宋体"/>
          <w:color w:val="000000" w:themeColor="text1"/>
          <w:sz w:val="24"/>
          <w:highlight w:val="none"/>
          <w:lang w:eastAsia="zh-CN"/>
          <w14:textFill>
            <w14:solidFill>
              <w14:schemeClr w14:val="tx1"/>
            </w14:solidFill>
          </w14:textFill>
        </w:rPr>
        <w:t>项目</w:t>
      </w:r>
      <w:r>
        <w:rPr>
          <w:rFonts w:hint="eastAsia" w:ascii="宋体" w:hAnsi="宋体" w:eastAsia="宋体" w:cs="宋体"/>
          <w:color w:val="000000" w:themeColor="text1"/>
          <w:sz w:val="24"/>
          <w:highlight w:val="none"/>
          <w14:textFill>
            <w14:solidFill>
              <w14:schemeClr w14:val="tx1"/>
            </w14:solidFill>
          </w14:textFill>
        </w:rPr>
        <w:t xml:space="preserve">编号： </w:t>
      </w:r>
    </w:p>
    <w:tbl>
      <w:tblPr>
        <w:tblStyle w:val="36"/>
        <w:tblW w:w="82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45"/>
        <w:gridCol w:w="733"/>
        <w:gridCol w:w="769"/>
        <w:gridCol w:w="495"/>
        <w:gridCol w:w="1045"/>
        <w:gridCol w:w="1384"/>
        <w:gridCol w:w="1387"/>
      </w:tblGrid>
      <w:tr w14:paraId="60A1C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80" w:type="dxa"/>
            <w:noWrap w:val="0"/>
            <w:vAlign w:val="center"/>
          </w:tcPr>
          <w:p w14:paraId="709A6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2278" w:type="dxa"/>
            <w:gridSpan w:val="2"/>
            <w:noWrap w:val="0"/>
            <w:vAlign w:val="center"/>
          </w:tcPr>
          <w:p w14:paraId="02C47A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69" w:type="dxa"/>
            <w:noWrap w:val="0"/>
            <w:vAlign w:val="center"/>
          </w:tcPr>
          <w:p w14:paraId="164730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性别</w:t>
            </w:r>
          </w:p>
        </w:tc>
        <w:tc>
          <w:tcPr>
            <w:tcW w:w="1540" w:type="dxa"/>
            <w:gridSpan w:val="2"/>
            <w:noWrap w:val="0"/>
            <w:vAlign w:val="center"/>
          </w:tcPr>
          <w:p w14:paraId="39407F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384" w:type="dxa"/>
            <w:noWrap w:val="0"/>
            <w:vAlign w:val="center"/>
          </w:tcPr>
          <w:p w14:paraId="0E9DD2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年龄</w:t>
            </w:r>
          </w:p>
        </w:tc>
        <w:tc>
          <w:tcPr>
            <w:tcW w:w="1387" w:type="dxa"/>
            <w:noWrap w:val="0"/>
            <w:vAlign w:val="center"/>
          </w:tcPr>
          <w:p w14:paraId="74E8DA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F011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80" w:type="dxa"/>
            <w:noWrap w:val="0"/>
            <w:vAlign w:val="center"/>
          </w:tcPr>
          <w:p w14:paraId="1E01C1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职务</w:t>
            </w:r>
          </w:p>
        </w:tc>
        <w:tc>
          <w:tcPr>
            <w:tcW w:w="2278" w:type="dxa"/>
            <w:gridSpan w:val="2"/>
            <w:noWrap w:val="0"/>
            <w:vAlign w:val="center"/>
          </w:tcPr>
          <w:p w14:paraId="5A7F88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69" w:type="dxa"/>
            <w:noWrap w:val="0"/>
            <w:vAlign w:val="center"/>
          </w:tcPr>
          <w:p w14:paraId="42E6F3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职称</w:t>
            </w:r>
          </w:p>
        </w:tc>
        <w:tc>
          <w:tcPr>
            <w:tcW w:w="1540" w:type="dxa"/>
            <w:gridSpan w:val="2"/>
            <w:noWrap w:val="0"/>
            <w:vAlign w:val="center"/>
          </w:tcPr>
          <w:p w14:paraId="3AB6BC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384" w:type="dxa"/>
            <w:noWrap w:val="0"/>
            <w:vAlign w:val="center"/>
          </w:tcPr>
          <w:p w14:paraId="6BB0E0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学历</w:t>
            </w:r>
          </w:p>
        </w:tc>
        <w:tc>
          <w:tcPr>
            <w:tcW w:w="1387" w:type="dxa"/>
            <w:noWrap w:val="0"/>
            <w:vAlign w:val="center"/>
          </w:tcPr>
          <w:p w14:paraId="28701D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0FC5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25" w:type="dxa"/>
            <w:gridSpan w:val="2"/>
            <w:noWrap w:val="0"/>
            <w:vAlign w:val="center"/>
          </w:tcPr>
          <w:p w14:paraId="46643A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参加工作时间</w:t>
            </w:r>
          </w:p>
        </w:tc>
        <w:tc>
          <w:tcPr>
            <w:tcW w:w="1997" w:type="dxa"/>
            <w:gridSpan w:val="3"/>
            <w:noWrap w:val="0"/>
            <w:vAlign w:val="center"/>
          </w:tcPr>
          <w:p w14:paraId="08DD7D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429" w:type="dxa"/>
            <w:gridSpan w:val="2"/>
            <w:noWrap w:val="0"/>
            <w:vAlign w:val="center"/>
          </w:tcPr>
          <w:p w14:paraId="4EE6EF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担任项目负责人年限</w:t>
            </w:r>
          </w:p>
        </w:tc>
        <w:tc>
          <w:tcPr>
            <w:tcW w:w="1387" w:type="dxa"/>
            <w:noWrap w:val="0"/>
            <w:vAlign w:val="center"/>
          </w:tcPr>
          <w:p w14:paraId="7294A2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43FB1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38" w:type="dxa"/>
            <w:gridSpan w:val="8"/>
            <w:noWrap w:val="0"/>
            <w:vAlign w:val="center"/>
          </w:tcPr>
          <w:p w14:paraId="3FAF5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获奖情况（提供相关证明资料）</w:t>
            </w:r>
          </w:p>
        </w:tc>
      </w:tr>
      <w:tr w14:paraId="404A1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238" w:type="dxa"/>
            <w:gridSpan w:val="8"/>
            <w:noWrap w:val="0"/>
            <w:vAlign w:val="center"/>
          </w:tcPr>
          <w:p w14:paraId="1400C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已完成类似项目业绩情况业绩</w:t>
            </w:r>
          </w:p>
        </w:tc>
      </w:tr>
      <w:tr w14:paraId="36097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25" w:type="dxa"/>
            <w:gridSpan w:val="2"/>
            <w:noWrap w:val="0"/>
            <w:vAlign w:val="center"/>
          </w:tcPr>
          <w:p w14:paraId="0B887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服务单位</w:t>
            </w:r>
          </w:p>
        </w:tc>
        <w:tc>
          <w:tcPr>
            <w:tcW w:w="1997" w:type="dxa"/>
            <w:gridSpan w:val="3"/>
            <w:noWrap w:val="0"/>
            <w:vAlign w:val="center"/>
          </w:tcPr>
          <w:p w14:paraId="5E7DF3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服务内容</w:t>
            </w:r>
          </w:p>
        </w:tc>
        <w:tc>
          <w:tcPr>
            <w:tcW w:w="1045" w:type="dxa"/>
            <w:noWrap w:val="0"/>
            <w:vAlign w:val="center"/>
          </w:tcPr>
          <w:p w14:paraId="11ECCA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岗位</w:t>
            </w:r>
          </w:p>
        </w:tc>
        <w:tc>
          <w:tcPr>
            <w:tcW w:w="2771" w:type="dxa"/>
            <w:gridSpan w:val="2"/>
            <w:noWrap w:val="0"/>
            <w:vAlign w:val="center"/>
          </w:tcPr>
          <w:p w14:paraId="0E12C6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服务截止日期</w:t>
            </w:r>
          </w:p>
        </w:tc>
      </w:tr>
      <w:tr w14:paraId="6BE64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425" w:type="dxa"/>
            <w:gridSpan w:val="2"/>
            <w:noWrap w:val="0"/>
            <w:vAlign w:val="center"/>
          </w:tcPr>
          <w:p w14:paraId="440107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1997" w:type="dxa"/>
            <w:gridSpan w:val="3"/>
            <w:noWrap w:val="0"/>
            <w:vAlign w:val="center"/>
          </w:tcPr>
          <w:p w14:paraId="4A0702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1045" w:type="dxa"/>
            <w:noWrap w:val="0"/>
            <w:vAlign w:val="center"/>
          </w:tcPr>
          <w:p w14:paraId="447AFC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771" w:type="dxa"/>
            <w:gridSpan w:val="2"/>
            <w:noWrap w:val="0"/>
            <w:vAlign w:val="center"/>
          </w:tcPr>
          <w:p w14:paraId="37F52C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r>
      <w:tr w14:paraId="0B8EE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425" w:type="dxa"/>
            <w:gridSpan w:val="2"/>
            <w:noWrap w:val="0"/>
            <w:vAlign w:val="center"/>
          </w:tcPr>
          <w:p w14:paraId="18C829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1997" w:type="dxa"/>
            <w:gridSpan w:val="3"/>
            <w:noWrap w:val="0"/>
            <w:vAlign w:val="center"/>
          </w:tcPr>
          <w:p w14:paraId="23FD6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1045" w:type="dxa"/>
            <w:noWrap w:val="0"/>
            <w:vAlign w:val="center"/>
          </w:tcPr>
          <w:p w14:paraId="6191F8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771" w:type="dxa"/>
            <w:gridSpan w:val="2"/>
            <w:noWrap w:val="0"/>
            <w:vAlign w:val="center"/>
          </w:tcPr>
          <w:p w14:paraId="31E8C9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r>
      <w:tr w14:paraId="556B2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425" w:type="dxa"/>
            <w:gridSpan w:val="2"/>
            <w:noWrap w:val="0"/>
            <w:vAlign w:val="center"/>
          </w:tcPr>
          <w:p w14:paraId="0A39C0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1997" w:type="dxa"/>
            <w:gridSpan w:val="3"/>
            <w:noWrap w:val="0"/>
            <w:vAlign w:val="center"/>
          </w:tcPr>
          <w:p w14:paraId="509066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1045" w:type="dxa"/>
            <w:noWrap w:val="0"/>
            <w:vAlign w:val="center"/>
          </w:tcPr>
          <w:p w14:paraId="6BD44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771" w:type="dxa"/>
            <w:gridSpan w:val="2"/>
            <w:noWrap w:val="0"/>
            <w:vAlign w:val="center"/>
          </w:tcPr>
          <w:p w14:paraId="354443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r>
      <w:tr w14:paraId="3A358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425" w:type="dxa"/>
            <w:gridSpan w:val="2"/>
            <w:noWrap w:val="0"/>
            <w:vAlign w:val="center"/>
          </w:tcPr>
          <w:p w14:paraId="3100CE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1997" w:type="dxa"/>
            <w:gridSpan w:val="3"/>
            <w:noWrap w:val="0"/>
            <w:vAlign w:val="center"/>
          </w:tcPr>
          <w:p w14:paraId="35CAD4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1045" w:type="dxa"/>
            <w:noWrap w:val="0"/>
            <w:vAlign w:val="center"/>
          </w:tcPr>
          <w:p w14:paraId="7B7EE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771" w:type="dxa"/>
            <w:gridSpan w:val="2"/>
            <w:noWrap w:val="0"/>
            <w:vAlign w:val="center"/>
          </w:tcPr>
          <w:p w14:paraId="4A371C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r>
      <w:tr w14:paraId="781F5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425" w:type="dxa"/>
            <w:gridSpan w:val="2"/>
            <w:noWrap w:val="0"/>
            <w:vAlign w:val="center"/>
          </w:tcPr>
          <w:p w14:paraId="700BD7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1997" w:type="dxa"/>
            <w:gridSpan w:val="3"/>
            <w:noWrap w:val="0"/>
            <w:vAlign w:val="center"/>
          </w:tcPr>
          <w:p w14:paraId="0E95C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1045" w:type="dxa"/>
            <w:noWrap w:val="0"/>
            <w:vAlign w:val="center"/>
          </w:tcPr>
          <w:p w14:paraId="5FEB84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771" w:type="dxa"/>
            <w:gridSpan w:val="2"/>
            <w:noWrap w:val="0"/>
            <w:vAlign w:val="center"/>
          </w:tcPr>
          <w:p w14:paraId="38C69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r>
      <w:tr w14:paraId="113AC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425" w:type="dxa"/>
            <w:gridSpan w:val="2"/>
            <w:noWrap w:val="0"/>
            <w:vAlign w:val="center"/>
          </w:tcPr>
          <w:p w14:paraId="6F95A4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1997" w:type="dxa"/>
            <w:gridSpan w:val="3"/>
            <w:noWrap w:val="0"/>
            <w:vAlign w:val="center"/>
          </w:tcPr>
          <w:p w14:paraId="2AAD27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1045" w:type="dxa"/>
            <w:noWrap w:val="0"/>
            <w:vAlign w:val="center"/>
          </w:tcPr>
          <w:p w14:paraId="25EFB7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771" w:type="dxa"/>
            <w:gridSpan w:val="2"/>
            <w:noWrap w:val="0"/>
            <w:vAlign w:val="center"/>
          </w:tcPr>
          <w:p w14:paraId="08B1DF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themeColor="text1"/>
                <w:highlight w:val="none"/>
                <w14:textFill>
                  <w14:solidFill>
                    <w14:schemeClr w14:val="tx1"/>
                  </w14:solidFill>
                </w14:textFill>
              </w:rPr>
            </w:pPr>
          </w:p>
        </w:tc>
      </w:tr>
    </w:tbl>
    <w:p w14:paraId="1206EDF3">
      <w:pPr>
        <w:spacing w:before="149" w:line="279" w:lineRule="auto"/>
        <w:ind w:left="540" w:right="104" w:hanging="4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注：本表人员附身份证、学历证书（或学位证书）（如有）、职称/执业资格证书（如有）、荣誉证书（如有）等（扫描件加盖公章）</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如有项目负责人提供投标截止日期前六个月内任意一个月的社保缴费证明</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378FB150">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bookmarkEnd w:id="314"/>
    <w:bookmarkEnd w:id="315"/>
    <w:bookmarkEnd w:id="316"/>
    <w:bookmarkEnd w:id="317"/>
    <w:p w14:paraId="21AD93CA">
      <w:pPr>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bookmarkStart w:id="321" w:name="_Toc23479"/>
      <w:bookmarkStart w:id="322" w:name="_Toc17940"/>
      <w:bookmarkStart w:id="323" w:name="_Toc25913"/>
      <w:r>
        <w:rPr>
          <w:rFonts w:hint="eastAsia" w:ascii="宋体" w:hAnsi="宋体" w:eastAsia="宋体" w:cs="宋体"/>
          <w:b/>
          <w:bCs/>
          <w:color w:val="000000" w:themeColor="text1"/>
          <w:sz w:val="32"/>
          <w:szCs w:val="32"/>
          <w:highlight w:val="none"/>
          <w:lang w:val="en-US" w:eastAsia="zh-CN"/>
          <w14:textFill>
            <w14:solidFill>
              <w14:schemeClr w14:val="tx1"/>
            </w14:solidFill>
          </w14:textFill>
        </w:rPr>
        <w:br w:type="page"/>
      </w:r>
    </w:p>
    <w:p w14:paraId="571ACA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七、技术</w:t>
      </w:r>
      <w:r>
        <w:rPr>
          <w:rFonts w:hint="eastAsia" w:ascii="宋体" w:hAnsi="宋体" w:eastAsia="宋体" w:cs="宋体"/>
          <w:b/>
          <w:bCs/>
          <w:color w:val="000000" w:themeColor="text1"/>
          <w:sz w:val="32"/>
          <w:szCs w:val="32"/>
          <w:highlight w:val="none"/>
          <w14:textFill>
            <w14:solidFill>
              <w14:schemeClr w14:val="tx1"/>
            </w14:solidFill>
          </w14:textFill>
        </w:rPr>
        <w:t>方案</w:t>
      </w:r>
      <w:bookmarkEnd w:id="321"/>
      <w:bookmarkEnd w:id="322"/>
      <w:bookmarkEnd w:id="323"/>
    </w:p>
    <w:p w14:paraId="4F9CEE08">
      <w:pP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供应商结合本采购项目的特点提出切实可行的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eastAsia="宋体" w:cs="宋体"/>
          <w:color w:val="000000" w:themeColor="text1"/>
          <w:sz w:val="24"/>
          <w:szCs w:val="24"/>
          <w:highlight w:val="none"/>
          <w:lang w:eastAsia="zh-CN"/>
          <w14:textFill>
            <w14:solidFill>
              <w14:schemeClr w14:val="tx1"/>
            </w14:solidFill>
          </w14:textFill>
        </w:rPr>
        <w:t>（详见第三章竞争性磋商评标办法</w:t>
      </w:r>
      <w:r>
        <w:rPr>
          <w:rFonts w:hint="eastAsia" w:ascii="宋体" w:hAnsi="宋体" w:eastAsia="宋体" w:cs="宋体"/>
          <w:color w:val="000000" w:themeColor="text1"/>
          <w:sz w:val="24"/>
          <w:szCs w:val="24"/>
          <w:highlight w:val="none"/>
          <w:lang w:val="en-US" w:eastAsia="zh-CN"/>
          <w14:textFill>
            <w14:solidFill>
              <w14:schemeClr w14:val="tx1"/>
            </w14:solidFill>
          </w14:textFill>
        </w:rPr>
        <w:t>商务部分、技术部分，第五章项目采购需求内容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D98AF64">
      <w:pPr>
        <w:rPr>
          <w:rFonts w:hint="eastAsia" w:ascii="宋体" w:hAnsi="宋体" w:eastAsia="宋体" w:cs="宋体"/>
          <w:color w:val="000000" w:themeColor="text1"/>
          <w:highlight w:val="none"/>
          <w:lang w:eastAsia="zh-CN"/>
          <w14:textFill>
            <w14:solidFill>
              <w14:schemeClr w14:val="tx1"/>
            </w14:solidFill>
          </w14:textFill>
        </w:rPr>
      </w:pPr>
    </w:p>
    <w:p w14:paraId="418B6160">
      <w:pPr>
        <w:rPr>
          <w:rFonts w:hint="eastAsia" w:ascii="宋体" w:hAnsi="宋体" w:eastAsia="宋体" w:cs="宋体"/>
          <w:color w:val="000000" w:themeColor="text1"/>
          <w:highlight w:val="none"/>
          <w:lang w:eastAsia="zh-CN"/>
          <w14:textFill>
            <w14:solidFill>
              <w14:schemeClr w14:val="tx1"/>
            </w14:solidFill>
          </w14:textFill>
        </w:rPr>
      </w:pPr>
    </w:p>
    <w:p w14:paraId="341AEEE3">
      <w:pPr>
        <w:rPr>
          <w:rFonts w:hint="eastAsia" w:ascii="宋体" w:hAnsi="宋体" w:eastAsia="宋体" w:cs="宋体"/>
          <w:color w:val="000000" w:themeColor="text1"/>
          <w:highlight w:val="none"/>
          <w:lang w:eastAsia="zh-CN"/>
          <w14:textFill>
            <w14:solidFill>
              <w14:schemeClr w14:val="tx1"/>
            </w14:solidFill>
          </w14:textFill>
        </w:rPr>
      </w:pPr>
    </w:p>
    <w:p w14:paraId="2769BE38">
      <w:pPr>
        <w:rPr>
          <w:rFonts w:hint="eastAsia" w:ascii="宋体" w:hAnsi="宋体" w:eastAsia="宋体" w:cs="宋体"/>
          <w:color w:val="000000" w:themeColor="text1"/>
          <w:highlight w:val="none"/>
          <w:lang w:eastAsia="zh-CN"/>
          <w14:textFill>
            <w14:solidFill>
              <w14:schemeClr w14:val="tx1"/>
            </w14:solidFill>
          </w14:textFill>
        </w:rPr>
      </w:pPr>
    </w:p>
    <w:p w14:paraId="0C976450">
      <w:pPr>
        <w:rPr>
          <w:rFonts w:hint="eastAsia" w:ascii="宋体" w:hAnsi="宋体" w:eastAsia="宋体" w:cs="宋体"/>
          <w:color w:val="000000" w:themeColor="text1"/>
          <w:highlight w:val="none"/>
          <w:lang w:eastAsia="zh-CN"/>
          <w14:textFill>
            <w14:solidFill>
              <w14:schemeClr w14:val="tx1"/>
            </w14:solidFill>
          </w14:textFill>
        </w:rPr>
      </w:pPr>
    </w:p>
    <w:p w14:paraId="179EB795">
      <w:pPr>
        <w:rPr>
          <w:rFonts w:hint="eastAsia" w:ascii="宋体" w:hAnsi="宋体" w:eastAsia="宋体" w:cs="宋体"/>
          <w:color w:val="000000" w:themeColor="text1"/>
          <w:highlight w:val="none"/>
          <w:lang w:eastAsia="zh-CN"/>
          <w14:textFill>
            <w14:solidFill>
              <w14:schemeClr w14:val="tx1"/>
            </w14:solidFill>
          </w14:textFill>
        </w:rPr>
      </w:pPr>
    </w:p>
    <w:p w14:paraId="1A18969D">
      <w:pPr>
        <w:rPr>
          <w:rFonts w:hint="eastAsia" w:ascii="宋体" w:hAnsi="宋体" w:eastAsia="宋体" w:cs="宋体"/>
          <w:color w:val="000000" w:themeColor="text1"/>
          <w:highlight w:val="none"/>
          <w:lang w:eastAsia="zh-CN"/>
          <w14:textFill>
            <w14:solidFill>
              <w14:schemeClr w14:val="tx1"/>
            </w14:solidFill>
          </w14:textFill>
        </w:rPr>
      </w:pPr>
    </w:p>
    <w:p w14:paraId="75281119">
      <w:pPr>
        <w:rPr>
          <w:rFonts w:hint="eastAsia" w:ascii="宋体" w:hAnsi="宋体" w:eastAsia="宋体" w:cs="宋体"/>
          <w:color w:val="000000" w:themeColor="text1"/>
          <w:highlight w:val="none"/>
          <w:lang w:eastAsia="zh-CN"/>
          <w14:textFill>
            <w14:solidFill>
              <w14:schemeClr w14:val="tx1"/>
            </w14:solidFill>
          </w14:textFill>
        </w:rPr>
      </w:pPr>
    </w:p>
    <w:p w14:paraId="011ABDEB">
      <w:pPr>
        <w:rPr>
          <w:rFonts w:hint="eastAsia" w:ascii="宋体" w:hAnsi="宋体" w:eastAsia="宋体" w:cs="宋体"/>
          <w:color w:val="000000" w:themeColor="text1"/>
          <w:highlight w:val="none"/>
          <w:lang w:eastAsia="zh-CN"/>
          <w14:textFill>
            <w14:solidFill>
              <w14:schemeClr w14:val="tx1"/>
            </w14:solidFill>
          </w14:textFill>
        </w:rPr>
      </w:pPr>
    </w:p>
    <w:p w14:paraId="0BD2704B">
      <w:pPr>
        <w:rPr>
          <w:rFonts w:hint="eastAsia" w:ascii="宋体" w:hAnsi="宋体" w:eastAsia="宋体" w:cs="宋体"/>
          <w:color w:val="000000" w:themeColor="text1"/>
          <w:highlight w:val="none"/>
          <w:lang w:eastAsia="zh-CN"/>
          <w14:textFill>
            <w14:solidFill>
              <w14:schemeClr w14:val="tx1"/>
            </w14:solidFill>
          </w14:textFill>
        </w:rPr>
      </w:pPr>
    </w:p>
    <w:p w14:paraId="456CD3FF">
      <w:pPr>
        <w:rPr>
          <w:rFonts w:hint="eastAsia" w:ascii="宋体" w:hAnsi="宋体" w:eastAsia="宋体" w:cs="宋体"/>
          <w:color w:val="000000" w:themeColor="text1"/>
          <w:highlight w:val="none"/>
          <w:lang w:eastAsia="zh-CN"/>
          <w14:textFill>
            <w14:solidFill>
              <w14:schemeClr w14:val="tx1"/>
            </w14:solidFill>
          </w14:textFill>
        </w:rPr>
      </w:pPr>
    </w:p>
    <w:p w14:paraId="59DA9734">
      <w:pPr>
        <w:rPr>
          <w:rFonts w:hint="eastAsia" w:ascii="宋体" w:hAnsi="宋体" w:eastAsia="宋体" w:cs="宋体"/>
          <w:color w:val="000000" w:themeColor="text1"/>
          <w:highlight w:val="none"/>
          <w:lang w:eastAsia="zh-CN"/>
          <w14:textFill>
            <w14:solidFill>
              <w14:schemeClr w14:val="tx1"/>
            </w14:solidFill>
          </w14:textFill>
        </w:rPr>
      </w:pPr>
    </w:p>
    <w:p w14:paraId="510C5E18">
      <w:pPr>
        <w:pStyle w:val="14"/>
        <w:rPr>
          <w:rFonts w:hint="eastAsia" w:ascii="宋体" w:hAnsi="宋体" w:eastAsia="宋体" w:cs="宋体"/>
          <w:color w:val="000000" w:themeColor="text1"/>
          <w:highlight w:val="none"/>
          <w:lang w:eastAsia="zh-CN"/>
          <w14:textFill>
            <w14:solidFill>
              <w14:schemeClr w14:val="tx1"/>
            </w14:solidFill>
          </w14:textFill>
        </w:rPr>
      </w:pPr>
    </w:p>
    <w:p w14:paraId="1DF2540C">
      <w:pPr>
        <w:pStyle w:val="43"/>
        <w:rPr>
          <w:rFonts w:hint="eastAsia" w:ascii="宋体" w:hAnsi="宋体" w:eastAsia="宋体" w:cs="宋体"/>
          <w:color w:val="000000" w:themeColor="text1"/>
          <w:highlight w:val="none"/>
          <w:lang w:eastAsia="zh-CN"/>
          <w14:textFill>
            <w14:solidFill>
              <w14:schemeClr w14:val="tx1"/>
            </w14:solidFill>
          </w14:textFill>
        </w:rPr>
      </w:pPr>
    </w:p>
    <w:p w14:paraId="5B41BB7F">
      <w:pPr>
        <w:rPr>
          <w:rFonts w:hint="eastAsia" w:ascii="宋体" w:hAnsi="宋体" w:eastAsia="宋体" w:cs="宋体"/>
          <w:color w:val="000000" w:themeColor="text1"/>
          <w:highlight w:val="none"/>
          <w:lang w:eastAsia="zh-CN"/>
          <w14:textFill>
            <w14:solidFill>
              <w14:schemeClr w14:val="tx1"/>
            </w14:solidFill>
          </w14:textFill>
        </w:rPr>
      </w:pPr>
    </w:p>
    <w:p w14:paraId="1D743AF8">
      <w:pPr>
        <w:pStyle w:val="14"/>
        <w:rPr>
          <w:rFonts w:hint="eastAsia" w:ascii="宋体" w:hAnsi="宋体" w:eastAsia="宋体" w:cs="宋体"/>
          <w:color w:val="000000" w:themeColor="text1"/>
          <w:highlight w:val="none"/>
          <w:lang w:eastAsia="zh-CN"/>
          <w14:textFill>
            <w14:solidFill>
              <w14:schemeClr w14:val="tx1"/>
            </w14:solidFill>
          </w14:textFill>
        </w:rPr>
      </w:pPr>
    </w:p>
    <w:p w14:paraId="33E21366">
      <w:pPr>
        <w:pStyle w:val="43"/>
        <w:rPr>
          <w:rFonts w:hint="eastAsia" w:ascii="宋体" w:hAnsi="宋体" w:eastAsia="宋体" w:cs="宋体"/>
          <w:color w:val="000000" w:themeColor="text1"/>
          <w:highlight w:val="none"/>
          <w:lang w:eastAsia="zh-CN"/>
          <w14:textFill>
            <w14:solidFill>
              <w14:schemeClr w14:val="tx1"/>
            </w14:solidFill>
          </w14:textFill>
        </w:rPr>
      </w:pPr>
    </w:p>
    <w:p w14:paraId="6E91273C">
      <w:pPr>
        <w:rPr>
          <w:rFonts w:hint="eastAsia" w:ascii="宋体" w:hAnsi="宋体" w:eastAsia="宋体" w:cs="宋体"/>
          <w:color w:val="000000" w:themeColor="text1"/>
          <w:highlight w:val="none"/>
          <w:lang w:eastAsia="zh-CN"/>
          <w14:textFill>
            <w14:solidFill>
              <w14:schemeClr w14:val="tx1"/>
            </w14:solidFill>
          </w14:textFill>
        </w:rPr>
      </w:pPr>
    </w:p>
    <w:p w14:paraId="71F4D564">
      <w:pPr>
        <w:pStyle w:val="14"/>
        <w:rPr>
          <w:rFonts w:hint="eastAsia" w:ascii="宋体" w:hAnsi="宋体" w:eastAsia="宋体" w:cs="宋体"/>
          <w:color w:val="000000" w:themeColor="text1"/>
          <w:highlight w:val="none"/>
          <w:lang w:eastAsia="zh-CN"/>
          <w14:textFill>
            <w14:solidFill>
              <w14:schemeClr w14:val="tx1"/>
            </w14:solidFill>
          </w14:textFill>
        </w:rPr>
      </w:pPr>
    </w:p>
    <w:p w14:paraId="3D1B80E5">
      <w:pPr>
        <w:pStyle w:val="43"/>
        <w:rPr>
          <w:rFonts w:hint="eastAsia" w:ascii="宋体" w:hAnsi="宋体" w:eastAsia="宋体" w:cs="宋体"/>
          <w:color w:val="000000" w:themeColor="text1"/>
          <w:highlight w:val="none"/>
          <w:lang w:eastAsia="zh-CN"/>
          <w14:textFill>
            <w14:solidFill>
              <w14:schemeClr w14:val="tx1"/>
            </w14:solidFill>
          </w14:textFill>
        </w:rPr>
      </w:pPr>
    </w:p>
    <w:p w14:paraId="653976D3">
      <w:pPr>
        <w:rPr>
          <w:rFonts w:hint="eastAsia" w:ascii="宋体" w:hAnsi="宋体" w:eastAsia="宋体" w:cs="宋体"/>
          <w:color w:val="000000" w:themeColor="text1"/>
          <w:highlight w:val="none"/>
          <w:lang w:eastAsia="zh-CN"/>
          <w14:textFill>
            <w14:solidFill>
              <w14:schemeClr w14:val="tx1"/>
            </w14:solidFill>
          </w14:textFill>
        </w:rPr>
      </w:pPr>
    </w:p>
    <w:p w14:paraId="54BD3509">
      <w:pPr>
        <w:pStyle w:val="14"/>
        <w:rPr>
          <w:rFonts w:hint="eastAsia" w:ascii="宋体" w:hAnsi="宋体" w:eastAsia="宋体" w:cs="宋体"/>
          <w:color w:val="000000" w:themeColor="text1"/>
          <w:highlight w:val="none"/>
          <w:lang w:eastAsia="zh-CN"/>
          <w14:textFill>
            <w14:solidFill>
              <w14:schemeClr w14:val="tx1"/>
            </w14:solidFill>
          </w14:textFill>
        </w:rPr>
      </w:pPr>
    </w:p>
    <w:p w14:paraId="2DB9C055">
      <w:pPr>
        <w:pStyle w:val="43"/>
        <w:rPr>
          <w:rFonts w:hint="eastAsia" w:ascii="宋体" w:hAnsi="宋体" w:eastAsia="宋体" w:cs="宋体"/>
          <w:lang w:eastAsia="zh-CN"/>
        </w:rPr>
      </w:pPr>
    </w:p>
    <w:p w14:paraId="11961526">
      <w:pPr>
        <w:rPr>
          <w:rFonts w:hint="eastAsia" w:ascii="宋体" w:hAnsi="宋体" w:eastAsia="宋体" w:cs="宋体"/>
          <w:color w:val="000000" w:themeColor="text1"/>
          <w:highlight w:val="none"/>
          <w:lang w:eastAsia="zh-CN"/>
          <w14:textFill>
            <w14:solidFill>
              <w14:schemeClr w14:val="tx1"/>
            </w14:solidFill>
          </w14:textFill>
        </w:rPr>
      </w:pPr>
    </w:p>
    <w:p w14:paraId="34E490DC">
      <w:pPr>
        <w:rPr>
          <w:rFonts w:hint="eastAsia" w:ascii="宋体" w:hAnsi="宋体" w:eastAsia="宋体" w:cs="宋体"/>
          <w:color w:val="000000" w:themeColor="text1"/>
          <w:highlight w:val="none"/>
          <w:lang w:eastAsia="zh-CN"/>
          <w14:textFill>
            <w14:solidFill>
              <w14:schemeClr w14:val="tx1"/>
            </w14:solidFill>
          </w14:textFill>
        </w:rPr>
      </w:pPr>
    </w:p>
    <w:p w14:paraId="55FE83BA">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000000" w:themeColor="text1"/>
          <w:sz w:val="24"/>
          <w:highlight w:val="none"/>
          <w14:textFill>
            <w14:solidFill>
              <w14:schemeClr w14:val="tx1"/>
            </w14:solidFill>
          </w14:textFill>
        </w:rPr>
        <w:sectPr>
          <w:pgSz w:w="11905" w:h="16838"/>
          <w:pgMar w:top="1440" w:right="1803" w:bottom="1440" w:left="1803" w:header="1140" w:footer="720" w:gutter="0"/>
          <w:pgNumType w:fmt="decimal"/>
          <w:cols w:space="0" w:num="1"/>
          <w:rtlGutter w:val="0"/>
          <w:docGrid w:type="lines" w:linePitch="317" w:charSpace="0"/>
        </w:sectPr>
      </w:pP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14:paraId="1651E339">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color w:val="000000" w:themeColor="text1"/>
          <w:sz w:val="32"/>
          <w:szCs w:val="32"/>
          <w:highlight w:val="none"/>
          <w14:textFill>
            <w14:solidFill>
              <w14:schemeClr w14:val="tx1"/>
            </w14:solidFill>
          </w14:textFill>
        </w:rPr>
      </w:pPr>
      <w:bookmarkStart w:id="324" w:name="_Toc13351"/>
      <w:bookmarkStart w:id="325" w:name="_Toc18321"/>
      <w:bookmarkStart w:id="326" w:name="_Toc1221"/>
      <w:bookmarkStart w:id="327" w:name="_Toc20542"/>
      <w:bookmarkStart w:id="328" w:name="_Toc2778"/>
      <w:bookmarkStart w:id="329" w:name="_Toc1239"/>
      <w:bookmarkStart w:id="330" w:name="_Toc25599"/>
      <w:r>
        <w:rPr>
          <w:rFonts w:hint="eastAsia" w:ascii="宋体" w:hAnsi="宋体" w:eastAsia="宋体" w:cs="宋体"/>
          <w:b/>
          <w:bCs/>
          <w:color w:val="000000" w:themeColor="text1"/>
          <w:sz w:val="32"/>
          <w:szCs w:val="32"/>
          <w:highlight w:val="none"/>
          <w14:textFill>
            <w14:solidFill>
              <w14:schemeClr w14:val="tx1"/>
            </w14:solidFill>
          </w14:textFill>
        </w:rPr>
        <w:t>八、其他资料</w:t>
      </w:r>
      <w:bookmarkEnd w:id="324"/>
      <w:bookmarkEnd w:id="325"/>
      <w:bookmarkEnd w:id="326"/>
      <w:bookmarkEnd w:id="327"/>
      <w:bookmarkEnd w:id="328"/>
      <w:bookmarkEnd w:id="329"/>
      <w:bookmarkEnd w:id="330"/>
    </w:p>
    <w:p w14:paraId="51CDEA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4B4E5CBC">
      <w:pPr>
        <w:pStyle w:val="34"/>
        <w:ind w:firstLine="0" w:firstLineChars="0"/>
        <w:rPr>
          <w:rFonts w:hint="eastAsia" w:ascii="宋体" w:hAnsi="宋体" w:eastAsia="宋体" w:cs="宋体"/>
        </w:rPr>
      </w:pPr>
      <w:r>
        <w:rPr>
          <w:rFonts w:hint="eastAsia" w:ascii="宋体" w:hAnsi="宋体" w:eastAsia="宋体" w:cs="宋体"/>
          <w:color w:val="000000" w:themeColor="text1"/>
          <w:sz w:val="24"/>
          <w:szCs w:val="24"/>
          <w:highlight w:val="none"/>
          <w:lang w:eastAsia="zh-CN"/>
          <w14:textFill>
            <w14:solidFill>
              <w14:schemeClr w14:val="tx1"/>
            </w14:solidFill>
          </w14:textFill>
        </w:rPr>
        <w:t>备注：</w:t>
      </w:r>
      <w:r>
        <w:rPr>
          <w:rFonts w:hint="eastAsia" w:ascii="宋体" w:hAnsi="宋体" w:eastAsia="宋体" w:cs="宋体"/>
          <w:b w:val="0"/>
          <w:bCs w:val="0"/>
          <w:color w:val="000000" w:themeColor="text1"/>
          <w:highlight w:val="none"/>
          <w:lang w:val="en-US" w:eastAsia="zh-CN"/>
          <w14:textFill>
            <w14:solidFill>
              <w14:schemeClr w14:val="tx1"/>
            </w14:solidFill>
          </w14:textFill>
        </w:rPr>
        <w:t>详见第三章评标办法-</w:t>
      </w: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商务部分，技术部分</w:t>
      </w:r>
      <w:r>
        <w:rPr>
          <w:rFonts w:hint="eastAsia" w:ascii="宋体" w:hAnsi="宋体" w:eastAsia="宋体" w:cs="宋体"/>
          <w:b w:val="0"/>
          <w:bCs w:val="0"/>
          <w:color w:val="000000" w:themeColor="text1"/>
          <w:spacing w:val="-1"/>
          <w:sz w:val="24"/>
          <w:szCs w:val="24"/>
          <w:highlight w:val="none"/>
          <w14:textFill>
            <w14:solidFill>
              <w14:schemeClr w14:val="tx1"/>
            </w14:solidFill>
          </w14:textFill>
        </w:rPr>
        <w:t>及</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其他因素部分。</w:t>
      </w:r>
      <w:r>
        <w:rPr>
          <w:rFonts w:hint="eastAsia" w:ascii="宋体" w:hAnsi="宋体" w:eastAsia="宋体" w:cs="宋体"/>
          <w:b w:val="0"/>
          <w:bCs/>
          <w:color w:val="auto"/>
          <w:sz w:val="24"/>
          <w:szCs w:val="24"/>
          <w:highlight w:val="none"/>
          <w:lang w:val="zh-CN"/>
        </w:rPr>
        <w:t>磋商</w:t>
      </w:r>
      <w:r>
        <w:rPr>
          <w:rFonts w:hint="eastAsia" w:ascii="宋体" w:hAnsi="宋体" w:eastAsia="宋体" w:cs="宋体"/>
          <w:b w:val="0"/>
          <w:bCs/>
          <w:sz w:val="24"/>
          <w:lang w:val="zh-CN"/>
        </w:rPr>
        <w:t>文件中要求的其他证明资料或供应商认为针对本项目有必要提供的资料附件。</w:t>
      </w:r>
    </w:p>
    <w:p w14:paraId="419BF5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16047FC1">
      <w:pPr>
        <w:jc w:val="center"/>
        <w:outlineLvl w:val="0"/>
        <w:rPr>
          <w:rFonts w:hint="eastAsia" w:ascii="宋体" w:hAnsi="宋体" w:eastAsia="宋体" w:cs="宋体"/>
          <w:color w:val="000000" w:themeColor="text1"/>
          <w:sz w:val="28"/>
          <w:szCs w:val="28"/>
          <w:highlight w:val="none"/>
          <w14:textFill>
            <w14:solidFill>
              <w14:schemeClr w14:val="tx1"/>
            </w14:solidFill>
          </w14:textFill>
        </w:rPr>
      </w:pPr>
      <w:bookmarkStart w:id="331" w:name="_Toc5611"/>
      <w:bookmarkStart w:id="332" w:name="_Toc24723"/>
      <w:bookmarkStart w:id="333" w:name="_Toc14514"/>
    </w:p>
    <w:p w14:paraId="2BD7C977">
      <w:pPr>
        <w:pStyle w:val="14"/>
        <w:rPr>
          <w:rFonts w:hint="eastAsia" w:ascii="宋体" w:hAnsi="宋体" w:eastAsia="宋体" w:cs="宋体"/>
          <w:color w:val="000000" w:themeColor="text1"/>
          <w:sz w:val="28"/>
          <w:szCs w:val="28"/>
          <w:highlight w:val="none"/>
          <w14:textFill>
            <w14:solidFill>
              <w14:schemeClr w14:val="tx1"/>
            </w14:solidFill>
          </w14:textFill>
        </w:rPr>
      </w:pPr>
    </w:p>
    <w:p w14:paraId="3DB54BE4">
      <w:pPr>
        <w:pStyle w:val="43"/>
        <w:rPr>
          <w:rFonts w:hint="eastAsia" w:ascii="宋体" w:hAnsi="宋体" w:eastAsia="宋体" w:cs="宋体"/>
          <w:color w:val="000000" w:themeColor="text1"/>
          <w:sz w:val="28"/>
          <w:szCs w:val="28"/>
          <w:highlight w:val="none"/>
          <w14:textFill>
            <w14:solidFill>
              <w14:schemeClr w14:val="tx1"/>
            </w14:solidFill>
          </w14:textFill>
        </w:rPr>
      </w:pPr>
    </w:p>
    <w:p w14:paraId="15F0DA14">
      <w:pPr>
        <w:rPr>
          <w:rFonts w:hint="eastAsia" w:ascii="宋体" w:hAnsi="宋体" w:eastAsia="宋体" w:cs="宋体"/>
          <w:color w:val="000000" w:themeColor="text1"/>
          <w:sz w:val="28"/>
          <w:szCs w:val="28"/>
          <w:highlight w:val="none"/>
          <w14:textFill>
            <w14:solidFill>
              <w14:schemeClr w14:val="tx1"/>
            </w14:solidFill>
          </w14:textFill>
        </w:rPr>
      </w:pPr>
    </w:p>
    <w:p w14:paraId="2ED488E6">
      <w:pPr>
        <w:pStyle w:val="14"/>
        <w:rPr>
          <w:rFonts w:hint="eastAsia" w:ascii="宋体" w:hAnsi="宋体" w:eastAsia="宋体" w:cs="宋体"/>
          <w:color w:val="000000" w:themeColor="text1"/>
          <w:sz w:val="28"/>
          <w:szCs w:val="28"/>
          <w:highlight w:val="none"/>
          <w14:textFill>
            <w14:solidFill>
              <w14:schemeClr w14:val="tx1"/>
            </w14:solidFill>
          </w14:textFill>
        </w:rPr>
      </w:pPr>
    </w:p>
    <w:p w14:paraId="1B2580AF">
      <w:pPr>
        <w:pStyle w:val="43"/>
        <w:rPr>
          <w:rFonts w:hint="eastAsia" w:ascii="宋体" w:hAnsi="宋体" w:eastAsia="宋体" w:cs="宋体"/>
          <w:color w:val="000000" w:themeColor="text1"/>
          <w:sz w:val="28"/>
          <w:szCs w:val="28"/>
          <w:highlight w:val="none"/>
          <w14:textFill>
            <w14:solidFill>
              <w14:schemeClr w14:val="tx1"/>
            </w14:solidFill>
          </w14:textFill>
        </w:rPr>
      </w:pPr>
    </w:p>
    <w:p w14:paraId="018C05AE">
      <w:pPr>
        <w:rPr>
          <w:rFonts w:hint="eastAsia" w:ascii="宋体" w:hAnsi="宋体" w:eastAsia="宋体" w:cs="宋体"/>
          <w:color w:val="000000" w:themeColor="text1"/>
          <w:sz w:val="28"/>
          <w:szCs w:val="28"/>
          <w:highlight w:val="none"/>
          <w14:textFill>
            <w14:solidFill>
              <w14:schemeClr w14:val="tx1"/>
            </w14:solidFill>
          </w14:textFill>
        </w:rPr>
      </w:pPr>
    </w:p>
    <w:p w14:paraId="1946292C">
      <w:pPr>
        <w:pStyle w:val="14"/>
        <w:rPr>
          <w:rFonts w:hint="eastAsia" w:ascii="宋体" w:hAnsi="宋体" w:eastAsia="宋体" w:cs="宋体"/>
          <w:color w:val="000000" w:themeColor="text1"/>
          <w:sz w:val="28"/>
          <w:szCs w:val="28"/>
          <w:highlight w:val="none"/>
          <w14:textFill>
            <w14:solidFill>
              <w14:schemeClr w14:val="tx1"/>
            </w14:solidFill>
          </w14:textFill>
        </w:rPr>
      </w:pPr>
    </w:p>
    <w:p w14:paraId="59475F52">
      <w:pPr>
        <w:pStyle w:val="43"/>
        <w:rPr>
          <w:rFonts w:hint="eastAsia" w:ascii="宋体" w:hAnsi="宋体" w:eastAsia="宋体" w:cs="宋体"/>
          <w:color w:val="000000" w:themeColor="text1"/>
          <w:sz w:val="28"/>
          <w:szCs w:val="28"/>
          <w:highlight w:val="none"/>
          <w14:textFill>
            <w14:solidFill>
              <w14:schemeClr w14:val="tx1"/>
            </w14:solidFill>
          </w14:textFill>
        </w:rPr>
      </w:pPr>
    </w:p>
    <w:p w14:paraId="75EA5FCD">
      <w:pPr>
        <w:rPr>
          <w:rFonts w:hint="eastAsia" w:ascii="宋体" w:hAnsi="宋体" w:eastAsia="宋体" w:cs="宋体"/>
          <w:color w:val="000000" w:themeColor="text1"/>
          <w:sz w:val="28"/>
          <w:szCs w:val="28"/>
          <w:highlight w:val="none"/>
          <w14:textFill>
            <w14:solidFill>
              <w14:schemeClr w14:val="tx1"/>
            </w14:solidFill>
          </w14:textFill>
        </w:rPr>
      </w:pPr>
    </w:p>
    <w:p w14:paraId="12737BD9">
      <w:pPr>
        <w:pStyle w:val="14"/>
        <w:rPr>
          <w:rFonts w:hint="eastAsia" w:ascii="宋体" w:hAnsi="宋体" w:eastAsia="宋体" w:cs="宋体"/>
          <w:color w:val="000000" w:themeColor="text1"/>
          <w:sz w:val="28"/>
          <w:szCs w:val="28"/>
          <w:highlight w:val="none"/>
          <w14:textFill>
            <w14:solidFill>
              <w14:schemeClr w14:val="tx1"/>
            </w14:solidFill>
          </w14:textFill>
        </w:rPr>
      </w:pPr>
    </w:p>
    <w:p w14:paraId="2EE27AE7">
      <w:pPr>
        <w:pStyle w:val="43"/>
        <w:rPr>
          <w:rFonts w:hint="eastAsia" w:ascii="宋体" w:hAnsi="宋体" w:eastAsia="宋体" w:cs="宋体"/>
          <w:color w:val="000000" w:themeColor="text1"/>
          <w:sz w:val="28"/>
          <w:szCs w:val="28"/>
          <w:highlight w:val="none"/>
          <w14:textFill>
            <w14:solidFill>
              <w14:schemeClr w14:val="tx1"/>
            </w14:solidFill>
          </w14:textFill>
        </w:rPr>
      </w:pPr>
    </w:p>
    <w:p w14:paraId="296460FF">
      <w:pPr>
        <w:rPr>
          <w:rFonts w:hint="eastAsia" w:ascii="宋体" w:hAnsi="宋体" w:eastAsia="宋体" w:cs="宋体"/>
          <w:color w:val="000000" w:themeColor="text1"/>
          <w:sz w:val="28"/>
          <w:szCs w:val="28"/>
          <w:highlight w:val="none"/>
          <w14:textFill>
            <w14:solidFill>
              <w14:schemeClr w14:val="tx1"/>
            </w14:solidFill>
          </w14:textFill>
        </w:rPr>
      </w:pPr>
    </w:p>
    <w:p w14:paraId="6CF1EBEF">
      <w:pPr>
        <w:pStyle w:val="14"/>
        <w:rPr>
          <w:rFonts w:hint="eastAsia" w:ascii="宋体" w:hAnsi="宋体" w:eastAsia="宋体" w:cs="宋体"/>
          <w:color w:val="000000" w:themeColor="text1"/>
          <w:sz w:val="28"/>
          <w:szCs w:val="28"/>
          <w:highlight w:val="none"/>
          <w14:textFill>
            <w14:solidFill>
              <w14:schemeClr w14:val="tx1"/>
            </w14:solidFill>
          </w14:textFill>
        </w:rPr>
      </w:pPr>
    </w:p>
    <w:p w14:paraId="563B99CB">
      <w:pPr>
        <w:pStyle w:val="43"/>
        <w:rPr>
          <w:rFonts w:hint="eastAsia" w:ascii="宋体" w:hAnsi="宋体" w:eastAsia="宋体" w:cs="宋体"/>
        </w:rPr>
      </w:pPr>
    </w:p>
    <w:bookmarkEnd w:id="331"/>
    <w:bookmarkEnd w:id="332"/>
    <w:bookmarkEnd w:id="333"/>
    <w:p w14:paraId="3EAF7655">
      <w:pPr>
        <w:pStyle w:val="14"/>
        <w:rPr>
          <w:rFonts w:hint="eastAsia" w:ascii="宋体" w:hAnsi="宋体" w:eastAsia="宋体" w:cs="宋体"/>
          <w:color w:val="000000" w:themeColor="text1"/>
          <w14:textFill>
            <w14:solidFill>
              <w14:schemeClr w14:val="tx1"/>
            </w14:solidFill>
          </w14:textFill>
        </w:rPr>
      </w:pPr>
    </w:p>
    <w:sectPr>
      <w:headerReference r:id="rId15" w:type="default"/>
      <w:pgSz w:w="11905" w:h="16838"/>
      <w:pgMar w:top="1440" w:right="1803" w:bottom="1440" w:left="1803" w:header="1140" w:footer="72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6CCFD">
    <w:pPr>
      <w:pStyle w:val="24"/>
      <w:tabs>
        <w:tab w:val="center" w:pos="4649"/>
        <w:tab w:val="clear" w:pos="4153"/>
        <w:tab w:val="clear" w:pos="8306"/>
      </w:tabs>
    </w:pPr>
    <w:r>
      <w:br w:type="textWrapp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4D3CD">
    <w:pPr>
      <w:pStyle w:val="24"/>
      <w:jc w:val="center"/>
      <w:rPr>
        <w:rFonts w:ascii="Cambria" w:hAnsi="Cambria" w:cs="Cambria"/>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4ACF63">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64ACF63">
                    <w:pPr>
                      <w:pStyle w:val="24"/>
                    </w:pPr>
                    <w:r>
                      <w:fldChar w:fldCharType="begin"/>
                    </w:r>
                    <w:r>
                      <w:instrText xml:space="preserve"> PAGE  \* MERGEFORMAT </w:instrText>
                    </w:r>
                    <w:r>
                      <w:fldChar w:fldCharType="separate"/>
                    </w:r>
                    <w:r>
                      <w:t>1</w:t>
                    </w:r>
                    <w:r>
                      <w:fldChar w:fldCharType="end"/>
                    </w:r>
                  </w:p>
                </w:txbxContent>
              </v:textbox>
            </v:shape>
          </w:pict>
        </mc:Fallback>
      </mc:AlternateContent>
    </w:r>
  </w:p>
  <w:p w14:paraId="28156307">
    <w:pPr>
      <w:pStyle w:val="2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68B6E">
    <w:pPr>
      <w:pStyle w:val="24"/>
      <w:tabs>
        <w:tab w:val="center" w:pos="4649"/>
        <w:tab w:val="clear" w:pos="4153"/>
        <w:tab w:val="clear" w:pos="8306"/>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00E860">
                          <w:pPr>
                            <w:pStyle w:val="2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v:fill on="f" focussize="0,0"/>
              <v:stroke on="f" weight="0.5pt"/>
              <v:imagedata o:title=""/>
              <o:lock v:ext="edit" aspectratio="f"/>
              <v:textbox inset="0mm,0mm,0mm,0mm" style="mso-fit-shape-to-text:t;">
                <w:txbxContent>
                  <w:p w14:paraId="7F00E860">
                    <w:pPr>
                      <w:pStyle w:val="2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14D45">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9A5584">
                          <w:pPr>
                            <w:pStyle w:val="2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379A5584">
                    <w:pPr>
                      <w:pStyle w:val="2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4C355">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3746AA">
                          <w:pPr>
                            <w:pStyle w:val="2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ijic5AgAAc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UdrKv3&#10;VfcAc2hZ2Oit5TFNlMrb5SFA2qR4FKhTBZ2KB0xi6tlla+Ko/3lOUU//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ijic5AgAAcQQAAA4AAAAAAAAAAQAgAAAAHwEAAGRycy9lMm9Eb2Mu&#10;eG1sUEsFBgAAAAAGAAYAWQEAAMoFAAAAAA==&#10;">
              <v:fill on="f" focussize="0,0"/>
              <v:stroke on="f" weight="0.5pt"/>
              <v:imagedata o:title=""/>
              <o:lock v:ext="edit" aspectratio="f"/>
              <v:textbox inset="0mm,0mm,0mm,0mm" style="mso-fit-shape-to-text:t;">
                <w:txbxContent>
                  <w:p w14:paraId="363746AA">
                    <w:pPr>
                      <w:pStyle w:val="2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3493F">
    <w:pPr>
      <w:pStyle w:val="24"/>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DE782B">
                          <w:pPr>
                            <w:pStyle w:val="2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IQGM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CEBjOgIAAHEEAAAOAAAAAAAAAAEAIAAAAB8BAABkcnMvZTJvRG9j&#10;LnhtbFBLBQYAAAAABgAGAFkBAADLBQAAAAA=&#10;">
              <v:fill on="f" focussize="0,0"/>
              <v:stroke on="f" weight="0.5pt"/>
              <v:imagedata o:title=""/>
              <o:lock v:ext="edit" aspectratio="f"/>
              <v:textbox inset="0mm,0mm,0mm,0mm" style="mso-fit-shape-to-text:t;">
                <w:txbxContent>
                  <w:p w14:paraId="42DE782B">
                    <w:pPr>
                      <w:pStyle w:val="24"/>
                    </w:pPr>
                    <w:r>
                      <w:fldChar w:fldCharType="begin"/>
                    </w:r>
                    <w:r>
                      <w:instrText xml:space="preserve"> PAGE  \* MERGEFORMAT </w:instrText>
                    </w:r>
                    <w:r>
                      <w:fldChar w:fldCharType="separate"/>
                    </w:r>
                    <w:r>
                      <w:t>47</w:t>
                    </w:r>
                    <w:r>
                      <w:fldChar w:fldCharType="end"/>
                    </w:r>
                  </w:p>
                </w:txbxContent>
              </v:textbox>
            </v:shape>
          </w:pict>
        </mc:Fallback>
      </mc:AlternateContent>
    </w:r>
  </w:p>
  <w:p w14:paraId="02B85C7A">
    <w:pPr>
      <w:pStyle w:val="24"/>
      <w:rPr>
        <w:rFonts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C29CC">
    <w:pPr>
      <w:pStyle w:val="24"/>
      <w:rPr>
        <w:rFonts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5110E0">
                          <w:pPr>
                            <w:pStyle w:val="2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14:paraId="265110E0">
                    <w:pPr>
                      <w:pStyle w:val="2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7AF55">
    <w:pPr>
      <w:pStyle w:val="25"/>
      <w:pBdr>
        <w:bottom w:val="none" w:color="auto" w:sz="0" w:space="1"/>
      </w:pBdr>
      <w:jc w:val="both"/>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644B0">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DB36A">
    <w:pPr>
      <w:pStyle w:val="25"/>
      <w:pBdr>
        <w:bottom w:val="thinThickSmallGap" w:color="auto" w:sz="12" w:space="1"/>
      </w:pBdr>
      <w:jc w:val="right"/>
      <w:rPr>
        <w:rFonts w:hint="default"/>
        <w:b/>
        <w:bCs/>
        <w:lang w:val="en-US" w:eastAsia="zh-CN"/>
      </w:rPr>
    </w:pPr>
    <w:r>
      <w:rPr>
        <w:rFonts w:hint="eastAsia"/>
        <w:b/>
        <w:bCs/>
        <w:lang w:val="en-US" w:eastAsia="zh-CN"/>
      </w:rPr>
      <w:t>吉林省长润工程咨询有限公司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13B9">
    <w:pPr>
      <w:pStyle w:val="25"/>
      <w:pBdr>
        <w:bottom w:val="thinThickSmallGap" w:color="auto" w:sz="12" w:space="1"/>
      </w:pBdr>
      <w:jc w:val="right"/>
      <w:rPr>
        <w:b/>
        <w:bCs/>
      </w:rPr>
    </w:pPr>
    <w:r>
      <w:rPr>
        <w:rFonts w:hint="eastAsia"/>
        <w:b/>
        <w:bCs/>
      </w:rPr>
      <w:t>吉林省长润工程咨询有限公司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9A3A">
    <w:pPr>
      <w:pStyle w:val="25"/>
      <w:pBdr>
        <w:bottom w:val="thinThickSmallGap" w:color="auto" w:sz="12" w:space="1"/>
      </w:pBdr>
      <w:jc w:val="right"/>
      <w:rPr>
        <w:rFonts w:hint="default"/>
        <w:lang w:val="en-US" w:eastAsia="zh-CN"/>
      </w:rPr>
    </w:pPr>
    <w:r>
      <w:rPr>
        <w:rFonts w:hint="eastAsia"/>
        <w:b/>
        <w:bCs/>
        <w:lang w:val="en-US" w:eastAsia="zh-CN"/>
      </w:rPr>
      <w:t>吉林省长润工程咨询有限公司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28B95">
    <w:pPr>
      <w:pStyle w:val="25"/>
      <w:pBdr>
        <w:bottom w:val="thinThickSmallGap" w:color="auto" w:sz="12" w:space="1"/>
      </w:pBdr>
      <w:jc w:val="right"/>
      <w:rPr>
        <w:rFonts w:ascii="仿宋_GB2312" w:eastAsia="仿宋_GB2312"/>
      </w:rPr>
    </w:pPr>
    <w:r>
      <w:rPr>
        <w:rFonts w:hint="eastAsia"/>
        <w:b/>
        <w:bCs/>
      </w:rPr>
      <w:t>吉林省长润工程咨询有限公司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818A5"/>
    <w:multiLevelType w:val="multilevel"/>
    <w:tmpl w:val="C4A818A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1576F421"/>
    <w:multiLevelType w:val="singleLevel"/>
    <w:tmpl w:val="1576F421"/>
    <w:lvl w:ilvl="0" w:tentative="0">
      <w:start w:val="1"/>
      <w:numFmt w:val="chineseCounting"/>
      <w:suff w:val="nothing"/>
      <w:lvlText w:val="%1、"/>
      <w:lvlJc w:val="left"/>
      <w:rPr>
        <w:rFonts w:hint="eastAsia"/>
      </w:rPr>
    </w:lvl>
  </w:abstractNum>
  <w:abstractNum w:abstractNumId="2">
    <w:nsid w:val="3979BBB0"/>
    <w:multiLevelType w:val="singleLevel"/>
    <w:tmpl w:val="3979BBB0"/>
    <w:lvl w:ilvl="0" w:tentative="0">
      <w:start w:val="3"/>
      <w:numFmt w:val="decimal"/>
      <w:suff w:val="nothing"/>
      <w:lvlText w:val="（%1）"/>
      <w:lvlJc w:val="left"/>
    </w:lvl>
  </w:abstractNum>
  <w:abstractNum w:abstractNumId="3">
    <w:nsid w:val="6EE29D85"/>
    <w:multiLevelType w:val="singleLevel"/>
    <w:tmpl w:val="6EE29D85"/>
    <w:lvl w:ilvl="0" w:tentative="0">
      <w:start w:val="1"/>
      <w:numFmt w:val="decimal"/>
      <w:lvlText w:val="%1."/>
      <w:lvlJc w:val="left"/>
      <w:pPr>
        <w:tabs>
          <w:tab w:val="left" w:pos="312"/>
        </w:tabs>
      </w:pPr>
    </w:lvl>
  </w:abstractNum>
  <w:abstractNum w:abstractNumId="4">
    <w:nsid w:val="7E9238E0"/>
    <w:multiLevelType w:val="singleLevel"/>
    <w:tmpl w:val="7E9238E0"/>
    <w:lvl w:ilvl="0" w:tentative="0">
      <w:start w:val="1"/>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360"/>
  <w:doNotHyphenateCaps/>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mYxMGQ5YTMzNzVmYTNkZGJmOTliMDZhNDNkMjgifQ=="/>
    <w:docVar w:name="KSO_WPS_MARK_KEY" w:val="0a671d92-8960-41cb-8a30-23797eb5069d"/>
  </w:docVars>
  <w:rsids>
    <w:rsidRoot w:val="0060259C"/>
    <w:rsid w:val="00004DF0"/>
    <w:rsid w:val="00007BD3"/>
    <w:rsid w:val="0001610B"/>
    <w:rsid w:val="0002552D"/>
    <w:rsid w:val="00025E56"/>
    <w:rsid w:val="000305ED"/>
    <w:rsid w:val="0003157E"/>
    <w:rsid w:val="000343CF"/>
    <w:rsid w:val="00041996"/>
    <w:rsid w:val="00042CB8"/>
    <w:rsid w:val="0004356D"/>
    <w:rsid w:val="00044BBF"/>
    <w:rsid w:val="00046859"/>
    <w:rsid w:val="00050C77"/>
    <w:rsid w:val="00054BEB"/>
    <w:rsid w:val="000560E8"/>
    <w:rsid w:val="00056FDC"/>
    <w:rsid w:val="000702F5"/>
    <w:rsid w:val="00072F44"/>
    <w:rsid w:val="000807B8"/>
    <w:rsid w:val="00086A42"/>
    <w:rsid w:val="00086C6B"/>
    <w:rsid w:val="00090ABA"/>
    <w:rsid w:val="000A3FA6"/>
    <w:rsid w:val="000A4BC0"/>
    <w:rsid w:val="000B1F38"/>
    <w:rsid w:val="000B73C0"/>
    <w:rsid w:val="000C5AC8"/>
    <w:rsid w:val="000C7FD3"/>
    <w:rsid w:val="000D0243"/>
    <w:rsid w:val="000D0652"/>
    <w:rsid w:val="000D20E4"/>
    <w:rsid w:val="000D77C2"/>
    <w:rsid w:val="000E288F"/>
    <w:rsid w:val="000E35DC"/>
    <w:rsid w:val="000E3B1B"/>
    <w:rsid w:val="000E63AE"/>
    <w:rsid w:val="000F1662"/>
    <w:rsid w:val="000F1BEF"/>
    <w:rsid w:val="0010081D"/>
    <w:rsid w:val="001034EC"/>
    <w:rsid w:val="00106518"/>
    <w:rsid w:val="0010772B"/>
    <w:rsid w:val="001169B3"/>
    <w:rsid w:val="00116B44"/>
    <w:rsid w:val="00120475"/>
    <w:rsid w:val="001232BD"/>
    <w:rsid w:val="00126146"/>
    <w:rsid w:val="0012703C"/>
    <w:rsid w:val="001355E3"/>
    <w:rsid w:val="001511F9"/>
    <w:rsid w:val="00152366"/>
    <w:rsid w:val="00152521"/>
    <w:rsid w:val="00152A71"/>
    <w:rsid w:val="001610CB"/>
    <w:rsid w:val="0016157B"/>
    <w:rsid w:val="00166CC9"/>
    <w:rsid w:val="00171254"/>
    <w:rsid w:val="00174204"/>
    <w:rsid w:val="00176CDE"/>
    <w:rsid w:val="00182256"/>
    <w:rsid w:val="001844EE"/>
    <w:rsid w:val="00192F06"/>
    <w:rsid w:val="001942C3"/>
    <w:rsid w:val="001A2302"/>
    <w:rsid w:val="001A4FDF"/>
    <w:rsid w:val="001A71A4"/>
    <w:rsid w:val="001B3B48"/>
    <w:rsid w:val="001B5695"/>
    <w:rsid w:val="001C1185"/>
    <w:rsid w:val="001C12AF"/>
    <w:rsid w:val="001D3067"/>
    <w:rsid w:val="001D4ADB"/>
    <w:rsid w:val="001E5BC4"/>
    <w:rsid w:val="001F4348"/>
    <w:rsid w:val="001F4B92"/>
    <w:rsid w:val="001F5F96"/>
    <w:rsid w:val="00203E07"/>
    <w:rsid w:val="002219BE"/>
    <w:rsid w:val="002239CD"/>
    <w:rsid w:val="00224EC9"/>
    <w:rsid w:val="0022564C"/>
    <w:rsid w:val="00226DC2"/>
    <w:rsid w:val="00227CBD"/>
    <w:rsid w:val="00230D70"/>
    <w:rsid w:val="002361D5"/>
    <w:rsid w:val="0023792B"/>
    <w:rsid w:val="002401CF"/>
    <w:rsid w:val="0025318F"/>
    <w:rsid w:val="0025487C"/>
    <w:rsid w:val="00256790"/>
    <w:rsid w:val="00265984"/>
    <w:rsid w:val="0026722F"/>
    <w:rsid w:val="0027477C"/>
    <w:rsid w:val="002838C2"/>
    <w:rsid w:val="0028665A"/>
    <w:rsid w:val="002917AF"/>
    <w:rsid w:val="00293FD0"/>
    <w:rsid w:val="0029443E"/>
    <w:rsid w:val="00294CF3"/>
    <w:rsid w:val="002A50EE"/>
    <w:rsid w:val="002A7D62"/>
    <w:rsid w:val="002B54F8"/>
    <w:rsid w:val="002B5F1A"/>
    <w:rsid w:val="002B700F"/>
    <w:rsid w:val="002C0170"/>
    <w:rsid w:val="002C188E"/>
    <w:rsid w:val="002C20B9"/>
    <w:rsid w:val="002C3430"/>
    <w:rsid w:val="002D0870"/>
    <w:rsid w:val="002D2B90"/>
    <w:rsid w:val="002D3494"/>
    <w:rsid w:val="002D3F13"/>
    <w:rsid w:val="002D4E71"/>
    <w:rsid w:val="002E49B0"/>
    <w:rsid w:val="002E67A6"/>
    <w:rsid w:val="002F1339"/>
    <w:rsid w:val="002F2B91"/>
    <w:rsid w:val="002F554C"/>
    <w:rsid w:val="002F59AB"/>
    <w:rsid w:val="0030510C"/>
    <w:rsid w:val="00316816"/>
    <w:rsid w:val="00317DEE"/>
    <w:rsid w:val="003222FE"/>
    <w:rsid w:val="0032490C"/>
    <w:rsid w:val="00325AAA"/>
    <w:rsid w:val="003326E9"/>
    <w:rsid w:val="00334E85"/>
    <w:rsid w:val="003357EF"/>
    <w:rsid w:val="003462FE"/>
    <w:rsid w:val="00346375"/>
    <w:rsid w:val="00351847"/>
    <w:rsid w:val="00360A64"/>
    <w:rsid w:val="003629AD"/>
    <w:rsid w:val="00364485"/>
    <w:rsid w:val="00365FAE"/>
    <w:rsid w:val="0037157D"/>
    <w:rsid w:val="00373538"/>
    <w:rsid w:val="00392717"/>
    <w:rsid w:val="003942B3"/>
    <w:rsid w:val="00397897"/>
    <w:rsid w:val="003A1C84"/>
    <w:rsid w:val="003A2A5A"/>
    <w:rsid w:val="003A2B49"/>
    <w:rsid w:val="003A394F"/>
    <w:rsid w:val="003B08AB"/>
    <w:rsid w:val="003B2C7F"/>
    <w:rsid w:val="003B668E"/>
    <w:rsid w:val="003C1402"/>
    <w:rsid w:val="003C1617"/>
    <w:rsid w:val="003C3666"/>
    <w:rsid w:val="003D5F90"/>
    <w:rsid w:val="003E77D4"/>
    <w:rsid w:val="003F71D9"/>
    <w:rsid w:val="00401E7C"/>
    <w:rsid w:val="00411072"/>
    <w:rsid w:val="00417A87"/>
    <w:rsid w:val="00421542"/>
    <w:rsid w:val="004248E2"/>
    <w:rsid w:val="004466EB"/>
    <w:rsid w:val="00452085"/>
    <w:rsid w:val="0045334B"/>
    <w:rsid w:val="00455B72"/>
    <w:rsid w:val="00460ED9"/>
    <w:rsid w:val="00462DE6"/>
    <w:rsid w:val="00466344"/>
    <w:rsid w:val="00474B77"/>
    <w:rsid w:val="00481901"/>
    <w:rsid w:val="004829B5"/>
    <w:rsid w:val="00492FC1"/>
    <w:rsid w:val="00493701"/>
    <w:rsid w:val="004A1F64"/>
    <w:rsid w:val="004A59BF"/>
    <w:rsid w:val="004B1049"/>
    <w:rsid w:val="004B5B8D"/>
    <w:rsid w:val="004B6D9C"/>
    <w:rsid w:val="004B70E4"/>
    <w:rsid w:val="004C13AA"/>
    <w:rsid w:val="004C3F14"/>
    <w:rsid w:val="004C441D"/>
    <w:rsid w:val="004D6BDE"/>
    <w:rsid w:val="004E0447"/>
    <w:rsid w:val="004E7789"/>
    <w:rsid w:val="004F2703"/>
    <w:rsid w:val="004F3ABD"/>
    <w:rsid w:val="00513F1A"/>
    <w:rsid w:val="0051488A"/>
    <w:rsid w:val="00515B1F"/>
    <w:rsid w:val="005201AB"/>
    <w:rsid w:val="0052144B"/>
    <w:rsid w:val="00527084"/>
    <w:rsid w:val="005356CE"/>
    <w:rsid w:val="00542824"/>
    <w:rsid w:val="0055647C"/>
    <w:rsid w:val="00561D2D"/>
    <w:rsid w:val="005875F5"/>
    <w:rsid w:val="0059408E"/>
    <w:rsid w:val="005955EC"/>
    <w:rsid w:val="00595BFF"/>
    <w:rsid w:val="005A0126"/>
    <w:rsid w:val="005A33F4"/>
    <w:rsid w:val="005A4C76"/>
    <w:rsid w:val="005A6FD5"/>
    <w:rsid w:val="005B1EAD"/>
    <w:rsid w:val="005B315A"/>
    <w:rsid w:val="005B6077"/>
    <w:rsid w:val="005C7CB7"/>
    <w:rsid w:val="005D5A2B"/>
    <w:rsid w:val="005D7D12"/>
    <w:rsid w:val="005E4FF4"/>
    <w:rsid w:val="005F10EF"/>
    <w:rsid w:val="005F1921"/>
    <w:rsid w:val="005F2D47"/>
    <w:rsid w:val="005F3C35"/>
    <w:rsid w:val="005F3E15"/>
    <w:rsid w:val="005F432C"/>
    <w:rsid w:val="005F661B"/>
    <w:rsid w:val="005F6D9C"/>
    <w:rsid w:val="00602352"/>
    <w:rsid w:val="0060259C"/>
    <w:rsid w:val="0060384C"/>
    <w:rsid w:val="00605D0E"/>
    <w:rsid w:val="0060761C"/>
    <w:rsid w:val="00611F18"/>
    <w:rsid w:val="00614109"/>
    <w:rsid w:val="006238C9"/>
    <w:rsid w:val="00630C3A"/>
    <w:rsid w:val="00640888"/>
    <w:rsid w:val="00641C9C"/>
    <w:rsid w:val="00647F33"/>
    <w:rsid w:val="00651229"/>
    <w:rsid w:val="00662147"/>
    <w:rsid w:val="00671B5A"/>
    <w:rsid w:val="00672AB9"/>
    <w:rsid w:val="006768A2"/>
    <w:rsid w:val="00677284"/>
    <w:rsid w:val="00681149"/>
    <w:rsid w:val="0068333F"/>
    <w:rsid w:val="006834A6"/>
    <w:rsid w:val="00684A1E"/>
    <w:rsid w:val="0068594F"/>
    <w:rsid w:val="006B0AC6"/>
    <w:rsid w:val="006B3007"/>
    <w:rsid w:val="006B3790"/>
    <w:rsid w:val="006C42EF"/>
    <w:rsid w:val="006C7C1C"/>
    <w:rsid w:val="006D42BC"/>
    <w:rsid w:val="006D7D8B"/>
    <w:rsid w:val="006E0BB7"/>
    <w:rsid w:val="006E5AB1"/>
    <w:rsid w:val="006E6FD0"/>
    <w:rsid w:val="006F4044"/>
    <w:rsid w:val="00711645"/>
    <w:rsid w:val="00712CBA"/>
    <w:rsid w:val="00714FB0"/>
    <w:rsid w:val="00715B8C"/>
    <w:rsid w:val="007229EA"/>
    <w:rsid w:val="00725E22"/>
    <w:rsid w:val="00730354"/>
    <w:rsid w:val="007374CB"/>
    <w:rsid w:val="00740245"/>
    <w:rsid w:val="0074107E"/>
    <w:rsid w:val="007436C5"/>
    <w:rsid w:val="00755B19"/>
    <w:rsid w:val="007579A8"/>
    <w:rsid w:val="007600ED"/>
    <w:rsid w:val="007611BD"/>
    <w:rsid w:val="00771B61"/>
    <w:rsid w:val="007733F5"/>
    <w:rsid w:val="00773801"/>
    <w:rsid w:val="00775C3F"/>
    <w:rsid w:val="00783D3E"/>
    <w:rsid w:val="007875E4"/>
    <w:rsid w:val="00791A6B"/>
    <w:rsid w:val="007A0FD6"/>
    <w:rsid w:val="007A153D"/>
    <w:rsid w:val="007A2306"/>
    <w:rsid w:val="007A38A7"/>
    <w:rsid w:val="007A4F84"/>
    <w:rsid w:val="007B0022"/>
    <w:rsid w:val="007B00F6"/>
    <w:rsid w:val="007B42AE"/>
    <w:rsid w:val="007C0D0D"/>
    <w:rsid w:val="007C2FC3"/>
    <w:rsid w:val="007C4FD1"/>
    <w:rsid w:val="007C5E3A"/>
    <w:rsid w:val="007C7401"/>
    <w:rsid w:val="007D1211"/>
    <w:rsid w:val="007D1F6D"/>
    <w:rsid w:val="007D40BE"/>
    <w:rsid w:val="007D4421"/>
    <w:rsid w:val="007D7515"/>
    <w:rsid w:val="007E10A8"/>
    <w:rsid w:val="007E4C8E"/>
    <w:rsid w:val="007F132D"/>
    <w:rsid w:val="007F5466"/>
    <w:rsid w:val="007F6A47"/>
    <w:rsid w:val="00800CE2"/>
    <w:rsid w:val="00803BE2"/>
    <w:rsid w:val="00804D3A"/>
    <w:rsid w:val="00805F9A"/>
    <w:rsid w:val="00812B16"/>
    <w:rsid w:val="00820120"/>
    <w:rsid w:val="00827E80"/>
    <w:rsid w:val="008319B7"/>
    <w:rsid w:val="0083367A"/>
    <w:rsid w:val="00835042"/>
    <w:rsid w:val="008437C7"/>
    <w:rsid w:val="00843EBD"/>
    <w:rsid w:val="00846989"/>
    <w:rsid w:val="00846B37"/>
    <w:rsid w:val="008477BF"/>
    <w:rsid w:val="00850306"/>
    <w:rsid w:val="00857254"/>
    <w:rsid w:val="008611D6"/>
    <w:rsid w:val="00870483"/>
    <w:rsid w:val="00875C14"/>
    <w:rsid w:val="00877212"/>
    <w:rsid w:val="00881A1F"/>
    <w:rsid w:val="008829D1"/>
    <w:rsid w:val="00886874"/>
    <w:rsid w:val="0088699D"/>
    <w:rsid w:val="00894F34"/>
    <w:rsid w:val="00897BDE"/>
    <w:rsid w:val="008A275F"/>
    <w:rsid w:val="008A27DE"/>
    <w:rsid w:val="008A736D"/>
    <w:rsid w:val="008B05F8"/>
    <w:rsid w:val="008B140F"/>
    <w:rsid w:val="008B154E"/>
    <w:rsid w:val="008C1A1C"/>
    <w:rsid w:val="008C4080"/>
    <w:rsid w:val="008D010D"/>
    <w:rsid w:val="008D1033"/>
    <w:rsid w:val="008E25ED"/>
    <w:rsid w:val="008E2B01"/>
    <w:rsid w:val="008E3C46"/>
    <w:rsid w:val="008F1FDF"/>
    <w:rsid w:val="009011FD"/>
    <w:rsid w:val="009037AD"/>
    <w:rsid w:val="0090410F"/>
    <w:rsid w:val="00905A8C"/>
    <w:rsid w:val="0091222B"/>
    <w:rsid w:val="00920782"/>
    <w:rsid w:val="00923BEF"/>
    <w:rsid w:val="00925BBB"/>
    <w:rsid w:val="00925F8F"/>
    <w:rsid w:val="009356A5"/>
    <w:rsid w:val="00935BDB"/>
    <w:rsid w:val="009414B6"/>
    <w:rsid w:val="00947F45"/>
    <w:rsid w:val="00960474"/>
    <w:rsid w:val="009670B6"/>
    <w:rsid w:val="009708F1"/>
    <w:rsid w:val="009716CD"/>
    <w:rsid w:val="00973A91"/>
    <w:rsid w:val="00973F52"/>
    <w:rsid w:val="00976A96"/>
    <w:rsid w:val="00983E62"/>
    <w:rsid w:val="009859C7"/>
    <w:rsid w:val="0099120B"/>
    <w:rsid w:val="00997524"/>
    <w:rsid w:val="009A16E6"/>
    <w:rsid w:val="009A7FEF"/>
    <w:rsid w:val="009B76F0"/>
    <w:rsid w:val="009C01F8"/>
    <w:rsid w:val="009C381F"/>
    <w:rsid w:val="009C7466"/>
    <w:rsid w:val="009D00DF"/>
    <w:rsid w:val="009D1DAF"/>
    <w:rsid w:val="009D3454"/>
    <w:rsid w:val="009D5189"/>
    <w:rsid w:val="009F4281"/>
    <w:rsid w:val="009F55CE"/>
    <w:rsid w:val="009F755C"/>
    <w:rsid w:val="009F7C9D"/>
    <w:rsid w:val="00A102E0"/>
    <w:rsid w:val="00A124C2"/>
    <w:rsid w:val="00A1373B"/>
    <w:rsid w:val="00A17551"/>
    <w:rsid w:val="00A20D4A"/>
    <w:rsid w:val="00A2362D"/>
    <w:rsid w:val="00A30712"/>
    <w:rsid w:val="00A313E3"/>
    <w:rsid w:val="00A33F5E"/>
    <w:rsid w:val="00A3540F"/>
    <w:rsid w:val="00A360CF"/>
    <w:rsid w:val="00A37C4D"/>
    <w:rsid w:val="00A40649"/>
    <w:rsid w:val="00A54435"/>
    <w:rsid w:val="00A61EE3"/>
    <w:rsid w:val="00A72161"/>
    <w:rsid w:val="00A73A75"/>
    <w:rsid w:val="00A745CF"/>
    <w:rsid w:val="00A755DB"/>
    <w:rsid w:val="00A76D37"/>
    <w:rsid w:val="00A7732C"/>
    <w:rsid w:val="00A80F90"/>
    <w:rsid w:val="00A82286"/>
    <w:rsid w:val="00A836EA"/>
    <w:rsid w:val="00A878B0"/>
    <w:rsid w:val="00A91759"/>
    <w:rsid w:val="00A91C17"/>
    <w:rsid w:val="00A96B1F"/>
    <w:rsid w:val="00AA298B"/>
    <w:rsid w:val="00AA508B"/>
    <w:rsid w:val="00AA7E04"/>
    <w:rsid w:val="00AC1A18"/>
    <w:rsid w:val="00AD164B"/>
    <w:rsid w:val="00AD3A78"/>
    <w:rsid w:val="00AD3ADB"/>
    <w:rsid w:val="00AD496E"/>
    <w:rsid w:val="00AE6660"/>
    <w:rsid w:val="00AE6751"/>
    <w:rsid w:val="00AF0623"/>
    <w:rsid w:val="00AF6152"/>
    <w:rsid w:val="00AF67C2"/>
    <w:rsid w:val="00AF7ACC"/>
    <w:rsid w:val="00B00672"/>
    <w:rsid w:val="00B04BB7"/>
    <w:rsid w:val="00B0620E"/>
    <w:rsid w:val="00B1086D"/>
    <w:rsid w:val="00B13D53"/>
    <w:rsid w:val="00B15F79"/>
    <w:rsid w:val="00B24A2A"/>
    <w:rsid w:val="00B33F96"/>
    <w:rsid w:val="00B3419A"/>
    <w:rsid w:val="00B356E4"/>
    <w:rsid w:val="00B3724F"/>
    <w:rsid w:val="00B3729E"/>
    <w:rsid w:val="00B37D41"/>
    <w:rsid w:val="00B402AF"/>
    <w:rsid w:val="00B41B87"/>
    <w:rsid w:val="00B45E5D"/>
    <w:rsid w:val="00B46B29"/>
    <w:rsid w:val="00B46C9F"/>
    <w:rsid w:val="00B50087"/>
    <w:rsid w:val="00B51E72"/>
    <w:rsid w:val="00B53D27"/>
    <w:rsid w:val="00B55915"/>
    <w:rsid w:val="00B6090F"/>
    <w:rsid w:val="00B64014"/>
    <w:rsid w:val="00B67AB5"/>
    <w:rsid w:val="00B722AE"/>
    <w:rsid w:val="00B735E6"/>
    <w:rsid w:val="00B741FE"/>
    <w:rsid w:val="00B83AA5"/>
    <w:rsid w:val="00B860A6"/>
    <w:rsid w:val="00B919DF"/>
    <w:rsid w:val="00B92C3E"/>
    <w:rsid w:val="00B97628"/>
    <w:rsid w:val="00BA1296"/>
    <w:rsid w:val="00BA29D6"/>
    <w:rsid w:val="00BA3940"/>
    <w:rsid w:val="00BB04DD"/>
    <w:rsid w:val="00BB05EB"/>
    <w:rsid w:val="00BB1B17"/>
    <w:rsid w:val="00BB323B"/>
    <w:rsid w:val="00BB64BA"/>
    <w:rsid w:val="00BC2900"/>
    <w:rsid w:val="00BC2AE7"/>
    <w:rsid w:val="00BC4D34"/>
    <w:rsid w:val="00BD24AB"/>
    <w:rsid w:val="00BD270A"/>
    <w:rsid w:val="00BE195B"/>
    <w:rsid w:val="00BF18D3"/>
    <w:rsid w:val="00BF1E2C"/>
    <w:rsid w:val="00BF793D"/>
    <w:rsid w:val="00C00551"/>
    <w:rsid w:val="00C01161"/>
    <w:rsid w:val="00C02194"/>
    <w:rsid w:val="00C04BF3"/>
    <w:rsid w:val="00C076DE"/>
    <w:rsid w:val="00C14006"/>
    <w:rsid w:val="00C14408"/>
    <w:rsid w:val="00C25DA1"/>
    <w:rsid w:val="00C2648F"/>
    <w:rsid w:val="00C26B0E"/>
    <w:rsid w:val="00C31F8D"/>
    <w:rsid w:val="00C42069"/>
    <w:rsid w:val="00C65780"/>
    <w:rsid w:val="00C657D8"/>
    <w:rsid w:val="00C6589B"/>
    <w:rsid w:val="00C66B37"/>
    <w:rsid w:val="00C73AE8"/>
    <w:rsid w:val="00C75813"/>
    <w:rsid w:val="00C761FB"/>
    <w:rsid w:val="00C81E63"/>
    <w:rsid w:val="00C826F3"/>
    <w:rsid w:val="00C878F9"/>
    <w:rsid w:val="00C9009F"/>
    <w:rsid w:val="00C92685"/>
    <w:rsid w:val="00C95F3E"/>
    <w:rsid w:val="00C978AA"/>
    <w:rsid w:val="00CA16BA"/>
    <w:rsid w:val="00CA231A"/>
    <w:rsid w:val="00CA5339"/>
    <w:rsid w:val="00CB2EB8"/>
    <w:rsid w:val="00CB789B"/>
    <w:rsid w:val="00CC42CE"/>
    <w:rsid w:val="00CC6858"/>
    <w:rsid w:val="00CD0739"/>
    <w:rsid w:val="00CD1D59"/>
    <w:rsid w:val="00CD1DB8"/>
    <w:rsid w:val="00CD2238"/>
    <w:rsid w:val="00CD283E"/>
    <w:rsid w:val="00CD4383"/>
    <w:rsid w:val="00CE14F4"/>
    <w:rsid w:val="00CE46FA"/>
    <w:rsid w:val="00CF1EA7"/>
    <w:rsid w:val="00CF37B5"/>
    <w:rsid w:val="00D00E93"/>
    <w:rsid w:val="00D03CE8"/>
    <w:rsid w:val="00D052FF"/>
    <w:rsid w:val="00D1389A"/>
    <w:rsid w:val="00D14C7B"/>
    <w:rsid w:val="00D215C9"/>
    <w:rsid w:val="00D24269"/>
    <w:rsid w:val="00D3718B"/>
    <w:rsid w:val="00D419D9"/>
    <w:rsid w:val="00D426EF"/>
    <w:rsid w:val="00D43098"/>
    <w:rsid w:val="00D45B97"/>
    <w:rsid w:val="00D46670"/>
    <w:rsid w:val="00D50596"/>
    <w:rsid w:val="00D578A4"/>
    <w:rsid w:val="00D60C1F"/>
    <w:rsid w:val="00D61BA7"/>
    <w:rsid w:val="00D65EC2"/>
    <w:rsid w:val="00D6720B"/>
    <w:rsid w:val="00D74C0A"/>
    <w:rsid w:val="00D7550E"/>
    <w:rsid w:val="00D80FFD"/>
    <w:rsid w:val="00D82EDA"/>
    <w:rsid w:val="00D90852"/>
    <w:rsid w:val="00D94EB6"/>
    <w:rsid w:val="00D9572E"/>
    <w:rsid w:val="00D958E6"/>
    <w:rsid w:val="00D95F38"/>
    <w:rsid w:val="00D96B5E"/>
    <w:rsid w:val="00D978B2"/>
    <w:rsid w:val="00DA3917"/>
    <w:rsid w:val="00DA3A1F"/>
    <w:rsid w:val="00DA62BF"/>
    <w:rsid w:val="00DA6369"/>
    <w:rsid w:val="00DA71A4"/>
    <w:rsid w:val="00DB79C9"/>
    <w:rsid w:val="00DC0575"/>
    <w:rsid w:val="00DC1347"/>
    <w:rsid w:val="00DC3160"/>
    <w:rsid w:val="00DC47F1"/>
    <w:rsid w:val="00DD433C"/>
    <w:rsid w:val="00DD696D"/>
    <w:rsid w:val="00DE1E76"/>
    <w:rsid w:val="00DF22F6"/>
    <w:rsid w:val="00DF27EB"/>
    <w:rsid w:val="00DF72B2"/>
    <w:rsid w:val="00E02708"/>
    <w:rsid w:val="00E02E32"/>
    <w:rsid w:val="00E074FE"/>
    <w:rsid w:val="00E10576"/>
    <w:rsid w:val="00E13248"/>
    <w:rsid w:val="00E15AF4"/>
    <w:rsid w:val="00E218E1"/>
    <w:rsid w:val="00E30632"/>
    <w:rsid w:val="00E31816"/>
    <w:rsid w:val="00E349DF"/>
    <w:rsid w:val="00E41045"/>
    <w:rsid w:val="00E51DF5"/>
    <w:rsid w:val="00E55C4F"/>
    <w:rsid w:val="00E6284C"/>
    <w:rsid w:val="00E62E7F"/>
    <w:rsid w:val="00E7578A"/>
    <w:rsid w:val="00E75B62"/>
    <w:rsid w:val="00E82CBD"/>
    <w:rsid w:val="00E84A10"/>
    <w:rsid w:val="00E872DD"/>
    <w:rsid w:val="00E87E02"/>
    <w:rsid w:val="00E96DC8"/>
    <w:rsid w:val="00E96E2D"/>
    <w:rsid w:val="00EA1B22"/>
    <w:rsid w:val="00EA2EF1"/>
    <w:rsid w:val="00EA4F1F"/>
    <w:rsid w:val="00EA6331"/>
    <w:rsid w:val="00EA6D16"/>
    <w:rsid w:val="00EC55AE"/>
    <w:rsid w:val="00EC7B77"/>
    <w:rsid w:val="00ED19D0"/>
    <w:rsid w:val="00ED30D3"/>
    <w:rsid w:val="00EE251E"/>
    <w:rsid w:val="00F015E7"/>
    <w:rsid w:val="00F04737"/>
    <w:rsid w:val="00F04B63"/>
    <w:rsid w:val="00F10C8A"/>
    <w:rsid w:val="00F143F6"/>
    <w:rsid w:val="00F16A1C"/>
    <w:rsid w:val="00F1713B"/>
    <w:rsid w:val="00F25997"/>
    <w:rsid w:val="00F260AA"/>
    <w:rsid w:val="00F40AC5"/>
    <w:rsid w:val="00F4105A"/>
    <w:rsid w:val="00F41AAE"/>
    <w:rsid w:val="00F47278"/>
    <w:rsid w:val="00F5724E"/>
    <w:rsid w:val="00F62D55"/>
    <w:rsid w:val="00F63AFE"/>
    <w:rsid w:val="00F66224"/>
    <w:rsid w:val="00F66632"/>
    <w:rsid w:val="00F729C2"/>
    <w:rsid w:val="00F72C39"/>
    <w:rsid w:val="00F73322"/>
    <w:rsid w:val="00F7340B"/>
    <w:rsid w:val="00F7577B"/>
    <w:rsid w:val="00F757F9"/>
    <w:rsid w:val="00F7632B"/>
    <w:rsid w:val="00F76BCF"/>
    <w:rsid w:val="00F8317E"/>
    <w:rsid w:val="00F848D6"/>
    <w:rsid w:val="00F86EB8"/>
    <w:rsid w:val="00F90037"/>
    <w:rsid w:val="00F925D2"/>
    <w:rsid w:val="00F94173"/>
    <w:rsid w:val="00F943D9"/>
    <w:rsid w:val="00FA1168"/>
    <w:rsid w:val="00FB00BD"/>
    <w:rsid w:val="00FB021B"/>
    <w:rsid w:val="00FB2473"/>
    <w:rsid w:val="00FB410B"/>
    <w:rsid w:val="00FC3775"/>
    <w:rsid w:val="00FC46CA"/>
    <w:rsid w:val="00FD23DF"/>
    <w:rsid w:val="00FE43AD"/>
    <w:rsid w:val="00FF086B"/>
    <w:rsid w:val="00FF2A47"/>
    <w:rsid w:val="00FF3ACD"/>
    <w:rsid w:val="00FF739D"/>
    <w:rsid w:val="014A2884"/>
    <w:rsid w:val="014E2C6E"/>
    <w:rsid w:val="01895A15"/>
    <w:rsid w:val="01934ACE"/>
    <w:rsid w:val="01A251BB"/>
    <w:rsid w:val="01D45461"/>
    <w:rsid w:val="01D750A1"/>
    <w:rsid w:val="01E615A6"/>
    <w:rsid w:val="021B6D5F"/>
    <w:rsid w:val="02284ADD"/>
    <w:rsid w:val="02B12177"/>
    <w:rsid w:val="02B5695A"/>
    <w:rsid w:val="02C47392"/>
    <w:rsid w:val="02CF2436"/>
    <w:rsid w:val="03073BEE"/>
    <w:rsid w:val="030B6B80"/>
    <w:rsid w:val="03624262"/>
    <w:rsid w:val="03943D52"/>
    <w:rsid w:val="03B94246"/>
    <w:rsid w:val="03BC1A6E"/>
    <w:rsid w:val="03DA4E73"/>
    <w:rsid w:val="03DA6A75"/>
    <w:rsid w:val="03E50403"/>
    <w:rsid w:val="042A6EF2"/>
    <w:rsid w:val="04361ECC"/>
    <w:rsid w:val="04472E1A"/>
    <w:rsid w:val="044E4A63"/>
    <w:rsid w:val="045828E2"/>
    <w:rsid w:val="04590BDE"/>
    <w:rsid w:val="049C52E1"/>
    <w:rsid w:val="04A32831"/>
    <w:rsid w:val="04AC5B58"/>
    <w:rsid w:val="04C26FFF"/>
    <w:rsid w:val="04C65DBE"/>
    <w:rsid w:val="04DC6DDE"/>
    <w:rsid w:val="04E571B3"/>
    <w:rsid w:val="04F35656"/>
    <w:rsid w:val="050C3373"/>
    <w:rsid w:val="055F574E"/>
    <w:rsid w:val="059C3C9B"/>
    <w:rsid w:val="05A86DB4"/>
    <w:rsid w:val="05B55B51"/>
    <w:rsid w:val="06031FE0"/>
    <w:rsid w:val="06115944"/>
    <w:rsid w:val="066B02F1"/>
    <w:rsid w:val="067153D9"/>
    <w:rsid w:val="06A10E73"/>
    <w:rsid w:val="06CC073A"/>
    <w:rsid w:val="06EF1DC7"/>
    <w:rsid w:val="073100D7"/>
    <w:rsid w:val="07424DCD"/>
    <w:rsid w:val="0743527F"/>
    <w:rsid w:val="076219C2"/>
    <w:rsid w:val="076330EC"/>
    <w:rsid w:val="077878E9"/>
    <w:rsid w:val="07B66997"/>
    <w:rsid w:val="07CF51C8"/>
    <w:rsid w:val="07ED0C6C"/>
    <w:rsid w:val="08070131"/>
    <w:rsid w:val="080E1154"/>
    <w:rsid w:val="080E60A3"/>
    <w:rsid w:val="086E4CD8"/>
    <w:rsid w:val="08AE0884"/>
    <w:rsid w:val="08EC5A20"/>
    <w:rsid w:val="09047DE0"/>
    <w:rsid w:val="0912279D"/>
    <w:rsid w:val="096046BD"/>
    <w:rsid w:val="09632F72"/>
    <w:rsid w:val="099136EC"/>
    <w:rsid w:val="09B266E1"/>
    <w:rsid w:val="09C20645"/>
    <w:rsid w:val="09C3197A"/>
    <w:rsid w:val="09C645FB"/>
    <w:rsid w:val="09FC4BA8"/>
    <w:rsid w:val="0A27263E"/>
    <w:rsid w:val="0A3479D3"/>
    <w:rsid w:val="0A6C47CB"/>
    <w:rsid w:val="0A8E1F88"/>
    <w:rsid w:val="0A975430"/>
    <w:rsid w:val="0AC85CAD"/>
    <w:rsid w:val="0AEC5F5D"/>
    <w:rsid w:val="0B24640E"/>
    <w:rsid w:val="0B2C6897"/>
    <w:rsid w:val="0B383907"/>
    <w:rsid w:val="0B786563"/>
    <w:rsid w:val="0B945E6E"/>
    <w:rsid w:val="0BB2520B"/>
    <w:rsid w:val="0BE332CE"/>
    <w:rsid w:val="0C1641E3"/>
    <w:rsid w:val="0C1B1FB3"/>
    <w:rsid w:val="0C3E46FA"/>
    <w:rsid w:val="0CC04842"/>
    <w:rsid w:val="0CF82AD8"/>
    <w:rsid w:val="0D016291"/>
    <w:rsid w:val="0D232CDB"/>
    <w:rsid w:val="0DA1246B"/>
    <w:rsid w:val="0DA66D9D"/>
    <w:rsid w:val="0DAB314C"/>
    <w:rsid w:val="0DB61FD4"/>
    <w:rsid w:val="0E654122"/>
    <w:rsid w:val="0E6E31CA"/>
    <w:rsid w:val="0E8F4247"/>
    <w:rsid w:val="0E907F81"/>
    <w:rsid w:val="0EA31D7A"/>
    <w:rsid w:val="0EA925F1"/>
    <w:rsid w:val="0EEA79A9"/>
    <w:rsid w:val="0F151FFC"/>
    <w:rsid w:val="0F1D7A2A"/>
    <w:rsid w:val="0F3670E8"/>
    <w:rsid w:val="0F3826C7"/>
    <w:rsid w:val="0F4469EE"/>
    <w:rsid w:val="0F6611A1"/>
    <w:rsid w:val="0F9E30B5"/>
    <w:rsid w:val="0FB27425"/>
    <w:rsid w:val="0FBD2749"/>
    <w:rsid w:val="10431A7C"/>
    <w:rsid w:val="105902B8"/>
    <w:rsid w:val="106242B9"/>
    <w:rsid w:val="106B75D3"/>
    <w:rsid w:val="10A475D3"/>
    <w:rsid w:val="10B24E8A"/>
    <w:rsid w:val="10BF210B"/>
    <w:rsid w:val="10CE3BEF"/>
    <w:rsid w:val="10F772D2"/>
    <w:rsid w:val="111B73A5"/>
    <w:rsid w:val="11985BE1"/>
    <w:rsid w:val="11C26154"/>
    <w:rsid w:val="11C97F38"/>
    <w:rsid w:val="11E7434C"/>
    <w:rsid w:val="123918A0"/>
    <w:rsid w:val="124720BF"/>
    <w:rsid w:val="125701A1"/>
    <w:rsid w:val="126560DB"/>
    <w:rsid w:val="129648AA"/>
    <w:rsid w:val="12B07703"/>
    <w:rsid w:val="12DB012C"/>
    <w:rsid w:val="12F04947"/>
    <w:rsid w:val="133053DB"/>
    <w:rsid w:val="135728F1"/>
    <w:rsid w:val="137F3328"/>
    <w:rsid w:val="13952132"/>
    <w:rsid w:val="13A7425A"/>
    <w:rsid w:val="13AF402D"/>
    <w:rsid w:val="142A3D0F"/>
    <w:rsid w:val="14AF52EE"/>
    <w:rsid w:val="1510125A"/>
    <w:rsid w:val="155F2379"/>
    <w:rsid w:val="158821A0"/>
    <w:rsid w:val="159A0216"/>
    <w:rsid w:val="15BD7949"/>
    <w:rsid w:val="15C52669"/>
    <w:rsid w:val="15FA5079"/>
    <w:rsid w:val="16044D1A"/>
    <w:rsid w:val="162B750A"/>
    <w:rsid w:val="162F3199"/>
    <w:rsid w:val="1649585B"/>
    <w:rsid w:val="164E2D17"/>
    <w:rsid w:val="166961E3"/>
    <w:rsid w:val="166A3899"/>
    <w:rsid w:val="168148A3"/>
    <w:rsid w:val="169A1EB1"/>
    <w:rsid w:val="169A5D17"/>
    <w:rsid w:val="16D613F5"/>
    <w:rsid w:val="170567D4"/>
    <w:rsid w:val="17311435"/>
    <w:rsid w:val="17426CD9"/>
    <w:rsid w:val="1742713E"/>
    <w:rsid w:val="174E0E4B"/>
    <w:rsid w:val="17607268"/>
    <w:rsid w:val="17652015"/>
    <w:rsid w:val="176522C3"/>
    <w:rsid w:val="177F4D9C"/>
    <w:rsid w:val="17B91D3A"/>
    <w:rsid w:val="17C42285"/>
    <w:rsid w:val="17CA438B"/>
    <w:rsid w:val="18712193"/>
    <w:rsid w:val="18757805"/>
    <w:rsid w:val="18793906"/>
    <w:rsid w:val="18B83278"/>
    <w:rsid w:val="18C33FE5"/>
    <w:rsid w:val="190F7BF1"/>
    <w:rsid w:val="1926429E"/>
    <w:rsid w:val="194D2932"/>
    <w:rsid w:val="198343CA"/>
    <w:rsid w:val="1990656E"/>
    <w:rsid w:val="19D55ACF"/>
    <w:rsid w:val="19E73CA3"/>
    <w:rsid w:val="19FD7601"/>
    <w:rsid w:val="1A347747"/>
    <w:rsid w:val="1AB8065C"/>
    <w:rsid w:val="1ABA7BFE"/>
    <w:rsid w:val="1AC50AD0"/>
    <w:rsid w:val="1AE201E3"/>
    <w:rsid w:val="1AE91918"/>
    <w:rsid w:val="1B30162C"/>
    <w:rsid w:val="1B4E010B"/>
    <w:rsid w:val="1B9C2FAF"/>
    <w:rsid w:val="1BA17641"/>
    <w:rsid w:val="1BBD7567"/>
    <w:rsid w:val="1BE024EA"/>
    <w:rsid w:val="1BE5703B"/>
    <w:rsid w:val="1BE57827"/>
    <w:rsid w:val="1C622223"/>
    <w:rsid w:val="1C6B0F1A"/>
    <w:rsid w:val="1C7A4F56"/>
    <w:rsid w:val="1CBD5474"/>
    <w:rsid w:val="1CC81B5A"/>
    <w:rsid w:val="1CD0540C"/>
    <w:rsid w:val="1CD508CA"/>
    <w:rsid w:val="1CEE06CB"/>
    <w:rsid w:val="1CF163A7"/>
    <w:rsid w:val="1D092B8C"/>
    <w:rsid w:val="1D3D2FC3"/>
    <w:rsid w:val="1DD110E3"/>
    <w:rsid w:val="1E6626FA"/>
    <w:rsid w:val="1E7F5DE2"/>
    <w:rsid w:val="1ECA481E"/>
    <w:rsid w:val="1F1A3765"/>
    <w:rsid w:val="1F2F286E"/>
    <w:rsid w:val="1F6A593A"/>
    <w:rsid w:val="1FAC23CF"/>
    <w:rsid w:val="200077F3"/>
    <w:rsid w:val="202A40A9"/>
    <w:rsid w:val="20760A30"/>
    <w:rsid w:val="20C31F68"/>
    <w:rsid w:val="20DC5F09"/>
    <w:rsid w:val="20E902A1"/>
    <w:rsid w:val="211B36D5"/>
    <w:rsid w:val="212E1C8C"/>
    <w:rsid w:val="21475D71"/>
    <w:rsid w:val="215E7808"/>
    <w:rsid w:val="219A0F9F"/>
    <w:rsid w:val="21AA7601"/>
    <w:rsid w:val="21BE4F5B"/>
    <w:rsid w:val="21EC5502"/>
    <w:rsid w:val="21FC16C7"/>
    <w:rsid w:val="22073251"/>
    <w:rsid w:val="221955A0"/>
    <w:rsid w:val="221C0D3B"/>
    <w:rsid w:val="221C369C"/>
    <w:rsid w:val="226D7F6C"/>
    <w:rsid w:val="228D0920"/>
    <w:rsid w:val="22CB7977"/>
    <w:rsid w:val="2309151A"/>
    <w:rsid w:val="23472C07"/>
    <w:rsid w:val="23480ECB"/>
    <w:rsid w:val="238F0190"/>
    <w:rsid w:val="23934782"/>
    <w:rsid w:val="23E93A07"/>
    <w:rsid w:val="23FA1FE5"/>
    <w:rsid w:val="24296586"/>
    <w:rsid w:val="24A1654B"/>
    <w:rsid w:val="24A37336"/>
    <w:rsid w:val="24F133E8"/>
    <w:rsid w:val="250F3673"/>
    <w:rsid w:val="25290E08"/>
    <w:rsid w:val="253128EE"/>
    <w:rsid w:val="254A0EB7"/>
    <w:rsid w:val="25B0635E"/>
    <w:rsid w:val="25EB74E7"/>
    <w:rsid w:val="25EE6506"/>
    <w:rsid w:val="26140AF9"/>
    <w:rsid w:val="262D66A1"/>
    <w:rsid w:val="26315548"/>
    <w:rsid w:val="26325154"/>
    <w:rsid w:val="263E2D7B"/>
    <w:rsid w:val="26413EFB"/>
    <w:rsid w:val="2652556A"/>
    <w:rsid w:val="26A13553"/>
    <w:rsid w:val="26B53530"/>
    <w:rsid w:val="26D44D6F"/>
    <w:rsid w:val="26E71D38"/>
    <w:rsid w:val="278542BB"/>
    <w:rsid w:val="27C9309C"/>
    <w:rsid w:val="27D35027"/>
    <w:rsid w:val="284D295F"/>
    <w:rsid w:val="286E16CA"/>
    <w:rsid w:val="287220A2"/>
    <w:rsid w:val="287B7DD3"/>
    <w:rsid w:val="28A16085"/>
    <w:rsid w:val="29394C06"/>
    <w:rsid w:val="295B126C"/>
    <w:rsid w:val="296B30DF"/>
    <w:rsid w:val="2979531C"/>
    <w:rsid w:val="298D1074"/>
    <w:rsid w:val="29EF61A1"/>
    <w:rsid w:val="2A384643"/>
    <w:rsid w:val="2A931932"/>
    <w:rsid w:val="2A9A2A47"/>
    <w:rsid w:val="2AB2301D"/>
    <w:rsid w:val="2B0F281A"/>
    <w:rsid w:val="2BF85B98"/>
    <w:rsid w:val="2C2059D6"/>
    <w:rsid w:val="2C2D0713"/>
    <w:rsid w:val="2C9F0988"/>
    <w:rsid w:val="2CF24903"/>
    <w:rsid w:val="2E043F02"/>
    <w:rsid w:val="2EF86046"/>
    <w:rsid w:val="2F126410"/>
    <w:rsid w:val="2F4F1F8D"/>
    <w:rsid w:val="2F544FEB"/>
    <w:rsid w:val="2F637967"/>
    <w:rsid w:val="2F6571D5"/>
    <w:rsid w:val="2F722F13"/>
    <w:rsid w:val="2F7A0872"/>
    <w:rsid w:val="2F7C5846"/>
    <w:rsid w:val="2F8F3F29"/>
    <w:rsid w:val="2F9D3839"/>
    <w:rsid w:val="2FE36023"/>
    <w:rsid w:val="2FE94CEB"/>
    <w:rsid w:val="300C444A"/>
    <w:rsid w:val="303D249A"/>
    <w:rsid w:val="304E7940"/>
    <w:rsid w:val="30651C43"/>
    <w:rsid w:val="30A752A2"/>
    <w:rsid w:val="30BB0A5A"/>
    <w:rsid w:val="311F1648"/>
    <w:rsid w:val="314D5985"/>
    <w:rsid w:val="315D6C81"/>
    <w:rsid w:val="31A96BB6"/>
    <w:rsid w:val="31CC2A31"/>
    <w:rsid w:val="31E249E4"/>
    <w:rsid w:val="323B2146"/>
    <w:rsid w:val="326B7BD4"/>
    <w:rsid w:val="32AA6D21"/>
    <w:rsid w:val="32EB38F5"/>
    <w:rsid w:val="3300311F"/>
    <w:rsid w:val="330A3880"/>
    <w:rsid w:val="332F4C8B"/>
    <w:rsid w:val="3333106F"/>
    <w:rsid w:val="333824E2"/>
    <w:rsid w:val="33460DA3"/>
    <w:rsid w:val="33770C77"/>
    <w:rsid w:val="33830BB2"/>
    <w:rsid w:val="338F47AA"/>
    <w:rsid w:val="339E5333"/>
    <w:rsid w:val="33AB7C6C"/>
    <w:rsid w:val="33E73F11"/>
    <w:rsid w:val="33F734D7"/>
    <w:rsid w:val="33FE167D"/>
    <w:rsid w:val="341257FF"/>
    <w:rsid w:val="34406138"/>
    <w:rsid w:val="34414FB8"/>
    <w:rsid w:val="34496BF1"/>
    <w:rsid w:val="345B429A"/>
    <w:rsid w:val="345C6C4A"/>
    <w:rsid w:val="34BB28B0"/>
    <w:rsid w:val="34EA5593"/>
    <w:rsid w:val="34F10BD4"/>
    <w:rsid w:val="350D0944"/>
    <w:rsid w:val="3522698E"/>
    <w:rsid w:val="35347567"/>
    <w:rsid w:val="35383F50"/>
    <w:rsid w:val="353A1412"/>
    <w:rsid w:val="35AC3252"/>
    <w:rsid w:val="35CB4BB3"/>
    <w:rsid w:val="35F9331B"/>
    <w:rsid w:val="36070ECF"/>
    <w:rsid w:val="360E59BF"/>
    <w:rsid w:val="3610760E"/>
    <w:rsid w:val="364079C2"/>
    <w:rsid w:val="36700DBE"/>
    <w:rsid w:val="36925820"/>
    <w:rsid w:val="36DE10CA"/>
    <w:rsid w:val="36F45023"/>
    <w:rsid w:val="370568B4"/>
    <w:rsid w:val="37273E10"/>
    <w:rsid w:val="37592762"/>
    <w:rsid w:val="379852A0"/>
    <w:rsid w:val="37F37DEE"/>
    <w:rsid w:val="38220F55"/>
    <w:rsid w:val="383E65A9"/>
    <w:rsid w:val="38402A50"/>
    <w:rsid w:val="385D0A2E"/>
    <w:rsid w:val="385F6C9F"/>
    <w:rsid w:val="386477AC"/>
    <w:rsid w:val="3886048C"/>
    <w:rsid w:val="3910125E"/>
    <w:rsid w:val="391B08D8"/>
    <w:rsid w:val="39282064"/>
    <w:rsid w:val="39377765"/>
    <w:rsid w:val="393C4E73"/>
    <w:rsid w:val="396F2735"/>
    <w:rsid w:val="39DE50A0"/>
    <w:rsid w:val="39DE7E2F"/>
    <w:rsid w:val="3A192641"/>
    <w:rsid w:val="3A3179EE"/>
    <w:rsid w:val="3A396F6B"/>
    <w:rsid w:val="3A650330"/>
    <w:rsid w:val="3A952957"/>
    <w:rsid w:val="3A991E73"/>
    <w:rsid w:val="3AA6310A"/>
    <w:rsid w:val="3AC53EAD"/>
    <w:rsid w:val="3AE03026"/>
    <w:rsid w:val="3AEC3643"/>
    <w:rsid w:val="3AF83EE0"/>
    <w:rsid w:val="3AFD44AA"/>
    <w:rsid w:val="3B251279"/>
    <w:rsid w:val="3B5341A9"/>
    <w:rsid w:val="3B864FF9"/>
    <w:rsid w:val="3BA725FA"/>
    <w:rsid w:val="3BE063D9"/>
    <w:rsid w:val="3C2212C6"/>
    <w:rsid w:val="3C3A2213"/>
    <w:rsid w:val="3C431320"/>
    <w:rsid w:val="3C595D57"/>
    <w:rsid w:val="3C9A23CE"/>
    <w:rsid w:val="3CE74187"/>
    <w:rsid w:val="3D4225DB"/>
    <w:rsid w:val="3D680404"/>
    <w:rsid w:val="3D932E36"/>
    <w:rsid w:val="3DAF5796"/>
    <w:rsid w:val="3DBF3C2B"/>
    <w:rsid w:val="3DFE6F85"/>
    <w:rsid w:val="3E504D52"/>
    <w:rsid w:val="3EBD1A8A"/>
    <w:rsid w:val="3EEF22EE"/>
    <w:rsid w:val="3F0A2BC8"/>
    <w:rsid w:val="3F9F16C8"/>
    <w:rsid w:val="3FCE064E"/>
    <w:rsid w:val="4011397A"/>
    <w:rsid w:val="402E0BB6"/>
    <w:rsid w:val="403F6D29"/>
    <w:rsid w:val="40467887"/>
    <w:rsid w:val="404E74E8"/>
    <w:rsid w:val="405C6420"/>
    <w:rsid w:val="409872E2"/>
    <w:rsid w:val="410705DA"/>
    <w:rsid w:val="41296DC8"/>
    <w:rsid w:val="412E1951"/>
    <w:rsid w:val="41354385"/>
    <w:rsid w:val="414C206B"/>
    <w:rsid w:val="41786687"/>
    <w:rsid w:val="41E570E0"/>
    <w:rsid w:val="41FC2C11"/>
    <w:rsid w:val="4202058A"/>
    <w:rsid w:val="42131902"/>
    <w:rsid w:val="421542A3"/>
    <w:rsid w:val="427061BD"/>
    <w:rsid w:val="42E24ED3"/>
    <w:rsid w:val="43245CB5"/>
    <w:rsid w:val="43A770BC"/>
    <w:rsid w:val="43C25923"/>
    <w:rsid w:val="44022E18"/>
    <w:rsid w:val="440F2325"/>
    <w:rsid w:val="4486458F"/>
    <w:rsid w:val="44885289"/>
    <w:rsid w:val="449523A9"/>
    <w:rsid w:val="44D46842"/>
    <w:rsid w:val="44EC1885"/>
    <w:rsid w:val="44EE4491"/>
    <w:rsid w:val="456C4DB3"/>
    <w:rsid w:val="459371BC"/>
    <w:rsid w:val="459C373C"/>
    <w:rsid w:val="45AC0555"/>
    <w:rsid w:val="45D340FC"/>
    <w:rsid w:val="45F724B3"/>
    <w:rsid w:val="460743C1"/>
    <w:rsid w:val="46501B0A"/>
    <w:rsid w:val="46562A5A"/>
    <w:rsid w:val="46715CDF"/>
    <w:rsid w:val="46A0067D"/>
    <w:rsid w:val="46DD2784"/>
    <w:rsid w:val="47121270"/>
    <w:rsid w:val="473424C0"/>
    <w:rsid w:val="475C2F9D"/>
    <w:rsid w:val="476D64A6"/>
    <w:rsid w:val="47C62F79"/>
    <w:rsid w:val="47E63A9F"/>
    <w:rsid w:val="48151B95"/>
    <w:rsid w:val="484B3BD9"/>
    <w:rsid w:val="486F3D0E"/>
    <w:rsid w:val="48744123"/>
    <w:rsid w:val="487951E3"/>
    <w:rsid w:val="48A028AB"/>
    <w:rsid w:val="48D32E01"/>
    <w:rsid w:val="48EC5E17"/>
    <w:rsid w:val="49180694"/>
    <w:rsid w:val="492F525E"/>
    <w:rsid w:val="49904770"/>
    <w:rsid w:val="49A52204"/>
    <w:rsid w:val="49E83317"/>
    <w:rsid w:val="49EF0B04"/>
    <w:rsid w:val="49F357B9"/>
    <w:rsid w:val="49FE0F21"/>
    <w:rsid w:val="4A5B6625"/>
    <w:rsid w:val="4A5E2A1E"/>
    <w:rsid w:val="4A68526F"/>
    <w:rsid w:val="4A9949FB"/>
    <w:rsid w:val="4AA6424D"/>
    <w:rsid w:val="4ADB0FDC"/>
    <w:rsid w:val="4B0D423D"/>
    <w:rsid w:val="4B632FF4"/>
    <w:rsid w:val="4B9D6431"/>
    <w:rsid w:val="4BB76C20"/>
    <w:rsid w:val="4BDC6444"/>
    <w:rsid w:val="4BEA5945"/>
    <w:rsid w:val="4BF22AEB"/>
    <w:rsid w:val="4BF929FE"/>
    <w:rsid w:val="4C18790A"/>
    <w:rsid w:val="4C204A88"/>
    <w:rsid w:val="4C430405"/>
    <w:rsid w:val="4C4B5614"/>
    <w:rsid w:val="4C556E4C"/>
    <w:rsid w:val="4C6D6F43"/>
    <w:rsid w:val="4C7A0E3F"/>
    <w:rsid w:val="4C845869"/>
    <w:rsid w:val="4CB13B3B"/>
    <w:rsid w:val="4CEC57D7"/>
    <w:rsid w:val="4CFF446B"/>
    <w:rsid w:val="4D6F4C04"/>
    <w:rsid w:val="4D793C73"/>
    <w:rsid w:val="4E052B5A"/>
    <w:rsid w:val="4E116522"/>
    <w:rsid w:val="4E3611F3"/>
    <w:rsid w:val="4E3905F9"/>
    <w:rsid w:val="4EDC047E"/>
    <w:rsid w:val="4EE67725"/>
    <w:rsid w:val="4EE82D8A"/>
    <w:rsid w:val="4F4971EE"/>
    <w:rsid w:val="4F654E71"/>
    <w:rsid w:val="4F73444A"/>
    <w:rsid w:val="4F7510F8"/>
    <w:rsid w:val="4F806F93"/>
    <w:rsid w:val="50040EC3"/>
    <w:rsid w:val="500D2A2B"/>
    <w:rsid w:val="50770340"/>
    <w:rsid w:val="50A346D7"/>
    <w:rsid w:val="50AD54A8"/>
    <w:rsid w:val="50CF78FD"/>
    <w:rsid w:val="50EF3A1C"/>
    <w:rsid w:val="519C38F5"/>
    <w:rsid w:val="51FE1394"/>
    <w:rsid w:val="522B1F9A"/>
    <w:rsid w:val="5237602E"/>
    <w:rsid w:val="52645D6A"/>
    <w:rsid w:val="5268443A"/>
    <w:rsid w:val="53116202"/>
    <w:rsid w:val="531E0F9C"/>
    <w:rsid w:val="535E43A0"/>
    <w:rsid w:val="535F3244"/>
    <w:rsid w:val="53681D5E"/>
    <w:rsid w:val="53867493"/>
    <w:rsid w:val="541A79B6"/>
    <w:rsid w:val="54AC2DCA"/>
    <w:rsid w:val="54B91C4A"/>
    <w:rsid w:val="54B95DED"/>
    <w:rsid w:val="54E526AA"/>
    <w:rsid w:val="54E72726"/>
    <w:rsid w:val="54FE4544"/>
    <w:rsid w:val="55422C34"/>
    <w:rsid w:val="55706A8F"/>
    <w:rsid w:val="55811974"/>
    <w:rsid w:val="55D342C0"/>
    <w:rsid w:val="560E01AA"/>
    <w:rsid w:val="56992171"/>
    <w:rsid w:val="56C453C6"/>
    <w:rsid w:val="56CF5EB8"/>
    <w:rsid w:val="5737065C"/>
    <w:rsid w:val="573F6D00"/>
    <w:rsid w:val="577E025B"/>
    <w:rsid w:val="57923BF9"/>
    <w:rsid w:val="579B631A"/>
    <w:rsid w:val="57AB5E65"/>
    <w:rsid w:val="57B960E8"/>
    <w:rsid w:val="57E036C7"/>
    <w:rsid w:val="5800540D"/>
    <w:rsid w:val="58315AF0"/>
    <w:rsid w:val="58516251"/>
    <w:rsid w:val="585427F8"/>
    <w:rsid w:val="5874634B"/>
    <w:rsid w:val="588E1261"/>
    <w:rsid w:val="5898359F"/>
    <w:rsid w:val="58AD474E"/>
    <w:rsid w:val="58BE32C0"/>
    <w:rsid w:val="58FC43E9"/>
    <w:rsid w:val="5905624B"/>
    <w:rsid w:val="594E777C"/>
    <w:rsid w:val="597925F3"/>
    <w:rsid w:val="59B83C0E"/>
    <w:rsid w:val="59E777AE"/>
    <w:rsid w:val="5A2817A3"/>
    <w:rsid w:val="5A3F28C2"/>
    <w:rsid w:val="5A410FBA"/>
    <w:rsid w:val="5A5579DF"/>
    <w:rsid w:val="5A783596"/>
    <w:rsid w:val="5AC32B34"/>
    <w:rsid w:val="5AC925F3"/>
    <w:rsid w:val="5ADA7FC9"/>
    <w:rsid w:val="5AF00810"/>
    <w:rsid w:val="5B8E7FDD"/>
    <w:rsid w:val="5B9F3E89"/>
    <w:rsid w:val="5BA72378"/>
    <w:rsid w:val="5BAC5F9E"/>
    <w:rsid w:val="5BE64E4C"/>
    <w:rsid w:val="5C1E58CC"/>
    <w:rsid w:val="5C8E0F41"/>
    <w:rsid w:val="5CBB788E"/>
    <w:rsid w:val="5CCB7B02"/>
    <w:rsid w:val="5CF011F3"/>
    <w:rsid w:val="5D02723D"/>
    <w:rsid w:val="5D101956"/>
    <w:rsid w:val="5D1A27D4"/>
    <w:rsid w:val="5D8366CA"/>
    <w:rsid w:val="5DE46936"/>
    <w:rsid w:val="5E1F4838"/>
    <w:rsid w:val="5E241F90"/>
    <w:rsid w:val="5E283417"/>
    <w:rsid w:val="5E2D710C"/>
    <w:rsid w:val="5E3D2001"/>
    <w:rsid w:val="5E682F83"/>
    <w:rsid w:val="5E903FFE"/>
    <w:rsid w:val="5E9923C0"/>
    <w:rsid w:val="5ED129BF"/>
    <w:rsid w:val="5EDF7927"/>
    <w:rsid w:val="5EE70DDC"/>
    <w:rsid w:val="5F1A6957"/>
    <w:rsid w:val="5F1C1129"/>
    <w:rsid w:val="5F2B6BC7"/>
    <w:rsid w:val="5F390DE0"/>
    <w:rsid w:val="5F4A25A6"/>
    <w:rsid w:val="5F4B7511"/>
    <w:rsid w:val="5F7B689F"/>
    <w:rsid w:val="600C2D0E"/>
    <w:rsid w:val="60196B59"/>
    <w:rsid w:val="601A575F"/>
    <w:rsid w:val="60220CB2"/>
    <w:rsid w:val="6028345A"/>
    <w:rsid w:val="60382379"/>
    <w:rsid w:val="60442F71"/>
    <w:rsid w:val="6046299D"/>
    <w:rsid w:val="60574C1D"/>
    <w:rsid w:val="605C2EE6"/>
    <w:rsid w:val="60626838"/>
    <w:rsid w:val="60813447"/>
    <w:rsid w:val="608B2FC0"/>
    <w:rsid w:val="60B11928"/>
    <w:rsid w:val="60D13BCC"/>
    <w:rsid w:val="60D61A50"/>
    <w:rsid w:val="60D64607"/>
    <w:rsid w:val="615456FB"/>
    <w:rsid w:val="6161027B"/>
    <w:rsid w:val="61A64F64"/>
    <w:rsid w:val="61BA590F"/>
    <w:rsid w:val="61E34932"/>
    <w:rsid w:val="62786B67"/>
    <w:rsid w:val="62DF188A"/>
    <w:rsid w:val="62ED07A1"/>
    <w:rsid w:val="63027F93"/>
    <w:rsid w:val="63055A43"/>
    <w:rsid w:val="63B63956"/>
    <w:rsid w:val="644E64FD"/>
    <w:rsid w:val="64567379"/>
    <w:rsid w:val="647A2392"/>
    <w:rsid w:val="648878D3"/>
    <w:rsid w:val="648B30C4"/>
    <w:rsid w:val="64C5595C"/>
    <w:rsid w:val="65604DFE"/>
    <w:rsid w:val="65633B9E"/>
    <w:rsid w:val="658A533C"/>
    <w:rsid w:val="65A13A93"/>
    <w:rsid w:val="65AB50CC"/>
    <w:rsid w:val="6673792B"/>
    <w:rsid w:val="66855C4D"/>
    <w:rsid w:val="66D81182"/>
    <w:rsid w:val="672A36B5"/>
    <w:rsid w:val="673B77BA"/>
    <w:rsid w:val="673F5BC4"/>
    <w:rsid w:val="676976DD"/>
    <w:rsid w:val="67EB5499"/>
    <w:rsid w:val="68352BED"/>
    <w:rsid w:val="68357583"/>
    <w:rsid w:val="68835B83"/>
    <w:rsid w:val="68A874AC"/>
    <w:rsid w:val="68C82912"/>
    <w:rsid w:val="68DF6DD1"/>
    <w:rsid w:val="69115949"/>
    <w:rsid w:val="695D757D"/>
    <w:rsid w:val="69A973BA"/>
    <w:rsid w:val="69C2047C"/>
    <w:rsid w:val="69E07AAB"/>
    <w:rsid w:val="69FC751A"/>
    <w:rsid w:val="69FF522C"/>
    <w:rsid w:val="6A024FDB"/>
    <w:rsid w:val="6A0647FB"/>
    <w:rsid w:val="6A0E0134"/>
    <w:rsid w:val="6A1962A8"/>
    <w:rsid w:val="6A1D05BE"/>
    <w:rsid w:val="6A29110B"/>
    <w:rsid w:val="6A9D2A43"/>
    <w:rsid w:val="6AE113E9"/>
    <w:rsid w:val="6B0B7C00"/>
    <w:rsid w:val="6B160DAB"/>
    <w:rsid w:val="6B9433C6"/>
    <w:rsid w:val="6BC22D80"/>
    <w:rsid w:val="6BDB6E99"/>
    <w:rsid w:val="6C3D486C"/>
    <w:rsid w:val="6C84412D"/>
    <w:rsid w:val="6CB51596"/>
    <w:rsid w:val="6CC111D3"/>
    <w:rsid w:val="6CC80867"/>
    <w:rsid w:val="6D0135A6"/>
    <w:rsid w:val="6D053927"/>
    <w:rsid w:val="6D160F03"/>
    <w:rsid w:val="6D3D12E1"/>
    <w:rsid w:val="6D667370"/>
    <w:rsid w:val="6DCB3237"/>
    <w:rsid w:val="6DCB474D"/>
    <w:rsid w:val="6DF309DC"/>
    <w:rsid w:val="6E194DD2"/>
    <w:rsid w:val="6E315BD0"/>
    <w:rsid w:val="6E48798E"/>
    <w:rsid w:val="6E7C509D"/>
    <w:rsid w:val="6EAE211C"/>
    <w:rsid w:val="6EAE6280"/>
    <w:rsid w:val="6EC62EE1"/>
    <w:rsid w:val="6EDF3ABD"/>
    <w:rsid w:val="6F0B46C7"/>
    <w:rsid w:val="6F15104E"/>
    <w:rsid w:val="6F3B20FC"/>
    <w:rsid w:val="6F4155E7"/>
    <w:rsid w:val="6F674804"/>
    <w:rsid w:val="6FBB6CC3"/>
    <w:rsid w:val="6FC0515F"/>
    <w:rsid w:val="6FE74B3C"/>
    <w:rsid w:val="702A0155"/>
    <w:rsid w:val="70464F46"/>
    <w:rsid w:val="70855F29"/>
    <w:rsid w:val="70E33D67"/>
    <w:rsid w:val="70E7713D"/>
    <w:rsid w:val="70F046D5"/>
    <w:rsid w:val="7148437B"/>
    <w:rsid w:val="715E5100"/>
    <w:rsid w:val="719F0472"/>
    <w:rsid w:val="71AA7173"/>
    <w:rsid w:val="71BD291E"/>
    <w:rsid w:val="71D338D8"/>
    <w:rsid w:val="71E553C5"/>
    <w:rsid w:val="7204269D"/>
    <w:rsid w:val="72120AF8"/>
    <w:rsid w:val="72167086"/>
    <w:rsid w:val="723957D4"/>
    <w:rsid w:val="72414CAA"/>
    <w:rsid w:val="724361B6"/>
    <w:rsid w:val="7249798C"/>
    <w:rsid w:val="725330A4"/>
    <w:rsid w:val="726458E9"/>
    <w:rsid w:val="72CD1499"/>
    <w:rsid w:val="72DB3113"/>
    <w:rsid w:val="72EC4ABD"/>
    <w:rsid w:val="72F0405B"/>
    <w:rsid w:val="730202DB"/>
    <w:rsid w:val="73680E90"/>
    <w:rsid w:val="737C7103"/>
    <w:rsid w:val="73814F04"/>
    <w:rsid w:val="738A1D8B"/>
    <w:rsid w:val="73C5064F"/>
    <w:rsid w:val="73CA0659"/>
    <w:rsid w:val="74061933"/>
    <w:rsid w:val="740F48A6"/>
    <w:rsid w:val="740F4D80"/>
    <w:rsid w:val="742570D5"/>
    <w:rsid w:val="742A3420"/>
    <w:rsid w:val="743E6C31"/>
    <w:rsid w:val="74580370"/>
    <w:rsid w:val="74800CAF"/>
    <w:rsid w:val="74843F48"/>
    <w:rsid w:val="7487654A"/>
    <w:rsid w:val="74885487"/>
    <w:rsid w:val="74952C09"/>
    <w:rsid w:val="74A23B64"/>
    <w:rsid w:val="74BD0011"/>
    <w:rsid w:val="74C059CD"/>
    <w:rsid w:val="74D3178F"/>
    <w:rsid w:val="74F508D1"/>
    <w:rsid w:val="75AC144D"/>
    <w:rsid w:val="75BE3A57"/>
    <w:rsid w:val="75F77D32"/>
    <w:rsid w:val="760318BC"/>
    <w:rsid w:val="7616796A"/>
    <w:rsid w:val="76367647"/>
    <w:rsid w:val="768A4356"/>
    <w:rsid w:val="76AD18B7"/>
    <w:rsid w:val="779A0E3C"/>
    <w:rsid w:val="77A747E4"/>
    <w:rsid w:val="77B26BE0"/>
    <w:rsid w:val="78347ECD"/>
    <w:rsid w:val="786F6D59"/>
    <w:rsid w:val="78744E2F"/>
    <w:rsid w:val="78A83FA7"/>
    <w:rsid w:val="78B673FD"/>
    <w:rsid w:val="78D13BAA"/>
    <w:rsid w:val="78DE68BC"/>
    <w:rsid w:val="7921301A"/>
    <w:rsid w:val="793F5645"/>
    <w:rsid w:val="794A03F1"/>
    <w:rsid w:val="794E4141"/>
    <w:rsid w:val="79614888"/>
    <w:rsid w:val="796D2A75"/>
    <w:rsid w:val="79870D9A"/>
    <w:rsid w:val="79AB3E5A"/>
    <w:rsid w:val="79ED1667"/>
    <w:rsid w:val="79F10794"/>
    <w:rsid w:val="7A2B4985"/>
    <w:rsid w:val="7A340367"/>
    <w:rsid w:val="7AFB16E0"/>
    <w:rsid w:val="7B333368"/>
    <w:rsid w:val="7B866F05"/>
    <w:rsid w:val="7BA83D14"/>
    <w:rsid w:val="7BD67C84"/>
    <w:rsid w:val="7BE32E4D"/>
    <w:rsid w:val="7BE631C6"/>
    <w:rsid w:val="7C126EFC"/>
    <w:rsid w:val="7C1C564D"/>
    <w:rsid w:val="7C233753"/>
    <w:rsid w:val="7C2E19A1"/>
    <w:rsid w:val="7C505C46"/>
    <w:rsid w:val="7C577134"/>
    <w:rsid w:val="7CB00608"/>
    <w:rsid w:val="7CB81233"/>
    <w:rsid w:val="7CC423B7"/>
    <w:rsid w:val="7CDB38D7"/>
    <w:rsid w:val="7CE81AD3"/>
    <w:rsid w:val="7CEA5382"/>
    <w:rsid w:val="7D0A41DF"/>
    <w:rsid w:val="7D4E19E0"/>
    <w:rsid w:val="7D7C25E4"/>
    <w:rsid w:val="7DB639FC"/>
    <w:rsid w:val="7DC256E0"/>
    <w:rsid w:val="7DF06F8A"/>
    <w:rsid w:val="7E392890"/>
    <w:rsid w:val="7F005AC2"/>
    <w:rsid w:val="7F1A0267"/>
    <w:rsid w:val="7F1E7152"/>
    <w:rsid w:val="7F9360DA"/>
    <w:rsid w:val="7FA00343"/>
    <w:rsid w:val="7FC2395F"/>
    <w:rsid w:val="7FE15D8C"/>
    <w:rsid w:val="7FE40346"/>
    <w:rsid w:val="7FF5481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9" w:name="heading 9" w:locked="1"/>
    <w:lsdException w:qFormat="1" w:unhideWhenUsed="0" w:uiPriority="0"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0" w:semiHidden="0" w:name="toc 4" w:locked="1"/>
    <w:lsdException w:qFormat="1" w:unhideWhenUsed="0" w:uiPriority="0" w:semiHidden="0"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qFormat="1" w:unhideWhenUsed="0" w:uiPriority="0" w:semiHidden="0"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iPriority="99" w:semiHidden="0"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qFormat="1" w:uiPriority="99" w:semiHidden="0" w:name="Body Text 3" w:locked="1"/>
    <w:lsdException w:qFormat="1" w:unhideWhenUsed="0" w:uiPriority="99" w:semiHidden="0" w:name="Body Text Indent 2"/>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44"/>
    <w:qFormat/>
    <w:uiPriority w:val="99"/>
    <w:pPr>
      <w:keepNext/>
      <w:keepLines/>
      <w:spacing w:before="340" w:after="330" w:line="578" w:lineRule="auto"/>
      <w:outlineLvl w:val="0"/>
    </w:pPr>
    <w:rPr>
      <w:kern w:val="44"/>
      <w:sz w:val="36"/>
      <w:szCs w:val="36"/>
    </w:rPr>
  </w:style>
  <w:style w:type="paragraph" w:styleId="3">
    <w:name w:val="heading 2"/>
    <w:basedOn w:val="1"/>
    <w:next w:val="1"/>
    <w:link w:val="46"/>
    <w:qFormat/>
    <w:uiPriority w:val="99"/>
    <w:pPr>
      <w:keepNext/>
      <w:keepLines/>
      <w:spacing w:before="260" w:after="260" w:line="415" w:lineRule="auto"/>
      <w:ind w:firstLine="200" w:firstLineChars="200"/>
      <w:outlineLvl w:val="1"/>
    </w:pPr>
    <w:rPr>
      <w:rFonts w:ascii="Cambria" w:hAnsi="Cambria" w:cs="Cambria"/>
      <w:sz w:val="32"/>
      <w:szCs w:val="32"/>
    </w:rPr>
  </w:style>
  <w:style w:type="paragraph" w:styleId="4">
    <w:name w:val="heading 3"/>
    <w:basedOn w:val="1"/>
    <w:next w:val="5"/>
    <w:link w:val="47"/>
    <w:qFormat/>
    <w:uiPriority w:val="99"/>
    <w:pPr>
      <w:keepNext/>
      <w:keepLines/>
      <w:spacing w:before="260" w:after="260" w:line="415" w:lineRule="auto"/>
      <w:ind w:firstLine="200" w:firstLineChars="200"/>
      <w:outlineLvl w:val="2"/>
    </w:pPr>
    <w:rPr>
      <w:sz w:val="28"/>
      <w:szCs w:val="28"/>
    </w:rPr>
  </w:style>
  <w:style w:type="paragraph" w:styleId="6">
    <w:name w:val="heading 4"/>
    <w:basedOn w:val="1"/>
    <w:next w:val="1"/>
    <w:link w:val="48"/>
    <w:qFormat/>
    <w:uiPriority w:val="99"/>
    <w:pPr>
      <w:keepNext/>
      <w:keepLines/>
      <w:spacing w:before="280" w:after="290" w:line="377" w:lineRule="auto"/>
      <w:ind w:firstLine="200" w:firstLineChars="200"/>
      <w:outlineLvl w:val="3"/>
    </w:pPr>
    <w:rPr>
      <w:rFonts w:ascii="Cambria" w:hAnsi="Cambria" w:cs="Cambria"/>
      <w:sz w:val="28"/>
      <w:szCs w:val="28"/>
    </w:rPr>
  </w:style>
  <w:style w:type="paragraph" w:styleId="7">
    <w:name w:val="heading 5"/>
    <w:basedOn w:val="1"/>
    <w:next w:val="1"/>
    <w:link w:val="49"/>
    <w:qFormat/>
    <w:uiPriority w:val="99"/>
    <w:pPr>
      <w:keepNext/>
      <w:keepLines/>
      <w:spacing w:before="280" w:after="290" w:line="377" w:lineRule="auto"/>
      <w:ind w:firstLine="200" w:firstLineChars="200"/>
      <w:outlineLvl w:val="4"/>
    </w:pPr>
    <w:rPr>
      <w:b/>
      <w:bCs/>
      <w:sz w:val="24"/>
      <w:szCs w:val="24"/>
    </w:rPr>
  </w:style>
  <w:style w:type="paragraph" w:styleId="8">
    <w:name w:val="heading 6"/>
    <w:basedOn w:val="1"/>
    <w:next w:val="1"/>
    <w:link w:val="50"/>
    <w:qFormat/>
    <w:uiPriority w:val="99"/>
    <w:pPr>
      <w:keepNext/>
      <w:keepLines/>
      <w:spacing w:before="240" w:after="64" w:line="320" w:lineRule="auto"/>
      <w:outlineLvl w:val="5"/>
    </w:pPr>
    <w:rPr>
      <w:rFonts w:ascii="Cambria" w:hAnsi="Cambria" w:cs="Cambria"/>
      <w:b/>
      <w:bCs/>
      <w:sz w:val="24"/>
      <w:szCs w:val="24"/>
    </w:rPr>
  </w:style>
  <w:style w:type="paragraph" w:styleId="9">
    <w:name w:val="heading 7"/>
    <w:basedOn w:val="1"/>
    <w:next w:val="1"/>
    <w:link w:val="51"/>
    <w:qFormat/>
    <w:uiPriority w:val="99"/>
    <w:pPr>
      <w:keepNext/>
      <w:keepLines/>
      <w:spacing w:before="240" w:after="64" w:line="320" w:lineRule="auto"/>
      <w:outlineLvl w:val="6"/>
    </w:pPr>
    <w:rPr>
      <w:b/>
      <w:bCs/>
      <w:sz w:val="24"/>
      <w:szCs w:val="24"/>
    </w:rPr>
  </w:style>
  <w:style w:type="paragraph" w:styleId="10">
    <w:name w:val="heading 8"/>
    <w:basedOn w:val="1"/>
    <w:next w:val="1"/>
    <w:link w:val="52"/>
    <w:qFormat/>
    <w:uiPriority w:val="99"/>
    <w:pPr>
      <w:keepNext/>
      <w:keepLines/>
      <w:spacing w:before="240" w:after="64" w:line="320" w:lineRule="auto"/>
      <w:outlineLvl w:val="7"/>
    </w:pPr>
    <w:rPr>
      <w:rFonts w:ascii="Cambria" w:hAnsi="Cambria" w:cs="Cambria"/>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adjustRightInd w:val="0"/>
      <w:spacing w:line="360" w:lineRule="atLeast"/>
      <w:ind w:firstLine="420" w:firstLineChars="200"/>
      <w:jc w:val="left"/>
      <w:textAlignment w:val="baseline"/>
    </w:pPr>
    <w:rPr>
      <w:rFonts w:cs="Times New Roman"/>
      <w:kern w:val="0"/>
      <w:sz w:val="24"/>
      <w:szCs w:val="20"/>
    </w:rPr>
  </w:style>
  <w:style w:type="paragraph" w:styleId="11">
    <w:name w:val="index 5"/>
    <w:basedOn w:val="1"/>
    <w:next w:val="1"/>
    <w:qFormat/>
    <w:locked/>
    <w:uiPriority w:val="0"/>
    <w:pPr>
      <w:ind w:left="800" w:leftChars="800"/>
    </w:pPr>
    <w:rPr>
      <w:szCs w:val="20"/>
    </w:rPr>
  </w:style>
  <w:style w:type="paragraph" w:styleId="12">
    <w:name w:val="annotation text"/>
    <w:basedOn w:val="1"/>
    <w:link w:val="53"/>
    <w:semiHidden/>
    <w:qFormat/>
    <w:locked/>
    <w:uiPriority w:val="99"/>
    <w:pPr>
      <w:jc w:val="left"/>
    </w:pPr>
  </w:style>
  <w:style w:type="paragraph" w:styleId="13">
    <w:name w:val="Body Text 3"/>
    <w:basedOn w:val="1"/>
    <w:unhideWhenUsed/>
    <w:qFormat/>
    <w:locked/>
    <w:uiPriority w:val="99"/>
    <w:pPr>
      <w:spacing w:after="120"/>
    </w:pPr>
    <w:rPr>
      <w:sz w:val="16"/>
      <w:szCs w:val="16"/>
    </w:rPr>
  </w:style>
  <w:style w:type="paragraph" w:styleId="14">
    <w:name w:val="Body Text"/>
    <w:basedOn w:val="1"/>
    <w:next w:val="15"/>
    <w:qFormat/>
    <w:locked/>
    <w:uiPriority w:val="0"/>
    <w:pPr>
      <w:spacing w:line="460" w:lineRule="exact"/>
    </w:pPr>
    <w:rPr>
      <w:rFonts w:ascii="汉鼎简楷体" w:hAnsi="宋体" w:eastAsia="汉鼎简楷体"/>
      <w:b/>
      <w:bCs/>
      <w:spacing w:val="4"/>
      <w:sz w:val="24"/>
      <w:szCs w:val="20"/>
    </w:rPr>
  </w:style>
  <w:style w:type="paragraph" w:customStyle="1" w:styleId="15">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6">
    <w:name w:val="Body Text Indent"/>
    <w:basedOn w:val="1"/>
    <w:next w:val="5"/>
    <w:link w:val="54"/>
    <w:unhideWhenUsed/>
    <w:qFormat/>
    <w:locked/>
    <w:uiPriority w:val="99"/>
    <w:pPr>
      <w:spacing w:after="120"/>
      <w:ind w:left="420" w:leftChars="200"/>
    </w:pPr>
  </w:style>
  <w:style w:type="paragraph" w:styleId="17">
    <w:name w:val="Block Text"/>
    <w:basedOn w:val="1"/>
    <w:unhideWhenUsed/>
    <w:qFormat/>
    <w:locked/>
    <w:uiPriority w:val="99"/>
    <w:pPr>
      <w:spacing w:after="120"/>
      <w:ind w:left="1440" w:leftChars="700" w:right="1440" w:rightChars="700"/>
    </w:pPr>
  </w:style>
  <w:style w:type="paragraph" w:styleId="18">
    <w:name w:val="toc 5"/>
    <w:basedOn w:val="1"/>
    <w:next w:val="1"/>
    <w:qFormat/>
    <w:locked/>
    <w:uiPriority w:val="0"/>
    <w:pPr>
      <w:ind w:left="1760"/>
      <w:jc w:val="left"/>
    </w:pPr>
  </w:style>
  <w:style w:type="paragraph" w:styleId="19">
    <w:name w:val="toc 3"/>
    <w:basedOn w:val="1"/>
    <w:next w:val="1"/>
    <w:semiHidden/>
    <w:qFormat/>
    <w:uiPriority w:val="99"/>
    <w:pPr>
      <w:ind w:left="420"/>
      <w:jc w:val="left"/>
    </w:pPr>
    <w:rPr>
      <w:rFonts w:cs="Times New Roman"/>
      <w:i/>
      <w:iCs/>
      <w:sz w:val="20"/>
      <w:szCs w:val="20"/>
    </w:rPr>
  </w:style>
  <w:style w:type="paragraph" w:styleId="20">
    <w:name w:val="Plain Text"/>
    <w:basedOn w:val="1"/>
    <w:next w:val="1"/>
    <w:link w:val="55"/>
    <w:qFormat/>
    <w:uiPriority w:val="0"/>
    <w:rPr>
      <w:rFonts w:ascii="宋体" w:hAnsi="Courier New" w:cs="宋体"/>
    </w:rPr>
  </w:style>
  <w:style w:type="paragraph" w:styleId="21">
    <w:name w:val="Date"/>
    <w:basedOn w:val="1"/>
    <w:next w:val="1"/>
    <w:link w:val="56"/>
    <w:qFormat/>
    <w:uiPriority w:val="99"/>
    <w:pPr>
      <w:ind w:left="100" w:leftChars="2500"/>
    </w:pPr>
  </w:style>
  <w:style w:type="paragraph" w:styleId="22">
    <w:name w:val="Body Text Indent 2"/>
    <w:basedOn w:val="1"/>
    <w:link w:val="57"/>
    <w:qFormat/>
    <w:uiPriority w:val="99"/>
    <w:pPr>
      <w:ind w:firstLine="562" w:firstLineChars="200"/>
    </w:pPr>
    <w:rPr>
      <w:rFonts w:ascii="仿宋_GB2312" w:eastAsia="仿宋_GB2312" w:cs="仿宋_GB2312"/>
      <w:b/>
      <w:bCs/>
      <w:sz w:val="28"/>
      <w:szCs w:val="28"/>
    </w:rPr>
  </w:style>
  <w:style w:type="paragraph" w:styleId="23">
    <w:name w:val="Balloon Text"/>
    <w:basedOn w:val="1"/>
    <w:link w:val="58"/>
    <w:semiHidden/>
    <w:qFormat/>
    <w:uiPriority w:val="99"/>
    <w:rPr>
      <w:sz w:val="18"/>
      <w:szCs w:val="18"/>
    </w:rPr>
  </w:style>
  <w:style w:type="paragraph" w:styleId="24">
    <w:name w:val="footer"/>
    <w:basedOn w:val="1"/>
    <w:link w:val="59"/>
    <w:qFormat/>
    <w:uiPriority w:val="99"/>
    <w:pPr>
      <w:tabs>
        <w:tab w:val="center" w:pos="4153"/>
        <w:tab w:val="right" w:pos="8306"/>
      </w:tabs>
      <w:snapToGrid w:val="0"/>
      <w:jc w:val="left"/>
    </w:pPr>
    <w:rPr>
      <w:sz w:val="18"/>
      <w:szCs w:val="18"/>
    </w:rPr>
  </w:style>
  <w:style w:type="paragraph" w:styleId="25">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99"/>
    <w:pPr>
      <w:tabs>
        <w:tab w:val="right" w:leader="dot" w:pos="8390"/>
      </w:tabs>
      <w:spacing w:before="120" w:after="120"/>
    </w:pPr>
    <w:rPr>
      <w:rFonts w:cs="Times New Roman"/>
      <w:b/>
      <w:bCs/>
      <w:caps/>
      <w:sz w:val="24"/>
      <w:szCs w:val="24"/>
    </w:rPr>
  </w:style>
  <w:style w:type="paragraph" w:styleId="27">
    <w:name w:val="toc 4"/>
    <w:basedOn w:val="1"/>
    <w:next w:val="1"/>
    <w:qFormat/>
    <w:locked/>
    <w:uiPriority w:val="0"/>
    <w:pPr>
      <w:tabs>
        <w:tab w:val="left" w:pos="1890"/>
        <w:tab w:val="right" w:leader="dot" w:pos="8296"/>
      </w:tabs>
      <w:ind w:left="630" w:leftChars="300"/>
    </w:pPr>
  </w:style>
  <w:style w:type="paragraph" w:styleId="28">
    <w:name w:val="footnote text"/>
    <w:basedOn w:val="1"/>
    <w:qFormat/>
    <w:locked/>
    <w:uiPriority w:val="0"/>
    <w:pPr>
      <w:snapToGrid w:val="0"/>
      <w:jc w:val="left"/>
    </w:pPr>
    <w:rPr>
      <w:sz w:val="18"/>
      <w:szCs w:val="18"/>
    </w:rPr>
  </w:style>
  <w:style w:type="paragraph" w:styleId="29">
    <w:name w:val="table of figures"/>
    <w:basedOn w:val="1"/>
    <w:next w:val="1"/>
    <w:unhideWhenUsed/>
    <w:qFormat/>
    <w:locked/>
    <w:uiPriority w:val="99"/>
    <w:pPr>
      <w:ind w:left="200" w:leftChars="200" w:hanging="200" w:hangingChars="200"/>
    </w:pPr>
  </w:style>
  <w:style w:type="paragraph" w:styleId="30">
    <w:name w:val="toc 2"/>
    <w:basedOn w:val="1"/>
    <w:next w:val="1"/>
    <w:semiHidden/>
    <w:qFormat/>
    <w:uiPriority w:val="99"/>
    <w:pPr>
      <w:ind w:left="210"/>
      <w:jc w:val="left"/>
    </w:pPr>
    <w:rPr>
      <w:rFonts w:cs="Times New Roman"/>
      <w:smallCaps/>
      <w:sz w:val="20"/>
      <w:szCs w:val="20"/>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index 1"/>
    <w:basedOn w:val="1"/>
    <w:next w:val="1"/>
    <w:semiHidden/>
    <w:qFormat/>
    <w:locked/>
    <w:uiPriority w:val="0"/>
    <w:rPr>
      <w:sz w:val="24"/>
    </w:rPr>
  </w:style>
  <w:style w:type="paragraph" w:styleId="33">
    <w:name w:val="annotation subject"/>
    <w:basedOn w:val="12"/>
    <w:next w:val="12"/>
    <w:link w:val="61"/>
    <w:semiHidden/>
    <w:qFormat/>
    <w:locked/>
    <w:uiPriority w:val="99"/>
    <w:rPr>
      <w:b/>
      <w:bCs/>
    </w:rPr>
  </w:style>
  <w:style w:type="paragraph" w:styleId="34">
    <w:name w:val="Body Text First Indent"/>
    <w:basedOn w:val="14"/>
    <w:qFormat/>
    <w:locked/>
    <w:uiPriority w:val="0"/>
    <w:pPr>
      <w:spacing w:line="312" w:lineRule="auto"/>
      <w:ind w:firstLine="420"/>
    </w:pPr>
  </w:style>
  <w:style w:type="paragraph" w:styleId="35">
    <w:name w:val="Body Text First Indent 2"/>
    <w:basedOn w:val="16"/>
    <w:next w:val="1"/>
    <w:qFormat/>
    <w:locked/>
    <w:uiPriority w:val="99"/>
    <w:pPr>
      <w:spacing w:after="0" w:line="480" w:lineRule="exact"/>
      <w:ind w:left="0" w:leftChars="0" w:firstLine="420" w:firstLineChars="200"/>
    </w:pPr>
    <w:rPr>
      <w:rFonts w:ascii="仿宋_GB2312" w:hAnsi="Calibri" w:eastAsia="仿宋_GB2312"/>
      <w:sz w:val="32"/>
    </w:rPr>
  </w:style>
  <w:style w:type="table" w:styleId="37">
    <w:name w:val="Table Grid"/>
    <w:basedOn w:val="3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basedOn w:val="38"/>
    <w:qFormat/>
    <w:uiPriority w:val="99"/>
    <w:rPr>
      <w:b/>
      <w:bCs/>
    </w:rPr>
  </w:style>
  <w:style w:type="character" w:styleId="40">
    <w:name w:val="page number"/>
    <w:basedOn w:val="38"/>
    <w:qFormat/>
    <w:uiPriority w:val="99"/>
  </w:style>
  <w:style w:type="character" w:styleId="41">
    <w:name w:val="Hyperlink"/>
    <w:basedOn w:val="38"/>
    <w:qFormat/>
    <w:uiPriority w:val="99"/>
    <w:rPr>
      <w:color w:val="0000FF"/>
      <w:u w:val="single"/>
    </w:rPr>
  </w:style>
  <w:style w:type="character" w:styleId="42">
    <w:name w:val="annotation reference"/>
    <w:basedOn w:val="38"/>
    <w:semiHidden/>
    <w:qFormat/>
    <w:locked/>
    <w:uiPriority w:val="99"/>
    <w:rPr>
      <w:sz w:val="21"/>
      <w:szCs w:val="21"/>
    </w:rPr>
  </w:style>
  <w:style w:type="paragraph" w:customStyle="1" w:styleId="4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44">
    <w:name w:val="标题 1 Char"/>
    <w:basedOn w:val="38"/>
    <w:link w:val="2"/>
    <w:qFormat/>
    <w:locked/>
    <w:uiPriority w:val="99"/>
    <w:rPr>
      <w:rFonts w:ascii="Calibri" w:hAnsi="Calibri" w:eastAsia="宋体" w:cs="Calibri"/>
      <w:kern w:val="44"/>
      <w:sz w:val="44"/>
      <w:szCs w:val="44"/>
      <w:lang w:val="en-US" w:eastAsia="zh-CN"/>
    </w:rPr>
  </w:style>
  <w:style w:type="paragraph" w:customStyle="1" w:styleId="45">
    <w:name w:val="wang正文"/>
    <w:qFormat/>
    <w:uiPriority w:val="0"/>
    <w:pPr>
      <w:tabs>
        <w:tab w:val="left" w:pos="6840"/>
      </w:tabs>
      <w:topLinePunct/>
      <w:spacing w:line="300" w:lineRule="exact"/>
      <w:ind w:firstLine="420"/>
    </w:pPr>
    <w:rPr>
      <w:rFonts w:ascii="Times New Roman" w:hAnsi="Times New Roman" w:eastAsia="宋体" w:cs="Times New Roman"/>
      <w:kern w:val="2"/>
      <w:sz w:val="21"/>
      <w:szCs w:val="24"/>
      <w:lang w:val="en-US" w:eastAsia="zh-CN" w:bidi="ar-SA"/>
    </w:rPr>
  </w:style>
  <w:style w:type="character" w:customStyle="1" w:styleId="46">
    <w:name w:val="标题 2 Char"/>
    <w:basedOn w:val="38"/>
    <w:link w:val="3"/>
    <w:qFormat/>
    <w:locked/>
    <w:uiPriority w:val="99"/>
    <w:rPr>
      <w:rFonts w:ascii="Cambria" w:hAnsi="Cambria" w:eastAsia="宋体" w:cs="Cambria"/>
      <w:kern w:val="2"/>
      <w:sz w:val="32"/>
      <w:szCs w:val="32"/>
      <w:lang w:val="en-US" w:eastAsia="zh-CN"/>
    </w:rPr>
  </w:style>
  <w:style w:type="character" w:customStyle="1" w:styleId="47">
    <w:name w:val="标题 3 Char"/>
    <w:basedOn w:val="38"/>
    <w:link w:val="4"/>
    <w:qFormat/>
    <w:locked/>
    <w:uiPriority w:val="99"/>
    <w:rPr>
      <w:rFonts w:ascii="Calibri" w:hAnsi="Calibri" w:eastAsia="宋体" w:cs="Calibri"/>
      <w:kern w:val="2"/>
      <w:sz w:val="32"/>
      <w:szCs w:val="32"/>
      <w:lang w:val="en-US" w:eastAsia="zh-CN"/>
    </w:rPr>
  </w:style>
  <w:style w:type="character" w:customStyle="1" w:styleId="48">
    <w:name w:val="标题 4 Char"/>
    <w:basedOn w:val="38"/>
    <w:link w:val="6"/>
    <w:qFormat/>
    <w:locked/>
    <w:uiPriority w:val="99"/>
    <w:rPr>
      <w:rFonts w:ascii="Cambria" w:hAnsi="Cambria" w:eastAsia="宋体" w:cs="Cambria"/>
      <w:kern w:val="2"/>
      <w:sz w:val="28"/>
      <w:szCs w:val="28"/>
      <w:lang w:val="en-US" w:eastAsia="zh-CN"/>
    </w:rPr>
  </w:style>
  <w:style w:type="character" w:customStyle="1" w:styleId="49">
    <w:name w:val="标题 5 Char"/>
    <w:basedOn w:val="38"/>
    <w:link w:val="7"/>
    <w:qFormat/>
    <w:locked/>
    <w:uiPriority w:val="99"/>
    <w:rPr>
      <w:rFonts w:ascii="Calibri" w:hAnsi="Calibri" w:eastAsia="宋体" w:cs="Calibri"/>
      <w:b/>
      <w:bCs/>
      <w:kern w:val="2"/>
      <w:sz w:val="28"/>
      <w:szCs w:val="28"/>
      <w:lang w:val="en-US" w:eastAsia="zh-CN"/>
    </w:rPr>
  </w:style>
  <w:style w:type="character" w:customStyle="1" w:styleId="50">
    <w:name w:val="标题 6 Char"/>
    <w:basedOn w:val="38"/>
    <w:link w:val="8"/>
    <w:qFormat/>
    <w:locked/>
    <w:uiPriority w:val="99"/>
    <w:rPr>
      <w:rFonts w:ascii="Cambria" w:hAnsi="Cambria" w:eastAsia="宋体" w:cs="Cambria"/>
      <w:b/>
      <w:bCs/>
      <w:kern w:val="2"/>
      <w:sz w:val="24"/>
      <w:szCs w:val="24"/>
      <w:lang w:val="en-US" w:eastAsia="zh-CN"/>
    </w:rPr>
  </w:style>
  <w:style w:type="character" w:customStyle="1" w:styleId="51">
    <w:name w:val="标题 7 Char"/>
    <w:basedOn w:val="38"/>
    <w:link w:val="9"/>
    <w:semiHidden/>
    <w:qFormat/>
    <w:locked/>
    <w:uiPriority w:val="99"/>
    <w:rPr>
      <w:rFonts w:ascii="Calibri" w:hAnsi="Calibri" w:eastAsia="宋体" w:cs="Calibri"/>
      <w:b/>
      <w:bCs/>
      <w:kern w:val="2"/>
      <w:sz w:val="24"/>
      <w:szCs w:val="24"/>
      <w:lang w:val="en-US" w:eastAsia="zh-CN"/>
    </w:rPr>
  </w:style>
  <w:style w:type="character" w:customStyle="1" w:styleId="52">
    <w:name w:val="标题 8 Char"/>
    <w:basedOn w:val="38"/>
    <w:link w:val="10"/>
    <w:semiHidden/>
    <w:qFormat/>
    <w:locked/>
    <w:uiPriority w:val="99"/>
    <w:rPr>
      <w:rFonts w:ascii="Cambria" w:hAnsi="Cambria" w:eastAsia="宋体" w:cs="Cambria"/>
      <w:kern w:val="2"/>
      <w:sz w:val="24"/>
      <w:szCs w:val="24"/>
      <w:lang w:val="en-US" w:eastAsia="zh-CN"/>
    </w:rPr>
  </w:style>
  <w:style w:type="character" w:customStyle="1" w:styleId="53">
    <w:name w:val="批注文字 Char"/>
    <w:basedOn w:val="38"/>
    <w:link w:val="12"/>
    <w:semiHidden/>
    <w:qFormat/>
    <w:uiPriority w:val="99"/>
    <w:rPr>
      <w:rFonts w:ascii="Calibri" w:hAnsi="Calibri" w:cs="Calibri"/>
      <w:szCs w:val="21"/>
    </w:rPr>
  </w:style>
  <w:style w:type="character" w:customStyle="1" w:styleId="54">
    <w:name w:val="正文文本缩进 Char"/>
    <w:basedOn w:val="38"/>
    <w:link w:val="16"/>
    <w:semiHidden/>
    <w:qFormat/>
    <w:uiPriority w:val="99"/>
    <w:rPr>
      <w:rFonts w:ascii="Calibri" w:hAnsi="Calibri" w:cs="Calibri"/>
      <w:kern w:val="2"/>
      <w:sz w:val="21"/>
      <w:szCs w:val="21"/>
    </w:rPr>
  </w:style>
  <w:style w:type="character" w:customStyle="1" w:styleId="55">
    <w:name w:val="纯文本 Char1"/>
    <w:basedOn w:val="38"/>
    <w:link w:val="20"/>
    <w:qFormat/>
    <w:uiPriority w:val="0"/>
    <w:rPr>
      <w:rFonts w:hint="eastAsia" w:ascii="宋体" w:hAnsi="Courier New" w:eastAsia="宋体" w:cs="Courier New"/>
      <w:kern w:val="2"/>
      <w:sz w:val="21"/>
      <w:szCs w:val="21"/>
    </w:rPr>
  </w:style>
  <w:style w:type="character" w:customStyle="1" w:styleId="56">
    <w:name w:val="日期 Char"/>
    <w:basedOn w:val="38"/>
    <w:link w:val="21"/>
    <w:qFormat/>
    <w:locked/>
    <w:uiPriority w:val="99"/>
    <w:rPr>
      <w:rFonts w:ascii="Calibri" w:hAnsi="Calibri" w:cs="Calibri"/>
      <w:kern w:val="2"/>
      <w:sz w:val="22"/>
      <w:szCs w:val="22"/>
    </w:rPr>
  </w:style>
  <w:style w:type="character" w:customStyle="1" w:styleId="57">
    <w:name w:val="正文文本缩进 2 Char"/>
    <w:basedOn w:val="38"/>
    <w:link w:val="22"/>
    <w:semiHidden/>
    <w:qFormat/>
    <w:locked/>
    <w:uiPriority w:val="99"/>
    <w:rPr>
      <w:rFonts w:ascii="Calibri" w:hAnsi="Calibri" w:cs="Calibri"/>
    </w:rPr>
  </w:style>
  <w:style w:type="character" w:customStyle="1" w:styleId="58">
    <w:name w:val="批注框文本 Char"/>
    <w:basedOn w:val="38"/>
    <w:link w:val="23"/>
    <w:semiHidden/>
    <w:qFormat/>
    <w:locked/>
    <w:uiPriority w:val="99"/>
    <w:rPr>
      <w:rFonts w:ascii="Calibri" w:hAnsi="Calibri" w:eastAsia="宋体" w:cs="Calibri"/>
      <w:kern w:val="2"/>
      <w:sz w:val="18"/>
      <w:szCs w:val="18"/>
      <w:lang w:val="en-US" w:eastAsia="zh-CN"/>
    </w:rPr>
  </w:style>
  <w:style w:type="character" w:customStyle="1" w:styleId="59">
    <w:name w:val="页脚 Char"/>
    <w:basedOn w:val="38"/>
    <w:link w:val="24"/>
    <w:qFormat/>
    <w:locked/>
    <w:uiPriority w:val="99"/>
    <w:rPr>
      <w:rFonts w:ascii="Calibri" w:hAnsi="Calibri" w:eastAsia="宋体" w:cs="Calibri"/>
      <w:kern w:val="2"/>
      <w:sz w:val="18"/>
      <w:szCs w:val="18"/>
      <w:lang w:val="en-US" w:eastAsia="zh-CN"/>
    </w:rPr>
  </w:style>
  <w:style w:type="character" w:customStyle="1" w:styleId="60">
    <w:name w:val="页眉 Char"/>
    <w:basedOn w:val="38"/>
    <w:link w:val="25"/>
    <w:qFormat/>
    <w:locked/>
    <w:uiPriority w:val="99"/>
    <w:rPr>
      <w:rFonts w:ascii="Calibri" w:hAnsi="Calibri" w:eastAsia="宋体" w:cs="Calibri"/>
      <w:kern w:val="2"/>
      <w:sz w:val="18"/>
      <w:szCs w:val="18"/>
      <w:lang w:val="en-US" w:eastAsia="zh-CN"/>
    </w:rPr>
  </w:style>
  <w:style w:type="character" w:customStyle="1" w:styleId="61">
    <w:name w:val="批注主题 Char"/>
    <w:basedOn w:val="53"/>
    <w:link w:val="33"/>
    <w:semiHidden/>
    <w:qFormat/>
    <w:uiPriority w:val="99"/>
    <w:rPr>
      <w:b/>
      <w:bCs/>
    </w:rPr>
  </w:style>
  <w:style w:type="character" w:customStyle="1" w:styleId="62">
    <w:name w:val="Footer Char1"/>
    <w:basedOn w:val="38"/>
    <w:semiHidden/>
    <w:qFormat/>
    <w:locked/>
    <w:uiPriority w:val="99"/>
    <w:rPr>
      <w:rFonts w:ascii="Calibri" w:hAnsi="Calibri" w:cs="Calibri"/>
      <w:sz w:val="18"/>
      <w:szCs w:val="18"/>
    </w:rPr>
  </w:style>
  <w:style w:type="character" w:customStyle="1" w:styleId="63">
    <w:name w:val="Balloon Text Char1"/>
    <w:basedOn w:val="38"/>
    <w:semiHidden/>
    <w:qFormat/>
    <w:locked/>
    <w:uiPriority w:val="99"/>
    <w:rPr>
      <w:rFonts w:ascii="Calibri" w:hAnsi="Calibri" w:cs="Calibri"/>
      <w:sz w:val="2"/>
      <w:szCs w:val="2"/>
    </w:rPr>
  </w:style>
  <w:style w:type="character" w:customStyle="1" w:styleId="64">
    <w:name w:val="需求正文 Char"/>
    <w:link w:val="65"/>
    <w:qFormat/>
    <w:locked/>
    <w:uiPriority w:val="99"/>
    <w:rPr>
      <w:kern w:val="23"/>
      <w:sz w:val="23"/>
      <w:szCs w:val="23"/>
    </w:rPr>
  </w:style>
  <w:style w:type="paragraph" w:customStyle="1" w:styleId="65">
    <w:name w:val="需求正文"/>
    <w:basedOn w:val="1"/>
    <w:link w:val="64"/>
    <w:qFormat/>
    <w:uiPriority w:val="99"/>
    <w:pPr>
      <w:topLinePunct/>
      <w:adjustRightInd w:val="0"/>
      <w:ind w:firstLine="459"/>
    </w:pPr>
    <w:rPr>
      <w:rFonts w:cs="Times New Roman"/>
      <w:kern w:val="23"/>
      <w:sz w:val="23"/>
      <w:szCs w:val="23"/>
    </w:rPr>
  </w:style>
  <w:style w:type="character" w:customStyle="1" w:styleId="66">
    <w:name w:val="Plain Text Char1"/>
    <w:basedOn w:val="38"/>
    <w:semiHidden/>
    <w:qFormat/>
    <w:locked/>
    <w:uiPriority w:val="99"/>
    <w:rPr>
      <w:rFonts w:ascii="宋体" w:hAnsi="Courier New" w:cs="宋体"/>
      <w:sz w:val="21"/>
      <w:szCs w:val="21"/>
    </w:rPr>
  </w:style>
  <w:style w:type="character" w:customStyle="1" w:styleId="67">
    <w:name w:val="无间隔 Char"/>
    <w:basedOn w:val="38"/>
    <w:link w:val="68"/>
    <w:qFormat/>
    <w:locked/>
    <w:uiPriority w:val="99"/>
    <w:rPr>
      <w:rFonts w:ascii="Calibri" w:hAnsi="Calibri" w:cs="Calibri"/>
      <w:sz w:val="22"/>
      <w:szCs w:val="22"/>
      <w:lang w:val="en-US" w:eastAsia="zh-CN" w:bidi="ar-SA"/>
    </w:rPr>
  </w:style>
  <w:style w:type="paragraph" w:customStyle="1" w:styleId="68">
    <w:name w:val="无间隔1"/>
    <w:link w:val="67"/>
    <w:qFormat/>
    <w:uiPriority w:val="99"/>
    <w:rPr>
      <w:rFonts w:ascii="Calibri" w:hAnsi="Calibri" w:eastAsia="宋体" w:cs="Calibri"/>
      <w:sz w:val="22"/>
      <w:szCs w:val="22"/>
      <w:lang w:val="en-US" w:eastAsia="zh-CN" w:bidi="ar-SA"/>
    </w:rPr>
  </w:style>
  <w:style w:type="character" w:customStyle="1" w:styleId="69">
    <w:name w:val="Header Char1"/>
    <w:basedOn w:val="38"/>
    <w:semiHidden/>
    <w:qFormat/>
    <w:locked/>
    <w:uiPriority w:val="99"/>
    <w:rPr>
      <w:rFonts w:ascii="Calibri" w:hAnsi="Calibri" w:cs="Calibri"/>
      <w:sz w:val="18"/>
      <w:szCs w:val="18"/>
    </w:rPr>
  </w:style>
  <w:style w:type="character" w:customStyle="1" w:styleId="70">
    <w:name w:val="纯文本 Char"/>
    <w:basedOn w:val="38"/>
    <w:qFormat/>
    <w:locked/>
    <w:uiPriority w:val="0"/>
    <w:rPr>
      <w:rFonts w:ascii="宋体" w:hAnsi="Courier New" w:eastAsia="宋体" w:cs="宋体"/>
      <w:kern w:val="2"/>
      <w:sz w:val="21"/>
      <w:szCs w:val="21"/>
      <w:lang w:val="en-US" w:eastAsia="zh-CN"/>
    </w:rPr>
  </w:style>
  <w:style w:type="paragraph" w:customStyle="1" w:styleId="71">
    <w:name w:val="TOC 标题1"/>
    <w:basedOn w:val="2"/>
    <w:next w:val="1"/>
    <w:qFormat/>
    <w:uiPriority w:val="99"/>
    <w:pPr>
      <w:widowControl/>
      <w:spacing w:before="480" w:after="0" w:line="276" w:lineRule="auto"/>
      <w:jc w:val="left"/>
      <w:outlineLvl w:val="9"/>
    </w:pPr>
    <w:rPr>
      <w:rFonts w:ascii="Cambria" w:hAnsi="Cambria" w:cs="Cambria"/>
      <w:b/>
      <w:bCs/>
      <w:color w:val="365F91"/>
      <w:kern w:val="0"/>
      <w:sz w:val="28"/>
      <w:szCs w:val="28"/>
    </w:rPr>
  </w:style>
  <w:style w:type="paragraph" w:customStyle="1" w:styleId="72">
    <w:name w:val="列出段落1"/>
    <w:basedOn w:val="1"/>
    <w:qFormat/>
    <w:uiPriority w:val="99"/>
    <w:pPr>
      <w:ind w:firstLine="420" w:firstLineChars="200"/>
    </w:pPr>
  </w:style>
  <w:style w:type="paragraph" w:customStyle="1" w:styleId="73">
    <w:name w:val="修订1"/>
    <w:qFormat/>
    <w:uiPriority w:val="99"/>
    <w:rPr>
      <w:rFonts w:ascii="Calibri" w:hAnsi="Calibri" w:eastAsia="宋体" w:cs="Calibri"/>
      <w:kern w:val="2"/>
      <w:sz w:val="21"/>
      <w:szCs w:val="21"/>
      <w:lang w:val="en-US" w:eastAsia="zh-CN" w:bidi="ar-SA"/>
    </w:rPr>
  </w:style>
  <w:style w:type="paragraph" w:customStyle="1" w:styleId="74">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paragraph" w:customStyle="1" w:styleId="7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76">
    <w:name w:val="font31"/>
    <w:basedOn w:val="38"/>
    <w:qFormat/>
    <w:uiPriority w:val="0"/>
    <w:rPr>
      <w:rFonts w:hint="eastAsia" w:ascii="宋体" w:hAnsi="宋体" w:eastAsia="宋体" w:cs="宋体"/>
      <w:color w:val="000000"/>
      <w:sz w:val="22"/>
      <w:szCs w:val="22"/>
      <w:u w:val="none"/>
    </w:rPr>
  </w:style>
  <w:style w:type="paragraph" w:customStyle="1" w:styleId="77">
    <w:name w:val="列出段落2"/>
    <w:basedOn w:val="1"/>
    <w:qFormat/>
    <w:uiPriority w:val="34"/>
    <w:pPr>
      <w:ind w:firstLine="420" w:firstLineChars="200"/>
    </w:pPr>
  </w:style>
  <w:style w:type="paragraph" w:customStyle="1" w:styleId="78">
    <w:name w:val="Table Paragraph"/>
    <w:basedOn w:val="1"/>
    <w:qFormat/>
    <w:uiPriority w:val="1"/>
    <w:pPr>
      <w:jc w:val="left"/>
    </w:pPr>
    <w:rPr>
      <w:kern w:val="0"/>
      <w:sz w:val="22"/>
      <w:lang w:eastAsia="en-US"/>
    </w:rPr>
  </w:style>
  <w:style w:type="paragraph" w:customStyle="1" w:styleId="79">
    <w:name w:val="_Style 6"/>
    <w:basedOn w:val="2"/>
    <w:next w:val="1"/>
    <w:qFormat/>
    <w:uiPriority w:val="0"/>
    <w:pPr>
      <w:outlineLvl w:val="9"/>
    </w:p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Body text|1"/>
    <w:basedOn w:val="1"/>
    <w:qFormat/>
    <w:uiPriority w:val="0"/>
    <w:pPr>
      <w:spacing w:line="480" w:lineRule="auto"/>
    </w:pPr>
    <w:rPr>
      <w:rFonts w:ascii="宋体" w:hAnsi="宋体" w:cs="宋体"/>
      <w:sz w:val="20"/>
      <w:szCs w:val="20"/>
      <w:lang w:val="zh-TW" w:eastAsia="zh-TW" w:bidi="zh-TW"/>
    </w:rPr>
  </w:style>
  <w:style w:type="paragraph" w:customStyle="1" w:styleId="82">
    <w:name w:val="Heading #4|1"/>
    <w:basedOn w:val="1"/>
    <w:qFormat/>
    <w:uiPriority w:val="0"/>
    <w:pPr>
      <w:spacing w:after="200"/>
      <w:jc w:val="center"/>
      <w:outlineLvl w:val="3"/>
    </w:pPr>
    <w:rPr>
      <w:rFonts w:ascii="宋体" w:hAnsi="宋体" w:cs="宋体"/>
      <w:b/>
      <w:bCs/>
      <w:sz w:val="28"/>
      <w:szCs w:val="28"/>
      <w:lang w:val="zh-TW" w:eastAsia="zh-TW" w:bidi="zh-TW"/>
    </w:rPr>
  </w:style>
  <w:style w:type="paragraph" w:customStyle="1" w:styleId="83">
    <w:name w:val="Other|1"/>
    <w:basedOn w:val="1"/>
    <w:qFormat/>
    <w:uiPriority w:val="0"/>
    <w:pPr>
      <w:spacing w:after="600" w:line="480" w:lineRule="auto"/>
    </w:pPr>
    <w:rPr>
      <w:rFonts w:ascii="宋体" w:hAnsi="宋体" w:cs="宋体"/>
      <w:b/>
      <w:bCs/>
      <w:sz w:val="32"/>
      <w:szCs w:val="32"/>
      <w:lang w:val="zh-TW" w:eastAsia="zh-TW" w:bidi="zh-TW"/>
    </w:rPr>
  </w:style>
  <w:style w:type="paragraph" w:customStyle="1" w:styleId="84">
    <w:name w:val="Header or footer|2"/>
    <w:basedOn w:val="1"/>
    <w:qFormat/>
    <w:uiPriority w:val="0"/>
    <w:rPr>
      <w:sz w:val="20"/>
      <w:szCs w:val="20"/>
      <w:lang w:val="zh-TW" w:eastAsia="zh-TW" w:bidi="zh-TW"/>
    </w:rPr>
  </w:style>
  <w:style w:type="paragraph" w:customStyle="1" w:styleId="85">
    <w:name w:val="Header or footer|1"/>
    <w:basedOn w:val="1"/>
    <w:qFormat/>
    <w:uiPriority w:val="0"/>
    <w:rPr>
      <w:sz w:val="18"/>
      <w:szCs w:val="18"/>
      <w:lang w:val="zh-TW" w:eastAsia="zh-TW" w:bidi="zh-TW"/>
    </w:rPr>
  </w:style>
  <w:style w:type="paragraph" w:customStyle="1" w:styleId="86">
    <w:name w:val="Body text|3"/>
    <w:basedOn w:val="1"/>
    <w:qFormat/>
    <w:uiPriority w:val="0"/>
    <w:pPr>
      <w:spacing w:after="600" w:line="480" w:lineRule="auto"/>
    </w:pPr>
    <w:rPr>
      <w:rFonts w:ascii="宋体" w:hAnsi="宋体" w:cs="宋体"/>
      <w:b/>
      <w:bCs/>
      <w:sz w:val="32"/>
      <w:szCs w:val="32"/>
      <w:lang w:val="zh-TW" w:eastAsia="zh-TW" w:bidi="zh-TW"/>
    </w:rPr>
  </w:style>
  <w:style w:type="paragraph" w:customStyle="1" w:styleId="87">
    <w:name w:val="Body text|2"/>
    <w:basedOn w:val="1"/>
    <w:qFormat/>
    <w:uiPriority w:val="0"/>
    <w:pPr>
      <w:spacing w:line="406" w:lineRule="exact"/>
      <w:ind w:firstLine="560"/>
    </w:pPr>
    <w:rPr>
      <w:rFonts w:ascii="宋体" w:hAnsi="宋体" w:cs="宋体"/>
      <w:lang w:val="zh-TW" w:eastAsia="zh-TW" w:bidi="zh-TW"/>
    </w:rPr>
  </w:style>
  <w:style w:type="paragraph" w:customStyle="1" w:styleId="88">
    <w:name w:val="正文 首行缩进:  2 字符"/>
    <w:basedOn w:val="1"/>
    <w:qFormat/>
    <w:uiPriority w:val="0"/>
    <w:pPr>
      <w:ind w:firstLine="579" w:firstLineChars="200"/>
    </w:pPr>
    <w:rPr>
      <w:rFonts w:cs="宋体"/>
      <w:sz w:val="28"/>
      <w:szCs w:val="20"/>
    </w:rPr>
  </w:style>
  <w:style w:type="paragraph" w:customStyle="1" w:styleId="89">
    <w:name w:val="Heading 2"/>
    <w:basedOn w:val="1"/>
    <w:qFormat/>
    <w:uiPriority w:val="1"/>
    <w:pPr>
      <w:ind w:left="100" w:right="102"/>
      <w:outlineLvl w:val="2"/>
    </w:pPr>
    <w:rPr>
      <w:rFonts w:ascii="Microsoft JhengHei" w:hAnsi="Microsoft JhengHei" w:eastAsia="Microsoft JhengHei" w:cs="Microsoft JhengHei"/>
      <w:b/>
      <w:bCs/>
      <w:sz w:val="32"/>
      <w:szCs w:val="32"/>
    </w:rPr>
  </w:style>
  <w:style w:type="paragraph" w:customStyle="1" w:styleId="90">
    <w:name w:val="Heading 4"/>
    <w:basedOn w:val="1"/>
    <w:qFormat/>
    <w:uiPriority w:val="1"/>
    <w:pPr>
      <w:ind w:left="522" w:right="21"/>
      <w:outlineLvl w:val="4"/>
    </w:pPr>
    <w:rPr>
      <w:rFonts w:eastAsia="Times New Roman" w:cs="Times New Roman"/>
      <w:b/>
      <w:bCs/>
    </w:rPr>
  </w:style>
  <w:style w:type="paragraph" w:customStyle="1" w:styleId="91">
    <w:name w:val="Heading 3"/>
    <w:basedOn w:val="1"/>
    <w:qFormat/>
    <w:uiPriority w:val="1"/>
    <w:pPr>
      <w:ind w:left="237" w:right="21"/>
      <w:outlineLvl w:val="3"/>
    </w:pPr>
    <w:rPr>
      <w:sz w:val="28"/>
      <w:szCs w:val="28"/>
    </w:rPr>
  </w:style>
  <w:style w:type="paragraph" w:customStyle="1" w:styleId="92">
    <w:name w:val="Heading #5|1"/>
    <w:basedOn w:val="1"/>
    <w:qFormat/>
    <w:uiPriority w:val="0"/>
    <w:pPr>
      <w:spacing w:after="560"/>
      <w:ind w:right="560"/>
      <w:jc w:val="center"/>
      <w:outlineLvl w:val="4"/>
    </w:pPr>
    <w:rPr>
      <w:rFonts w:ascii="宋体" w:hAnsi="宋体" w:cs="宋体"/>
      <w:b/>
      <w:bCs/>
      <w:sz w:val="26"/>
      <w:szCs w:val="26"/>
      <w:lang w:val="zh-TW" w:eastAsia="zh-TW" w:bidi="zh-TW"/>
    </w:rPr>
  </w:style>
  <w:style w:type="paragraph" w:customStyle="1" w:styleId="93">
    <w:name w:val="0h"/>
    <w:basedOn w:val="1"/>
    <w:qFormat/>
    <w:uiPriority w:val="0"/>
    <w:pPr>
      <w:adjustRightInd w:val="0"/>
      <w:spacing w:line="560" w:lineRule="exact"/>
      <w:ind w:firstLine="560"/>
      <w:textAlignment w:val="baseline"/>
    </w:pPr>
    <w:rPr>
      <w:rFonts w:ascii="仿宋_GB2312" w:hAnsi="宋体" w:eastAsia="仿宋_GB2312"/>
      <w:kern w:val="0"/>
      <w:sz w:val="28"/>
      <w:szCs w:val="28"/>
    </w:rPr>
  </w:style>
  <w:style w:type="paragraph" w:customStyle="1" w:styleId="94">
    <w:name w:val="_Style 174"/>
    <w:basedOn w:val="1"/>
    <w:qFormat/>
    <w:uiPriority w:val="0"/>
    <w:pPr>
      <w:ind w:firstLine="420"/>
    </w:pPr>
    <w:rPr>
      <w:rFonts w:cs="黑体"/>
      <w:sz w:val="28"/>
      <w:szCs w:val="22"/>
    </w:rPr>
  </w:style>
  <w:style w:type="paragraph" w:customStyle="1" w:styleId="95">
    <w:name w:val="列出段落11"/>
    <w:basedOn w:val="1"/>
    <w:qFormat/>
    <w:uiPriority w:val="0"/>
    <w:pPr>
      <w:ind w:firstLine="420" w:firstLineChars="200"/>
    </w:pPr>
    <w:rPr>
      <w:rFonts w:cs="Times New Roman"/>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纯文本1"/>
    <w:basedOn w:val="1"/>
    <w:unhideWhenUsed/>
    <w:qFormat/>
    <w:uiPriority w:val="0"/>
    <w:rPr>
      <w:rFonts w:hint="eastAsia" w:ascii="宋体" w:hAnsi="Courier New" w:cs="Courier New"/>
    </w:rPr>
  </w:style>
  <w:style w:type="paragraph" w:customStyle="1" w:styleId="98">
    <w:name w:val="my正文"/>
    <w:basedOn w:val="1"/>
    <w:unhideWhenUsed/>
    <w:qFormat/>
    <w:uiPriority w:val="0"/>
    <w:pPr>
      <w:widowControl/>
      <w:spacing w:line="360" w:lineRule="auto"/>
      <w:ind w:firstLine="480" w:firstLineChars="200"/>
      <w:jc w:val="left"/>
    </w:pPr>
    <w:rPr>
      <w:rFonts w:hint="eastAsia"/>
      <w:sz w:val="24"/>
      <w:szCs w:val="24"/>
    </w:rPr>
  </w:style>
  <w:style w:type="paragraph" w:customStyle="1" w:styleId="99">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00">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101">
    <w:name w:val="正文首行缩进 22"/>
    <w:basedOn w:val="102"/>
    <w:qFormat/>
    <w:uiPriority w:val="0"/>
    <w:pPr>
      <w:ind w:firstLine="420" w:firstLineChars="200"/>
    </w:pPr>
  </w:style>
  <w:style w:type="paragraph" w:customStyle="1" w:styleId="102">
    <w:name w:val="正文文本缩进2"/>
    <w:basedOn w:val="103"/>
    <w:qFormat/>
    <w:uiPriority w:val="0"/>
    <w:pPr>
      <w:spacing w:after="120"/>
      <w:ind w:left="420" w:leftChars="200"/>
    </w:pPr>
  </w:style>
  <w:style w:type="paragraph" w:customStyle="1" w:styleId="103">
    <w:name w:val="正文_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112</Pages>
  <Words>192</Words>
  <Characters>220</Characters>
  <Lines>356</Lines>
  <Paragraphs>100</Paragraphs>
  <TotalTime>32</TotalTime>
  <ScaleCrop>false</ScaleCrop>
  <LinksUpToDate>false</LinksUpToDate>
  <CharactersWithSpaces>236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2024-03-01T06:56:00Z</dcterms:created>
  <dc:creator>dk</dc:creator>
  <cp:lastModifiedBy>Administrator</cp:lastModifiedBy>
  <cp:lastPrinted>2021-02-18T03:02:00Z</cp:lastPrinted>
  <dcterms:modified xsi:type="dcterms:W3CDTF">2024-12-23T01:22:38Z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601ED4BF046B41F3A49272D2B06216AC_13</vt:lpwstr>
  </property>
</Properties>
</file>