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AEB9D6E">
      <w:pPr>
        <w:jc w:val="center"/>
        <w:rPr>
          <w:color w:val="000000" w:themeColor="text1"/>
          <w:highlight w:val="none"/>
          <w14:textFill>
            <w14:solidFill>
              <w14:schemeClr w14:val="tx1"/>
            </w14:solidFill>
          </w14:textFill>
        </w:rPr>
      </w:pPr>
      <w:bookmarkStart w:id="0" w:name="_Toc466466372"/>
      <w:bookmarkStart w:id="1" w:name="_Toc465257481"/>
      <w:bookmarkStart w:id="2" w:name="_Toc466454728"/>
      <w:r>
        <w:rPr>
          <w:rFonts w:hint="eastAsia" w:ascii="宋体" w:hAnsi="宋体" w:cs="宋体"/>
          <w:b/>
          <w:color w:val="000000" w:themeColor="text1"/>
          <w:sz w:val="44"/>
          <w:szCs w:val="52"/>
          <w:highlight w:val="none"/>
          <w:lang w:val="en-US" w:eastAsia="zh-CN"/>
          <w14:textFill>
            <w14:solidFill>
              <w14:schemeClr w14:val="tx1"/>
            </w14:solidFill>
          </w14:textFill>
        </w:rPr>
        <w:t xml:space="preserve">  </w:t>
      </w:r>
      <w:r>
        <w:rPr>
          <w:rFonts w:hint="eastAsia" w:ascii="宋体" w:hAnsi="宋体" w:cs="宋体"/>
          <w:b/>
          <w:color w:val="000000" w:themeColor="text1"/>
          <w:sz w:val="44"/>
          <w:szCs w:val="52"/>
          <w:highlight w:val="none"/>
          <w:lang w:eastAsia="zh-CN"/>
          <w14:textFill>
            <w14:solidFill>
              <w14:schemeClr w14:val="tx1"/>
            </w14:solidFill>
          </w14:textFill>
        </w:rPr>
        <w:t>延边州第三次全国土壤普查项目</w:t>
      </w:r>
    </w:p>
    <w:p w14:paraId="0332FF97">
      <w:pPr>
        <w:ind w:firstLine="2168" w:firstLineChars="600"/>
        <w:rPr>
          <w:rFonts w:ascii="宋体" w:hAnsi="宋体" w:cs="宋体"/>
          <w:b/>
          <w:color w:val="000000" w:themeColor="text1"/>
          <w:sz w:val="36"/>
          <w:szCs w:val="144"/>
          <w:highlight w:val="none"/>
          <w14:textFill>
            <w14:solidFill>
              <w14:schemeClr w14:val="tx1"/>
            </w14:solidFill>
          </w14:textFill>
        </w:rPr>
      </w:pPr>
    </w:p>
    <w:p w14:paraId="49825876">
      <w:pPr>
        <w:pStyle w:val="2"/>
        <w:rPr>
          <w:highlight w:val="none"/>
        </w:rPr>
      </w:pPr>
    </w:p>
    <w:p w14:paraId="1A43F4D6">
      <w:pPr>
        <w:jc w:val="center"/>
        <w:rPr>
          <w:rFonts w:hint="eastAsia" w:ascii="宋体" w:hAnsi="宋体" w:eastAsia="宋体" w:cs="宋体"/>
          <w:b/>
          <w:color w:val="000000" w:themeColor="text1"/>
          <w:highlight w:val="none"/>
          <w:lang w:eastAsia="zh-CN"/>
          <w14:textFill>
            <w14:solidFill>
              <w14:schemeClr w14:val="tx1"/>
            </w14:solidFill>
          </w14:textFill>
        </w:rPr>
      </w:pPr>
      <w:r>
        <w:rPr>
          <w:rFonts w:hint="eastAsia" w:ascii="宋体" w:hAnsi="宋体" w:cs="宋体"/>
          <w:b/>
          <w:color w:val="000000" w:themeColor="text1"/>
          <w:sz w:val="36"/>
          <w:szCs w:val="144"/>
          <w:highlight w:val="none"/>
          <w14:textFill>
            <w14:solidFill>
              <w14:schemeClr w14:val="tx1"/>
            </w14:solidFill>
          </w14:textFill>
        </w:rPr>
        <w:t>项目编号：</w:t>
      </w:r>
      <w:r>
        <w:rPr>
          <w:rFonts w:hint="eastAsia" w:ascii="宋体" w:hAnsi="宋体" w:cs="宋体"/>
          <w:b/>
          <w:color w:val="000000" w:themeColor="text1"/>
          <w:sz w:val="36"/>
          <w:szCs w:val="144"/>
          <w:highlight w:val="none"/>
          <w:lang w:eastAsia="zh-CN"/>
          <w14:textFill>
            <w14:solidFill>
              <w14:schemeClr w14:val="tx1"/>
            </w14:solidFill>
          </w14:textFill>
        </w:rPr>
        <w:t>JLHY2025-CG06</w:t>
      </w:r>
    </w:p>
    <w:p w14:paraId="56ECF4C6">
      <w:pPr>
        <w:jc w:val="center"/>
        <w:rPr>
          <w:rFonts w:ascii="宋体" w:hAnsi="宋体" w:cs="宋体"/>
          <w:b/>
          <w:color w:val="000000" w:themeColor="text1"/>
          <w:sz w:val="96"/>
          <w:szCs w:val="96"/>
          <w:highlight w:val="none"/>
          <w14:textFill>
            <w14:solidFill>
              <w14:schemeClr w14:val="tx1"/>
            </w14:solidFill>
          </w14:textFill>
        </w:rPr>
      </w:pPr>
    </w:p>
    <w:p w14:paraId="65350E92">
      <w:pPr>
        <w:jc w:val="center"/>
        <w:rPr>
          <w:rFonts w:ascii="宋体" w:hAnsi="宋体" w:cs="宋体"/>
          <w:b/>
          <w:color w:val="000000" w:themeColor="text1"/>
          <w:sz w:val="96"/>
          <w:szCs w:val="96"/>
          <w:highlight w:val="none"/>
          <w14:textFill>
            <w14:solidFill>
              <w14:schemeClr w14:val="tx1"/>
            </w14:solidFill>
          </w14:textFill>
        </w:rPr>
      </w:pPr>
      <w:r>
        <w:rPr>
          <w:rFonts w:hint="eastAsia" w:ascii="宋体" w:hAnsi="宋体" w:cs="宋体"/>
          <w:b/>
          <w:color w:val="000000" w:themeColor="text1"/>
          <w:sz w:val="72"/>
          <w:szCs w:val="72"/>
          <w:highlight w:val="none"/>
          <w14:textFill>
            <w14:solidFill>
              <w14:schemeClr w14:val="tx1"/>
            </w14:solidFill>
          </w14:textFill>
        </w:rPr>
        <w:t>竞争性磋商文件</w:t>
      </w:r>
    </w:p>
    <w:p w14:paraId="3B129B70">
      <w:pPr>
        <w:jc w:val="center"/>
        <w:rPr>
          <w:rFonts w:ascii="宋体" w:hAnsi="宋体" w:cs="宋体"/>
          <w:b/>
          <w:color w:val="000000" w:themeColor="text1"/>
          <w:sz w:val="32"/>
          <w:szCs w:val="96"/>
          <w:highlight w:val="none"/>
          <w14:textFill>
            <w14:solidFill>
              <w14:schemeClr w14:val="tx1"/>
            </w14:solidFill>
          </w14:textFill>
        </w:rPr>
      </w:pPr>
    </w:p>
    <w:p w14:paraId="3B90DF09">
      <w:pPr>
        <w:jc w:val="center"/>
        <w:rPr>
          <w:rFonts w:ascii="宋体" w:hAnsi="宋体" w:cs="宋体"/>
          <w:b/>
          <w:color w:val="000000" w:themeColor="text1"/>
          <w:sz w:val="32"/>
          <w:szCs w:val="96"/>
          <w:highlight w:val="none"/>
          <w14:textFill>
            <w14:solidFill>
              <w14:schemeClr w14:val="tx1"/>
            </w14:solidFill>
          </w14:textFill>
        </w:rPr>
      </w:pPr>
    </w:p>
    <w:p w14:paraId="048AD12E">
      <w:pPr>
        <w:jc w:val="center"/>
        <w:rPr>
          <w:rFonts w:ascii="宋体" w:hAnsi="宋体" w:cs="宋体"/>
          <w:color w:val="000000" w:themeColor="text1"/>
          <w:sz w:val="32"/>
          <w:highlight w:val="none"/>
          <w14:textFill>
            <w14:solidFill>
              <w14:schemeClr w14:val="tx1"/>
            </w14:solidFill>
          </w14:textFill>
        </w:rPr>
      </w:pPr>
    </w:p>
    <w:p w14:paraId="74ADD37E">
      <w:pPr>
        <w:jc w:val="center"/>
        <w:rPr>
          <w:rFonts w:ascii="宋体" w:hAnsi="宋体" w:cs="宋体"/>
          <w:b/>
          <w:color w:val="000000" w:themeColor="text1"/>
          <w:sz w:val="72"/>
          <w:szCs w:val="72"/>
          <w:highlight w:val="none"/>
          <w14:textFill>
            <w14:solidFill>
              <w14:schemeClr w14:val="tx1"/>
            </w14:solidFill>
          </w14:textFill>
        </w:rPr>
      </w:pPr>
    </w:p>
    <w:p w14:paraId="114A1F9F">
      <w:pPr>
        <w:widowControl/>
        <w:autoSpaceDE w:val="0"/>
        <w:autoSpaceDN w:val="0"/>
        <w:adjustRightInd w:val="0"/>
        <w:spacing w:line="480" w:lineRule="auto"/>
        <w:ind w:right="-28" w:firstLine="1928" w:firstLineChars="600"/>
        <w:jc w:val="left"/>
        <w:textAlignment w:val="bottom"/>
        <w:rPr>
          <w:rFonts w:ascii="宋体" w:hAnsi="宋体" w:cs="宋体"/>
          <w:b/>
          <w:bCs/>
          <w:color w:val="000000" w:themeColor="text1"/>
          <w:kern w:val="0"/>
          <w:sz w:val="32"/>
          <w:szCs w:val="28"/>
          <w:highlight w:val="none"/>
          <w14:textFill>
            <w14:solidFill>
              <w14:schemeClr w14:val="tx1"/>
            </w14:solidFill>
          </w14:textFill>
        </w:rPr>
      </w:pPr>
    </w:p>
    <w:p w14:paraId="7B1CED12">
      <w:pPr>
        <w:widowControl/>
        <w:autoSpaceDE w:val="0"/>
        <w:autoSpaceDN w:val="0"/>
        <w:adjustRightInd w:val="0"/>
        <w:spacing w:line="480" w:lineRule="auto"/>
        <w:ind w:right="-28"/>
        <w:jc w:val="center"/>
        <w:textAlignment w:val="bottom"/>
        <w:rPr>
          <w:rFonts w:ascii="宋体" w:hAnsi="宋体" w:cs="宋体"/>
          <w:b/>
          <w:bCs/>
          <w:color w:val="000000" w:themeColor="text1"/>
          <w:kern w:val="0"/>
          <w:sz w:val="32"/>
          <w:szCs w:val="28"/>
          <w:highlight w:val="none"/>
          <w14:textFill>
            <w14:solidFill>
              <w14:schemeClr w14:val="tx1"/>
            </w14:solidFill>
          </w14:textFill>
        </w:rPr>
      </w:pPr>
    </w:p>
    <w:p w14:paraId="1B4B2E02">
      <w:pPr>
        <w:widowControl/>
        <w:autoSpaceDE w:val="0"/>
        <w:autoSpaceDN w:val="0"/>
        <w:adjustRightInd w:val="0"/>
        <w:spacing w:line="480" w:lineRule="auto"/>
        <w:ind w:right="-28"/>
        <w:jc w:val="center"/>
        <w:textAlignment w:val="bottom"/>
        <w:rPr>
          <w:rFonts w:hint="eastAsia" w:ascii="宋体" w:hAnsi="宋体" w:cs="宋体"/>
          <w:b/>
          <w:bCs/>
          <w:color w:val="000000" w:themeColor="text1"/>
          <w:kern w:val="0"/>
          <w:sz w:val="32"/>
          <w:szCs w:val="28"/>
          <w:highlight w:val="none"/>
          <w14:textFill>
            <w14:solidFill>
              <w14:schemeClr w14:val="tx1"/>
            </w14:solidFill>
          </w14:textFill>
        </w:rPr>
      </w:pPr>
    </w:p>
    <w:p w14:paraId="77F9B51B">
      <w:pPr>
        <w:widowControl/>
        <w:autoSpaceDE w:val="0"/>
        <w:autoSpaceDN w:val="0"/>
        <w:adjustRightInd w:val="0"/>
        <w:spacing w:line="480" w:lineRule="auto"/>
        <w:ind w:right="-28"/>
        <w:jc w:val="center"/>
        <w:textAlignment w:val="bottom"/>
        <w:rPr>
          <w:rFonts w:hint="eastAsia" w:ascii="宋体" w:hAnsi="宋体" w:cs="宋体"/>
          <w:b/>
          <w:bCs/>
          <w:color w:val="000000" w:themeColor="text1"/>
          <w:kern w:val="0"/>
          <w:sz w:val="32"/>
          <w:szCs w:val="28"/>
          <w:highlight w:val="none"/>
          <w14:textFill>
            <w14:solidFill>
              <w14:schemeClr w14:val="tx1"/>
            </w14:solidFill>
          </w14:textFill>
        </w:rPr>
      </w:pPr>
    </w:p>
    <w:p w14:paraId="1D808F7C">
      <w:pPr>
        <w:widowControl/>
        <w:autoSpaceDE w:val="0"/>
        <w:autoSpaceDN w:val="0"/>
        <w:adjustRightInd w:val="0"/>
        <w:spacing w:line="480" w:lineRule="auto"/>
        <w:ind w:right="-28"/>
        <w:jc w:val="center"/>
        <w:textAlignment w:val="bottom"/>
        <w:rPr>
          <w:rFonts w:hint="eastAsia" w:ascii="宋体" w:hAnsi="宋体" w:cs="宋体"/>
          <w:b/>
          <w:bCs/>
          <w:color w:val="000000" w:themeColor="text1"/>
          <w:kern w:val="0"/>
          <w:sz w:val="32"/>
          <w:szCs w:val="28"/>
          <w:highlight w:val="none"/>
          <w14:textFill>
            <w14:solidFill>
              <w14:schemeClr w14:val="tx1"/>
            </w14:solidFill>
          </w14:textFill>
        </w:rPr>
      </w:pPr>
    </w:p>
    <w:p w14:paraId="6211ED71">
      <w:pPr>
        <w:widowControl/>
        <w:autoSpaceDE w:val="0"/>
        <w:autoSpaceDN w:val="0"/>
        <w:adjustRightInd w:val="0"/>
        <w:spacing w:line="480" w:lineRule="auto"/>
        <w:ind w:right="-28"/>
        <w:jc w:val="center"/>
        <w:textAlignment w:val="bottom"/>
        <w:rPr>
          <w:rFonts w:hint="eastAsia" w:ascii="宋体" w:hAnsi="宋体" w:cs="宋体"/>
          <w:b/>
          <w:bCs/>
          <w:color w:val="000000" w:themeColor="text1"/>
          <w:kern w:val="0"/>
          <w:sz w:val="32"/>
          <w:szCs w:val="28"/>
          <w:highlight w:val="none"/>
          <w14:textFill>
            <w14:solidFill>
              <w14:schemeClr w14:val="tx1"/>
            </w14:solidFill>
          </w14:textFill>
        </w:rPr>
      </w:pPr>
    </w:p>
    <w:p w14:paraId="677B1D89">
      <w:pPr>
        <w:widowControl/>
        <w:autoSpaceDE w:val="0"/>
        <w:autoSpaceDN w:val="0"/>
        <w:adjustRightInd w:val="0"/>
        <w:spacing w:line="480" w:lineRule="auto"/>
        <w:ind w:right="-28"/>
        <w:jc w:val="center"/>
        <w:textAlignment w:val="bottom"/>
        <w:rPr>
          <w:rFonts w:ascii="宋体" w:hAnsi="宋体" w:cs="宋体"/>
          <w:b/>
          <w:color w:val="000000" w:themeColor="text1"/>
          <w:sz w:val="48"/>
          <w:szCs w:val="56"/>
          <w:highlight w:val="none"/>
          <w14:textFill>
            <w14:solidFill>
              <w14:schemeClr w14:val="tx1"/>
            </w14:solidFill>
          </w14:textFill>
        </w:rPr>
        <w:sectPr>
          <w:headerReference r:id="rId4" w:type="first"/>
          <w:headerReference r:id="rId3" w:type="default"/>
          <w:footerReference r:id="rId5" w:type="default"/>
          <w:pgSz w:w="11905" w:h="16838"/>
          <w:pgMar w:top="1440" w:right="1803" w:bottom="1440" w:left="1803" w:header="1140" w:footer="720" w:gutter="0"/>
          <w:pgNumType w:start="1"/>
          <w:cols w:space="0" w:num="1"/>
          <w:docGrid w:type="lines" w:linePitch="317" w:charSpace="0"/>
        </w:sectPr>
      </w:pPr>
      <w:r>
        <w:rPr>
          <w:rFonts w:hint="eastAsia" w:ascii="宋体" w:hAnsi="宋体" w:cs="宋体"/>
          <w:b/>
          <w:bCs/>
          <w:color w:val="000000" w:themeColor="text1"/>
          <w:kern w:val="0"/>
          <w:sz w:val="32"/>
          <w:szCs w:val="28"/>
          <w:highlight w:val="none"/>
          <w:lang w:eastAsia="zh-CN"/>
          <w14:textFill>
            <w14:solidFill>
              <w14:schemeClr w14:val="tx1"/>
            </w14:solidFill>
          </w14:textFill>
        </w:rPr>
        <w:t>吉林省浩业工程咨询有限公司</w:t>
      </w:r>
      <w:r>
        <w:rPr>
          <w:rFonts w:hint="eastAsia" w:ascii="宋体" w:hAnsi="宋体" w:cs="宋体"/>
          <w:b/>
          <w:bCs/>
          <w:color w:val="000000" w:themeColor="text1"/>
          <w:sz w:val="32"/>
          <w:szCs w:val="32"/>
          <w:highlight w:val="none"/>
          <w14:textFill>
            <w14:solidFill>
              <w14:schemeClr w14:val="tx1"/>
            </w14:solidFill>
          </w14:textFill>
        </w:rPr>
        <w:t>·</w:t>
      </w:r>
      <w:r>
        <w:rPr>
          <w:rFonts w:hint="eastAsia" w:ascii="宋体" w:hAnsi="宋体" w:cs="宋体"/>
          <w:b/>
          <w:bCs/>
          <w:color w:val="000000" w:themeColor="text1"/>
          <w:kern w:val="0"/>
          <w:sz w:val="32"/>
          <w:szCs w:val="28"/>
          <w:highlight w:val="none"/>
          <w14:textFill>
            <w14:solidFill>
              <w14:schemeClr w14:val="tx1"/>
            </w14:solidFill>
          </w14:textFill>
        </w:rPr>
        <w:t>编制</w:t>
      </w:r>
    </w:p>
    <w:p w14:paraId="4C0E1391">
      <w:pPr>
        <w:jc w:val="center"/>
        <w:rPr>
          <w:color w:val="000000" w:themeColor="text1"/>
          <w:sz w:val="44"/>
          <w:szCs w:val="44"/>
          <w:highlight w:val="none"/>
          <w14:textFill>
            <w14:solidFill>
              <w14:schemeClr w14:val="tx1"/>
            </w14:solidFill>
          </w14:textFill>
        </w:rPr>
      </w:pPr>
      <w:r>
        <w:rPr>
          <w:rFonts w:hint="eastAsia" w:ascii="宋体" w:hAnsi="宋体" w:cs="宋体"/>
          <w:b/>
          <w:color w:val="000000" w:themeColor="text1"/>
          <w:sz w:val="44"/>
          <w:szCs w:val="44"/>
          <w:highlight w:val="none"/>
          <w:lang w:val="en-US" w:eastAsia="zh-CN"/>
          <w14:textFill>
            <w14:solidFill>
              <w14:schemeClr w14:val="tx1"/>
            </w14:solidFill>
          </w14:textFill>
        </w:rPr>
        <w:t xml:space="preserve">  </w:t>
      </w:r>
      <w:r>
        <w:rPr>
          <w:rFonts w:hint="eastAsia" w:ascii="宋体" w:hAnsi="宋体" w:cs="宋体"/>
          <w:b/>
          <w:color w:val="000000" w:themeColor="text1"/>
          <w:sz w:val="44"/>
          <w:szCs w:val="44"/>
          <w:highlight w:val="none"/>
          <w:lang w:eastAsia="zh-CN"/>
          <w14:textFill>
            <w14:solidFill>
              <w14:schemeClr w14:val="tx1"/>
            </w14:solidFill>
          </w14:textFill>
        </w:rPr>
        <w:t>延边州第三次全国土壤普查项目</w:t>
      </w:r>
    </w:p>
    <w:p w14:paraId="258A0632">
      <w:pPr>
        <w:ind w:firstLine="2168" w:firstLineChars="600"/>
        <w:rPr>
          <w:rFonts w:ascii="宋体" w:hAnsi="宋体" w:cs="宋体"/>
          <w:b/>
          <w:color w:val="000000" w:themeColor="text1"/>
          <w:sz w:val="36"/>
          <w:szCs w:val="144"/>
          <w:highlight w:val="none"/>
          <w14:textFill>
            <w14:solidFill>
              <w14:schemeClr w14:val="tx1"/>
            </w14:solidFill>
          </w14:textFill>
        </w:rPr>
      </w:pPr>
    </w:p>
    <w:p w14:paraId="4C63A830">
      <w:pPr>
        <w:pStyle w:val="2"/>
        <w:rPr>
          <w:highlight w:val="none"/>
        </w:rPr>
      </w:pPr>
    </w:p>
    <w:p w14:paraId="53CBE08A">
      <w:pPr>
        <w:jc w:val="center"/>
        <w:rPr>
          <w:rFonts w:hint="eastAsia" w:ascii="宋体" w:hAnsi="宋体" w:eastAsia="宋体" w:cs="宋体"/>
          <w:b/>
          <w:color w:val="000000" w:themeColor="text1"/>
          <w:sz w:val="36"/>
          <w:szCs w:val="144"/>
          <w:highlight w:val="none"/>
          <w:lang w:eastAsia="zh-CN"/>
          <w14:textFill>
            <w14:solidFill>
              <w14:schemeClr w14:val="tx1"/>
            </w14:solidFill>
          </w14:textFill>
        </w:rPr>
      </w:pPr>
      <w:r>
        <w:rPr>
          <w:rFonts w:hint="eastAsia" w:ascii="宋体" w:hAnsi="宋体" w:cs="宋体"/>
          <w:b/>
          <w:color w:val="000000" w:themeColor="text1"/>
          <w:sz w:val="36"/>
          <w:szCs w:val="144"/>
          <w:highlight w:val="none"/>
          <w14:textFill>
            <w14:solidFill>
              <w14:schemeClr w14:val="tx1"/>
            </w14:solidFill>
          </w14:textFill>
        </w:rPr>
        <w:t>项目编号：</w:t>
      </w:r>
      <w:r>
        <w:rPr>
          <w:rFonts w:hint="eastAsia" w:ascii="宋体" w:hAnsi="宋体" w:cs="宋体"/>
          <w:b/>
          <w:color w:val="000000" w:themeColor="text1"/>
          <w:sz w:val="36"/>
          <w:szCs w:val="144"/>
          <w:highlight w:val="none"/>
          <w:lang w:eastAsia="zh-CN"/>
          <w14:textFill>
            <w14:solidFill>
              <w14:schemeClr w14:val="tx1"/>
            </w14:solidFill>
          </w14:textFill>
        </w:rPr>
        <w:t>JLHY2025-CG06</w:t>
      </w:r>
    </w:p>
    <w:p w14:paraId="39039013">
      <w:pPr>
        <w:jc w:val="center"/>
        <w:rPr>
          <w:rFonts w:ascii="宋体" w:hAnsi="宋体" w:cs="宋体"/>
          <w:b/>
          <w:color w:val="000000" w:themeColor="text1"/>
          <w:highlight w:val="none"/>
          <w14:textFill>
            <w14:solidFill>
              <w14:schemeClr w14:val="tx1"/>
            </w14:solidFill>
          </w14:textFill>
        </w:rPr>
      </w:pPr>
    </w:p>
    <w:p w14:paraId="409E065C">
      <w:pPr>
        <w:jc w:val="center"/>
        <w:rPr>
          <w:rFonts w:ascii="宋体" w:hAnsi="宋体" w:cs="宋体"/>
          <w:b/>
          <w:color w:val="000000" w:themeColor="text1"/>
          <w:sz w:val="96"/>
          <w:szCs w:val="96"/>
          <w:highlight w:val="none"/>
          <w14:textFill>
            <w14:solidFill>
              <w14:schemeClr w14:val="tx1"/>
            </w14:solidFill>
          </w14:textFill>
        </w:rPr>
      </w:pPr>
    </w:p>
    <w:p w14:paraId="2F083C21">
      <w:pPr>
        <w:jc w:val="center"/>
        <w:rPr>
          <w:rFonts w:ascii="宋体" w:hAnsi="宋体" w:cs="宋体"/>
          <w:b/>
          <w:color w:val="000000" w:themeColor="text1"/>
          <w:sz w:val="96"/>
          <w:szCs w:val="96"/>
          <w:highlight w:val="none"/>
          <w14:textFill>
            <w14:solidFill>
              <w14:schemeClr w14:val="tx1"/>
            </w14:solidFill>
          </w14:textFill>
        </w:rPr>
      </w:pPr>
      <w:r>
        <w:rPr>
          <w:rFonts w:hint="eastAsia" w:ascii="宋体" w:hAnsi="宋体" w:cs="宋体"/>
          <w:b/>
          <w:color w:val="000000" w:themeColor="text1"/>
          <w:sz w:val="72"/>
          <w:szCs w:val="72"/>
          <w:highlight w:val="none"/>
          <w14:textFill>
            <w14:solidFill>
              <w14:schemeClr w14:val="tx1"/>
            </w14:solidFill>
          </w14:textFill>
        </w:rPr>
        <w:t>竞争性磋商文件</w:t>
      </w:r>
    </w:p>
    <w:p w14:paraId="432C057B">
      <w:pPr>
        <w:jc w:val="center"/>
        <w:rPr>
          <w:rFonts w:ascii="宋体" w:hAnsi="宋体" w:cs="宋体"/>
          <w:b/>
          <w:color w:val="000000" w:themeColor="text1"/>
          <w:sz w:val="96"/>
          <w:szCs w:val="96"/>
          <w:highlight w:val="none"/>
          <w14:textFill>
            <w14:solidFill>
              <w14:schemeClr w14:val="tx1"/>
            </w14:solidFill>
          </w14:textFill>
        </w:rPr>
      </w:pPr>
    </w:p>
    <w:p w14:paraId="5495C1E9">
      <w:pPr>
        <w:widowControl/>
        <w:autoSpaceDE w:val="0"/>
        <w:autoSpaceDN w:val="0"/>
        <w:adjustRightInd w:val="0"/>
        <w:spacing w:line="480" w:lineRule="auto"/>
        <w:ind w:right="-28" w:firstLine="1928" w:firstLineChars="600"/>
        <w:textAlignment w:val="bottom"/>
        <w:rPr>
          <w:rFonts w:hint="eastAsia" w:ascii="宋体" w:hAnsi="宋体" w:cs="宋体"/>
          <w:b/>
          <w:color w:val="000000" w:themeColor="text1"/>
          <w:kern w:val="0"/>
          <w:sz w:val="32"/>
          <w:szCs w:val="28"/>
          <w:highlight w:val="none"/>
          <w14:textFill>
            <w14:solidFill>
              <w14:schemeClr w14:val="tx1"/>
            </w14:solidFill>
          </w14:textFill>
        </w:rPr>
      </w:pPr>
      <w:bookmarkStart w:id="3" w:name="OLE_LINK10"/>
    </w:p>
    <w:p w14:paraId="714D501F">
      <w:pPr>
        <w:widowControl/>
        <w:autoSpaceDE w:val="0"/>
        <w:autoSpaceDN w:val="0"/>
        <w:adjustRightInd w:val="0"/>
        <w:spacing w:line="480" w:lineRule="auto"/>
        <w:ind w:right="-28" w:firstLine="1928" w:firstLineChars="600"/>
        <w:textAlignment w:val="bottom"/>
        <w:rPr>
          <w:rFonts w:hint="eastAsia" w:ascii="宋体" w:hAnsi="宋体" w:cs="宋体"/>
          <w:b/>
          <w:color w:val="000000" w:themeColor="text1"/>
          <w:kern w:val="0"/>
          <w:sz w:val="32"/>
          <w:szCs w:val="28"/>
          <w:highlight w:val="none"/>
          <w14:textFill>
            <w14:solidFill>
              <w14:schemeClr w14:val="tx1"/>
            </w14:solidFill>
          </w14:textFill>
        </w:rPr>
      </w:pPr>
    </w:p>
    <w:p w14:paraId="30EC7589">
      <w:pPr>
        <w:widowControl/>
        <w:autoSpaceDE w:val="0"/>
        <w:autoSpaceDN w:val="0"/>
        <w:adjustRightInd w:val="0"/>
        <w:spacing w:line="480" w:lineRule="auto"/>
        <w:ind w:right="-28" w:firstLine="1928" w:firstLineChars="600"/>
        <w:textAlignment w:val="bottom"/>
        <w:rPr>
          <w:rFonts w:hint="eastAsia" w:ascii="宋体" w:hAnsi="宋体" w:cs="宋体"/>
          <w:b/>
          <w:color w:val="000000" w:themeColor="text1"/>
          <w:kern w:val="0"/>
          <w:sz w:val="32"/>
          <w:szCs w:val="28"/>
          <w:highlight w:val="none"/>
          <w14:textFill>
            <w14:solidFill>
              <w14:schemeClr w14:val="tx1"/>
            </w14:solidFill>
          </w14:textFill>
        </w:rPr>
      </w:pPr>
    </w:p>
    <w:p w14:paraId="59A28586">
      <w:pPr>
        <w:widowControl/>
        <w:autoSpaceDE w:val="0"/>
        <w:autoSpaceDN w:val="0"/>
        <w:adjustRightInd w:val="0"/>
        <w:spacing w:line="480" w:lineRule="auto"/>
        <w:ind w:right="-28" w:firstLine="1928" w:firstLineChars="600"/>
        <w:textAlignment w:val="bottom"/>
        <w:rPr>
          <w:rFonts w:hint="eastAsia" w:ascii="宋体" w:hAnsi="宋体" w:cs="宋体"/>
          <w:b/>
          <w:color w:val="000000" w:themeColor="text1"/>
          <w:kern w:val="0"/>
          <w:sz w:val="32"/>
          <w:szCs w:val="28"/>
          <w:highlight w:val="none"/>
          <w14:textFill>
            <w14:solidFill>
              <w14:schemeClr w14:val="tx1"/>
            </w14:solidFill>
          </w14:textFill>
        </w:rPr>
      </w:pPr>
    </w:p>
    <w:p w14:paraId="716E78E2">
      <w:pPr>
        <w:widowControl/>
        <w:autoSpaceDE w:val="0"/>
        <w:autoSpaceDN w:val="0"/>
        <w:adjustRightInd w:val="0"/>
        <w:spacing w:line="480" w:lineRule="auto"/>
        <w:ind w:right="-28"/>
        <w:textAlignment w:val="bottom"/>
        <w:rPr>
          <w:rFonts w:hint="eastAsia" w:ascii="宋体" w:hAnsi="宋体" w:eastAsia="宋体" w:cs="宋体"/>
          <w:b/>
          <w:color w:val="000000" w:themeColor="text1"/>
          <w:kern w:val="0"/>
          <w:sz w:val="32"/>
          <w:szCs w:val="28"/>
          <w:highlight w:val="none"/>
          <w:lang w:eastAsia="zh-CN"/>
          <w14:textFill>
            <w14:solidFill>
              <w14:schemeClr w14:val="tx1"/>
            </w14:solidFill>
          </w14:textFill>
        </w:rPr>
      </w:pPr>
      <w:r>
        <w:rPr>
          <w:rFonts w:hint="eastAsia" w:ascii="宋体" w:hAnsi="宋体" w:cs="宋体"/>
          <w:b/>
          <w:color w:val="000000" w:themeColor="text1"/>
          <w:kern w:val="0"/>
          <w:sz w:val="32"/>
          <w:szCs w:val="28"/>
          <w:highlight w:val="none"/>
          <w:lang w:eastAsia="zh-CN"/>
          <w14:textFill>
            <w14:solidFill>
              <w14:schemeClr w14:val="tx1"/>
            </w14:solidFill>
          </w14:textFill>
        </w:rPr>
        <w:t>采</w:t>
      </w:r>
      <w:r>
        <w:rPr>
          <w:rFonts w:hint="eastAsia" w:ascii="宋体" w:hAnsi="宋体" w:cs="宋体"/>
          <w:b/>
          <w:color w:val="000000" w:themeColor="text1"/>
          <w:kern w:val="0"/>
          <w:sz w:val="32"/>
          <w:szCs w:val="28"/>
          <w:highlight w:val="none"/>
          <w:lang w:val="en-US" w:eastAsia="zh-CN"/>
          <w14:textFill>
            <w14:solidFill>
              <w14:schemeClr w14:val="tx1"/>
            </w14:solidFill>
          </w14:textFill>
        </w:rPr>
        <w:t xml:space="preserve"> </w:t>
      </w:r>
      <w:r>
        <w:rPr>
          <w:rFonts w:hint="eastAsia" w:ascii="宋体" w:hAnsi="宋体" w:cs="宋体"/>
          <w:b/>
          <w:color w:val="000000" w:themeColor="text1"/>
          <w:kern w:val="0"/>
          <w:sz w:val="32"/>
          <w:szCs w:val="28"/>
          <w:highlight w:val="none"/>
          <w:lang w:eastAsia="zh-CN"/>
          <w14:textFill>
            <w14:solidFill>
              <w14:schemeClr w14:val="tx1"/>
            </w14:solidFill>
          </w14:textFill>
        </w:rPr>
        <w:t>购</w:t>
      </w:r>
      <w:r>
        <w:rPr>
          <w:rFonts w:hint="eastAsia" w:ascii="宋体" w:hAnsi="宋体" w:cs="宋体"/>
          <w:b/>
          <w:color w:val="000000" w:themeColor="text1"/>
          <w:kern w:val="0"/>
          <w:sz w:val="32"/>
          <w:szCs w:val="28"/>
          <w:highlight w:val="none"/>
          <w:lang w:val="en-US" w:eastAsia="zh-CN"/>
          <w14:textFill>
            <w14:solidFill>
              <w14:schemeClr w14:val="tx1"/>
            </w14:solidFill>
          </w14:textFill>
        </w:rPr>
        <w:t xml:space="preserve"> </w:t>
      </w:r>
      <w:r>
        <w:rPr>
          <w:rFonts w:hint="eastAsia" w:ascii="宋体" w:hAnsi="宋体" w:cs="宋体"/>
          <w:b/>
          <w:color w:val="000000" w:themeColor="text1"/>
          <w:kern w:val="0"/>
          <w:sz w:val="32"/>
          <w:szCs w:val="28"/>
          <w:highlight w:val="none"/>
          <w:lang w:eastAsia="zh-CN"/>
          <w14:textFill>
            <w14:solidFill>
              <w14:schemeClr w14:val="tx1"/>
            </w14:solidFill>
          </w14:textFill>
        </w:rPr>
        <w:t>人</w:t>
      </w:r>
      <w:r>
        <w:rPr>
          <w:rFonts w:hint="eastAsia" w:ascii="宋体" w:hAnsi="宋体" w:cs="宋体"/>
          <w:b/>
          <w:color w:val="000000" w:themeColor="text1"/>
          <w:kern w:val="0"/>
          <w:sz w:val="32"/>
          <w:szCs w:val="28"/>
          <w:highlight w:val="none"/>
          <w14:textFill>
            <w14:solidFill>
              <w14:schemeClr w14:val="tx1"/>
            </w14:solidFill>
          </w14:textFill>
        </w:rPr>
        <w:t>：</w:t>
      </w:r>
      <w:bookmarkEnd w:id="3"/>
      <w:r>
        <w:rPr>
          <w:rFonts w:hint="eastAsia" w:ascii="宋体" w:hAnsi="宋体" w:cs="宋体"/>
          <w:b/>
          <w:color w:val="000000" w:themeColor="text1"/>
          <w:kern w:val="0"/>
          <w:sz w:val="32"/>
          <w:szCs w:val="28"/>
          <w:highlight w:val="none"/>
          <w:lang w:eastAsia="zh-CN"/>
          <w14:textFill>
            <w14:solidFill>
              <w14:schemeClr w14:val="tx1"/>
            </w14:solidFill>
          </w14:textFill>
        </w:rPr>
        <w:t>延边朝鲜族自治州土壤肥料工作站</w:t>
      </w:r>
    </w:p>
    <w:p w14:paraId="7303944B">
      <w:pPr>
        <w:widowControl/>
        <w:autoSpaceDE w:val="0"/>
        <w:autoSpaceDN w:val="0"/>
        <w:adjustRightInd w:val="0"/>
        <w:spacing w:line="480" w:lineRule="auto"/>
        <w:ind w:right="-28" w:firstLine="1285" w:firstLineChars="400"/>
        <w:jc w:val="left"/>
        <w:textAlignment w:val="bottom"/>
        <w:rPr>
          <w:rFonts w:ascii="宋体" w:hAnsi="宋体" w:cs="宋体"/>
          <w:b/>
          <w:color w:val="000000" w:themeColor="text1"/>
          <w:kern w:val="0"/>
          <w:sz w:val="32"/>
          <w:szCs w:val="28"/>
          <w:highlight w:val="none"/>
          <w:lang w:val="zh-CN"/>
          <w14:textFill>
            <w14:solidFill>
              <w14:schemeClr w14:val="tx1"/>
            </w14:solidFill>
          </w14:textFill>
        </w:rPr>
      </w:pPr>
    </w:p>
    <w:p w14:paraId="3566E393">
      <w:pPr>
        <w:widowControl/>
        <w:autoSpaceDE w:val="0"/>
        <w:autoSpaceDN w:val="0"/>
        <w:adjustRightInd w:val="0"/>
        <w:spacing w:line="480" w:lineRule="auto"/>
        <w:ind w:right="-28" w:firstLine="1285" w:firstLineChars="400"/>
        <w:jc w:val="left"/>
        <w:textAlignment w:val="bottom"/>
        <w:rPr>
          <w:rFonts w:hint="eastAsia" w:ascii="宋体" w:hAnsi="宋体" w:eastAsia="宋体" w:cs="宋体"/>
          <w:b/>
          <w:color w:val="000000" w:themeColor="text1"/>
          <w:sz w:val="32"/>
          <w:szCs w:val="52"/>
          <w:highlight w:val="none"/>
          <w:lang w:eastAsia="zh-CN"/>
          <w14:textFill>
            <w14:solidFill>
              <w14:schemeClr w14:val="tx1"/>
            </w14:solidFill>
          </w14:textFill>
        </w:rPr>
      </w:pPr>
      <w:r>
        <w:rPr>
          <w:rFonts w:hint="eastAsia" w:ascii="宋体" w:hAnsi="宋体" w:cs="宋体"/>
          <w:b/>
          <w:color w:val="000000" w:themeColor="text1"/>
          <w:kern w:val="0"/>
          <w:sz w:val="32"/>
          <w:szCs w:val="28"/>
          <w:highlight w:val="none"/>
          <w:lang w:val="zh-CN"/>
          <w14:textFill>
            <w14:solidFill>
              <w14:schemeClr w14:val="tx1"/>
            </w14:solidFill>
          </w14:textFill>
        </w:rPr>
        <w:t>代理机构：</w:t>
      </w:r>
      <w:r>
        <w:rPr>
          <w:rFonts w:hint="eastAsia" w:ascii="宋体" w:hAnsi="宋体" w:cs="宋体"/>
          <w:b/>
          <w:bCs/>
          <w:color w:val="000000" w:themeColor="text1"/>
          <w:kern w:val="0"/>
          <w:sz w:val="32"/>
          <w:szCs w:val="28"/>
          <w:highlight w:val="none"/>
          <w:lang w:eastAsia="zh-CN"/>
          <w14:textFill>
            <w14:solidFill>
              <w14:schemeClr w14:val="tx1"/>
            </w14:solidFill>
          </w14:textFill>
        </w:rPr>
        <w:t>吉林省浩业工程咨询有限公司</w:t>
      </w:r>
    </w:p>
    <w:p w14:paraId="0EC30F00">
      <w:pPr>
        <w:jc w:val="center"/>
        <w:rPr>
          <w:rFonts w:ascii="宋体" w:hAnsi="宋体" w:cs="宋体"/>
          <w:b/>
          <w:color w:val="000000" w:themeColor="text1"/>
          <w:sz w:val="32"/>
          <w:szCs w:val="52"/>
          <w:highlight w:val="none"/>
          <w14:textFill>
            <w14:solidFill>
              <w14:schemeClr w14:val="tx1"/>
            </w14:solidFill>
          </w14:textFill>
        </w:rPr>
      </w:pPr>
    </w:p>
    <w:p w14:paraId="500A27DE">
      <w:pPr>
        <w:jc w:val="center"/>
        <w:rPr>
          <w:rFonts w:ascii="宋体" w:hAnsi="宋体" w:cs="宋体"/>
          <w:b/>
          <w:color w:val="000000" w:themeColor="text1"/>
          <w:sz w:val="32"/>
          <w:szCs w:val="52"/>
          <w:highlight w:val="none"/>
          <w14:textFill>
            <w14:solidFill>
              <w14:schemeClr w14:val="tx1"/>
            </w14:solidFill>
          </w14:textFill>
        </w:rPr>
        <w:sectPr>
          <w:pgSz w:w="11905" w:h="16838"/>
          <w:pgMar w:top="1440" w:right="1803" w:bottom="1440" w:left="1803" w:header="1140" w:footer="720" w:gutter="0"/>
          <w:pgNumType w:start="1"/>
          <w:cols w:space="0" w:num="1"/>
          <w:docGrid w:type="lines" w:linePitch="317" w:charSpace="0"/>
        </w:sectPr>
      </w:pPr>
      <w:r>
        <w:rPr>
          <w:rFonts w:hint="eastAsia" w:ascii="宋体" w:hAnsi="宋体" w:cs="宋体"/>
          <w:b/>
          <w:color w:val="000000" w:themeColor="text1"/>
          <w:sz w:val="32"/>
          <w:szCs w:val="52"/>
          <w:highlight w:val="none"/>
          <w14:textFill>
            <w14:solidFill>
              <w14:schemeClr w14:val="tx1"/>
            </w14:solidFill>
          </w14:textFill>
        </w:rPr>
        <w:t>二〇二</w:t>
      </w:r>
      <w:r>
        <w:rPr>
          <w:rFonts w:hint="eastAsia" w:ascii="宋体" w:hAnsi="宋体" w:cs="宋体"/>
          <w:b/>
          <w:color w:val="000000" w:themeColor="text1"/>
          <w:sz w:val="32"/>
          <w:szCs w:val="52"/>
          <w:highlight w:val="none"/>
          <w:lang w:val="en-US" w:eastAsia="zh-CN"/>
          <w14:textFill>
            <w14:solidFill>
              <w14:schemeClr w14:val="tx1"/>
            </w14:solidFill>
          </w14:textFill>
        </w:rPr>
        <w:t>五</w:t>
      </w:r>
      <w:r>
        <w:rPr>
          <w:rFonts w:hint="eastAsia" w:ascii="宋体" w:hAnsi="宋体" w:cs="宋体"/>
          <w:b/>
          <w:color w:val="000000" w:themeColor="text1"/>
          <w:sz w:val="32"/>
          <w:szCs w:val="52"/>
          <w:highlight w:val="none"/>
          <w14:textFill>
            <w14:solidFill>
              <w14:schemeClr w14:val="tx1"/>
            </w14:solidFill>
          </w14:textFill>
        </w:rPr>
        <w:t>年</w:t>
      </w:r>
      <w:r>
        <w:rPr>
          <w:rFonts w:hint="eastAsia" w:ascii="宋体" w:hAnsi="宋体" w:cs="宋体"/>
          <w:b/>
          <w:color w:val="000000" w:themeColor="text1"/>
          <w:sz w:val="32"/>
          <w:szCs w:val="52"/>
          <w:highlight w:val="none"/>
          <w:lang w:val="en-US" w:eastAsia="zh-CN"/>
          <w14:textFill>
            <w14:solidFill>
              <w14:schemeClr w14:val="tx1"/>
            </w14:solidFill>
          </w14:textFill>
        </w:rPr>
        <w:t>三</w:t>
      </w:r>
      <w:r>
        <w:rPr>
          <w:rFonts w:hint="eastAsia" w:ascii="宋体" w:hAnsi="宋体" w:cs="宋体"/>
          <w:b/>
          <w:color w:val="000000" w:themeColor="text1"/>
          <w:sz w:val="32"/>
          <w:szCs w:val="52"/>
          <w:highlight w:val="none"/>
          <w14:textFill>
            <w14:solidFill>
              <w14:schemeClr w14:val="tx1"/>
            </w14:solidFill>
          </w14:textFill>
        </w:rPr>
        <w:t>月</w:t>
      </w:r>
    </w:p>
    <w:sdt>
      <w:sdtPr>
        <w:rPr>
          <w:rFonts w:ascii="宋体" w:hAnsi="宋体"/>
          <w:b/>
          <w:bCs/>
          <w:caps/>
          <w:color w:val="000000" w:themeColor="text1"/>
          <w:highlight w:val="none"/>
          <w14:textFill>
            <w14:solidFill>
              <w14:schemeClr w14:val="tx1"/>
            </w14:solidFill>
          </w14:textFill>
        </w:rPr>
        <w:id w:val="147477770"/>
        <w15:color w:val="DBDBDB"/>
        <w:docPartObj>
          <w:docPartGallery w:val="Table of Contents"/>
          <w:docPartUnique/>
        </w:docPartObj>
      </w:sdtPr>
      <w:sdtEndPr>
        <w:rPr>
          <w:rFonts w:hint="eastAsia" w:ascii="Times New Roman" w:hAnsi="Times New Roman" w:cs="Times New Roman"/>
          <w:b/>
          <w:bCs w:val="0"/>
          <w:caps/>
          <w:color w:val="000000" w:themeColor="text1"/>
          <w:sz w:val="24"/>
          <w:szCs w:val="28"/>
          <w:highlight w:val="none"/>
          <w14:textFill>
            <w14:solidFill>
              <w14:schemeClr w14:val="tx1"/>
            </w14:solidFill>
          </w14:textFill>
        </w:rPr>
      </w:sdtEndPr>
      <w:sdtContent>
        <w:p w14:paraId="76CB3FA0">
          <w:pPr>
            <w:jc w:val="center"/>
            <w:outlineLvl w:val="0"/>
            <w:rPr>
              <w:rFonts w:ascii="宋体" w:hAnsi="宋体"/>
              <w:b/>
              <w:bCs/>
              <w:color w:val="000000" w:themeColor="text1"/>
              <w:sz w:val="48"/>
              <w:szCs w:val="48"/>
              <w:highlight w:val="none"/>
              <w14:textFill>
                <w14:solidFill>
                  <w14:schemeClr w14:val="tx1"/>
                </w14:solidFill>
              </w14:textFill>
            </w:rPr>
          </w:pPr>
          <w:bookmarkStart w:id="4" w:name="_Toc26026"/>
          <w:bookmarkStart w:id="5" w:name="_Toc28298"/>
          <w:bookmarkStart w:id="6" w:name="_Toc10193"/>
          <w:r>
            <w:rPr>
              <w:rFonts w:ascii="宋体" w:hAnsi="宋体"/>
              <w:b/>
              <w:bCs/>
              <w:color w:val="000000" w:themeColor="text1"/>
              <w:sz w:val="44"/>
              <w:szCs w:val="44"/>
              <w:highlight w:val="none"/>
              <w14:textFill>
                <w14:solidFill>
                  <w14:schemeClr w14:val="tx1"/>
                </w14:solidFill>
              </w14:textFill>
            </w:rPr>
            <w:t>目</w:t>
          </w:r>
          <w:r>
            <w:rPr>
              <w:rFonts w:hint="eastAsia" w:ascii="宋体" w:hAnsi="宋体"/>
              <w:b/>
              <w:bCs/>
              <w:color w:val="000000" w:themeColor="text1"/>
              <w:sz w:val="44"/>
              <w:szCs w:val="44"/>
              <w:highlight w:val="none"/>
              <w14:textFill>
                <w14:solidFill>
                  <w14:schemeClr w14:val="tx1"/>
                </w14:solidFill>
              </w14:textFill>
            </w:rPr>
            <w:t xml:space="preserve"> </w:t>
          </w:r>
          <w:r>
            <w:rPr>
              <w:rFonts w:ascii="宋体" w:hAnsi="宋体"/>
              <w:b/>
              <w:bCs/>
              <w:color w:val="000000" w:themeColor="text1"/>
              <w:sz w:val="44"/>
              <w:szCs w:val="44"/>
              <w:highlight w:val="none"/>
              <w14:textFill>
                <w14:solidFill>
                  <w14:schemeClr w14:val="tx1"/>
                </w14:solidFill>
              </w14:textFill>
            </w:rPr>
            <w:t>录</w:t>
          </w:r>
          <w:bookmarkEnd w:id="4"/>
          <w:bookmarkEnd w:id="5"/>
          <w:bookmarkEnd w:id="6"/>
        </w:p>
        <w:p w14:paraId="73023399">
          <w:pPr>
            <w:pStyle w:val="31"/>
            <w:rPr>
              <w:color w:val="000000" w:themeColor="text1"/>
              <w:highlight w:val="none"/>
              <w14:textFill>
                <w14:solidFill>
                  <w14:schemeClr w14:val="tx1"/>
                </w14:solidFill>
              </w14:textFill>
            </w:rPr>
          </w:pPr>
        </w:p>
        <w:p w14:paraId="548C1BBC">
          <w:pPr>
            <w:pStyle w:val="25"/>
            <w:tabs>
              <w:tab w:val="right" w:leader="dot" w:pos="8299"/>
              <w:tab w:val="clear" w:pos="8390"/>
            </w:tabs>
          </w:pPr>
          <w:r>
            <w:rPr>
              <w:highlight w:val="none"/>
            </w:rPr>
            <w:fldChar w:fldCharType="begin"/>
          </w:r>
          <w:r>
            <w:rPr>
              <w:highlight w:val="none"/>
            </w:rPr>
            <w:instrText xml:space="preserve">TOC \o "1-2" \h \u </w:instrText>
          </w:r>
          <w:r>
            <w:rPr>
              <w:highlight w:val="none"/>
            </w:rPr>
            <w:fldChar w:fldCharType="separate"/>
          </w:r>
          <w:r>
            <w:rPr>
              <w:highlight w:val="none"/>
            </w:rPr>
            <w:fldChar w:fldCharType="begin"/>
          </w:r>
          <w:r>
            <w:rPr>
              <w:highlight w:val="none"/>
            </w:rPr>
            <w:instrText xml:space="preserve"> HYPERLINK \l _Toc26388 </w:instrText>
          </w:r>
          <w:r>
            <w:rPr>
              <w:highlight w:val="none"/>
            </w:rPr>
            <w:fldChar w:fldCharType="separate"/>
          </w:r>
          <w:r>
            <w:rPr>
              <w:rFonts w:hint="eastAsia" w:ascii="宋体" w:hAnsi="宋体" w:cs="宋体"/>
              <w:bCs/>
              <w:highlight w:val="none"/>
              <w:lang w:eastAsia="zh-CN"/>
            </w:rPr>
            <w:t>第一章</w:t>
          </w:r>
          <w:r>
            <w:rPr>
              <w:rFonts w:hint="eastAsia" w:ascii="宋体" w:hAnsi="宋体" w:cs="宋体"/>
              <w:bCs/>
              <w:highlight w:val="none"/>
              <w:lang w:val="en-US" w:eastAsia="zh-CN"/>
            </w:rPr>
            <w:t xml:space="preserve"> </w:t>
          </w:r>
          <w:r>
            <w:rPr>
              <w:rFonts w:hint="eastAsia" w:ascii="宋体" w:hAnsi="宋体" w:cs="宋体"/>
              <w:bCs/>
              <w:highlight w:val="none"/>
            </w:rPr>
            <w:t>竞争性磋商公告</w:t>
          </w:r>
          <w:r>
            <w:tab/>
          </w:r>
          <w:r>
            <w:fldChar w:fldCharType="begin"/>
          </w:r>
          <w:r>
            <w:instrText xml:space="preserve"> PAGEREF _Toc26388 \h </w:instrText>
          </w:r>
          <w:r>
            <w:fldChar w:fldCharType="separate"/>
          </w:r>
          <w:r>
            <w:t>1</w:t>
          </w:r>
          <w:r>
            <w:fldChar w:fldCharType="end"/>
          </w:r>
          <w:r>
            <w:rPr>
              <w:highlight w:val="none"/>
            </w:rPr>
            <w:fldChar w:fldCharType="end"/>
          </w:r>
        </w:p>
        <w:p w14:paraId="1F01FF9C">
          <w:pPr>
            <w:pStyle w:val="28"/>
            <w:tabs>
              <w:tab w:val="right" w:leader="dot" w:pos="8299"/>
            </w:tabs>
          </w:pPr>
          <w:r>
            <w:rPr>
              <w:highlight w:val="none"/>
            </w:rPr>
            <w:fldChar w:fldCharType="begin"/>
          </w:r>
          <w:r>
            <w:rPr>
              <w:highlight w:val="none"/>
            </w:rPr>
            <w:instrText xml:space="preserve"> HYPERLINK \l _Toc24932 </w:instrText>
          </w:r>
          <w:r>
            <w:rPr>
              <w:highlight w:val="none"/>
            </w:rPr>
            <w:fldChar w:fldCharType="separate"/>
          </w:r>
          <w:r>
            <w:rPr>
              <w:rFonts w:hint="eastAsia" w:ascii="宋体" w:hAnsi="宋体" w:cs="宋体"/>
              <w:bCs/>
              <w:szCs w:val="24"/>
              <w:highlight w:val="none"/>
              <w:lang w:val="en-US" w:eastAsia="zh-CN"/>
            </w:rPr>
            <w:t>一、</w:t>
          </w:r>
          <w:r>
            <w:rPr>
              <w:rFonts w:hint="eastAsia" w:ascii="宋体" w:hAnsi="宋体" w:cs="宋体"/>
              <w:bCs/>
              <w:szCs w:val="24"/>
              <w:highlight w:val="none"/>
            </w:rPr>
            <w:t>项目基本情况</w:t>
          </w:r>
          <w:r>
            <w:tab/>
          </w:r>
          <w:r>
            <w:fldChar w:fldCharType="begin"/>
          </w:r>
          <w:r>
            <w:instrText xml:space="preserve"> PAGEREF _Toc24932 \h </w:instrText>
          </w:r>
          <w:r>
            <w:fldChar w:fldCharType="separate"/>
          </w:r>
          <w:r>
            <w:t>1</w:t>
          </w:r>
          <w:r>
            <w:fldChar w:fldCharType="end"/>
          </w:r>
          <w:r>
            <w:rPr>
              <w:highlight w:val="none"/>
            </w:rPr>
            <w:fldChar w:fldCharType="end"/>
          </w:r>
        </w:p>
        <w:p w14:paraId="1A9590B9">
          <w:pPr>
            <w:pStyle w:val="28"/>
            <w:tabs>
              <w:tab w:val="right" w:leader="dot" w:pos="8299"/>
            </w:tabs>
          </w:pPr>
          <w:r>
            <w:rPr>
              <w:highlight w:val="none"/>
            </w:rPr>
            <w:fldChar w:fldCharType="begin"/>
          </w:r>
          <w:r>
            <w:rPr>
              <w:highlight w:val="none"/>
            </w:rPr>
            <w:instrText xml:space="preserve"> HYPERLINK \l _Toc8634 </w:instrText>
          </w:r>
          <w:r>
            <w:rPr>
              <w:highlight w:val="none"/>
            </w:rPr>
            <w:fldChar w:fldCharType="separate"/>
          </w:r>
          <w:r>
            <w:rPr>
              <w:rFonts w:hint="eastAsia" w:ascii="宋体" w:hAnsi="宋体" w:cs="宋体"/>
              <w:bCs/>
              <w:szCs w:val="24"/>
              <w:highlight w:val="none"/>
              <w:lang w:val="zh-CN"/>
            </w:rPr>
            <w:t>二、申请人的资格要求</w:t>
          </w:r>
          <w:r>
            <w:tab/>
          </w:r>
          <w:r>
            <w:fldChar w:fldCharType="begin"/>
          </w:r>
          <w:r>
            <w:instrText xml:space="preserve"> PAGEREF _Toc8634 \h </w:instrText>
          </w:r>
          <w:r>
            <w:fldChar w:fldCharType="separate"/>
          </w:r>
          <w:r>
            <w:t>1</w:t>
          </w:r>
          <w:r>
            <w:fldChar w:fldCharType="end"/>
          </w:r>
          <w:r>
            <w:rPr>
              <w:highlight w:val="none"/>
            </w:rPr>
            <w:fldChar w:fldCharType="end"/>
          </w:r>
        </w:p>
        <w:p w14:paraId="22592DD4">
          <w:pPr>
            <w:pStyle w:val="28"/>
            <w:tabs>
              <w:tab w:val="right" w:leader="dot" w:pos="8299"/>
            </w:tabs>
          </w:pPr>
          <w:r>
            <w:rPr>
              <w:highlight w:val="none"/>
            </w:rPr>
            <w:fldChar w:fldCharType="begin"/>
          </w:r>
          <w:r>
            <w:rPr>
              <w:highlight w:val="none"/>
            </w:rPr>
            <w:instrText xml:space="preserve"> HYPERLINK \l _Toc4631 </w:instrText>
          </w:r>
          <w:r>
            <w:rPr>
              <w:highlight w:val="none"/>
            </w:rPr>
            <w:fldChar w:fldCharType="separate"/>
          </w:r>
          <w:r>
            <w:rPr>
              <w:rFonts w:hint="eastAsia" w:ascii="宋体" w:hAnsi="宋体" w:cs="宋体"/>
              <w:bCs/>
              <w:szCs w:val="24"/>
              <w:highlight w:val="none"/>
              <w:lang w:val="zh-CN"/>
            </w:rPr>
            <w:t>三、获取采购文件</w:t>
          </w:r>
          <w:r>
            <w:tab/>
          </w:r>
          <w:r>
            <w:fldChar w:fldCharType="begin"/>
          </w:r>
          <w:r>
            <w:instrText xml:space="preserve"> PAGEREF _Toc4631 \h </w:instrText>
          </w:r>
          <w:r>
            <w:fldChar w:fldCharType="separate"/>
          </w:r>
          <w:r>
            <w:t>2</w:t>
          </w:r>
          <w:r>
            <w:fldChar w:fldCharType="end"/>
          </w:r>
          <w:r>
            <w:rPr>
              <w:highlight w:val="none"/>
            </w:rPr>
            <w:fldChar w:fldCharType="end"/>
          </w:r>
        </w:p>
        <w:p w14:paraId="3E2B8D7E">
          <w:pPr>
            <w:pStyle w:val="28"/>
            <w:tabs>
              <w:tab w:val="right" w:leader="dot" w:pos="8299"/>
            </w:tabs>
          </w:pPr>
          <w:r>
            <w:rPr>
              <w:highlight w:val="none"/>
            </w:rPr>
            <w:fldChar w:fldCharType="begin"/>
          </w:r>
          <w:r>
            <w:rPr>
              <w:highlight w:val="none"/>
            </w:rPr>
            <w:instrText xml:space="preserve"> HYPERLINK \l _Toc12118 </w:instrText>
          </w:r>
          <w:r>
            <w:rPr>
              <w:highlight w:val="none"/>
            </w:rPr>
            <w:fldChar w:fldCharType="separate"/>
          </w:r>
          <w:r>
            <w:rPr>
              <w:rFonts w:hint="eastAsia" w:ascii="宋体" w:hAnsi="宋体" w:cs="宋体"/>
              <w:bCs/>
              <w:szCs w:val="24"/>
              <w:highlight w:val="none"/>
              <w:lang w:val="zh-CN"/>
            </w:rPr>
            <w:t>四、响应文件提交</w:t>
          </w:r>
          <w:r>
            <w:tab/>
          </w:r>
          <w:r>
            <w:fldChar w:fldCharType="begin"/>
          </w:r>
          <w:r>
            <w:instrText xml:space="preserve"> PAGEREF _Toc12118 \h </w:instrText>
          </w:r>
          <w:r>
            <w:fldChar w:fldCharType="separate"/>
          </w:r>
          <w:r>
            <w:t>3</w:t>
          </w:r>
          <w:r>
            <w:fldChar w:fldCharType="end"/>
          </w:r>
          <w:r>
            <w:rPr>
              <w:highlight w:val="none"/>
            </w:rPr>
            <w:fldChar w:fldCharType="end"/>
          </w:r>
        </w:p>
        <w:p w14:paraId="0A0E11E0">
          <w:pPr>
            <w:pStyle w:val="28"/>
            <w:tabs>
              <w:tab w:val="right" w:leader="dot" w:pos="8299"/>
            </w:tabs>
          </w:pPr>
          <w:r>
            <w:rPr>
              <w:highlight w:val="none"/>
            </w:rPr>
            <w:fldChar w:fldCharType="begin"/>
          </w:r>
          <w:r>
            <w:rPr>
              <w:highlight w:val="none"/>
            </w:rPr>
            <w:instrText xml:space="preserve"> HYPERLINK \l _Toc17732 </w:instrText>
          </w:r>
          <w:r>
            <w:rPr>
              <w:highlight w:val="none"/>
            </w:rPr>
            <w:fldChar w:fldCharType="separate"/>
          </w:r>
          <w:r>
            <w:rPr>
              <w:rFonts w:hint="eastAsia" w:ascii="宋体" w:hAnsi="宋体" w:eastAsia="宋体" w:cs="宋体"/>
              <w:bCs/>
              <w:szCs w:val="24"/>
              <w:highlight w:val="none"/>
              <w:lang w:val="zh-CN"/>
            </w:rPr>
            <w:t>五、开启</w:t>
          </w:r>
          <w:r>
            <w:tab/>
          </w:r>
          <w:r>
            <w:fldChar w:fldCharType="begin"/>
          </w:r>
          <w:r>
            <w:instrText xml:space="preserve"> PAGEREF _Toc17732 \h </w:instrText>
          </w:r>
          <w:r>
            <w:fldChar w:fldCharType="separate"/>
          </w:r>
          <w:r>
            <w:t>3</w:t>
          </w:r>
          <w:r>
            <w:fldChar w:fldCharType="end"/>
          </w:r>
          <w:r>
            <w:rPr>
              <w:highlight w:val="none"/>
            </w:rPr>
            <w:fldChar w:fldCharType="end"/>
          </w:r>
        </w:p>
        <w:p w14:paraId="4FF5D06A">
          <w:pPr>
            <w:pStyle w:val="28"/>
            <w:tabs>
              <w:tab w:val="right" w:leader="dot" w:pos="8299"/>
            </w:tabs>
          </w:pPr>
          <w:r>
            <w:rPr>
              <w:highlight w:val="none"/>
            </w:rPr>
            <w:fldChar w:fldCharType="begin"/>
          </w:r>
          <w:r>
            <w:rPr>
              <w:highlight w:val="none"/>
            </w:rPr>
            <w:instrText xml:space="preserve"> HYPERLINK \l _Toc20581 </w:instrText>
          </w:r>
          <w:r>
            <w:rPr>
              <w:highlight w:val="none"/>
            </w:rPr>
            <w:fldChar w:fldCharType="separate"/>
          </w:r>
          <w:r>
            <w:rPr>
              <w:rFonts w:hint="eastAsia" w:ascii="宋体" w:hAnsi="宋体" w:cs="宋体"/>
              <w:bCs/>
              <w:szCs w:val="24"/>
              <w:highlight w:val="none"/>
              <w:lang w:val="zh-CN"/>
            </w:rPr>
            <w:t>六、公告期限</w:t>
          </w:r>
          <w:r>
            <w:tab/>
          </w:r>
          <w:r>
            <w:fldChar w:fldCharType="begin"/>
          </w:r>
          <w:r>
            <w:instrText xml:space="preserve"> PAGEREF _Toc20581 \h </w:instrText>
          </w:r>
          <w:r>
            <w:fldChar w:fldCharType="separate"/>
          </w:r>
          <w:r>
            <w:t>4</w:t>
          </w:r>
          <w:r>
            <w:fldChar w:fldCharType="end"/>
          </w:r>
          <w:r>
            <w:rPr>
              <w:highlight w:val="none"/>
            </w:rPr>
            <w:fldChar w:fldCharType="end"/>
          </w:r>
        </w:p>
        <w:p w14:paraId="19500DFC">
          <w:pPr>
            <w:pStyle w:val="28"/>
            <w:tabs>
              <w:tab w:val="right" w:leader="dot" w:pos="8299"/>
            </w:tabs>
          </w:pPr>
          <w:r>
            <w:rPr>
              <w:highlight w:val="none"/>
            </w:rPr>
            <w:fldChar w:fldCharType="begin"/>
          </w:r>
          <w:r>
            <w:rPr>
              <w:highlight w:val="none"/>
            </w:rPr>
            <w:instrText xml:space="preserve"> HYPERLINK \l _Toc18037 </w:instrText>
          </w:r>
          <w:r>
            <w:rPr>
              <w:highlight w:val="none"/>
            </w:rPr>
            <w:fldChar w:fldCharType="separate"/>
          </w:r>
          <w:r>
            <w:rPr>
              <w:rFonts w:hint="eastAsia" w:ascii="宋体" w:hAnsi="宋体" w:cs="宋体"/>
              <w:bCs/>
              <w:szCs w:val="24"/>
              <w:highlight w:val="none"/>
              <w:lang w:val="zh-CN"/>
            </w:rPr>
            <w:t>七、其他补充事宜</w:t>
          </w:r>
          <w:r>
            <w:tab/>
          </w:r>
          <w:r>
            <w:fldChar w:fldCharType="begin"/>
          </w:r>
          <w:r>
            <w:instrText xml:space="preserve"> PAGEREF _Toc18037 \h </w:instrText>
          </w:r>
          <w:r>
            <w:fldChar w:fldCharType="separate"/>
          </w:r>
          <w:r>
            <w:t>4</w:t>
          </w:r>
          <w:r>
            <w:fldChar w:fldCharType="end"/>
          </w:r>
          <w:r>
            <w:rPr>
              <w:highlight w:val="none"/>
            </w:rPr>
            <w:fldChar w:fldCharType="end"/>
          </w:r>
        </w:p>
        <w:p w14:paraId="7E9540A2">
          <w:pPr>
            <w:pStyle w:val="28"/>
            <w:tabs>
              <w:tab w:val="right" w:leader="dot" w:pos="8299"/>
            </w:tabs>
          </w:pPr>
          <w:r>
            <w:rPr>
              <w:highlight w:val="none"/>
            </w:rPr>
            <w:fldChar w:fldCharType="begin"/>
          </w:r>
          <w:r>
            <w:rPr>
              <w:highlight w:val="none"/>
            </w:rPr>
            <w:instrText xml:space="preserve"> HYPERLINK \l _Toc25436 </w:instrText>
          </w:r>
          <w:r>
            <w:rPr>
              <w:highlight w:val="none"/>
            </w:rPr>
            <w:fldChar w:fldCharType="separate"/>
          </w:r>
          <w:r>
            <w:rPr>
              <w:rFonts w:hint="eastAsia" w:ascii="宋体" w:hAnsi="宋体" w:cs="宋体"/>
              <w:bCs/>
              <w:szCs w:val="24"/>
              <w:highlight w:val="none"/>
              <w:lang w:val="zh-CN"/>
            </w:rPr>
            <w:t>八、凡对本次采购提出询问，请按以下方式联系。</w:t>
          </w:r>
          <w:r>
            <w:tab/>
          </w:r>
          <w:r>
            <w:fldChar w:fldCharType="begin"/>
          </w:r>
          <w:r>
            <w:instrText xml:space="preserve"> PAGEREF _Toc25436 \h </w:instrText>
          </w:r>
          <w:r>
            <w:fldChar w:fldCharType="separate"/>
          </w:r>
          <w:r>
            <w:t>13</w:t>
          </w:r>
          <w:r>
            <w:fldChar w:fldCharType="end"/>
          </w:r>
          <w:r>
            <w:rPr>
              <w:highlight w:val="none"/>
            </w:rPr>
            <w:fldChar w:fldCharType="end"/>
          </w:r>
        </w:p>
        <w:p w14:paraId="64A7485A">
          <w:pPr>
            <w:pStyle w:val="25"/>
            <w:tabs>
              <w:tab w:val="right" w:leader="dot" w:pos="8299"/>
              <w:tab w:val="clear" w:pos="8390"/>
            </w:tabs>
          </w:pPr>
          <w:r>
            <w:rPr>
              <w:highlight w:val="none"/>
            </w:rPr>
            <w:fldChar w:fldCharType="begin"/>
          </w:r>
          <w:r>
            <w:rPr>
              <w:highlight w:val="none"/>
            </w:rPr>
            <w:instrText xml:space="preserve"> HYPERLINK \l _Toc32529 </w:instrText>
          </w:r>
          <w:r>
            <w:rPr>
              <w:highlight w:val="none"/>
            </w:rPr>
            <w:fldChar w:fldCharType="separate"/>
          </w:r>
          <w:r>
            <w:rPr>
              <w:rFonts w:hint="eastAsia" w:ascii="宋体" w:hAnsi="宋体" w:cs="宋体"/>
              <w:bCs/>
              <w:highlight w:val="none"/>
            </w:rPr>
            <w:t>第二章 供应商须知</w:t>
          </w:r>
          <w:r>
            <w:tab/>
          </w:r>
          <w:r>
            <w:fldChar w:fldCharType="begin"/>
          </w:r>
          <w:r>
            <w:instrText xml:space="preserve"> PAGEREF _Toc32529 \h </w:instrText>
          </w:r>
          <w:r>
            <w:fldChar w:fldCharType="separate"/>
          </w:r>
          <w:r>
            <w:t>15</w:t>
          </w:r>
          <w:r>
            <w:fldChar w:fldCharType="end"/>
          </w:r>
          <w:r>
            <w:rPr>
              <w:highlight w:val="none"/>
            </w:rPr>
            <w:fldChar w:fldCharType="end"/>
          </w:r>
        </w:p>
        <w:p w14:paraId="281C38AB">
          <w:pPr>
            <w:pStyle w:val="28"/>
            <w:tabs>
              <w:tab w:val="right" w:leader="dot" w:pos="8299"/>
            </w:tabs>
          </w:pPr>
          <w:r>
            <w:rPr>
              <w:highlight w:val="none"/>
            </w:rPr>
            <w:fldChar w:fldCharType="begin"/>
          </w:r>
          <w:r>
            <w:rPr>
              <w:highlight w:val="none"/>
            </w:rPr>
            <w:instrText xml:space="preserve"> HYPERLINK \l _Toc17835 </w:instrText>
          </w:r>
          <w:r>
            <w:rPr>
              <w:highlight w:val="none"/>
            </w:rPr>
            <w:fldChar w:fldCharType="separate"/>
          </w:r>
          <w:r>
            <w:rPr>
              <w:rFonts w:hint="eastAsia"/>
              <w:szCs w:val="32"/>
              <w:highlight w:val="none"/>
              <w:lang w:eastAsia="zh-CN"/>
            </w:rPr>
            <w:t>一、</w:t>
          </w:r>
          <w:r>
            <w:rPr>
              <w:szCs w:val="32"/>
              <w:highlight w:val="none"/>
            </w:rPr>
            <w:t>供应商须知前附表</w:t>
          </w:r>
          <w:r>
            <w:tab/>
          </w:r>
          <w:r>
            <w:fldChar w:fldCharType="begin"/>
          </w:r>
          <w:r>
            <w:instrText xml:space="preserve"> PAGEREF _Toc17835 \h </w:instrText>
          </w:r>
          <w:r>
            <w:fldChar w:fldCharType="separate"/>
          </w:r>
          <w:r>
            <w:t>4</w:t>
          </w:r>
          <w:r>
            <w:fldChar w:fldCharType="end"/>
          </w:r>
          <w:r>
            <w:rPr>
              <w:highlight w:val="none"/>
            </w:rPr>
            <w:fldChar w:fldCharType="end"/>
          </w:r>
        </w:p>
        <w:p w14:paraId="6DA8EDE0">
          <w:pPr>
            <w:pStyle w:val="28"/>
            <w:tabs>
              <w:tab w:val="right" w:leader="dot" w:pos="8299"/>
            </w:tabs>
          </w:pPr>
          <w:r>
            <w:rPr>
              <w:highlight w:val="none"/>
            </w:rPr>
            <w:fldChar w:fldCharType="begin"/>
          </w:r>
          <w:r>
            <w:rPr>
              <w:highlight w:val="none"/>
            </w:rPr>
            <w:instrText xml:space="preserve"> HYPERLINK \l _Toc4576 </w:instrText>
          </w:r>
          <w:r>
            <w:rPr>
              <w:highlight w:val="none"/>
            </w:rPr>
            <w:fldChar w:fldCharType="separate"/>
          </w:r>
          <w:r>
            <w:rPr>
              <w:rFonts w:hint="eastAsia"/>
              <w:szCs w:val="32"/>
              <w:highlight w:val="none"/>
              <w:lang w:eastAsia="zh-CN"/>
            </w:rPr>
            <w:t>二、</w:t>
          </w:r>
          <w:r>
            <w:rPr>
              <w:rFonts w:hint="eastAsia"/>
              <w:szCs w:val="32"/>
              <w:highlight w:val="none"/>
            </w:rPr>
            <w:t>供应商须知正文部分</w:t>
          </w:r>
          <w:r>
            <w:tab/>
          </w:r>
          <w:r>
            <w:fldChar w:fldCharType="begin"/>
          </w:r>
          <w:r>
            <w:instrText xml:space="preserve"> PAGEREF _Toc4576 \h </w:instrText>
          </w:r>
          <w:r>
            <w:fldChar w:fldCharType="separate"/>
          </w:r>
          <w:r>
            <w:t>15</w:t>
          </w:r>
          <w:r>
            <w:fldChar w:fldCharType="end"/>
          </w:r>
          <w:r>
            <w:rPr>
              <w:highlight w:val="none"/>
            </w:rPr>
            <w:fldChar w:fldCharType="end"/>
          </w:r>
        </w:p>
        <w:p w14:paraId="5E5B36FE">
          <w:pPr>
            <w:pStyle w:val="25"/>
            <w:tabs>
              <w:tab w:val="right" w:leader="dot" w:pos="8299"/>
              <w:tab w:val="clear" w:pos="8390"/>
            </w:tabs>
          </w:pPr>
          <w:r>
            <w:rPr>
              <w:highlight w:val="none"/>
            </w:rPr>
            <w:fldChar w:fldCharType="begin"/>
          </w:r>
          <w:r>
            <w:rPr>
              <w:highlight w:val="none"/>
            </w:rPr>
            <w:instrText xml:space="preserve"> HYPERLINK \l _Toc17830 </w:instrText>
          </w:r>
          <w:r>
            <w:rPr>
              <w:highlight w:val="none"/>
            </w:rPr>
            <w:fldChar w:fldCharType="separate"/>
          </w:r>
          <w:r>
            <w:rPr>
              <w:rFonts w:hint="eastAsia"/>
              <w:bCs/>
              <w:highlight w:val="none"/>
            </w:rPr>
            <w:t>第三章 竞争性磋商评标办法</w:t>
          </w:r>
          <w:r>
            <w:tab/>
          </w:r>
          <w:r>
            <w:fldChar w:fldCharType="begin"/>
          </w:r>
          <w:r>
            <w:instrText xml:space="preserve"> PAGEREF _Toc17830 \h </w:instrText>
          </w:r>
          <w:r>
            <w:fldChar w:fldCharType="separate"/>
          </w:r>
          <w:r>
            <w:t>37</w:t>
          </w:r>
          <w:r>
            <w:fldChar w:fldCharType="end"/>
          </w:r>
          <w:r>
            <w:rPr>
              <w:highlight w:val="none"/>
            </w:rPr>
            <w:fldChar w:fldCharType="end"/>
          </w:r>
        </w:p>
        <w:p w14:paraId="42EFE9B0">
          <w:pPr>
            <w:pStyle w:val="28"/>
            <w:tabs>
              <w:tab w:val="right" w:leader="dot" w:pos="8299"/>
            </w:tabs>
          </w:pPr>
          <w:r>
            <w:rPr>
              <w:highlight w:val="none"/>
            </w:rPr>
            <w:fldChar w:fldCharType="begin"/>
          </w:r>
          <w:r>
            <w:rPr>
              <w:highlight w:val="none"/>
            </w:rPr>
            <w:instrText xml:space="preserve"> HYPERLINK \l _Toc14289 </w:instrText>
          </w:r>
          <w:r>
            <w:rPr>
              <w:highlight w:val="none"/>
            </w:rPr>
            <w:fldChar w:fldCharType="separate"/>
          </w:r>
          <w:r>
            <w:rPr>
              <w:rFonts w:hint="eastAsia" w:ascii="宋体" w:hAnsi="宋体" w:cs="宋体"/>
              <w:bCs/>
              <w:szCs w:val="32"/>
              <w:highlight w:val="none"/>
              <w:lang w:eastAsia="zh-CN"/>
            </w:rPr>
            <w:t>一、</w:t>
          </w:r>
          <w:r>
            <w:rPr>
              <w:rFonts w:hint="eastAsia" w:ascii="宋体" w:hAnsi="宋体" w:cs="宋体"/>
              <w:bCs/>
              <w:szCs w:val="32"/>
              <w:highlight w:val="none"/>
            </w:rPr>
            <w:t>评标办法前附表</w:t>
          </w:r>
          <w:r>
            <w:tab/>
          </w:r>
          <w:r>
            <w:fldChar w:fldCharType="begin"/>
          </w:r>
          <w:r>
            <w:instrText xml:space="preserve"> PAGEREF _Toc14289 \h </w:instrText>
          </w:r>
          <w:r>
            <w:fldChar w:fldCharType="separate"/>
          </w:r>
          <w:r>
            <w:t>37</w:t>
          </w:r>
          <w:r>
            <w:fldChar w:fldCharType="end"/>
          </w:r>
          <w:r>
            <w:rPr>
              <w:highlight w:val="none"/>
            </w:rPr>
            <w:fldChar w:fldCharType="end"/>
          </w:r>
        </w:p>
        <w:p w14:paraId="0A16083A">
          <w:pPr>
            <w:pStyle w:val="28"/>
            <w:tabs>
              <w:tab w:val="right" w:leader="dot" w:pos="8299"/>
            </w:tabs>
          </w:pPr>
          <w:r>
            <w:rPr>
              <w:highlight w:val="none"/>
            </w:rPr>
            <w:fldChar w:fldCharType="begin"/>
          </w:r>
          <w:r>
            <w:rPr>
              <w:highlight w:val="none"/>
            </w:rPr>
            <w:instrText xml:space="preserve"> HYPERLINK \l _Toc29894 </w:instrText>
          </w:r>
          <w:r>
            <w:rPr>
              <w:highlight w:val="none"/>
            </w:rPr>
            <w:fldChar w:fldCharType="separate"/>
          </w:r>
          <w:r>
            <w:rPr>
              <w:rFonts w:hint="eastAsia" w:ascii="Times New Roman" w:hAnsi="Times New Roman"/>
              <w:bCs/>
              <w:szCs w:val="30"/>
              <w:highlight w:val="none"/>
              <w:lang w:eastAsia="zh-CN"/>
            </w:rPr>
            <w:t>二、</w:t>
          </w:r>
          <w:r>
            <w:rPr>
              <w:rFonts w:hint="eastAsia" w:ascii="Times New Roman" w:hAnsi="Times New Roman"/>
              <w:bCs/>
              <w:szCs w:val="30"/>
              <w:highlight w:val="none"/>
            </w:rPr>
            <w:t>综合评分法</w:t>
          </w:r>
          <w:r>
            <w:tab/>
          </w:r>
          <w:r>
            <w:fldChar w:fldCharType="begin"/>
          </w:r>
          <w:r>
            <w:instrText xml:space="preserve"> PAGEREF _Toc29894 \h </w:instrText>
          </w:r>
          <w:r>
            <w:fldChar w:fldCharType="separate"/>
          </w:r>
          <w:r>
            <w:t>40</w:t>
          </w:r>
          <w:r>
            <w:fldChar w:fldCharType="end"/>
          </w:r>
          <w:r>
            <w:rPr>
              <w:highlight w:val="none"/>
            </w:rPr>
            <w:fldChar w:fldCharType="end"/>
          </w:r>
        </w:p>
        <w:p w14:paraId="5EEEE1C7">
          <w:pPr>
            <w:pStyle w:val="28"/>
            <w:tabs>
              <w:tab w:val="right" w:leader="dot" w:pos="8299"/>
            </w:tabs>
          </w:pPr>
          <w:r>
            <w:rPr>
              <w:highlight w:val="none"/>
            </w:rPr>
            <w:fldChar w:fldCharType="begin"/>
          </w:r>
          <w:r>
            <w:rPr>
              <w:highlight w:val="none"/>
            </w:rPr>
            <w:instrText xml:space="preserve"> HYPERLINK \l _Toc4024 </w:instrText>
          </w:r>
          <w:r>
            <w:rPr>
              <w:highlight w:val="none"/>
            </w:rPr>
            <w:fldChar w:fldCharType="separate"/>
          </w:r>
          <w:r>
            <w:rPr>
              <w:rFonts w:hint="eastAsia" w:ascii="宋体" w:hAnsi="宋体"/>
              <w:szCs w:val="36"/>
              <w:highlight w:val="none"/>
            </w:rPr>
            <w:t>第二轮磋商报价（最终报价）格式</w:t>
          </w:r>
          <w:r>
            <w:tab/>
          </w:r>
          <w:r>
            <w:fldChar w:fldCharType="begin"/>
          </w:r>
          <w:r>
            <w:instrText xml:space="preserve"> PAGEREF _Toc4024 \h </w:instrText>
          </w:r>
          <w:r>
            <w:fldChar w:fldCharType="separate"/>
          </w:r>
          <w:r>
            <w:t>46</w:t>
          </w:r>
          <w:r>
            <w:fldChar w:fldCharType="end"/>
          </w:r>
          <w:r>
            <w:rPr>
              <w:highlight w:val="none"/>
            </w:rPr>
            <w:fldChar w:fldCharType="end"/>
          </w:r>
        </w:p>
        <w:p w14:paraId="0D0AF774">
          <w:pPr>
            <w:pStyle w:val="25"/>
            <w:tabs>
              <w:tab w:val="right" w:leader="dot" w:pos="8299"/>
              <w:tab w:val="clear" w:pos="8390"/>
            </w:tabs>
          </w:pPr>
          <w:r>
            <w:rPr>
              <w:highlight w:val="none"/>
            </w:rPr>
            <w:fldChar w:fldCharType="begin"/>
          </w:r>
          <w:r>
            <w:rPr>
              <w:highlight w:val="none"/>
            </w:rPr>
            <w:instrText xml:space="preserve"> HYPERLINK \l _Toc25825 </w:instrText>
          </w:r>
          <w:r>
            <w:rPr>
              <w:highlight w:val="none"/>
            </w:rPr>
            <w:fldChar w:fldCharType="separate"/>
          </w:r>
          <w:r>
            <w:rPr>
              <w:rFonts w:hint="eastAsia" w:ascii="宋体" w:hAnsi="宋体" w:cs="宋体"/>
              <w:bCs/>
              <w:szCs w:val="36"/>
              <w:highlight w:val="none"/>
            </w:rPr>
            <w:t xml:space="preserve">第四章 </w:t>
          </w:r>
          <w:r>
            <w:rPr>
              <w:rFonts w:hint="eastAsia" w:ascii="宋体" w:hAnsi="宋体" w:cs="宋体"/>
              <w:bCs/>
              <w:szCs w:val="36"/>
              <w:highlight w:val="none"/>
              <w:lang w:eastAsia="zh-CN"/>
            </w:rPr>
            <w:t>政府采购合同书格式</w:t>
          </w:r>
          <w:r>
            <w:rPr>
              <w:rFonts w:hint="eastAsia" w:ascii="宋体" w:hAnsi="宋体" w:cs="宋体"/>
              <w:bCs/>
              <w:szCs w:val="36"/>
              <w:highlight w:val="none"/>
            </w:rPr>
            <w:t>及条款</w:t>
          </w:r>
          <w:r>
            <w:tab/>
          </w:r>
          <w:r>
            <w:fldChar w:fldCharType="begin"/>
          </w:r>
          <w:r>
            <w:instrText xml:space="preserve"> PAGEREF _Toc25825 \h </w:instrText>
          </w:r>
          <w:r>
            <w:fldChar w:fldCharType="separate"/>
          </w:r>
          <w:r>
            <w:t>48</w:t>
          </w:r>
          <w:r>
            <w:fldChar w:fldCharType="end"/>
          </w:r>
          <w:r>
            <w:rPr>
              <w:highlight w:val="none"/>
            </w:rPr>
            <w:fldChar w:fldCharType="end"/>
          </w:r>
        </w:p>
        <w:p w14:paraId="7FA97BE4">
          <w:pPr>
            <w:pStyle w:val="28"/>
            <w:tabs>
              <w:tab w:val="right" w:leader="dot" w:pos="8299"/>
            </w:tabs>
          </w:pPr>
          <w:r>
            <w:rPr>
              <w:highlight w:val="none"/>
            </w:rPr>
            <w:fldChar w:fldCharType="begin"/>
          </w:r>
          <w:r>
            <w:rPr>
              <w:highlight w:val="none"/>
            </w:rPr>
            <w:instrText xml:space="preserve"> HYPERLINK \l _Toc24855 </w:instrText>
          </w:r>
          <w:r>
            <w:rPr>
              <w:highlight w:val="none"/>
            </w:rPr>
            <w:fldChar w:fldCharType="separate"/>
          </w:r>
          <w:r>
            <w:rPr>
              <w:rFonts w:hint="eastAsia" w:ascii="宋体" w:hAnsi="宋体" w:cs="黑体"/>
              <w:bCs/>
              <w:szCs w:val="32"/>
              <w:highlight w:val="none"/>
            </w:rPr>
            <w:t xml:space="preserve">第一节 </w:t>
          </w:r>
          <w:r>
            <w:rPr>
              <w:rFonts w:hint="eastAsia" w:ascii="宋体" w:hAnsi="宋体" w:cs="黑体"/>
              <w:bCs/>
              <w:szCs w:val="32"/>
              <w:highlight w:val="none"/>
              <w:lang w:val="zh-CN"/>
            </w:rPr>
            <w:t>政府采购合同书格式</w:t>
          </w:r>
          <w:r>
            <w:tab/>
          </w:r>
          <w:r>
            <w:fldChar w:fldCharType="begin"/>
          </w:r>
          <w:r>
            <w:instrText xml:space="preserve"> PAGEREF _Toc24855 \h </w:instrText>
          </w:r>
          <w:r>
            <w:fldChar w:fldCharType="separate"/>
          </w:r>
          <w:r>
            <w:t>48</w:t>
          </w:r>
          <w:r>
            <w:fldChar w:fldCharType="end"/>
          </w:r>
          <w:r>
            <w:rPr>
              <w:highlight w:val="none"/>
            </w:rPr>
            <w:fldChar w:fldCharType="end"/>
          </w:r>
        </w:p>
        <w:p w14:paraId="0E895408">
          <w:pPr>
            <w:pStyle w:val="28"/>
            <w:tabs>
              <w:tab w:val="right" w:leader="dot" w:pos="8299"/>
            </w:tabs>
          </w:pPr>
          <w:r>
            <w:rPr>
              <w:highlight w:val="none"/>
            </w:rPr>
            <w:fldChar w:fldCharType="begin"/>
          </w:r>
          <w:r>
            <w:rPr>
              <w:highlight w:val="none"/>
            </w:rPr>
            <w:instrText xml:space="preserve"> HYPERLINK \l _Toc28753 </w:instrText>
          </w:r>
          <w:r>
            <w:rPr>
              <w:highlight w:val="none"/>
            </w:rPr>
            <w:fldChar w:fldCharType="separate"/>
          </w:r>
          <w:r>
            <w:rPr>
              <w:rFonts w:hint="eastAsia" w:ascii="宋体" w:hAnsi="宋体" w:cs="宋体"/>
              <w:bCs/>
              <w:szCs w:val="32"/>
              <w:highlight w:val="none"/>
            </w:rPr>
            <w:t>第二节 通用合同条款</w:t>
          </w:r>
          <w:r>
            <w:tab/>
          </w:r>
          <w:r>
            <w:fldChar w:fldCharType="begin"/>
          </w:r>
          <w:r>
            <w:instrText xml:space="preserve"> PAGEREF _Toc28753 \h </w:instrText>
          </w:r>
          <w:r>
            <w:fldChar w:fldCharType="separate"/>
          </w:r>
          <w:r>
            <w:t>50</w:t>
          </w:r>
          <w:r>
            <w:fldChar w:fldCharType="end"/>
          </w:r>
          <w:r>
            <w:rPr>
              <w:highlight w:val="none"/>
            </w:rPr>
            <w:fldChar w:fldCharType="end"/>
          </w:r>
        </w:p>
        <w:p w14:paraId="7F3FC6C8">
          <w:pPr>
            <w:pStyle w:val="25"/>
            <w:tabs>
              <w:tab w:val="right" w:leader="dot" w:pos="8299"/>
              <w:tab w:val="clear" w:pos="8390"/>
            </w:tabs>
          </w:pPr>
          <w:r>
            <w:rPr>
              <w:highlight w:val="none"/>
            </w:rPr>
            <w:fldChar w:fldCharType="begin"/>
          </w:r>
          <w:r>
            <w:rPr>
              <w:highlight w:val="none"/>
            </w:rPr>
            <w:instrText xml:space="preserve"> HYPERLINK \l _Toc4668 </w:instrText>
          </w:r>
          <w:r>
            <w:rPr>
              <w:highlight w:val="none"/>
            </w:rPr>
            <w:fldChar w:fldCharType="separate"/>
          </w:r>
          <w:r>
            <w:rPr>
              <w:bCs/>
              <w:szCs w:val="36"/>
              <w:highlight w:val="none"/>
            </w:rPr>
            <w:t>第</w:t>
          </w:r>
          <w:r>
            <w:rPr>
              <w:rFonts w:hint="eastAsia"/>
              <w:bCs/>
              <w:szCs w:val="36"/>
              <w:highlight w:val="none"/>
            </w:rPr>
            <w:t>五</w:t>
          </w:r>
          <w:r>
            <w:rPr>
              <w:bCs/>
              <w:szCs w:val="36"/>
              <w:highlight w:val="none"/>
            </w:rPr>
            <w:t>章</w:t>
          </w:r>
          <w:r>
            <w:rPr>
              <w:rFonts w:hint="eastAsia"/>
              <w:bCs/>
              <w:szCs w:val="36"/>
              <w:highlight w:val="none"/>
            </w:rPr>
            <w:t xml:space="preserve"> 服务内容及要</w:t>
          </w:r>
          <w:r>
            <w:rPr>
              <w:bCs/>
              <w:szCs w:val="36"/>
              <w:highlight w:val="none"/>
            </w:rPr>
            <w:t>求</w:t>
          </w:r>
          <w:r>
            <w:tab/>
          </w:r>
          <w:r>
            <w:fldChar w:fldCharType="begin"/>
          </w:r>
          <w:r>
            <w:instrText xml:space="preserve"> PAGEREF _Toc4668 \h </w:instrText>
          </w:r>
          <w:r>
            <w:fldChar w:fldCharType="separate"/>
          </w:r>
          <w:r>
            <w:t>69</w:t>
          </w:r>
          <w:r>
            <w:fldChar w:fldCharType="end"/>
          </w:r>
          <w:r>
            <w:rPr>
              <w:highlight w:val="none"/>
            </w:rPr>
            <w:fldChar w:fldCharType="end"/>
          </w:r>
        </w:p>
        <w:p w14:paraId="161A6AF5">
          <w:pPr>
            <w:pStyle w:val="25"/>
            <w:tabs>
              <w:tab w:val="right" w:leader="dot" w:pos="8299"/>
              <w:tab w:val="clear" w:pos="8390"/>
            </w:tabs>
          </w:pPr>
          <w:r>
            <w:rPr>
              <w:highlight w:val="none"/>
            </w:rPr>
            <w:fldChar w:fldCharType="begin"/>
          </w:r>
          <w:r>
            <w:rPr>
              <w:highlight w:val="none"/>
            </w:rPr>
            <w:instrText xml:space="preserve"> HYPERLINK \l _Toc27681 </w:instrText>
          </w:r>
          <w:r>
            <w:rPr>
              <w:highlight w:val="none"/>
            </w:rPr>
            <w:fldChar w:fldCharType="separate"/>
          </w:r>
          <w:r>
            <w:rPr>
              <w:rFonts w:hint="eastAsia" w:ascii="宋体" w:hAnsi="宋体" w:cs="宋体"/>
              <w:bCs/>
              <w:szCs w:val="36"/>
              <w:highlight w:val="none"/>
            </w:rPr>
            <w:t>第六章 竞争性磋商响应文件格式</w:t>
          </w:r>
          <w:r>
            <w:tab/>
          </w:r>
          <w:r>
            <w:fldChar w:fldCharType="begin"/>
          </w:r>
          <w:r>
            <w:instrText xml:space="preserve"> PAGEREF _Toc27681 \h </w:instrText>
          </w:r>
          <w:r>
            <w:fldChar w:fldCharType="separate"/>
          </w:r>
          <w:r>
            <w:t>80</w:t>
          </w:r>
          <w:r>
            <w:fldChar w:fldCharType="end"/>
          </w:r>
          <w:r>
            <w:rPr>
              <w:highlight w:val="none"/>
            </w:rPr>
            <w:fldChar w:fldCharType="end"/>
          </w:r>
        </w:p>
        <w:p w14:paraId="4FC49E4A">
          <w:pPr>
            <w:pStyle w:val="28"/>
            <w:tabs>
              <w:tab w:val="right" w:leader="dot" w:pos="8299"/>
            </w:tabs>
          </w:pPr>
          <w:r>
            <w:rPr>
              <w:highlight w:val="none"/>
            </w:rPr>
            <w:fldChar w:fldCharType="begin"/>
          </w:r>
          <w:r>
            <w:rPr>
              <w:highlight w:val="none"/>
            </w:rPr>
            <w:instrText xml:space="preserve"> HYPERLINK \l _Toc21555 </w:instrText>
          </w:r>
          <w:r>
            <w:rPr>
              <w:highlight w:val="none"/>
            </w:rPr>
            <w:fldChar w:fldCharType="separate"/>
          </w:r>
          <w:r>
            <w:rPr>
              <w:rFonts w:hint="eastAsia" w:cs="宋体"/>
              <w:bCs/>
              <w:szCs w:val="32"/>
              <w:highlight w:val="none"/>
            </w:rPr>
            <w:t>一、磋商函</w:t>
          </w:r>
          <w:r>
            <w:tab/>
          </w:r>
          <w:r>
            <w:fldChar w:fldCharType="begin"/>
          </w:r>
          <w:r>
            <w:instrText xml:space="preserve"> PAGEREF _Toc21555 \h </w:instrText>
          </w:r>
          <w:r>
            <w:fldChar w:fldCharType="separate"/>
          </w:r>
          <w:r>
            <w:t>83</w:t>
          </w:r>
          <w:r>
            <w:fldChar w:fldCharType="end"/>
          </w:r>
          <w:r>
            <w:rPr>
              <w:highlight w:val="none"/>
            </w:rPr>
            <w:fldChar w:fldCharType="end"/>
          </w:r>
        </w:p>
        <w:p w14:paraId="5663AC8F">
          <w:pPr>
            <w:pStyle w:val="28"/>
            <w:tabs>
              <w:tab w:val="right" w:leader="dot" w:pos="8299"/>
            </w:tabs>
          </w:pPr>
          <w:r>
            <w:rPr>
              <w:highlight w:val="none"/>
            </w:rPr>
            <w:fldChar w:fldCharType="begin"/>
          </w:r>
          <w:r>
            <w:rPr>
              <w:highlight w:val="none"/>
            </w:rPr>
            <w:instrText xml:space="preserve"> HYPERLINK \l _Toc23726 </w:instrText>
          </w:r>
          <w:r>
            <w:rPr>
              <w:highlight w:val="none"/>
            </w:rPr>
            <w:fldChar w:fldCharType="separate"/>
          </w:r>
          <w:r>
            <w:rPr>
              <w:rFonts w:hint="eastAsia" w:cs="宋体"/>
              <w:bCs/>
              <w:szCs w:val="32"/>
              <w:highlight w:val="none"/>
            </w:rPr>
            <w:t>二、法定代表人身份证明及授权委托书</w:t>
          </w:r>
          <w:r>
            <w:tab/>
          </w:r>
          <w:r>
            <w:fldChar w:fldCharType="begin"/>
          </w:r>
          <w:r>
            <w:instrText xml:space="preserve"> PAGEREF _Toc23726 \h </w:instrText>
          </w:r>
          <w:r>
            <w:fldChar w:fldCharType="separate"/>
          </w:r>
          <w:r>
            <w:t>84</w:t>
          </w:r>
          <w:r>
            <w:fldChar w:fldCharType="end"/>
          </w:r>
          <w:r>
            <w:rPr>
              <w:highlight w:val="none"/>
            </w:rPr>
            <w:fldChar w:fldCharType="end"/>
          </w:r>
        </w:p>
        <w:p w14:paraId="06E5F833">
          <w:pPr>
            <w:pStyle w:val="28"/>
            <w:tabs>
              <w:tab w:val="right" w:leader="dot" w:pos="8299"/>
            </w:tabs>
          </w:pPr>
          <w:r>
            <w:rPr>
              <w:highlight w:val="none"/>
            </w:rPr>
            <w:fldChar w:fldCharType="begin"/>
          </w:r>
          <w:r>
            <w:rPr>
              <w:highlight w:val="none"/>
            </w:rPr>
            <w:instrText xml:space="preserve"> HYPERLINK \l _Toc23387 </w:instrText>
          </w:r>
          <w:r>
            <w:rPr>
              <w:highlight w:val="none"/>
            </w:rPr>
            <w:fldChar w:fldCharType="separate"/>
          </w:r>
          <w:r>
            <w:rPr>
              <w:rFonts w:hint="eastAsia"/>
              <w:szCs w:val="32"/>
              <w:highlight w:val="none"/>
            </w:rPr>
            <w:t>三、磋商保证金</w:t>
          </w:r>
          <w:r>
            <w:tab/>
          </w:r>
          <w:r>
            <w:fldChar w:fldCharType="begin"/>
          </w:r>
          <w:r>
            <w:instrText xml:space="preserve"> PAGEREF _Toc23387 \h </w:instrText>
          </w:r>
          <w:r>
            <w:fldChar w:fldCharType="separate"/>
          </w:r>
          <w:r>
            <w:t>86</w:t>
          </w:r>
          <w:r>
            <w:fldChar w:fldCharType="end"/>
          </w:r>
          <w:r>
            <w:rPr>
              <w:highlight w:val="none"/>
            </w:rPr>
            <w:fldChar w:fldCharType="end"/>
          </w:r>
        </w:p>
        <w:p w14:paraId="5A4404A1">
          <w:pPr>
            <w:pStyle w:val="28"/>
            <w:tabs>
              <w:tab w:val="right" w:leader="dot" w:pos="8299"/>
            </w:tabs>
          </w:pPr>
          <w:r>
            <w:rPr>
              <w:highlight w:val="none"/>
            </w:rPr>
            <w:fldChar w:fldCharType="begin"/>
          </w:r>
          <w:r>
            <w:rPr>
              <w:highlight w:val="none"/>
            </w:rPr>
            <w:instrText xml:space="preserve"> HYPERLINK \l _Toc18539 </w:instrText>
          </w:r>
          <w:r>
            <w:rPr>
              <w:highlight w:val="none"/>
            </w:rPr>
            <w:fldChar w:fldCharType="separate"/>
          </w:r>
          <w:r>
            <w:rPr>
              <w:rFonts w:hint="eastAsia"/>
              <w:szCs w:val="32"/>
              <w:highlight w:val="none"/>
            </w:rPr>
            <w:t>四、磋商报价表</w:t>
          </w:r>
          <w:r>
            <w:tab/>
          </w:r>
          <w:r>
            <w:fldChar w:fldCharType="begin"/>
          </w:r>
          <w:r>
            <w:instrText xml:space="preserve"> PAGEREF _Toc18539 \h </w:instrText>
          </w:r>
          <w:r>
            <w:fldChar w:fldCharType="separate"/>
          </w:r>
          <w:r>
            <w:t>87</w:t>
          </w:r>
          <w:r>
            <w:fldChar w:fldCharType="end"/>
          </w:r>
          <w:r>
            <w:rPr>
              <w:highlight w:val="none"/>
            </w:rPr>
            <w:fldChar w:fldCharType="end"/>
          </w:r>
        </w:p>
        <w:p w14:paraId="6FFC8FA0">
          <w:pPr>
            <w:pStyle w:val="28"/>
            <w:tabs>
              <w:tab w:val="right" w:leader="dot" w:pos="8299"/>
            </w:tabs>
          </w:pPr>
          <w:r>
            <w:rPr>
              <w:highlight w:val="none"/>
            </w:rPr>
            <w:fldChar w:fldCharType="begin"/>
          </w:r>
          <w:r>
            <w:rPr>
              <w:highlight w:val="none"/>
            </w:rPr>
            <w:instrText xml:space="preserve"> HYPERLINK \l _Toc29094 </w:instrText>
          </w:r>
          <w:r>
            <w:rPr>
              <w:highlight w:val="none"/>
            </w:rPr>
            <w:fldChar w:fldCharType="separate"/>
          </w:r>
          <w:r>
            <w:rPr>
              <w:rFonts w:hint="eastAsia" w:cs="宋体"/>
              <w:bCs/>
              <w:szCs w:val="32"/>
              <w:highlight w:val="none"/>
            </w:rPr>
            <w:t>五、服务内容及标准偏离表</w:t>
          </w:r>
          <w:r>
            <w:tab/>
          </w:r>
          <w:r>
            <w:fldChar w:fldCharType="begin"/>
          </w:r>
          <w:r>
            <w:instrText xml:space="preserve"> PAGEREF _Toc29094 \h </w:instrText>
          </w:r>
          <w:r>
            <w:fldChar w:fldCharType="separate"/>
          </w:r>
          <w:r>
            <w:t>88</w:t>
          </w:r>
          <w:r>
            <w:fldChar w:fldCharType="end"/>
          </w:r>
          <w:r>
            <w:rPr>
              <w:highlight w:val="none"/>
            </w:rPr>
            <w:fldChar w:fldCharType="end"/>
          </w:r>
        </w:p>
        <w:p w14:paraId="76F5E0C9">
          <w:pPr>
            <w:pStyle w:val="28"/>
            <w:tabs>
              <w:tab w:val="right" w:leader="dot" w:pos="8299"/>
            </w:tabs>
          </w:pPr>
          <w:r>
            <w:rPr>
              <w:highlight w:val="none"/>
            </w:rPr>
            <w:fldChar w:fldCharType="begin"/>
          </w:r>
          <w:r>
            <w:rPr>
              <w:highlight w:val="none"/>
            </w:rPr>
            <w:instrText xml:space="preserve"> HYPERLINK \l _Toc24997 </w:instrText>
          </w:r>
          <w:r>
            <w:rPr>
              <w:highlight w:val="none"/>
            </w:rPr>
            <w:fldChar w:fldCharType="separate"/>
          </w:r>
          <w:r>
            <w:rPr>
              <w:rFonts w:hint="eastAsia" w:cs="宋体"/>
              <w:bCs/>
              <w:szCs w:val="32"/>
              <w:highlight w:val="none"/>
            </w:rPr>
            <w:t>六、供应商符合供应商资格条件的证明文件</w:t>
          </w:r>
          <w:r>
            <w:tab/>
          </w:r>
          <w:r>
            <w:fldChar w:fldCharType="begin"/>
          </w:r>
          <w:r>
            <w:instrText xml:space="preserve"> PAGEREF _Toc24997 \h </w:instrText>
          </w:r>
          <w:r>
            <w:fldChar w:fldCharType="separate"/>
          </w:r>
          <w:r>
            <w:t>89</w:t>
          </w:r>
          <w:r>
            <w:fldChar w:fldCharType="end"/>
          </w:r>
          <w:r>
            <w:rPr>
              <w:highlight w:val="none"/>
            </w:rPr>
            <w:fldChar w:fldCharType="end"/>
          </w:r>
        </w:p>
        <w:p w14:paraId="5C412DF1">
          <w:pPr>
            <w:pStyle w:val="28"/>
            <w:tabs>
              <w:tab w:val="right" w:leader="dot" w:pos="8299"/>
            </w:tabs>
          </w:pPr>
          <w:r>
            <w:rPr>
              <w:highlight w:val="none"/>
            </w:rPr>
            <w:fldChar w:fldCharType="begin"/>
          </w:r>
          <w:r>
            <w:rPr>
              <w:highlight w:val="none"/>
            </w:rPr>
            <w:instrText xml:space="preserve"> HYPERLINK \l _Toc22470 </w:instrText>
          </w:r>
          <w:r>
            <w:rPr>
              <w:highlight w:val="none"/>
            </w:rPr>
            <w:fldChar w:fldCharType="separate"/>
          </w:r>
          <w:r>
            <w:rPr>
              <w:rFonts w:hint="eastAsia" w:cs="宋体"/>
              <w:bCs/>
              <w:szCs w:val="32"/>
              <w:highlight w:val="none"/>
            </w:rPr>
            <w:t>七、技术方案</w:t>
          </w:r>
          <w:r>
            <w:tab/>
          </w:r>
          <w:r>
            <w:fldChar w:fldCharType="begin"/>
          </w:r>
          <w:r>
            <w:instrText xml:space="preserve"> PAGEREF _Toc22470 \h </w:instrText>
          </w:r>
          <w:r>
            <w:fldChar w:fldCharType="separate"/>
          </w:r>
          <w:r>
            <w:t>104</w:t>
          </w:r>
          <w:r>
            <w:fldChar w:fldCharType="end"/>
          </w:r>
          <w:r>
            <w:rPr>
              <w:highlight w:val="none"/>
            </w:rPr>
            <w:fldChar w:fldCharType="end"/>
          </w:r>
        </w:p>
        <w:p w14:paraId="535083D4">
          <w:pPr>
            <w:pStyle w:val="28"/>
            <w:tabs>
              <w:tab w:val="right" w:leader="dot" w:pos="8299"/>
            </w:tabs>
          </w:pPr>
          <w:r>
            <w:rPr>
              <w:highlight w:val="none"/>
            </w:rPr>
            <w:fldChar w:fldCharType="begin"/>
          </w:r>
          <w:r>
            <w:rPr>
              <w:highlight w:val="none"/>
            </w:rPr>
            <w:instrText xml:space="preserve"> HYPERLINK \l _Toc18294 </w:instrText>
          </w:r>
          <w:r>
            <w:rPr>
              <w:highlight w:val="none"/>
            </w:rPr>
            <w:fldChar w:fldCharType="separate"/>
          </w:r>
          <w:r>
            <w:rPr>
              <w:rFonts w:hint="eastAsia" w:ascii="宋体" w:hAnsi="宋体" w:cs="宋体"/>
              <w:bCs/>
              <w:szCs w:val="32"/>
              <w:highlight w:val="none"/>
            </w:rPr>
            <w:t>八、供应商认为需提供的其他资料</w:t>
          </w:r>
          <w:r>
            <w:tab/>
          </w:r>
          <w:r>
            <w:fldChar w:fldCharType="begin"/>
          </w:r>
          <w:r>
            <w:instrText xml:space="preserve"> PAGEREF _Toc18294 \h </w:instrText>
          </w:r>
          <w:r>
            <w:fldChar w:fldCharType="separate"/>
          </w:r>
          <w:r>
            <w:t>105</w:t>
          </w:r>
          <w:r>
            <w:fldChar w:fldCharType="end"/>
          </w:r>
          <w:r>
            <w:rPr>
              <w:highlight w:val="none"/>
            </w:rPr>
            <w:fldChar w:fldCharType="end"/>
          </w:r>
        </w:p>
        <w:p w14:paraId="2C21795A">
          <w:pPr>
            <w:keepNext w:val="0"/>
            <w:keepLines w:val="0"/>
            <w:pageBreakBefore w:val="0"/>
            <w:kinsoku/>
            <w:wordWrap/>
            <w:overflowPunct/>
            <w:topLinePunct w:val="0"/>
            <w:autoSpaceDE/>
            <w:autoSpaceDN/>
            <w:bidi w:val="0"/>
            <w:adjustRightInd/>
            <w:snapToGrid/>
            <w:spacing w:before="0" w:after="0" w:line="400" w:lineRule="exact"/>
            <w:textAlignment w:val="auto"/>
            <w:rPr>
              <w:rFonts w:cs="Times New Roman"/>
              <w:color w:val="000000" w:themeColor="text1"/>
              <w:highlight w:val="none"/>
              <w14:textFill>
                <w14:solidFill>
                  <w14:schemeClr w14:val="tx1"/>
                </w14:solidFill>
              </w14:textFill>
            </w:rPr>
          </w:pPr>
          <w:r>
            <w:rPr>
              <w:highlight w:val="none"/>
            </w:rPr>
            <w:fldChar w:fldCharType="end"/>
          </w:r>
        </w:p>
      </w:sdtContent>
    </w:sdt>
    <w:bookmarkEnd w:id="0"/>
    <w:bookmarkEnd w:id="1"/>
    <w:bookmarkEnd w:id="2"/>
    <w:p w14:paraId="5CB20D96">
      <w:pPr>
        <w:pStyle w:val="19"/>
        <w:jc w:val="center"/>
        <w:rPr>
          <w:rFonts w:hAnsi="宋体" w:cs="Times New Roman"/>
          <w:b/>
          <w:bCs/>
          <w:color w:val="000000" w:themeColor="text1"/>
          <w:sz w:val="32"/>
          <w:szCs w:val="32"/>
          <w:highlight w:val="none"/>
          <w14:textFill>
            <w14:solidFill>
              <w14:schemeClr w14:val="tx1"/>
            </w14:solidFill>
          </w14:textFill>
        </w:rPr>
      </w:pPr>
    </w:p>
    <w:p w14:paraId="67AB1EBC">
      <w:pPr>
        <w:rPr>
          <w:color w:val="000000" w:themeColor="text1"/>
          <w:highlight w:val="none"/>
          <w14:textFill>
            <w14:solidFill>
              <w14:schemeClr w14:val="tx1"/>
            </w14:solidFill>
          </w14:textFill>
        </w:rPr>
        <w:sectPr>
          <w:headerReference r:id="rId6" w:type="default"/>
          <w:pgSz w:w="11905" w:h="16838"/>
          <w:pgMar w:top="1440" w:right="1803" w:bottom="1440" w:left="1803" w:header="1140" w:footer="720" w:gutter="0"/>
          <w:cols w:space="0" w:num="1"/>
          <w:docGrid w:type="lines" w:linePitch="317" w:charSpace="0"/>
        </w:sectPr>
      </w:pPr>
    </w:p>
    <w:p w14:paraId="5C3B423E">
      <w:pPr>
        <w:pStyle w:val="3"/>
        <w:numPr>
          <w:ilvl w:val="0"/>
          <w:numId w:val="0"/>
        </w:numPr>
        <w:spacing w:before="0" w:after="0" w:line="360" w:lineRule="auto"/>
        <w:jc w:val="center"/>
        <w:rPr>
          <w:rFonts w:ascii="宋体" w:hAnsi="宋体" w:cs="宋体"/>
          <w:b/>
          <w:bCs/>
          <w:color w:val="000000" w:themeColor="text1"/>
          <w:highlight w:val="none"/>
          <w14:textFill>
            <w14:solidFill>
              <w14:schemeClr w14:val="tx1"/>
            </w14:solidFill>
          </w14:textFill>
        </w:rPr>
      </w:pPr>
      <w:bookmarkStart w:id="7" w:name="_Toc19476"/>
      <w:bookmarkStart w:id="8" w:name="_Toc12339"/>
      <w:bookmarkStart w:id="9" w:name="_Toc6853"/>
      <w:bookmarkStart w:id="10" w:name="_Toc26388"/>
      <w:r>
        <w:rPr>
          <w:rFonts w:hint="eastAsia" w:ascii="宋体" w:hAnsi="宋体" w:cs="宋体"/>
          <w:b/>
          <w:bCs/>
          <w:color w:val="000000" w:themeColor="text1"/>
          <w:highlight w:val="none"/>
          <w:lang w:eastAsia="zh-CN"/>
          <w14:textFill>
            <w14:solidFill>
              <w14:schemeClr w14:val="tx1"/>
            </w14:solidFill>
          </w14:textFill>
        </w:rPr>
        <w:t>第一章</w:t>
      </w:r>
      <w:r>
        <w:rPr>
          <w:rFonts w:hint="eastAsia" w:ascii="宋体" w:hAnsi="宋体" w:cs="宋体"/>
          <w:b/>
          <w:bCs/>
          <w:color w:val="000000" w:themeColor="text1"/>
          <w:highlight w:val="none"/>
          <w:lang w:val="en-US" w:eastAsia="zh-CN"/>
          <w14:textFill>
            <w14:solidFill>
              <w14:schemeClr w14:val="tx1"/>
            </w14:solidFill>
          </w14:textFill>
        </w:rPr>
        <w:t xml:space="preserve"> </w:t>
      </w:r>
      <w:r>
        <w:rPr>
          <w:rFonts w:hint="eastAsia" w:ascii="宋体" w:hAnsi="宋体" w:cs="宋体"/>
          <w:b/>
          <w:bCs/>
          <w:color w:val="000000" w:themeColor="text1"/>
          <w:highlight w:val="none"/>
          <w14:textFill>
            <w14:solidFill>
              <w14:schemeClr w14:val="tx1"/>
            </w14:solidFill>
          </w14:textFill>
        </w:rPr>
        <w:t>竞争性磋商公告</w:t>
      </w:r>
      <w:bookmarkEnd w:id="7"/>
      <w:bookmarkEnd w:id="8"/>
      <w:bookmarkEnd w:id="9"/>
      <w:bookmarkEnd w:id="10"/>
    </w:p>
    <w:p w14:paraId="542C245D">
      <w:pPr>
        <w:rPr>
          <w:color w:val="000000" w:themeColor="text1"/>
          <w:highlight w:val="none"/>
          <w14:textFill>
            <w14:solidFill>
              <w14:schemeClr w14:val="tx1"/>
            </w14:solidFill>
          </w14:textFill>
        </w:rPr>
      </w:pPr>
    </w:p>
    <w:p w14:paraId="021781A3">
      <w:pPr>
        <w:pStyle w:val="76"/>
        <w:pBdr>
          <w:top w:val="single" w:color="auto" w:sz="4" w:space="0"/>
          <w:left w:val="single" w:color="auto" w:sz="4" w:space="0"/>
          <w:bottom w:val="single" w:color="auto" w:sz="4" w:space="0"/>
          <w:right w:val="single" w:color="auto" w:sz="4" w:space="0"/>
        </w:pBdr>
        <w:spacing w:line="500" w:lineRule="exact"/>
        <w:ind w:firstLine="480" w:firstLineChars="200"/>
        <w:jc w:val="left"/>
        <w:rPr>
          <w:color w:val="000000" w:themeColor="text1"/>
          <w:sz w:val="24"/>
          <w:szCs w:val="24"/>
          <w:highlight w:val="none"/>
          <w14:textFill>
            <w14:solidFill>
              <w14:schemeClr w14:val="tx1"/>
            </w14:solidFill>
          </w14:textFill>
        </w:rPr>
      </w:pPr>
      <w:bookmarkStart w:id="11" w:name="_Toc466466374"/>
      <w:bookmarkStart w:id="12" w:name="_Toc466454730"/>
      <w:bookmarkStart w:id="13" w:name="_Toc465257483"/>
      <w:r>
        <w:rPr>
          <w:rFonts w:hint="eastAsia"/>
          <w:color w:val="000000" w:themeColor="text1"/>
          <w:sz w:val="24"/>
          <w:szCs w:val="24"/>
          <w:highlight w:val="none"/>
          <w14:textFill>
            <w14:solidFill>
              <w14:schemeClr w14:val="tx1"/>
            </w14:solidFill>
          </w14:textFill>
        </w:rPr>
        <w:t>项目概况：</w:t>
      </w:r>
      <w:r>
        <w:rPr>
          <w:rFonts w:hint="eastAsia"/>
          <w:color w:val="000000" w:themeColor="text1"/>
          <w:sz w:val="24"/>
          <w:szCs w:val="24"/>
          <w:highlight w:val="none"/>
          <w:u w:val="single"/>
          <w:lang w:val="en-US" w:eastAsia="zh-CN"/>
          <w14:textFill>
            <w14:solidFill>
              <w14:schemeClr w14:val="tx1"/>
            </w14:solidFill>
          </w14:textFill>
        </w:rPr>
        <w:t xml:space="preserve"> 延边州第三次全国土壤普查项目 </w:t>
      </w:r>
      <w:r>
        <w:rPr>
          <w:rFonts w:hint="eastAsia"/>
          <w:color w:val="000000" w:themeColor="text1"/>
          <w:sz w:val="24"/>
          <w:szCs w:val="24"/>
          <w:highlight w:val="none"/>
          <w:lang w:val="en-US" w:eastAsia="zh-CN"/>
          <w14:textFill>
            <w14:solidFill>
              <w14:schemeClr w14:val="tx1"/>
            </w14:solidFill>
          </w14:textFill>
        </w:rPr>
        <w:t>的潜在供应商应按照竞争性磋商公告规定获取竞争性磋商文件，并于</w:t>
      </w:r>
      <w:r>
        <w:rPr>
          <w:rFonts w:hint="eastAsia"/>
          <w:color w:val="000000" w:themeColor="text1"/>
          <w:sz w:val="24"/>
          <w:szCs w:val="24"/>
          <w:highlight w:val="none"/>
          <w:u w:val="single"/>
          <w:lang w:val="en-US" w:eastAsia="zh-CN"/>
          <w14:textFill>
            <w14:solidFill>
              <w14:schemeClr w14:val="tx1"/>
            </w14:solidFill>
          </w14:textFill>
        </w:rPr>
        <w:t>2025年4月18日，上午09时00分</w:t>
      </w:r>
      <w:r>
        <w:rPr>
          <w:rFonts w:hint="eastAsia"/>
          <w:color w:val="000000" w:themeColor="text1"/>
          <w:sz w:val="24"/>
          <w:szCs w:val="24"/>
          <w:highlight w:val="none"/>
          <w:lang w:val="en-US" w:eastAsia="zh-CN"/>
          <w14:textFill>
            <w14:solidFill>
              <w14:schemeClr w14:val="tx1"/>
            </w14:solidFill>
          </w14:textFill>
        </w:rPr>
        <w:t>（北京时间）前递交响应文件。</w:t>
      </w:r>
    </w:p>
    <w:p w14:paraId="26456FA7">
      <w:pPr>
        <w:keepNext w:val="0"/>
        <w:keepLines w:val="0"/>
        <w:pageBreakBefore w:val="0"/>
        <w:widowControl w:val="0"/>
        <w:numPr>
          <w:ilvl w:val="0"/>
          <w:numId w:val="0"/>
        </w:numPr>
        <w:kinsoku/>
        <w:wordWrap/>
        <w:overflowPunct/>
        <w:topLinePunct w:val="0"/>
        <w:autoSpaceDE w:val="0"/>
        <w:autoSpaceDN w:val="0"/>
        <w:bidi w:val="0"/>
        <w:adjustRightInd w:val="0"/>
        <w:snapToGrid/>
        <w:spacing w:line="500" w:lineRule="exact"/>
        <w:jc w:val="left"/>
        <w:textAlignment w:val="auto"/>
        <w:outlineLvl w:val="1"/>
        <w:rPr>
          <w:rFonts w:hint="eastAsia" w:ascii="宋体" w:hAnsi="宋体" w:cs="宋体"/>
          <w:b/>
          <w:bCs/>
          <w:color w:val="000000" w:themeColor="text1"/>
          <w:sz w:val="24"/>
          <w:szCs w:val="24"/>
          <w:highlight w:val="none"/>
          <w14:textFill>
            <w14:solidFill>
              <w14:schemeClr w14:val="tx1"/>
            </w14:solidFill>
          </w14:textFill>
        </w:rPr>
      </w:pPr>
      <w:bookmarkStart w:id="14" w:name="_Toc14161"/>
      <w:bookmarkStart w:id="15" w:name="_Toc24932"/>
      <w:r>
        <w:rPr>
          <w:rFonts w:hint="eastAsia" w:ascii="宋体" w:hAnsi="宋体" w:cs="宋体"/>
          <w:b/>
          <w:bCs/>
          <w:color w:val="000000" w:themeColor="text1"/>
          <w:sz w:val="24"/>
          <w:szCs w:val="24"/>
          <w:highlight w:val="none"/>
          <w:lang w:val="en-US" w:eastAsia="zh-CN"/>
          <w14:textFill>
            <w14:solidFill>
              <w14:schemeClr w14:val="tx1"/>
            </w14:solidFill>
          </w14:textFill>
        </w:rPr>
        <w:t>一、</w:t>
      </w:r>
      <w:r>
        <w:rPr>
          <w:rFonts w:hint="eastAsia" w:ascii="宋体" w:hAnsi="宋体" w:cs="宋体"/>
          <w:b/>
          <w:bCs/>
          <w:color w:val="000000" w:themeColor="text1"/>
          <w:sz w:val="24"/>
          <w:szCs w:val="24"/>
          <w:highlight w:val="none"/>
          <w14:textFill>
            <w14:solidFill>
              <w14:schemeClr w14:val="tx1"/>
            </w14:solidFill>
          </w14:textFill>
        </w:rPr>
        <w:t>项目基本情况</w:t>
      </w:r>
      <w:bookmarkEnd w:id="14"/>
      <w:bookmarkEnd w:id="15"/>
      <w:r>
        <w:rPr>
          <w:rFonts w:hint="eastAsia" w:ascii="宋体" w:hAnsi="宋体" w:cs="宋体"/>
          <w:b/>
          <w:bCs/>
          <w:color w:val="000000" w:themeColor="text1"/>
          <w:sz w:val="24"/>
          <w:szCs w:val="24"/>
          <w:highlight w:val="none"/>
          <w14:textFill>
            <w14:solidFill>
              <w14:schemeClr w14:val="tx1"/>
            </w14:solidFill>
          </w14:textFill>
        </w:rPr>
        <w:t xml:space="preserve"> </w:t>
      </w:r>
    </w:p>
    <w:p w14:paraId="7403A363">
      <w:pPr>
        <w:keepNext w:val="0"/>
        <w:keepLines w:val="0"/>
        <w:pageBreakBefore w:val="0"/>
        <w:widowControl w:val="0"/>
        <w:tabs>
          <w:tab w:val="left" w:pos="-3675"/>
        </w:tabs>
        <w:kinsoku/>
        <w:wordWrap/>
        <w:overflowPunct/>
        <w:topLinePunct w:val="0"/>
        <w:autoSpaceDE w:val="0"/>
        <w:autoSpaceDN w:val="0"/>
        <w:bidi w:val="0"/>
        <w:adjustRightInd w:val="0"/>
        <w:snapToGrid/>
        <w:spacing w:line="460" w:lineRule="exact"/>
        <w:ind w:right="97" w:rightChars="46" w:firstLine="480" w:firstLineChars="200"/>
        <w:jc w:val="lef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eastAsia="宋体" w:cs="宋体"/>
          <w:b w:val="0"/>
          <w:bCs w:val="0"/>
          <w:color w:val="auto"/>
          <w:sz w:val="24"/>
          <w:szCs w:val="24"/>
          <w:highlight w:val="none"/>
          <w:lang w:val="en-US" w:eastAsia="zh-CN"/>
        </w:rPr>
        <w:t>1.采购计划编号：</w:t>
      </w:r>
      <w:r>
        <w:rPr>
          <w:rFonts w:hint="eastAsia" w:ascii="宋体" w:cs="宋体"/>
          <w:b w:val="0"/>
          <w:bCs w:val="0"/>
          <w:color w:val="auto"/>
          <w:sz w:val="24"/>
          <w:szCs w:val="24"/>
          <w:highlight w:val="none"/>
          <w:lang w:val="en-US" w:eastAsia="zh-CN"/>
        </w:rPr>
        <w:t>采购计划</w:t>
      </w:r>
      <w:r>
        <w:rPr>
          <w:rFonts w:hint="eastAsia" w:ascii="宋体" w:eastAsia="宋体" w:cs="宋体"/>
          <w:b w:val="0"/>
          <w:bCs w:val="0"/>
          <w:color w:val="auto"/>
          <w:sz w:val="24"/>
          <w:szCs w:val="24"/>
          <w:highlight w:val="none"/>
          <w:lang w:val="en-US" w:eastAsia="zh-CN"/>
        </w:rPr>
        <w:t>-[</w:t>
      </w:r>
      <w:r>
        <w:rPr>
          <w:rFonts w:hint="eastAsia" w:ascii="宋体" w:cs="宋体"/>
          <w:b w:val="0"/>
          <w:bCs w:val="0"/>
          <w:color w:val="auto"/>
          <w:sz w:val="24"/>
          <w:szCs w:val="24"/>
          <w:highlight w:val="none"/>
          <w:lang w:val="en-US" w:eastAsia="zh-CN"/>
        </w:rPr>
        <w:t>2025</w:t>
      </w:r>
      <w:r>
        <w:rPr>
          <w:rFonts w:hint="eastAsia" w:ascii="宋体" w:eastAsia="宋体" w:cs="宋体"/>
          <w:b w:val="0"/>
          <w:bCs w:val="0"/>
          <w:color w:val="auto"/>
          <w:sz w:val="24"/>
          <w:szCs w:val="24"/>
          <w:highlight w:val="none"/>
          <w:lang w:val="en-US" w:eastAsia="zh-CN"/>
        </w:rPr>
        <w:t>]-</w:t>
      </w:r>
      <w:r>
        <w:rPr>
          <w:rFonts w:hint="eastAsia" w:ascii="宋体" w:cs="宋体"/>
          <w:b w:val="0"/>
          <w:bCs w:val="0"/>
          <w:color w:val="auto"/>
          <w:sz w:val="24"/>
          <w:szCs w:val="24"/>
          <w:highlight w:val="none"/>
          <w:lang w:val="en-US" w:eastAsia="zh-CN"/>
        </w:rPr>
        <w:t>00035</w:t>
      </w:r>
      <w:r>
        <w:rPr>
          <w:rFonts w:hint="eastAsia" w:ascii="宋体" w:eastAsia="宋体" w:cs="宋体"/>
          <w:b w:val="0"/>
          <w:bCs w:val="0"/>
          <w:color w:val="auto"/>
          <w:sz w:val="24"/>
          <w:szCs w:val="24"/>
          <w:highlight w:val="none"/>
          <w:lang w:val="en-US" w:eastAsia="zh-CN"/>
        </w:rPr>
        <w:t>号</w:t>
      </w:r>
    </w:p>
    <w:p w14:paraId="0C0F0713">
      <w:pPr>
        <w:keepNext w:val="0"/>
        <w:keepLines w:val="0"/>
        <w:pageBreakBefore w:val="0"/>
        <w:widowControl w:val="0"/>
        <w:tabs>
          <w:tab w:val="left" w:pos="-3675"/>
        </w:tabs>
        <w:kinsoku/>
        <w:wordWrap/>
        <w:overflowPunct/>
        <w:topLinePunct w:val="0"/>
        <w:autoSpaceDE w:val="0"/>
        <w:autoSpaceDN w:val="0"/>
        <w:bidi w:val="0"/>
        <w:adjustRightInd w:val="0"/>
        <w:snapToGrid/>
        <w:spacing w:line="460" w:lineRule="exact"/>
        <w:ind w:right="97" w:rightChars="46" w:firstLine="480" w:firstLineChars="200"/>
        <w:jc w:val="left"/>
        <w:textAlignment w:val="auto"/>
        <w:rPr>
          <w:rFonts w:hint="eastAsia" w:ascii="宋体" w:hAnsi="宋体" w:eastAsia="宋体" w:cs="宋体"/>
          <w:b w:val="0"/>
          <w:bCs w:val="0"/>
          <w:color w:val="000000" w:themeColor="text1"/>
          <w:sz w:val="24"/>
          <w:szCs w:val="24"/>
          <w:highlight w:val="none"/>
          <w:u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.项目名称：</w:t>
      </w:r>
      <w:r>
        <w:rPr>
          <w:rFonts w:hint="eastAsia" w:ascii="宋体" w:hAnsi="宋体" w:cs="宋体"/>
          <w:color w:val="000000" w:themeColor="text1"/>
          <w:sz w:val="24"/>
          <w:szCs w:val="24"/>
          <w:highlight w:val="none"/>
          <w:u w:val="none"/>
          <w:lang w:val="en-US" w:eastAsia="zh-CN"/>
          <w14:textFill>
            <w14:solidFill>
              <w14:schemeClr w14:val="tx1"/>
            </w14:solidFill>
          </w14:textFill>
        </w:rPr>
        <w:t>延边州第三次全国土壤普查项目</w:t>
      </w:r>
    </w:p>
    <w:p w14:paraId="3AF1DE75">
      <w:pPr>
        <w:keepNext w:val="0"/>
        <w:keepLines w:val="0"/>
        <w:pageBreakBefore w:val="0"/>
        <w:widowControl w:val="0"/>
        <w:tabs>
          <w:tab w:val="left" w:pos="-3675"/>
        </w:tabs>
        <w:kinsoku/>
        <w:wordWrap/>
        <w:overflowPunct/>
        <w:topLinePunct w:val="0"/>
        <w:autoSpaceDE w:val="0"/>
        <w:autoSpaceDN w:val="0"/>
        <w:bidi w:val="0"/>
        <w:adjustRightInd w:val="0"/>
        <w:snapToGrid/>
        <w:spacing w:line="460" w:lineRule="exact"/>
        <w:ind w:right="97" w:rightChars="46" w:firstLine="480" w:firstLineChars="200"/>
        <w:jc w:val="lef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.项目编号：</w:t>
      </w:r>
      <w:r>
        <w:rPr>
          <w:rFonts w:hint="eastAsia" w:ascii="宋体" w:hAnsi="宋体" w:cs="宋体"/>
          <w:color w:val="000000" w:themeColor="text1"/>
          <w:sz w:val="24"/>
          <w:szCs w:val="24"/>
          <w:highlight w:val="none"/>
          <w:lang w:val="en-US" w:eastAsia="zh-CN"/>
          <w14:textFill>
            <w14:solidFill>
              <w14:schemeClr w14:val="tx1"/>
            </w14:solidFill>
          </w14:textFill>
        </w:rPr>
        <w:t>JLHY2025-CG06</w:t>
      </w:r>
    </w:p>
    <w:p w14:paraId="6F92276A">
      <w:pPr>
        <w:keepNext w:val="0"/>
        <w:keepLines w:val="0"/>
        <w:pageBreakBefore w:val="0"/>
        <w:widowControl w:val="0"/>
        <w:tabs>
          <w:tab w:val="left" w:pos="-3675"/>
        </w:tabs>
        <w:kinsoku/>
        <w:wordWrap/>
        <w:overflowPunct/>
        <w:topLinePunct w:val="0"/>
        <w:autoSpaceDE w:val="0"/>
        <w:autoSpaceDN w:val="0"/>
        <w:bidi w:val="0"/>
        <w:adjustRightInd w:val="0"/>
        <w:snapToGrid/>
        <w:spacing w:line="460" w:lineRule="exact"/>
        <w:ind w:right="97" w:rightChars="46" w:firstLine="480" w:firstLineChars="200"/>
        <w:jc w:val="left"/>
        <w:textAlignment w:val="auto"/>
        <w:rPr>
          <w:rFonts w:hint="eastAsia" w:ascii="宋体" w:hAnsi="宋体" w:eastAsia="宋体" w:cs="宋体"/>
          <w:color w:val="000000" w:themeColor="text1"/>
          <w:sz w:val="24"/>
          <w:szCs w:val="24"/>
          <w:highlight w:val="none"/>
          <w:u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lang w:val="en-US" w:eastAsia="zh-CN"/>
          <w14:textFill>
            <w14:solidFill>
              <w14:schemeClr w14:val="tx1"/>
            </w14:solidFill>
          </w14:textFill>
        </w:rPr>
        <w:t>.预算金额：</w:t>
      </w:r>
      <w:r>
        <w:rPr>
          <w:rFonts w:hint="eastAsia" w:ascii="宋体" w:hAnsi="宋体" w:cs="宋体"/>
          <w:color w:val="000000" w:themeColor="text1"/>
          <w:sz w:val="24"/>
          <w:szCs w:val="24"/>
          <w:highlight w:val="none"/>
          <w:u w:val="none"/>
          <w:lang w:val="en-US" w:eastAsia="zh-CN"/>
          <w14:textFill>
            <w14:solidFill>
              <w14:schemeClr w14:val="tx1"/>
            </w14:solidFill>
          </w14:textFill>
        </w:rPr>
        <w:t>人民币900,000.00元。</w:t>
      </w:r>
    </w:p>
    <w:p w14:paraId="287E7F26">
      <w:pPr>
        <w:keepNext w:val="0"/>
        <w:keepLines w:val="0"/>
        <w:pageBreakBefore w:val="0"/>
        <w:widowControl w:val="0"/>
        <w:tabs>
          <w:tab w:val="left" w:pos="-3675"/>
        </w:tabs>
        <w:kinsoku/>
        <w:wordWrap/>
        <w:overflowPunct/>
        <w:topLinePunct w:val="0"/>
        <w:autoSpaceDE w:val="0"/>
        <w:autoSpaceDN w:val="0"/>
        <w:bidi w:val="0"/>
        <w:adjustRightInd w:val="0"/>
        <w:snapToGrid/>
        <w:spacing w:line="460" w:lineRule="exact"/>
        <w:ind w:right="97" w:rightChars="46" w:firstLine="480" w:firstLineChars="200"/>
        <w:jc w:val="left"/>
        <w:textAlignment w:val="auto"/>
        <w:rPr>
          <w:rFonts w:hint="eastAsia" w:ascii="宋体" w:hAnsi="宋体" w:cs="宋体"/>
          <w:color w:val="000000" w:themeColor="text1"/>
          <w:sz w:val="24"/>
          <w:szCs w:val="24"/>
          <w:highlight w:val="none"/>
          <w:u w:val="none"/>
          <w:lang w:val="en-US" w:eastAsia="zh-CN"/>
          <w14:textFill>
            <w14:solidFill>
              <w14:schemeClr w14:val="tx1"/>
            </w14:solidFill>
          </w14:textFill>
        </w:rPr>
      </w:pPr>
      <w:r>
        <w:rPr>
          <w:rFonts w:hint="eastAsia" w:ascii="宋体" w:hAnsi="宋体" w:cs="宋体"/>
          <w:color w:val="000000" w:themeColor="text1"/>
          <w:sz w:val="24"/>
          <w:szCs w:val="24"/>
          <w:highlight w:val="none"/>
          <w:u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w:t>
      </w:r>
      <w:r>
        <w:rPr>
          <w:rFonts w:hint="eastAsia" w:ascii="宋体" w:hAnsi="宋体" w:cs="宋体"/>
          <w:color w:val="000000" w:themeColor="text1"/>
          <w:sz w:val="24"/>
          <w:szCs w:val="24"/>
          <w:highlight w:val="none"/>
          <w:u w:val="none"/>
          <w:lang w:val="en-US" w:eastAsia="zh-CN"/>
          <w14:textFill>
            <w14:solidFill>
              <w14:schemeClr w14:val="tx1"/>
            </w14:solidFill>
          </w14:textFill>
        </w:rPr>
        <w:t>最高限价</w:t>
      </w:r>
      <w:r>
        <w:rPr>
          <w:rFonts w:hint="eastAsia" w:ascii="宋体" w:hAnsi="宋体" w:eastAsia="宋体" w:cs="宋体"/>
          <w:color w:val="000000" w:themeColor="text1"/>
          <w:sz w:val="24"/>
          <w:szCs w:val="24"/>
          <w:highlight w:val="none"/>
          <w:u w:val="none"/>
          <w:lang w:val="zh-CN" w:eastAsia="zh-CN"/>
          <w14:textFill>
            <w14:solidFill>
              <w14:schemeClr w14:val="tx1"/>
            </w14:solidFill>
          </w14:textFill>
        </w:rPr>
        <w:t>：</w:t>
      </w:r>
      <w:r>
        <w:rPr>
          <w:rFonts w:hint="eastAsia" w:ascii="宋体" w:hAnsi="宋体" w:cs="宋体"/>
          <w:color w:val="000000" w:themeColor="text1"/>
          <w:sz w:val="24"/>
          <w:szCs w:val="24"/>
          <w:highlight w:val="none"/>
          <w:u w:val="none"/>
          <w:lang w:val="en-US" w:eastAsia="zh-CN"/>
          <w14:textFill>
            <w14:solidFill>
              <w14:schemeClr w14:val="tx1"/>
            </w14:solidFill>
          </w14:textFill>
        </w:rPr>
        <w:t>人民币900,000.00元。</w:t>
      </w:r>
    </w:p>
    <w:p w14:paraId="671FD7BC">
      <w:pPr>
        <w:keepNext w:val="0"/>
        <w:keepLines w:val="0"/>
        <w:pageBreakBefore w:val="0"/>
        <w:widowControl w:val="0"/>
        <w:tabs>
          <w:tab w:val="left" w:pos="-3675"/>
        </w:tabs>
        <w:kinsoku/>
        <w:wordWrap/>
        <w:overflowPunct/>
        <w:topLinePunct w:val="0"/>
        <w:autoSpaceDE w:val="0"/>
        <w:autoSpaceDN w:val="0"/>
        <w:bidi w:val="0"/>
        <w:adjustRightInd w:val="0"/>
        <w:snapToGrid/>
        <w:spacing w:line="460" w:lineRule="exact"/>
        <w:ind w:right="97" w:rightChars="46" w:firstLine="480" w:firstLineChars="200"/>
        <w:jc w:val="lef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lang w:val="en-US" w:eastAsia="zh-CN"/>
          <w14:textFill>
            <w14:solidFill>
              <w14:schemeClr w14:val="tx1"/>
            </w14:solidFill>
          </w14:textFill>
        </w:rPr>
        <w:t>采购方式：竞争性磋商</w:t>
      </w:r>
    </w:p>
    <w:p w14:paraId="63031C5A">
      <w:pPr>
        <w:keepNext w:val="0"/>
        <w:keepLines w:val="0"/>
        <w:pageBreakBefore w:val="0"/>
        <w:widowControl w:val="0"/>
        <w:tabs>
          <w:tab w:val="left" w:pos="-3675"/>
        </w:tabs>
        <w:kinsoku/>
        <w:wordWrap/>
        <w:overflowPunct/>
        <w:topLinePunct w:val="0"/>
        <w:autoSpaceDE w:val="0"/>
        <w:autoSpaceDN w:val="0"/>
        <w:bidi w:val="0"/>
        <w:adjustRightInd w:val="0"/>
        <w:snapToGrid/>
        <w:spacing w:line="460" w:lineRule="exact"/>
        <w:ind w:right="97" w:rightChars="46" w:firstLine="480" w:firstLineChars="200"/>
        <w:jc w:val="left"/>
        <w:textAlignment w:val="auto"/>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7.采购需求：详见服务内容及要求。</w:t>
      </w:r>
    </w:p>
    <w:p w14:paraId="42A09D91">
      <w:pPr>
        <w:keepNext w:val="0"/>
        <w:keepLines w:val="0"/>
        <w:pageBreakBefore w:val="0"/>
        <w:widowControl w:val="0"/>
        <w:tabs>
          <w:tab w:val="left" w:pos="-3675"/>
        </w:tabs>
        <w:kinsoku/>
        <w:wordWrap/>
        <w:overflowPunct/>
        <w:topLinePunct w:val="0"/>
        <w:autoSpaceDE w:val="0"/>
        <w:autoSpaceDN w:val="0"/>
        <w:bidi w:val="0"/>
        <w:adjustRightInd w:val="0"/>
        <w:snapToGrid/>
        <w:spacing w:line="460" w:lineRule="exact"/>
        <w:ind w:right="97" w:rightChars="46" w:firstLine="480" w:firstLineChars="200"/>
        <w:jc w:val="left"/>
        <w:textAlignment w:val="auto"/>
        <w:rPr>
          <w:rFonts w:hint="eastAsia"/>
          <w:highlight w:val="none"/>
          <w:lang w:val="en-US" w:eastAsia="zh-CN"/>
        </w:rPr>
      </w:pPr>
      <w:r>
        <w:rPr>
          <w:rFonts w:hint="eastAsia" w:ascii="宋体" w:hAnsi="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lang w:val="en-US" w:eastAsia="zh-CN"/>
          <w14:textFill>
            <w14:solidFill>
              <w14:schemeClr w14:val="tx1"/>
            </w14:solidFill>
          </w14:textFill>
        </w:rPr>
        <w:t>服务要求：符合现行国家及行业合格标准</w:t>
      </w:r>
      <w:r>
        <w:rPr>
          <w:rFonts w:hint="eastAsia" w:ascii="宋体" w:hAnsi="宋体" w:cs="宋体"/>
          <w:color w:val="000000" w:themeColor="text1"/>
          <w:sz w:val="24"/>
          <w:szCs w:val="24"/>
          <w:highlight w:val="none"/>
          <w:lang w:val="en-US" w:eastAsia="zh-CN"/>
          <w14:textFill>
            <w14:solidFill>
              <w14:schemeClr w14:val="tx1"/>
            </w14:solidFill>
          </w14:textFill>
        </w:rPr>
        <w:t>。</w:t>
      </w:r>
    </w:p>
    <w:p w14:paraId="661B6C4E">
      <w:pPr>
        <w:keepNext w:val="0"/>
        <w:keepLines w:val="0"/>
        <w:pageBreakBefore w:val="0"/>
        <w:widowControl w:val="0"/>
        <w:tabs>
          <w:tab w:val="left" w:pos="-3675"/>
        </w:tabs>
        <w:kinsoku/>
        <w:wordWrap/>
        <w:overflowPunct/>
        <w:topLinePunct w:val="0"/>
        <w:autoSpaceDE w:val="0"/>
        <w:autoSpaceDN w:val="0"/>
        <w:bidi w:val="0"/>
        <w:adjustRightInd w:val="0"/>
        <w:snapToGrid/>
        <w:spacing w:line="460" w:lineRule="exact"/>
        <w:ind w:right="97" w:rightChars="46" w:firstLine="480" w:firstLineChars="200"/>
        <w:jc w:val="lef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zh-CN" w:eastAsia="zh-CN"/>
          <w14:textFill>
            <w14:solidFill>
              <w14:schemeClr w14:val="tx1"/>
            </w14:solidFill>
          </w14:textFill>
        </w:rPr>
        <w:t>合同履行期限：自合同签订之日起</w:t>
      </w:r>
      <w:r>
        <w:rPr>
          <w:rFonts w:hint="eastAsia" w:ascii="宋体" w:hAnsi="宋体" w:eastAsia="宋体" w:cs="宋体"/>
          <w:color w:val="000000" w:themeColor="text1"/>
          <w:sz w:val="24"/>
          <w:szCs w:val="24"/>
          <w:highlight w:val="none"/>
          <w:u w:val="none"/>
          <w:lang w:val="zh-CN" w:eastAsia="zh-CN"/>
          <w14:textFill>
            <w14:solidFill>
              <w14:schemeClr w14:val="tx1"/>
            </w14:solidFill>
          </w14:textFill>
        </w:rPr>
        <w:t>至</w:t>
      </w:r>
      <w:r>
        <w:rPr>
          <w:rFonts w:hint="eastAsia" w:ascii="宋体" w:hAnsi="宋体" w:cs="宋体"/>
          <w:color w:val="000000" w:themeColor="text1"/>
          <w:sz w:val="24"/>
          <w:szCs w:val="24"/>
          <w:highlight w:val="none"/>
          <w:u w:val="none"/>
          <w:lang w:val="en-US" w:eastAsia="zh-CN"/>
          <w14:textFill>
            <w14:solidFill>
              <w14:schemeClr w14:val="tx1"/>
            </w14:solidFill>
          </w14:textFill>
        </w:rPr>
        <w:t>2025年12月31日止</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w:t>
      </w:r>
    </w:p>
    <w:p w14:paraId="2AFB5C8C">
      <w:pPr>
        <w:keepNext w:val="0"/>
        <w:keepLines w:val="0"/>
        <w:pageBreakBefore w:val="0"/>
        <w:widowControl w:val="0"/>
        <w:tabs>
          <w:tab w:val="left" w:pos="-3675"/>
        </w:tabs>
        <w:kinsoku/>
        <w:wordWrap/>
        <w:overflowPunct/>
        <w:topLinePunct w:val="0"/>
        <w:autoSpaceDE w:val="0"/>
        <w:autoSpaceDN w:val="0"/>
        <w:bidi w:val="0"/>
        <w:adjustRightInd w:val="0"/>
        <w:snapToGrid/>
        <w:spacing w:line="460" w:lineRule="exact"/>
        <w:ind w:right="97" w:rightChars="46" w:firstLine="480" w:firstLineChars="200"/>
        <w:jc w:val="left"/>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10</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zh-CN" w:eastAsia="zh-CN"/>
          <w14:textFill>
            <w14:solidFill>
              <w14:schemeClr w14:val="tx1"/>
            </w14:solidFill>
          </w14:textFill>
        </w:rPr>
        <w:t>本项目</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不</w:t>
      </w:r>
      <w:r>
        <w:rPr>
          <w:rFonts w:hint="eastAsia" w:ascii="宋体" w:hAnsi="宋体" w:eastAsia="宋体" w:cs="宋体"/>
          <w:b/>
          <w:bCs/>
          <w:color w:val="000000" w:themeColor="text1"/>
          <w:sz w:val="24"/>
          <w:szCs w:val="24"/>
          <w:highlight w:val="none"/>
          <w:lang w:val="zh-CN" w:eastAsia="zh-CN"/>
          <w14:textFill>
            <w14:solidFill>
              <w14:schemeClr w14:val="tx1"/>
            </w14:solidFill>
          </w14:textFill>
        </w:rPr>
        <w:t>接受</w:t>
      </w:r>
      <w:r>
        <w:rPr>
          <w:rFonts w:hint="eastAsia" w:ascii="宋体" w:hAnsi="宋体" w:eastAsia="宋体" w:cs="宋体"/>
          <w:color w:val="000000" w:themeColor="text1"/>
          <w:sz w:val="24"/>
          <w:szCs w:val="24"/>
          <w:highlight w:val="none"/>
          <w:lang w:val="zh-CN" w:eastAsia="zh-CN"/>
          <w14:textFill>
            <w14:solidFill>
              <w14:schemeClr w14:val="tx1"/>
            </w14:solidFill>
          </w14:textFill>
        </w:rPr>
        <w:t>联合体。</w:t>
      </w:r>
    </w:p>
    <w:p w14:paraId="75E84525">
      <w:pPr>
        <w:autoSpaceDE w:val="0"/>
        <w:autoSpaceDN w:val="0"/>
        <w:adjustRightInd w:val="0"/>
        <w:spacing w:line="460" w:lineRule="exact"/>
        <w:jc w:val="left"/>
        <w:outlineLvl w:val="1"/>
        <w:rPr>
          <w:rFonts w:ascii="宋体" w:hAnsi="宋体" w:cs="宋体"/>
          <w:b/>
          <w:bCs/>
          <w:color w:val="000000" w:themeColor="text1"/>
          <w:sz w:val="24"/>
          <w:szCs w:val="24"/>
          <w:highlight w:val="none"/>
          <w:lang w:val="zh-CN"/>
          <w14:textFill>
            <w14:solidFill>
              <w14:schemeClr w14:val="tx1"/>
            </w14:solidFill>
          </w14:textFill>
        </w:rPr>
      </w:pPr>
      <w:bookmarkStart w:id="16" w:name="_Toc8634"/>
      <w:r>
        <w:rPr>
          <w:rFonts w:hint="eastAsia" w:ascii="宋体" w:hAnsi="宋体" w:cs="宋体"/>
          <w:b/>
          <w:bCs/>
          <w:color w:val="000000" w:themeColor="text1"/>
          <w:sz w:val="24"/>
          <w:szCs w:val="24"/>
          <w:highlight w:val="none"/>
          <w:lang w:val="zh-CN"/>
          <w14:textFill>
            <w14:solidFill>
              <w14:schemeClr w14:val="tx1"/>
            </w14:solidFill>
          </w14:textFill>
        </w:rPr>
        <w:t>二、申请人的资格要求</w:t>
      </w:r>
      <w:bookmarkEnd w:id="16"/>
    </w:p>
    <w:p w14:paraId="47CC162F">
      <w:pPr>
        <w:spacing w:line="460" w:lineRule="exact"/>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1.满足《中华人民共和国政府采购法》第二十二条的规定；</w:t>
      </w:r>
    </w:p>
    <w:p w14:paraId="36678C4B">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2.落实政府采购政策需满足的资格要求：</w:t>
      </w:r>
    </w:p>
    <w:p w14:paraId="70DCF9E1">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cs="宋体"/>
          <w:color w:val="000000" w:themeColor="text1"/>
          <w:sz w:val="24"/>
          <w:szCs w:val="24"/>
          <w:highlight w:val="none"/>
          <w:lang w:val="zh-CN" w:eastAsia="zh-CN"/>
          <w14:textFill>
            <w14:solidFill>
              <w14:schemeClr w14:val="tx1"/>
            </w14:solidFill>
          </w14:textFill>
        </w:rPr>
      </w:pPr>
      <w:r>
        <w:rPr>
          <w:rFonts w:hint="eastAsia" w:ascii="宋体" w:hAnsi="宋体" w:cs="宋体"/>
          <w:color w:val="000000" w:themeColor="text1"/>
          <w:sz w:val="24"/>
          <w:szCs w:val="24"/>
          <w:highlight w:val="none"/>
          <w:lang w:val="zh-CN" w:eastAsia="zh-CN"/>
          <w14:textFill>
            <w14:solidFill>
              <w14:schemeClr w14:val="tx1"/>
            </w14:solidFill>
          </w14:textFill>
        </w:rPr>
        <w:t>《政府采购促进中小企业发展管理办法》 (财库[2020]46号)；</w:t>
      </w:r>
    </w:p>
    <w:p w14:paraId="17E762FC">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cs="宋体"/>
          <w:color w:val="000000" w:themeColor="text1"/>
          <w:sz w:val="24"/>
          <w:szCs w:val="24"/>
          <w:highlight w:val="none"/>
          <w:lang w:val="zh-CN" w:eastAsia="zh-CN"/>
          <w14:textFill>
            <w14:solidFill>
              <w14:schemeClr w14:val="tx1"/>
            </w14:solidFill>
          </w14:textFill>
        </w:rPr>
      </w:pPr>
      <w:r>
        <w:rPr>
          <w:rFonts w:hint="eastAsia" w:ascii="宋体" w:hAnsi="宋体" w:cs="宋体"/>
          <w:color w:val="000000" w:themeColor="text1"/>
          <w:sz w:val="24"/>
          <w:szCs w:val="24"/>
          <w:highlight w:val="none"/>
          <w:lang w:val="zh-CN" w:eastAsia="zh-CN"/>
          <w14:textFill>
            <w14:solidFill>
              <w14:schemeClr w14:val="tx1"/>
            </w14:solidFill>
          </w14:textFill>
        </w:rPr>
        <w:t>《关于进一步加大政府采购支持中小企业力度的通知》(财库[2022]19号)；</w:t>
      </w:r>
    </w:p>
    <w:p w14:paraId="77C06044">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zh-CN" w:eastAsia="zh-CN"/>
          <w14:textFill>
            <w14:solidFill>
              <w14:schemeClr w14:val="tx1"/>
            </w14:solidFill>
          </w14:textFill>
        </w:rPr>
        <w:t>关于印发《吉林省强化政府采购政策支持中小企业发展落实举措》的通知(吉财采购[2022]478号)</w:t>
      </w:r>
      <w:r>
        <w:rPr>
          <w:rFonts w:hint="eastAsia" w:ascii="宋体" w:hAnsi="宋体" w:cs="宋体"/>
          <w:color w:val="000000" w:themeColor="text1"/>
          <w:sz w:val="24"/>
          <w:szCs w:val="24"/>
          <w:highlight w:val="none"/>
          <w:lang w:val="en-US" w:eastAsia="zh-CN"/>
          <w14:textFill>
            <w14:solidFill>
              <w14:schemeClr w14:val="tx1"/>
            </w14:solidFill>
          </w14:textFill>
        </w:rPr>
        <w:t>。</w:t>
      </w:r>
    </w:p>
    <w:p w14:paraId="70F42A55">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3.本项目的特定资格要求：</w:t>
      </w:r>
    </w:p>
    <w:p w14:paraId="2D07FF0A">
      <w:pPr>
        <w:spacing w:line="460" w:lineRule="exact"/>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（1）具有独立承担民事责任的能力：</w:t>
      </w:r>
      <w:r>
        <w:rPr>
          <w:rFonts w:hint="eastAsia" w:ascii="宋体" w:hAnsi="宋体" w:cs="宋体"/>
          <w:color w:val="000000" w:themeColor="text1"/>
          <w:sz w:val="24"/>
          <w:szCs w:val="24"/>
          <w:highlight w:val="none"/>
          <w:lang w:eastAsia="zh-CN"/>
          <w14:textFill>
            <w14:solidFill>
              <w14:schemeClr w14:val="tx1"/>
            </w14:solidFill>
          </w14:textFill>
        </w:rPr>
        <w:t>供应商必须是具有独立承担民事责任能力的在中华人民共和国境内注册的法人或其他组织，投标时提交有效的</w:t>
      </w:r>
      <w:r>
        <w:rPr>
          <w:rFonts w:hint="eastAsia" w:ascii="宋体" w:hAnsi="宋体" w:cs="宋体"/>
          <w:b/>
          <w:bCs/>
          <w:color w:val="000000" w:themeColor="text1"/>
          <w:sz w:val="24"/>
          <w:szCs w:val="24"/>
          <w:highlight w:val="none"/>
          <w:lang w:eastAsia="zh-CN"/>
          <w14:textFill>
            <w14:solidFill>
              <w14:schemeClr w14:val="tx1"/>
            </w14:solidFill>
          </w14:textFill>
        </w:rPr>
        <w:t>营业执照副本</w:t>
      </w:r>
      <w:r>
        <w:rPr>
          <w:rFonts w:hint="eastAsia" w:ascii="宋体" w:hAnsi="宋体" w:cs="宋体"/>
          <w:color w:val="000000" w:themeColor="text1"/>
          <w:sz w:val="24"/>
          <w:szCs w:val="24"/>
          <w:highlight w:val="none"/>
          <w:lang w:eastAsia="zh-CN"/>
          <w14:textFill>
            <w14:solidFill>
              <w14:schemeClr w14:val="tx1"/>
            </w14:solidFill>
          </w14:textFill>
        </w:rPr>
        <w:t>，并要求本项目相适应的相关经营范围，具有相应的人员、设备、资金等方面的能力</w:t>
      </w:r>
      <w:r>
        <w:rPr>
          <w:rFonts w:hint="eastAsia" w:ascii="宋体" w:hAnsi="宋体" w:cs="宋体"/>
          <w:color w:val="000000" w:themeColor="text1"/>
          <w:sz w:val="24"/>
          <w:szCs w:val="24"/>
          <w:highlight w:val="none"/>
          <w14:textFill>
            <w14:solidFill>
              <w14:schemeClr w14:val="tx1"/>
            </w14:solidFill>
          </w14:textFill>
        </w:rPr>
        <w:t>；</w:t>
      </w:r>
    </w:p>
    <w:p w14:paraId="4763CDCB">
      <w:pPr>
        <w:spacing w:line="460" w:lineRule="exact"/>
        <w:ind w:firstLine="480" w:firstLineChars="2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（2）具有良好的商业信誉和健全的财务会计制度：</w:t>
      </w:r>
      <w:r>
        <w:rPr>
          <w:rFonts w:hint="eastAsia" w:ascii="宋体" w:hAnsi="宋体" w:cs="宋体"/>
          <w:color w:val="000000" w:themeColor="text1"/>
          <w:sz w:val="24"/>
          <w:szCs w:val="24"/>
          <w:highlight w:val="none"/>
          <w:lang w:eastAsia="zh-CN"/>
          <w14:textFill>
            <w14:solidFill>
              <w14:schemeClr w14:val="tx1"/>
            </w14:solidFill>
          </w14:textFill>
        </w:rPr>
        <w:t>未被工商行政管理机关在国家企业信用信息公示系统</w:t>
      </w:r>
      <w:r>
        <w:rPr>
          <w:rFonts w:hint="eastAsia" w:ascii="宋体" w:hAnsi="宋体" w:cs="宋体"/>
          <w:color w:val="000000" w:themeColor="text1"/>
          <w:sz w:val="24"/>
          <w:szCs w:val="24"/>
          <w:highlight w:val="none"/>
          <w:lang w:bidi="en-US"/>
          <w14:textFill>
            <w14:solidFill>
              <w14:schemeClr w14:val="tx1"/>
            </w14:solidFill>
          </w14:textFill>
        </w:rPr>
        <w:t>（http://www.gsxt.gov.cn/）</w:t>
      </w:r>
      <w:r>
        <w:rPr>
          <w:rFonts w:hint="eastAsia" w:ascii="宋体" w:hAnsi="宋体" w:cs="宋体"/>
          <w:color w:val="000000" w:themeColor="text1"/>
          <w:sz w:val="24"/>
          <w:szCs w:val="24"/>
          <w:highlight w:val="none"/>
          <w14:textFill>
            <w14:solidFill>
              <w14:schemeClr w14:val="tx1"/>
            </w14:solidFill>
          </w14:textFill>
        </w:rPr>
        <w:t>中列入严重违法失信企业名单；（须提供网络截图加盖公章）</w:t>
      </w:r>
      <w:r>
        <w:rPr>
          <w:rFonts w:hint="eastAsia"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14:textFill>
            <w14:solidFill>
              <w14:schemeClr w14:val="tx1"/>
            </w14:solidFill>
          </w14:textFill>
        </w:rPr>
        <w:t>供应商未被列入</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cs="宋体"/>
          <w:color w:val="000000" w:themeColor="text1"/>
          <w:sz w:val="24"/>
          <w:szCs w:val="24"/>
          <w:highlight w:val="none"/>
          <w14:textFill>
            <w14:solidFill>
              <w14:schemeClr w14:val="tx1"/>
            </w14:solidFill>
          </w14:textFill>
        </w:rPr>
        <w:t>信用</w:t>
      </w:r>
      <w:r>
        <w:rPr>
          <w:rFonts w:hint="eastAsia" w:ascii="宋体" w:hAnsi="宋体" w:cs="宋体"/>
          <w:color w:val="000000" w:themeColor="text1"/>
          <w:sz w:val="24"/>
          <w:szCs w:val="24"/>
          <w:highlight w:val="none"/>
          <w:lang w:val="zh-CN" w:bidi="zh-CN"/>
          <w14:textFill>
            <w14:solidFill>
              <w14:schemeClr w14:val="tx1"/>
            </w14:solidFill>
          </w14:textFill>
        </w:rPr>
        <w:t>中国”</w:t>
      </w:r>
      <w:r>
        <w:rPr>
          <w:rFonts w:hint="eastAsia" w:ascii="宋体" w:hAnsi="宋体" w:cs="宋体"/>
          <w:color w:val="000000" w:themeColor="text1"/>
          <w:sz w:val="24"/>
          <w:szCs w:val="24"/>
          <w:highlight w:val="none"/>
          <w14:textFill>
            <w14:solidFill>
              <w14:schemeClr w14:val="tx1"/>
            </w14:solidFill>
          </w14:textFill>
        </w:rPr>
        <w:t>网站</w:t>
      </w:r>
      <w:r>
        <w:rPr>
          <w:rFonts w:hint="eastAsia" w:ascii="宋体" w:hAnsi="宋体" w:cs="宋体"/>
          <w:color w:val="000000" w:themeColor="text1"/>
          <w:sz w:val="24"/>
          <w:szCs w:val="24"/>
          <w:highlight w:val="none"/>
          <w:lang w:bidi="en-US"/>
          <w14:textFill>
            <w14:solidFill>
              <w14:schemeClr w14:val="tx1"/>
            </w14:solidFill>
          </w14:textFill>
        </w:rPr>
        <w:t>（www.creditchina.gov.cn）</w:t>
      </w:r>
      <w:r>
        <w:rPr>
          <w:rFonts w:hint="eastAsia" w:ascii="宋体" w:hAnsi="宋体" w:cs="宋体"/>
          <w:color w:val="000000" w:themeColor="text1"/>
          <w:sz w:val="24"/>
          <w:szCs w:val="24"/>
          <w:highlight w:val="none"/>
          <w14:textFill>
            <w14:solidFill>
              <w14:schemeClr w14:val="tx1"/>
            </w14:solidFill>
          </w14:textFill>
        </w:rPr>
        <w:t>、中国政府采购网</w:t>
      </w:r>
      <w:r>
        <w:rPr>
          <w:rFonts w:hint="eastAsia" w:ascii="宋体" w:hAnsi="宋体" w:cs="宋体"/>
          <w:color w:val="000000" w:themeColor="text1"/>
          <w:sz w:val="24"/>
          <w:szCs w:val="24"/>
          <w:highlight w:val="none"/>
          <w:lang w:bidi="en-US"/>
          <w14:textFill>
            <w14:solidFill>
              <w14:schemeClr w14:val="tx1"/>
            </w14:solidFill>
          </w14:textFill>
        </w:rPr>
        <w:t>（www.ccgp.gov.cn）</w:t>
      </w:r>
      <w:r>
        <w:rPr>
          <w:rFonts w:hint="eastAsia" w:ascii="宋体" w:hAnsi="宋体" w:cs="宋体"/>
          <w:color w:val="000000" w:themeColor="text1"/>
          <w:sz w:val="24"/>
          <w:szCs w:val="24"/>
          <w:highlight w:val="none"/>
          <w14:textFill>
            <w14:solidFill>
              <w14:schemeClr w14:val="tx1"/>
            </w14:solidFill>
          </w14:textFill>
        </w:rPr>
        <w:t>等渠道信用记录失信被执行人、</w:t>
      </w:r>
      <w:r>
        <w:rPr>
          <w:rFonts w:hint="eastAsia" w:ascii="宋体" w:hAnsi="宋体" w:cs="宋体"/>
          <w:color w:val="000000" w:themeColor="text1"/>
          <w:sz w:val="24"/>
          <w:szCs w:val="24"/>
          <w:highlight w:val="none"/>
          <w:lang w:eastAsia="zh-CN"/>
          <w14:textFill>
            <w14:solidFill>
              <w14:schemeClr w14:val="tx1"/>
            </w14:solidFill>
          </w14:textFill>
        </w:rPr>
        <w:t>重大税收违法失信主体</w:t>
      </w:r>
      <w:r>
        <w:rPr>
          <w:rFonts w:hint="eastAsia" w:ascii="宋体" w:hAnsi="宋体" w:cs="宋体"/>
          <w:color w:val="000000" w:themeColor="text1"/>
          <w:sz w:val="24"/>
          <w:szCs w:val="24"/>
          <w:highlight w:val="none"/>
          <w14:textFill>
            <w14:solidFill>
              <w14:schemeClr w14:val="tx1"/>
            </w14:solidFill>
          </w14:textFill>
        </w:rPr>
        <w:t>、政府采购严重违法失信行为记录名单（须提供网络截图加盖公章）</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cs="宋体"/>
          <w:color w:val="000000" w:themeColor="text1"/>
          <w:sz w:val="24"/>
          <w:szCs w:val="24"/>
          <w:highlight w:val="none"/>
          <w:lang w:val="zh-CN"/>
          <w14:textFill>
            <w14:solidFill>
              <w14:schemeClr w14:val="tx1"/>
            </w14:solidFill>
          </w14:textFill>
        </w:rPr>
        <w:t>近年（2023年度）财务审计报告或财务报表（含资产负债表、现金流量表、利润表），新成立企业提供当年验资报告或银行出具的公司资信证明</w:t>
      </w:r>
      <w:r>
        <w:rPr>
          <w:rFonts w:hint="eastAsia" w:ascii="宋体" w:hAnsi="宋体" w:cs="宋体"/>
          <w:color w:val="000000" w:themeColor="text1"/>
          <w:sz w:val="24"/>
          <w:szCs w:val="24"/>
          <w:highlight w:val="none"/>
          <w14:textFill>
            <w14:solidFill>
              <w14:schemeClr w14:val="tx1"/>
            </w14:solidFill>
          </w14:textFill>
        </w:rPr>
        <w:t>；</w:t>
      </w:r>
    </w:p>
    <w:p w14:paraId="50722ECB">
      <w:pPr>
        <w:spacing w:line="460" w:lineRule="exact"/>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（3）具有履行合同所必需的设备和专业技术能力：</w:t>
      </w:r>
      <w:r>
        <w:rPr>
          <w:rFonts w:hint="eastAsia"/>
          <w:b/>
          <w:bCs/>
          <w:color w:val="000000" w:themeColor="text1"/>
          <w:sz w:val="24"/>
          <w:szCs w:val="24"/>
          <w:highlight w:val="none"/>
          <w:lang w:val="en-US" w:eastAsia="zh-CN"/>
          <w14:textFill>
            <w14:solidFill>
              <w14:schemeClr w14:val="tx1"/>
            </w14:solidFill>
          </w14:textFill>
        </w:rPr>
        <w:t>供应商须具有保证服务顺利实施完成的人员和专业技术能力条件，投标人拟派出的项目负责人须具备土壤学专业背景（土壤农化、农业资源利用、地理信息系统类、测绘类、测量类、遥感类、地质类、地质实验、土地资源管理、农业区划发展等）相关专业高级工程师（含）及以上职称</w:t>
      </w:r>
      <w:r>
        <w:rPr>
          <w:rFonts w:hint="eastAsia" w:ascii="宋体" w:hAnsi="宋体" w:cs="宋体"/>
          <w:color w:val="000000" w:themeColor="text1"/>
          <w:sz w:val="24"/>
          <w:szCs w:val="24"/>
          <w:highlight w:val="none"/>
          <w14:textFill>
            <w14:solidFill>
              <w14:schemeClr w14:val="tx1"/>
            </w14:solidFill>
          </w14:textFill>
        </w:rPr>
        <w:t>；</w:t>
      </w:r>
    </w:p>
    <w:p w14:paraId="11504CC4">
      <w:pPr>
        <w:spacing w:line="460" w:lineRule="exact"/>
        <w:ind w:firstLine="480" w:firstLineChars="2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cs="宋体"/>
          <w:color w:val="000000" w:themeColor="text1"/>
          <w:sz w:val="24"/>
          <w:szCs w:val="24"/>
          <w:highlight w:val="none"/>
          <w14:textFill>
            <w14:solidFill>
              <w14:schemeClr w14:val="tx1"/>
            </w14:solidFill>
          </w14:textFill>
        </w:rPr>
        <w:t>4</w:t>
      </w:r>
      <w:r>
        <w:rPr>
          <w:rFonts w:hint="eastAsia" w:ascii="宋体" w:hAnsi="宋体" w:cs="宋体"/>
          <w:color w:val="000000" w:themeColor="text1"/>
          <w:sz w:val="24"/>
          <w:szCs w:val="24"/>
          <w:highlight w:val="none"/>
          <w:lang w:val="zh-CN"/>
          <w14:textFill>
            <w14:solidFill>
              <w14:schemeClr w14:val="tx1"/>
            </w14:solidFill>
          </w14:textFill>
        </w:rPr>
        <w:t>）有依法缴纳税收和社会保障资金的良好记录：</w:t>
      </w:r>
      <w:r>
        <w:rPr>
          <w:rFonts w:hint="eastAsia" w:ascii="宋体" w:hAnsi="宋体" w:cs="宋体"/>
          <w:color w:val="000000" w:themeColor="text1"/>
          <w:sz w:val="24"/>
          <w:szCs w:val="24"/>
          <w:highlight w:val="none"/>
          <w:lang w:eastAsia="zh-CN"/>
          <w14:textFill>
            <w14:solidFill>
              <w14:schemeClr w14:val="tx1"/>
            </w14:solidFill>
          </w14:textFill>
        </w:rPr>
        <w:t>投标人须提供投标截止日期前六个月内任意一个月的依法缴纳税收和社会保障资金相关证明材料</w:t>
      </w:r>
      <w:r>
        <w:rPr>
          <w:rFonts w:hint="eastAsia" w:ascii="宋体" w:hAnsi="宋体" w:cs="宋体"/>
          <w:color w:val="000000" w:themeColor="text1"/>
          <w:sz w:val="24"/>
          <w:szCs w:val="24"/>
          <w:highlight w:val="none"/>
          <w:lang w:val="zh-CN"/>
          <w14:textFill>
            <w14:solidFill>
              <w14:schemeClr w14:val="tx1"/>
            </w14:solidFill>
          </w14:textFill>
        </w:rPr>
        <w:t>；</w:t>
      </w:r>
    </w:p>
    <w:p w14:paraId="4D54FA56">
      <w:pPr>
        <w:spacing w:line="460" w:lineRule="exact"/>
        <w:ind w:firstLine="480" w:firstLineChars="2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（5）参加政府采购活动前三年内，在经营活动中没有重大违法记录；</w:t>
      </w:r>
    </w:p>
    <w:p w14:paraId="48567EAF">
      <w:pPr>
        <w:spacing w:line="460" w:lineRule="exact"/>
        <w:ind w:firstLine="480" w:firstLineChars="2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cs="宋体"/>
          <w:color w:val="000000" w:themeColor="text1"/>
          <w:sz w:val="24"/>
          <w:szCs w:val="24"/>
          <w:highlight w:val="none"/>
          <w14:textFill>
            <w14:solidFill>
              <w14:schemeClr w14:val="tx1"/>
            </w14:solidFill>
          </w14:textFill>
        </w:rPr>
        <w:t>6</w:t>
      </w:r>
      <w:r>
        <w:rPr>
          <w:rFonts w:hint="eastAsia" w:ascii="宋体" w:hAnsi="宋体" w:cs="宋体"/>
          <w:color w:val="000000" w:themeColor="text1"/>
          <w:sz w:val="24"/>
          <w:szCs w:val="24"/>
          <w:highlight w:val="none"/>
          <w:lang w:val="zh-CN"/>
          <w14:textFill>
            <w14:solidFill>
              <w14:schemeClr w14:val="tx1"/>
            </w14:solidFill>
          </w14:textFill>
        </w:rPr>
        <w:t>）拒绝列入政府取消投标资格记录期间的企业或个人投标；</w:t>
      </w:r>
    </w:p>
    <w:p w14:paraId="653F4B17">
      <w:pPr>
        <w:spacing w:line="460" w:lineRule="exact"/>
        <w:ind w:firstLine="480" w:firstLineChars="200"/>
        <w:rPr>
          <w:rFonts w:ascii="宋体" w:hAnsi="宋体" w:cs="宋体"/>
          <w:color w:val="000000" w:themeColor="text1"/>
          <w:sz w:val="24"/>
          <w:szCs w:val="24"/>
          <w:highlight w:val="none"/>
          <w14:textFill>
            <w14:solidFill>
              <w14:schemeClr w14:val="tx1"/>
            </w14:solidFill>
          </w14:textFill>
        </w:rPr>
      </w:pPr>
      <w:bookmarkStart w:id="17" w:name="bookmark26"/>
      <w:bookmarkStart w:id="18" w:name="bookmark27"/>
      <w:r>
        <w:rPr>
          <w:rFonts w:hint="eastAsia" w:ascii="宋体" w:hAnsi="宋体" w:cs="宋体"/>
          <w:color w:val="000000" w:themeColor="text1"/>
          <w:sz w:val="24"/>
          <w:szCs w:val="24"/>
          <w:highlight w:val="none"/>
          <w14:textFill>
            <w14:solidFill>
              <w14:schemeClr w14:val="tx1"/>
            </w14:solidFill>
          </w14:textFill>
        </w:rPr>
        <w:t>（</w:t>
      </w:r>
      <w:bookmarkEnd w:id="17"/>
      <w:r>
        <w:rPr>
          <w:rFonts w:hint="eastAsia" w:ascii="宋体" w:hAnsi="宋体" w:cs="宋体"/>
          <w:color w:val="000000" w:themeColor="text1"/>
          <w:sz w:val="24"/>
          <w:szCs w:val="24"/>
          <w:highlight w:val="none"/>
          <w14:textFill>
            <w14:solidFill>
              <w14:schemeClr w14:val="tx1"/>
            </w14:solidFill>
          </w14:textFill>
        </w:rPr>
        <w:t>7）本项目中标人不允许转包、拆包；</w:t>
      </w:r>
    </w:p>
    <w:p w14:paraId="3DF4B67D">
      <w:pPr>
        <w:spacing w:line="460" w:lineRule="exact"/>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w:t>
      </w:r>
      <w:bookmarkEnd w:id="18"/>
      <w:r>
        <w:rPr>
          <w:rFonts w:hint="eastAsia" w:ascii="宋体" w:hAnsi="宋体" w:cs="宋体"/>
          <w:color w:val="000000" w:themeColor="text1"/>
          <w:sz w:val="24"/>
          <w:szCs w:val="24"/>
          <w:highlight w:val="none"/>
          <w14:textFill>
            <w14:solidFill>
              <w14:schemeClr w14:val="tx1"/>
            </w14:solidFill>
          </w14:textFill>
        </w:rPr>
        <w:t>8）企业名称不同但法定代表人为同一个自然人的两个或者两个以上的投标人不得参加同一采购项目的投标；单位负责人为同一人或者存在控股、管理关系的不同单位，不得参加同一标段投标或者未划分标段的同一招标项目投标。如果出现上述情况，相关投标人的投标均将被拒绝；</w:t>
      </w:r>
    </w:p>
    <w:p w14:paraId="7E2D0C65">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000000" w:themeColor="text1"/>
          <w:sz w:val="24"/>
          <w:szCs w:val="24"/>
          <w:highlight w:val="none"/>
          <w14:textFill>
            <w14:solidFill>
              <w14:schemeClr w14:val="tx1"/>
            </w14:solidFill>
          </w14:textFill>
        </w:rPr>
        <w:t>（9）法律、行政法规规定的其他条件</w:t>
      </w:r>
      <w:r>
        <w:rPr>
          <w:rFonts w:hint="eastAsia" w:ascii="宋体" w:hAnsi="宋体" w:cs="宋体"/>
          <w:color w:val="auto"/>
          <w:sz w:val="24"/>
          <w:szCs w:val="24"/>
          <w:highlight w:val="none"/>
          <w:lang w:val="en-US" w:eastAsia="zh-CN"/>
        </w:rPr>
        <w:t>。</w:t>
      </w:r>
    </w:p>
    <w:p w14:paraId="052B8DE6">
      <w:pPr>
        <w:autoSpaceDE w:val="0"/>
        <w:autoSpaceDN w:val="0"/>
        <w:adjustRightInd w:val="0"/>
        <w:spacing w:line="460" w:lineRule="exact"/>
        <w:jc w:val="left"/>
        <w:outlineLvl w:val="1"/>
        <w:rPr>
          <w:rFonts w:ascii="宋体" w:hAnsi="宋体" w:cs="宋体"/>
          <w:color w:val="000000" w:themeColor="text1"/>
          <w:sz w:val="24"/>
          <w:szCs w:val="24"/>
          <w:highlight w:val="none"/>
          <w:lang w:val="zh-CN"/>
          <w14:textFill>
            <w14:solidFill>
              <w14:schemeClr w14:val="tx1"/>
            </w14:solidFill>
          </w14:textFill>
        </w:rPr>
      </w:pPr>
      <w:bookmarkStart w:id="19" w:name="_Toc4631"/>
      <w:r>
        <w:rPr>
          <w:rFonts w:hint="eastAsia" w:ascii="宋体" w:hAnsi="宋体" w:cs="宋体"/>
          <w:b/>
          <w:bCs/>
          <w:color w:val="000000" w:themeColor="text1"/>
          <w:sz w:val="24"/>
          <w:szCs w:val="24"/>
          <w:highlight w:val="none"/>
          <w:lang w:val="zh-CN"/>
          <w14:textFill>
            <w14:solidFill>
              <w14:schemeClr w14:val="tx1"/>
            </w14:solidFill>
          </w14:textFill>
        </w:rPr>
        <w:t>三、获取采购文件</w:t>
      </w:r>
      <w:bookmarkEnd w:id="19"/>
    </w:p>
    <w:p w14:paraId="53457EAA">
      <w:pPr>
        <w:tabs>
          <w:tab w:val="left" w:pos="-3675"/>
        </w:tabs>
        <w:autoSpaceDE w:val="0"/>
        <w:autoSpaceDN w:val="0"/>
        <w:adjustRightInd w:val="0"/>
        <w:spacing w:line="460" w:lineRule="exact"/>
        <w:ind w:right="97" w:rightChars="46" w:firstLine="501" w:firstLineChars="209"/>
        <w:jc w:val="lef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1.时间：2025</w:t>
      </w:r>
      <w:r>
        <w:rPr>
          <w:rFonts w:hint="eastAsia" w:ascii="宋体" w:hAnsi="宋体" w:cs="宋体"/>
          <w:color w:val="000000" w:themeColor="text1"/>
          <w:sz w:val="24"/>
          <w:szCs w:val="24"/>
          <w:highlight w:val="none"/>
          <w:lang w:val="en-US" w:eastAsia="zh-CN"/>
          <w14:textFill>
            <w14:solidFill>
              <w14:schemeClr w14:val="tx1"/>
            </w14:solidFill>
          </w14:textFill>
        </w:rPr>
        <w:t>年4</w:t>
      </w:r>
      <w:r>
        <w:rPr>
          <w:rFonts w:hint="eastAsia" w:ascii="宋体" w:hAnsi="宋体" w:cs="宋体"/>
          <w:color w:val="000000" w:themeColor="text1"/>
          <w:sz w:val="24"/>
          <w:szCs w:val="24"/>
          <w:highlight w:val="none"/>
          <w:lang w:val="zh-CN"/>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7</w:t>
      </w:r>
      <w:r>
        <w:rPr>
          <w:rFonts w:hint="eastAsia" w:ascii="宋体" w:hAnsi="宋体" w:cs="宋体"/>
          <w:color w:val="000000" w:themeColor="text1"/>
          <w:sz w:val="24"/>
          <w:szCs w:val="24"/>
          <w:highlight w:val="none"/>
          <w:lang w:val="zh-CN"/>
          <w14:textFill>
            <w14:solidFill>
              <w14:schemeClr w14:val="tx1"/>
            </w14:solidFill>
          </w14:textFill>
        </w:rPr>
        <w:t>日至2025</w:t>
      </w:r>
      <w:r>
        <w:rPr>
          <w:rFonts w:hint="eastAsia" w:ascii="宋体" w:hAnsi="宋体" w:cs="宋体"/>
          <w:color w:val="000000" w:themeColor="text1"/>
          <w:sz w:val="24"/>
          <w:szCs w:val="24"/>
          <w:highlight w:val="none"/>
          <w:lang w:val="en-US" w:eastAsia="zh-CN"/>
          <w14:textFill>
            <w14:solidFill>
              <w14:schemeClr w14:val="tx1"/>
            </w14:solidFill>
          </w14:textFill>
        </w:rPr>
        <w:t>年4</w:t>
      </w:r>
      <w:r>
        <w:rPr>
          <w:rFonts w:hint="eastAsia" w:ascii="宋体" w:hAnsi="宋体" w:cs="宋体"/>
          <w:color w:val="000000" w:themeColor="text1"/>
          <w:sz w:val="24"/>
          <w:szCs w:val="24"/>
          <w:highlight w:val="none"/>
          <w:lang w:val="zh-CN"/>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11</w:t>
      </w:r>
      <w:r>
        <w:rPr>
          <w:rFonts w:hint="eastAsia" w:ascii="宋体" w:hAnsi="宋体" w:cs="宋体"/>
          <w:color w:val="000000" w:themeColor="text1"/>
          <w:sz w:val="24"/>
          <w:szCs w:val="24"/>
          <w:highlight w:val="none"/>
          <w:lang w:val="zh-CN"/>
          <w14:textFill>
            <w14:solidFill>
              <w14:schemeClr w14:val="tx1"/>
            </w14:solidFill>
          </w14:textFill>
        </w:rPr>
        <w:t>日，每日上午</w:t>
      </w:r>
      <w:r>
        <w:rPr>
          <w:rFonts w:hint="eastAsia" w:ascii="宋体" w:hAnsi="宋体" w:cs="宋体"/>
          <w:color w:val="000000" w:themeColor="text1"/>
          <w:sz w:val="24"/>
          <w:szCs w:val="24"/>
          <w:highlight w:val="none"/>
          <w14:textFill>
            <w14:solidFill>
              <w14:schemeClr w14:val="tx1"/>
            </w14:solidFill>
          </w14:textFill>
        </w:rPr>
        <w:t>9</w:t>
      </w: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cs="宋体"/>
          <w:color w:val="000000" w:themeColor="text1"/>
          <w:sz w:val="24"/>
          <w:szCs w:val="24"/>
          <w:highlight w:val="none"/>
          <w14:textFill>
            <w14:solidFill>
              <w14:schemeClr w14:val="tx1"/>
            </w14:solidFill>
          </w14:textFill>
        </w:rPr>
        <w:t>00</w:t>
      </w:r>
      <w:r>
        <w:rPr>
          <w:rFonts w:hint="eastAsia" w:ascii="宋体" w:hAnsi="宋体" w:cs="宋体"/>
          <w:color w:val="000000" w:themeColor="text1"/>
          <w:sz w:val="24"/>
          <w:szCs w:val="24"/>
          <w:highlight w:val="none"/>
          <w:lang w:val="zh-CN"/>
          <w14:textFill>
            <w14:solidFill>
              <w14:schemeClr w14:val="tx1"/>
            </w14:solidFill>
          </w14:textFill>
        </w:rPr>
        <w:t>至11:</w:t>
      </w:r>
      <w:r>
        <w:rPr>
          <w:rFonts w:hint="eastAsia" w:ascii="宋体" w:hAnsi="宋体" w:cs="宋体"/>
          <w:color w:val="000000" w:themeColor="text1"/>
          <w:sz w:val="24"/>
          <w:szCs w:val="24"/>
          <w:highlight w:val="none"/>
          <w14:textFill>
            <w14:solidFill>
              <w14:schemeClr w14:val="tx1"/>
            </w14:solidFill>
          </w14:textFill>
        </w:rPr>
        <w:t>3</w:t>
      </w:r>
      <w:r>
        <w:rPr>
          <w:rFonts w:hint="eastAsia" w:ascii="宋体" w:hAnsi="宋体" w:cs="宋体"/>
          <w:color w:val="000000" w:themeColor="text1"/>
          <w:sz w:val="24"/>
          <w:szCs w:val="24"/>
          <w:highlight w:val="none"/>
          <w:lang w:val="zh-CN"/>
          <w14:textFill>
            <w14:solidFill>
              <w14:schemeClr w14:val="tx1"/>
            </w14:solidFill>
          </w14:textFill>
        </w:rPr>
        <w:t>0，下午13:30至16:00(法定公休日、法定节假日除外)(北京时间)。</w:t>
      </w:r>
    </w:p>
    <w:p w14:paraId="49F154AF">
      <w:pPr>
        <w:tabs>
          <w:tab w:val="left" w:pos="-3675"/>
        </w:tabs>
        <w:autoSpaceDE w:val="0"/>
        <w:autoSpaceDN w:val="0"/>
        <w:adjustRightInd w:val="0"/>
        <w:spacing w:line="460" w:lineRule="exact"/>
        <w:ind w:right="97" w:rightChars="46" w:firstLine="501" w:firstLineChars="209"/>
        <w:jc w:val="left"/>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2.地点：</w:t>
      </w:r>
      <w:r>
        <w:rPr>
          <w:rFonts w:hint="eastAsia" w:ascii="宋体" w:hAnsi="宋体" w:cs="宋体"/>
          <w:color w:val="000000" w:themeColor="text1"/>
          <w:sz w:val="24"/>
          <w:szCs w:val="24"/>
          <w:highlight w:val="none"/>
          <w:lang w:val="en-US" w:eastAsia="zh-CN"/>
          <w14:textFill>
            <w14:solidFill>
              <w14:schemeClr w14:val="tx1"/>
            </w14:solidFill>
          </w14:textFill>
        </w:rPr>
        <w:t>在“政采云”平台（http:// www.zcygov.cn）自行下载招标文件</w:t>
      </w:r>
      <w:r>
        <w:rPr>
          <w:rFonts w:hint="eastAsia" w:ascii="宋体" w:hAnsi="宋体" w:cs="宋体"/>
          <w:color w:val="000000" w:themeColor="text1"/>
          <w:sz w:val="24"/>
          <w:szCs w:val="24"/>
          <w:highlight w:val="none"/>
          <w14:textFill>
            <w14:solidFill>
              <w14:schemeClr w14:val="tx1"/>
            </w14:solidFill>
          </w14:textFill>
        </w:rPr>
        <w:t>。</w:t>
      </w:r>
    </w:p>
    <w:p w14:paraId="334255AC">
      <w:pPr>
        <w:tabs>
          <w:tab w:val="left" w:pos="-3675"/>
        </w:tabs>
        <w:autoSpaceDE w:val="0"/>
        <w:autoSpaceDN w:val="0"/>
        <w:adjustRightInd w:val="0"/>
        <w:spacing w:line="460" w:lineRule="exact"/>
        <w:ind w:right="97" w:rightChars="46" w:firstLine="501" w:firstLineChars="209"/>
        <w:jc w:val="left"/>
        <w:rPr>
          <w:rFonts w:hint="eastAsia"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3.方式：</w:t>
      </w:r>
      <w:r>
        <w:rPr>
          <w:rFonts w:hint="eastAsia" w:ascii="宋体" w:hAnsi="宋体" w:cs="宋体"/>
          <w:color w:val="000000" w:themeColor="text1"/>
          <w:sz w:val="24"/>
          <w:szCs w:val="24"/>
          <w:highlight w:val="none"/>
          <w:lang w:val="en-US" w:eastAsia="zh-CN"/>
          <w14:textFill>
            <w14:solidFill>
              <w14:schemeClr w14:val="tx1"/>
            </w14:solidFill>
          </w14:textFill>
        </w:rPr>
        <w:t>凡有意投标者，应当注册成为“政采云”平台供应商。凡已注册的供应商，按照授予的操作权限自行在“政采云”平台（http：//www.zcygov.cn）（操作路径：登录“政采云”平台-进入我的工作台-项目采购-获取采购文件-右上角搜索找到本项目-点击“申请获取采购文件”）按采购包下载采购文件并点击下载确认参加本项目采购招标。具体注册及下载采购文件方法请访问“政采云”平台查询相关信息。未进行网上注册的供应商将无法参加本次招标，其他途径获取的招标文件开标时一律按无效投标处理</w:t>
      </w:r>
      <w:r>
        <w:rPr>
          <w:rFonts w:hint="eastAsia" w:ascii="宋体" w:hAnsi="宋体" w:cs="宋体"/>
          <w:color w:val="000000" w:themeColor="text1"/>
          <w:sz w:val="24"/>
          <w:szCs w:val="24"/>
          <w:highlight w:val="none"/>
          <w14:textFill>
            <w14:solidFill>
              <w14:schemeClr w14:val="tx1"/>
            </w14:solidFill>
          </w14:textFill>
        </w:rPr>
        <w:t>。</w:t>
      </w:r>
    </w:p>
    <w:p w14:paraId="7D1B4D70">
      <w:pPr>
        <w:tabs>
          <w:tab w:val="left" w:pos="-3675"/>
        </w:tabs>
        <w:autoSpaceDE w:val="0"/>
        <w:autoSpaceDN w:val="0"/>
        <w:adjustRightInd w:val="0"/>
        <w:spacing w:line="460" w:lineRule="exact"/>
        <w:ind w:right="97" w:rightChars="46" w:firstLine="501" w:firstLineChars="209"/>
        <w:jc w:val="lef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4.售价：</w:t>
      </w:r>
      <w:r>
        <w:rPr>
          <w:rFonts w:hint="eastAsia" w:ascii="宋体" w:hAnsi="宋体" w:cs="宋体"/>
          <w:color w:val="000000" w:themeColor="text1"/>
          <w:sz w:val="24"/>
          <w:szCs w:val="24"/>
          <w:highlight w:val="none"/>
          <w:lang w:val="en-US" w:eastAsia="zh-CN"/>
          <w14:textFill>
            <w14:solidFill>
              <w14:schemeClr w14:val="tx1"/>
            </w14:solidFill>
          </w14:textFill>
        </w:rPr>
        <w:t>0元</w:t>
      </w:r>
      <w:r>
        <w:rPr>
          <w:rFonts w:hint="eastAsia" w:ascii="宋体" w:hAnsi="宋体" w:cs="宋体"/>
          <w:color w:val="000000" w:themeColor="text1"/>
          <w:sz w:val="24"/>
          <w:szCs w:val="24"/>
          <w:highlight w:val="none"/>
          <w:lang w:val="zh-CN"/>
          <w14:textFill>
            <w14:solidFill>
              <w14:schemeClr w14:val="tx1"/>
            </w14:solidFill>
          </w14:textFill>
        </w:rPr>
        <w:t>。</w:t>
      </w:r>
    </w:p>
    <w:p w14:paraId="07F8E184">
      <w:pPr>
        <w:keepNext w:val="0"/>
        <w:keepLines w:val="0"/>
        <w:pageBreakBefore w:val="0"/>
        <w:widowControl w:val="0"/>
        <w:kinsoku/>
        <w:wordWrap/>
        <w:overflowPunct/>
        <w:topLinePunct w:val="0"/>
        <w:autoSpaceDE w:val="0"/>
        <w:autoSpaceDN w:val="0"/>
        <w:bidi w:val="0"/>
        <w:adjustRightInd w:val="0"/>
        <w:snapToGrid/>
        <w:spacing w:line="460" w:lineRule="exact"/>
        <w:jc w:val="left"/>
        <w:textAlignment w:val="auto"/>
        <w:outlineLvl w:val="1"/>
        <w:rPr>
          <w:rFonts w:ascii="宋体" w:hAnsi="宋体" w:cs="宋体"/>
          <w:b/>
          <w:bCs/>
          <w:color w:val="auto"/>
          <w:sz w:val="24"/>
          <w:szCs w:val="24"/>
          <w:highlight w:val="none"/>
          <w:lang w:val="zh-CN"/>
        </w:rPr>
      </w:pPr>
      <w:bookmarkStart w:id="20" w:name="_Toc12118"/>
      <w:bookmarkStart w:id="21" w:name="_Toc10215"/>
      <w:r>
        <w:rPr>
          <w:rFonts w:hint="eastAsia" w:ascii="宋体" w:hAnsi="宋体" w:cs="宋体"/>
          <w:b/>
          <w:bCs/>
          <w:color w:val="auto"/>
          <w:sz w:val="24"/>
          <w:szCs w:val="24"/>
          <w:highlight w:val="none"/>
          <w:lang w:val="zh-CN"/>
        </w:rPr>
        <w:t>四、响应文件提交</w:t>
      </w:r>
      <w:bookmarkEnd w:id="20"/>
      <w:bookmarkEnd w:id="21"/>
    </w:p>
    <w:p w14:paraId="4D92F504">
      <w:pPr>
        <w:keepNext w:val="0"/>
        <w:keepLines w:val="0"/>
        <w:pageBreakBefore w:val="0"/>
        <w:widowControl w:val="0"/>
        <w:tabs>
          <w:tab w:val="left" w:pos="-3675"/>
        </w:tabs>
        <w:kinsoku/>
        <w:wordWrap/>
        <w:overflowPunct/>
        <w:topLinePunct w:val="0"/>
        <w:autoSpaceDE w:val="0"/>
        <w:autoSpaceDN w:val="0"/>
        <w:bidi w:val="0"/>
        <w:adjustRightInd w:val="0"/>
        <w:snapToGrid/>
        <w:spacing w:line="460" w:lineRule="exact"/>
        <w:ind w:left="0" w:leftChars="0" w:right="97" w:rightChars="46" w:firstLine="739" w:firstLineChars="308"/>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1.截止时间：</w:t>
      </w:r>
      <w:r>
        <w:rPr>
          <w:rFonts w:hint="eastAsia" w:ascii="宋体" w:hAnsi="宋体" w:cs="宋体"/>
          <w:color w:val="auto"/>
          <w:sz w:val="24"/>
          <w:szCs w:val="24"/>
          <w:highlight w:val="none"/>
          <w:lang w:val="zh-CN" w:eastAsia="zh-CN"/>
        </w:rPr>
        <w:t>2025年4月18日，上午9时00分</w:t>
      </w:r>
      <w:r>
        <w:rPr>
          <w:rFonts w:hint="eastAsia" w:ascii="宋体" w:hAnsi="宋体" w:eastAsia="宋体" w:cs="宋体"/>
          <w:color w:val="auto"/>
          <w:sz w:val="24"/>
          <w:szCs w:val="24"/>
          <w:highlight w:val="none"/>
          <w:lang w:val="zh-CN" w:eastAsia="zh-CN"/>
        </w:rPr>
        <w:t>（北京时间）。</w:t>
      </w:r>
    </w:p>
    <w:p w14:paraId="7DEF087E">
      <w:pPr>
        <w:keepNext w:val="0"/>
        <w:keepLines w:val="0"/>
        <w:pageBreakBefore w:val="0"/>
        <w:widowControl w:val="0"/>
        <w:tabs>
          <w:tab w:val="left" w:pos="-3675"/>
        </w:tabs>
        <w:kinsoku/>
        <w:wordWrap/>
        <w:overflowPunct/>
        <w:topLinePunct w:val="0"/>
        <w:autoSpaceDE w:val="0"/>
        <w:autoSpaceDN w:val="0"/>
        <w:bidi w:val="0"/>
        <w:adjustRightInd w:val="0"/>
        <w:snapToGrid/>
        <w:spacing w:line="460" w:lineRule="exact"/>
        <w:ind w:left="0" w:leftChars="0" w:right="97" w:rightChars="46" w:firstLine="739" w:firstLineChars="308"/>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2.提交投标文件方式：本项目为全流程电子化项目，通过“政采云”平台（http：//www.zcygov.cn）实行在线电子投标，投标文件应加密并在提交截止时间前通过政府采购云平台在线提交。</w:t>
      </w:r>
    </w:p>
    <w:p w14:paraId="20629320">
      <w:pPr>
        <w:keepNext w:val="0"/>
        <w:keepLines w:val="0"/>
        <w:pageBreakBefore w:val="0"/>
        <w:widowControl w:val="0"/>
        <w:tabs>
          <w:tab w:val="left" w:pos="-3675"/>
        </w:tabs>
        <w:kinsoku/>
        <w:wordWrap/>
        <w:overflowPunct/>
        <w:topLinePunct w:val="0"/>
        <w:autoSpaceDE w:val="0"/>
        <w:autoSpaceDN w:val="0"/>
        <w:bidi w:val="0"/>
        <w:adjustRightInd w:val="0"/>
        <w:snapToGrid/>
        <w:spacing w:line="460" w:lineRule="exact"/>
        <w:ind w:left="0" w:leftChars="0" w:right="97" w:rightChars="46" w:firstLine="739" w:firstLineChars="308"/>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操作步骤：</w:t>
      </w:r>
    </w:p>
    <w:p w14:paraId="6B658A81">
      <w:pPr>
        <w:keepNext w:val="0"/>
        <w:keepLines w:val="0"/>
        <w:pageBreakBefore w:val="0"/>
        <w:widowControl w:val="0"/>
        <w:tabs>
          <w:tab w:val="left" w:pos="-3675"/>
        </w:tabs>
        <w:kinsoku/>
        <w:wordWrap/>
        <w:overflowPunct/>
        <w:topLinePunct w:val="0"/>
        <w:autoSpaceDE w:val="0"/>
        <w:autoSpaceDN w:val="0"/>
        <w:bidi w:val="0"/>
        <w:adjustRightInd w:val="0"/>
        <w:snapToGrid/>
        <w:spacing w:line="460" w:lineRule="exact"/>
        <w:ind w:right="97" w:rightChars="46" w:firstLine="480" w:firstLineChars="200"/>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1）未进行政采云注册并办理数字证书（CA认证）的供应商将无法参与本项目政府采购活动，潜在供应商应当在响应截止时间前，完成政采云平台上的CA数字证书办理及响应文件的提交。完成CA数字证书办理预计7日左右，建议各供应商抓紧时间办理。</w:t>
      </w:r>
    </w:p>
    <w:p w14:paraId="711AF7A1">
      <w:pPr>
        <w:keepNext w:val="0"/>
        <w:keepLines w:val="0"/>
        <w:pageBreakBefore w:val="0"/>
        <w:widowControl w:val="0"/>
        <w:tabs>
          <w:tab w:val="left" w:pos="-3675"/>
        </w:tabs>
        <w:kinsoku/>
        <w:wordWrap/>
        <w:overflowPunct/>
        <w:topLinePunct w:val="0"/>
        <w:autoSpaceDE w:val="0"/>
        <w:autoSpaceDN w:val="0"/>
        <w:bidi w:val="0"/>
        <w:adjustRightInd w:val="0"/>
        <w:snapToGrid/>
        <w:spacing w:line="460" w:lineRule="exact"/>
        <w:ind w:right="97" w:rightChars="46" w:firstLine="480" w:firstLineChars="200"/>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（2）为确保网上操作合法、有效和安全，请供应商确保在电子响应过程中能够对相关数据电文进行加密和使用电子签章，妥善保管CA数字证书并使用有效的CA数字证书参与整个采购活动。</w:t>
      </w:r>
    </w:p>
    <w:p w14:paraId="384383BF">
      <w:pPr>
        <w:keepNext w:val="0"/>
        <w:keepLines w:val="0"/>
        <w:pageBreakBefore w:val="0"/>
        <w:widowControl w:val="0"/>
        <w:tabs>
          <w:tab w:val="left" w:pos="-3675"/>
        </w:tabs>
        <w:kinsoku/>
        <w:wordWrap/>
        <w:overflowPunct/>
        <w:topLinePunct w:val="0"/>
        <w:autoSpaceDE w:val="0"/>
        <w:autoSpaceDN w:val="0"/>
        <w:bidi w:val="0"/>
        <w:adjustRightInd w:val="0"/>
        <w:snapToGrid/>
        <w:spacing w:line="460" w:lineRule="exact"/>
        <w:ind w:right="97" w:rightChars="46" w:firstLine="480" w:firstLineChars="200"/>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（3）若对项目采购电子交易系统操作有疑问，可登录政采云平台，点击右侧咨询小采获取采小蜜智能服务管家帮助或点击右侧帮助文档查看供应商指南或拨打政采云服务热线95763获取热线服务帮助。</w:t>
      </w:r>
    </w:p>
    <w:p w14:paraId="0BECF681">
      <w:pPr>
        <w:keepNext w:val="0"/>
        <w:keepLines w:val="0"/>
        <w:pageBreakBefore w:val="0"/>
        <w:widowControl w:val="0"/>
        <w:tabs>
          <w:tab w:val="left" w:pos="-3675"/>
        </w:tabs>
        <w:kinsoku/>
        <w:wordWrap/>
        <w:overflowPunct/>
        <w:topLinePunct w:val="0"/>
        <w:autoSpaceDE w:val="0"/>
        <w:autoSpaceDN w:val="0"/>
        <w:bidi w:val="0"/>
        <w:adjustRightInd w:val="0"/>
        <w:snapToGrid/>
        <w:spacing w:line="460" w:lineRule="exact"/>
        <w:ind w:right="97" w:rightChars="46" w:firstLine="480" w:firstLineChars="200"/>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（4）各供应商在投标截止前应确保成为政采云平台正式注册入库供应商，并完成CA数字证书申领。因未注册入库、未办理CA数字证书等原因造成无法投标或投标失败等后果由供应商自行承担</w:t>
      </w:r>
      <w:r>
        <w:rPr>
          <w:rFonts w:hint="eastAsia" w:ascii="宋体" w:hAnsi="宋体" w:eastAsia="宋体" w:cs="宋体"/>
          <w:color w:val="auto"/>
          <w:sz w:val="24"/>
          <w:szCs w:val="24"/>
          <w:highlight w:val="none"/>
          <w:lang w:val="en-US" w:eastAsia="zh-CN"/>
        </w:rPr>
        <w:t>。</w:t>
      </w:r>
    </w:p>
    <w:p w14:paraId="2754EADF">
      <w:pPr>
        <w:keepNext w:val="0"/>
        <w:keepLines w:val="0"/>
        <w:pageBreakBefore w:val="0"/>
        <w:widowControl w:val="0"/>
        <w:kinsoku/>
        <w:wordWrap/>
        <w:overflowPunct/>
        <w:topLinePunct w:val="0"/>
        <w:autoSpaceDE w:val="0"/>
        <w:autoSpaceDN w:val="0"/>
        <w:bidi w:val="0"/>
        <w:adjustRightInd w:val="0"/>
        <w:snapToGrid/>
        <w:spacing w:line="460" w:lineRule="exact"/>
        <w:jc w:val="left"/>
        <w:textAlignment w:val="auto"/>
        <w:outlineLvl w:val="1"/>
        <w:rPr>
          <w:rFonts w:hint="eastAsia" w:ascii="宋体" w:hAnsi="宋体" w:eastAsia="宋体" w:cs="宋体"/>
          <w:b/>
          <w:bCs/>
          <w:color w:val="auto"/>
          <w:sz w:val="24"/>
          <w:szCs w:val="24"/>
          <w:highlight w:val="none"/>
          <w:lang w:val="zh-CN"/>
        </w:rPr>
      </w:pPr>
      <w:bookmarkStart w:id="22" w:name="_Toc2395"/>
      <w:bookmarkStart w:id="23" w:name="_Toc17732"/>
      <w:r>
        <w:rPr>
          <w:rFonts w:hint="eastAsia" w:ascii="宋体" w:hAnsi="宋体" w:eastAsia="宋体" w:cs="宋体"/>
          <w:b/>
          <w:bCs/>
          <w:color w:val="auto"/>
          <w:sz w:val="24"/>
          <w:szCs w:val="24"/>
          <w:highlight w:val="none"/>
          <w:lang w:val="zh-CN"/>
        </w:rPr>
        <w:t>五、开启</w:t>
      </w:r>
      <w:bookmarkEnd w:id="22"/>
      <w:bookmarkEnd w:id="23"/>
    </w:p>
    <w:p w14:paraId="0A06BE8A">
      <w:pPr>
        <w:tabs>
          <w:tab w:val="left" w:pos="-3675"/>
        </w:tabs>
        <w:autoSpaceDE w:val="0"/>
        <w:autoSpaceDN w:val="0"/>
        <w:adjustRightInd w:val="0"/>
        <w:spacing w:line="460" w:lineRule="exact"/>
        <w:ind w:right="97" w:rightChars="46" w:firstLine="739" w:firstLineChars="308"/>
        <w:jc w:val="left"/>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1.时间：</w:t>
      </w:r>
      <w:r>
        <w:rPr>
          <w:rFonts w:hint="eastAsia" w:ascii="宋体" w:hAnsi="宋体" w:cs="宋体"/>
          <w:color w:val="auto"/>
          <w:sz w:val="24"/>
          <w:szCs w:val="24"/>
          <w:highlight w:val="none"/>
          <w:lang w:val="zh-CN" w:eastAsia="zh-CN"/>
        </w:rPr>
        <w:t>2025年4月18日，上午9时00分</w:t>
      </w:r>
      <w:r>
        <w:rPr>
          <w:rFonts w:hint="eastAsia" w:ascii="宋体" w:hAnsi="宋体" w:eastAsia="宋体" w:cs="宋体"/>
          <w:color w:val="auto"/>
          <w:sz w:val="24"/>
          <w:szCs w:val="24"/>
          <w:highlight w:val="none"/>
          <w:lang w:val="zh-CN" w:eastAsia="zh-CN"/>
        </w:rPr>
        <w:t>（北京时间）。</w:t>
      </w:r>
    </w:p>
    <w:p w14:paraId="748105A0">
      <w:pPr>
        <w:tabs>
          <w:tab w:val="left" w:pos="-3675"/>
        </w:tabs>
        <w:autoSpaceDE w:val="0"/>
        <w:autoSpaceDN w:val="0"/>
        <w:adjustRightInd w:val="0"/>
        <w:spacing w:line="460" w:lineRule="exact"/>
        <w:ind w:right="97" w:rightChars="46" w:firstLine="739" w:firstLineChars="308"/>
        <w:jc w:val="left"/>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2.开启（解密）方式：电子响应文件解密期限及方式：开启时间后30分钟内，由供应商持制作该电子响应文件的同一数字证书（CA锁）及电脑进行远程解密（各投标人开标前及网上开评标系统公布投标人名单前，不要提前进行远程解密），没有在规定时间内解密成功的，视为无效响应。</w:t>
      </w:r>
    </w:p>
    <w:p w14:paraId="26773853">
      <w:pPr>
        <w:tabs>
          <w:tab w:val="left" w:pos="-3675"/>
        </w:tabs>
        <w:autoSpaceDE w:val="0"/>
        <w:autoSpaceDN w:val="0"/>
        <w:adjustRightInd w:val="0"/>
        <w:spacing w:line="460" w:lineRule="exact"/>
        <w:ind w:right="97" w:rightChars="46" w:firstLine="739" w:firstLineChars="308"/>
        <w:jc w:val="left"/>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3.开启（解密）时间：2025年</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月</w:t>
      </w:r>
      <w:r>
        <w:rPr>
          <w:rFonts w:hint="eastAsia" w:ascii="宋体" w:hAnsi="宋体" w:cs="宋体"/>
          <w:color w:val="auto"/>
          <w:sz w:val="24"/>
          <w:szCs w:val="24"/>
          <w:highlight w:val="none"/>
          <w:lang w:val="en-US" w:eastAsia="zh-CN"/>
        </w:rPr>
        <w:t>18</w:t>
      </w:r>
      <w:r>
        <w:rPr>
          <w:rFonts w:hint="eastAsia" w:ascii="宋体" w:hAnsi="宋体" w:eastAsia="宋体" w:cs="宋体"/>
          <w:color w:val="auto"/>
          <w:sz w:val="24"/>
          <w:szCs w:val="24"/>
          <w:highlight w:val="none"/>
          <w:lang w:val="zh-CN" w:eastAsia="zh-CN"/>
        </w:rPr>
        <w:t>日，09时00分（北京时间）</w:t>
      </w:r>
    </w:p>
    <w:p w14:paraId="23B4A7FD">
      <w:pPr>
        <w:tabs>
          <w:tab w:val="left" w:pos="-3675"/>
        </w:tabs>
        <w:autoSpaceDE w:val="0"/>
        <w:autoSpaceDN w:val="0"/>
        <w:adjustRightInd w:val="0"/>
        <w:spacing w:line="460" w:lineRule="exact"/>
        <w:ind w:right="97" w:rightChars="46" w:firstLine="739" w:firstLineChars="308"/>
        <w:jc w:val="left"/>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地点:延边朝鲜族自治州公共资源交易中心（延边朝鲜族自治州、延吉市政务大厅6楼</w:t>
      </w:r>
      <w:r>
        <w:rPr>
          <w:rFonts w:hint="eastAsia" w:ascii="宋体" w:hAnsi="宋体" w:cs="宋体"/>
          <w:color w:val="auto"/>
          <w:sz w:val="24"/>
          <w:szCs w:val="24"/>
          <w:highlight w:val="none"/>
          <w:lang w:val="en-US" w:eastAsia="zh-CN"/>
        </w:rPr>
        <w:t>开标一室</w:t>
      </w:r>
      <w:r>
        <w:rPr>
          <w:rFonts w:hint="eastAsia" w:ascii="宋体" w:hAnsi="宋体" w:eastAsia="宋体" w:cs="宋体"/>
          <w:color w:val="auto"/>
          <w:sz w:val="24"/>
          <w:szCs w:val="24"/>
          <w:highlight w:val="none"/>
          <w:lang w:val="zh-CN" w:eastAsia="zh-CN"/>
        </w:rPr>
        <w:t>）</w:t>
      </w:r>
    </w:p>
    <w:p w14:paraId="486861A5">
      <w:pPr>
        <w:tabs>
          <w:tab w:val="left" w:pos="-3675"/>
        </w:tabs>
        <w:autoSpaceDE w:val="0"/>
        <w:autoSpaceDN w:val="0"/>
        <w:adjustRightInd w:val="0"/>
        <w:spacing w:line="460" w:lineRule="exact"/>
        <w:ind w:right="97" w:rightChars="46" w:firstLine="739" w:firstLineChars="308"/>
        <w:jc w:val="lef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auto"/>
          <w:sz w:val="24"/>
          <w:szCs w:val="24"/>
          <w:highlight w:val="none"/>
          <w:lang w:val="zh-CN" w:eastAsia="zh-CN"/>
        </w:rPr>
        <w:t>地址：吉林省延吉市光华路166－1号。</w:t>
      </w:r>
    </w:p>
    <w:p w14:paraId="7E905C7A">
      <w:pPr>
        <w:autoSpaceDE w:val="0"/>
        <w:autoSpaceDN w:val="0"/>
        <w:adjustRightInd w:val="0"/>
        <w:spacing w:line="460" w:lineRule="exact"/>
        <w:jc w:val="left"/>
        <w:outlineLvl w:val="1"/>
        <w:rPr>
          <w:rFonts w:ascii="宋体" w:hAnsi="宋体" w:cs="宋体"/>
          <w:b/>
          <w:bCs/>
          <w:color w:val="000000" w:themeColor="text1"/>
          <w:sz w:val="24"/>
          <w:szCs w:val="24"/>
          <w:highlight w:val="none"/>
          <w:lang w:val="zh-CN"/>
          <w14:textFill>
            <w14:solidFill>
              <w14:schemeClr w14:val="tx1"/>
            </w14:solidFill>
          </w14:textFill>
        </w:rPr>
      </w:pPr>
      <w:bookmarkStart w:id="24" w:name="_Toc20581"/>
      <w:r>
        <w:rPr>
          <w:rFonts w:hint="eastAsia" w:ascii="宋体" w:hAnsi="宋体" w:cs="宋体"/>
          <w:b/>
          <w:bCs/>
          <w:color w:val="000000" w:themeColor="text1"/>
          <w:sz w:val="24"/>
          <w:szCs w:val="24"/>
          <w:highlight w:val="none"/>
          <w:lang w:val="zh-CN"/>
          <w14:textFill>
            <w14:solidFill>
              <w14:schemeClr w14:val="tx1"/>
            </w14:solidFill>
          </w14:textFill>
        </w:rPr>
        <w:t>六、公告期限</w:t>
      </w:r>
      <w:bookmarkEnd w:id="24"/>
    </w:p>
    <w:p w14:paraId="1BACE4FF">
      <w:pPr>
        <w:autoSpaceDE w:val="0"/>
        <w:autoSpaceDN w:val="0"/>
        <w:adjustRightInd w:val="0"/>
        <w:spacing w:line="460" w:lineRule="exact"/>
        <w:ind w:firstLine="480" w:firstLineChars="200"/>
        <w:jc w:val="left"/>
        <w:rPr>
          <w:rFonts w:ascii="宋体" w:hAnsi="宋体" w:cs="宋体"/>
          <w:bCs/>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自本公告发出之日起5个工作日。</w:t>
      </w:r>
    </w:p>
    <w:p w14:paraId="2AAC06B6">
      <w:pPr>
        <w:autoSpaceDE w:val="0"/>
        <w:autoSpaceDN w:val="0"/>
        <w:adjustRightInd w:val="0"/>
        <w:spacing w:line="460" w:lineRule="exact"/>
        <w:jc w:val="left"/>
        <w:outlineLvl w:val="1"/>
        <w:rPr>
          <w:rFonts w:ascii="宋体" w:hAnsi="宋体" w:cs="宋体"/>
          <w:b/>
          <w:bCs/>
          <w:color w:val="000000" w:themeColor="text1"/>
          <w:sz w:val="24"/>
          <w:szCs w:val="24"/>
          <w:highlight w:val="none"/>
          <w:lang w:val="zh-CN"/>
          <w14:textFill>
            <w14:solidFill>
              <w14:schemeClr w14:val="tx1"/>
            </w14:solidFill>
          </w14:textFill>
        </w:rPr>
      </w:pPr>
      <w:bookmarkStart w:id="25" w:name="bookmark62"/>
      <w:bookmarkStart w:id="26" w:name="_Toc17835"/>
      <w:bookmarkStart w:id="27" w:name="bookmark60"/>
      <w:bookmarkStart w:id="28" w:name="bookmark61"/>
      <w:bookmarkStart w:id="29" w:name="_Toc18037"/>
      <w:r>
        <w:rPr>
          <w:rFonts w:hint="eastAsia" w:ascii="宋体" w:hAnsi="宋体" w:cs="宋体"/>
          <w:b/>
          <w:bCs/>
          <w:color w:val="000000" w:themeColor="text1"/>
          <w:sz w:val="24"/>
          <w:szCs w:val="24"/>
          <w:highlight w:val="none"/>
          <w:lang w:val="zh-CN"/>
          <w14:textFill>
            <w14:solidFill>
              <w14:schemeClr w14:val="tx1"/>
            </w14:solidFill>
          </w14:textFill>
        </w:rPr>
        <w:t>七、其他补充事宜</w:t>
      </w:r>
    </w:p>
    <w:p w14:paraId="23905459">
      <w:pPr>
        <w:tabs>
          <w:tab w:val="left" w:pos="-3675"/>
        </w:tabs>
        <w:autoSpaceDE w:val="0"/>
        <w:autoSpaceDN w:val="0"/>
        <w:adjustRightInd w:val="0"/>
        <w:spacing w:line="460" w:lineRule="exact"/>
        <w:ind w:right="97" w:rightChars="46" w:firstLine="480" w:firstLineChars="20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1.有效供应商不足法定数量时，采购人另行组织采购。</w:t>
      </w:r>
    </w:p>
    <w:p w14:paraId="60B3224B">
      <w:pPr>
        <w:tabs>
          <w:tab w:val="left" w:pos="-3675"/>
        </w:tabs>
        <w:autoSpaceDE w:val="0"/>
        <w:autoSpaceDN w:val="0"/>
        <w:adjustRightInd w:val="0"/>
        <w:spacing w:line="460" w:lineRule="exact"/>
        <w:ind w:right="97" w:rightChars="46" w:firstLine="480" w:firstLineChars="20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2.CA 办理方式：</w:t>
      </w:r>
    </w:p>
    <w:p w14:paraId="16592664">
      <w:pPr>
        <w:tabs>
          <w:tab w:val="left" w:pos="-3675"/>
        </w:tabs>
        <w:autoSpaceDE w:val="0"/>
        <w:autoSpaceDN w:val="0"/>
        <w:adjustRightInd w:val="0"/>
        <w:spacing w:line="460" w:lineRule="exact"/>
        <w:ind w:right="97" w:rightChars="46" w:firstLine="480" w:firstLineChars="20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（1）准备材料：①企业营业执照；② 法定代表人身份证；③经办人身份证；④数字证书申请表 (在获取响应文件附件处下载模板)；⑤授权委托书 (在获取响应文件附件处下载模板) 。</w:t>
      </w:r>
    </w:p>
    <w:p w14:paraId="14FA1C0C">
      <w:pPr>
        <w:tabs>
          <w:tab w:val="left" w:pos="-3675"/>
        </w:tabs>
        <w:autoSpaceDE w:val="0"/>
        <w:autoSpaceDN w:val="0"/>
        <w:adjustRightInd w:val="0"/>
        <w:spacing w:line="460" w:lineRule="exact"/>
        <w:ind w:right="97" w:rightChars="46" w:firstLine="480" w:firstLineChars="20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（2）办理流程：第一步：吉林省公共资源交易平台主体库注册：请先在主体库中注册、完善企业基本信息并上传企业相关资料 ，请进入以下链接进入供应商注册界面。http://139.215.214.77/PSPBidder/memberLogin；第二步：完成主体库注册的用户持以上材料联系软件公司现场或邮寄办理 CA 锁。</w:t>
      </w:r>
    </w:p>
    <w:p w14:paraId="1D195454">
      <w:pPr>
        <w:tabs>
          <w:tab w:val="left" w:pos="-3675"/>
        </w:tabs>
        <w:autoSpaceDE w:val="0"/>
        <w:autoSpaceDN w:val="0"/>
        <w:adjustRightInd w:val="0"/>
        <w:spacing w:line="460" w:lineRule="exact"/>
        <w:ind w:right="97" w:rightChars="46" w:firstLine="480" w:firstLineChars="20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（3）软件公司联系方式：安信CA 联系电话：0431-85177688；翔晟CA咨询电话：0431-88779428（长春）、15604331467（延边）。</w:t>
      </w:r>
    </w:p>
    <w:p w14:paraId="472EECBB">
      <w:pPr>
        <w:tabs>
          <w:tab w:val="left" w:pos="-3675"/>
        </w:tabs>
        <w:autoSpaceDE w:val="0"/>
        <w:autoSpaceDN w:val="0"/>
        <w:adjustRightInd w:val="0"/>
        <w:spacing w:line="460" w:lineRule="exact"/>
        <w:ind w:right="97" w:rightChars="46" w:firstLine="480" w:firstLineChars="20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（4）收到 CA 以后在“政采云”登陆界面，点击 CA 登录-CA 驱动下载-下载并安装政采云投标客户端和安信CA 驱动，账号绑定 CA 后才能进行响应文件制作。</w:t>
      </w:r>
    </w:p>
    <w:p w14:paraId="22BB1875">
      <w:pPr>
        <w:tabs>
          <w:tab w:val="left" w:pos="-3675"/>
        </w:tabs>
        <w:autoSpaceDE w:val="0"/>
        <w:autoSpaceDN w:val="0"/>
        <w:adjustRightInd w:val="0"/>
        <w:spacing w:line="460" w:lineRule="exact"/>
        <w:ind w:right="97" w:rightChars="46" w:firstLine="480" w:firstLineChars="20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（5）未进行网上注册并办理 CA 认证的供应商将无法参与本次采购活动。数字证书办理时限为3-5个工作日，供应商须自行考虑办理时间，由于供应商自身原因在开启前无法完成办理，后果自负。</w:t>
      </w:r>
    </w:p>
    <w:p w14:paraId="34FEFB5C">
      <w:pPr>
        <w:tabs>
          <w:tab w:val="left" w:pos="-3675"/>
        </w:tabs>
        <w:autoSpaceDE w:val="0"/>
        <w:autoSpaceDN w:val="0"/>
        <w:adjustRightInd w:val="0"/>
        <w:spacing w:line="460" w:lineRule="exact"/>
        <w:ind w:right="97" w:rightChars="46" w:firstLine="480" w:firstLineChars="200"/>
        <w:jc w:val="lef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4.本次采购公告同时在《中国采购与招标网》</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“政采云”平台（http:// www.zcygov.cn）、吉林省公共资源交易中心（吉林省政府采购中心）网站上发布</w:t>
      </w:r>
      <w:r>
        <w:rPr>
          <w:rFonts w:hint="eastAsia" w:ascii="宋体" w:hAnsi="宋体" w:cs="宋体"/>
          <w:color w:val="000000" w:themeColor="text1"/>
          <w:sz w:val="24"/>
          <w:szCs w:val="24"/>
          <w:highlight w:val="none"/>
          <w:lang w:val="zh-CN"/>
          <w14:textFill>
            <w14:solidFill>
              <w14:schemeClr w14:val="tx1"/>
            </w14:solidFill>
          </w14:textFill>
        </w:rPr>
        <w:t>。</w:t>
      </w:r>
    </w:p>
    <w:p w14:paraId="6823FE66">
      <w:pPr>
        <w:autoSpaceDE w:val="0"/>
        <w:autoSpaceDN w:val="0"/>
        <w:adjustRightInd w:val="0"/>
        <w:spacing w:line="460" w:lineRule="exact"/>
        <w:jc w:val="left"/>
        <w:outlineLvl w:val="1"/>
        <w:rPr>
          <w:rFonts w:ascii="宋体" w:hAnsi="宋体" w:cs="宋体"/>
          <w:b/>
          <w:bCs/>
          <w:color w:val="000000" w:themeColor="text1"/>
          <w:sz w:val="24"/>
          <w:szCs w:val="24"/>
          <w:highlight w:val="none"/>
          <w:lang w:val="zh-CN"/>
          <w14:textFill>
            <w14:solidFill>
              <w14:schemeClr w14:val="tx1"/>
            </w14:solidFill>
          </w14:textFill>
        </w:rPr>
      </w:pPr>
      <w:bookmarkStart w:id="30" w:name="_Toc25436"/>
      <w:r>
        <w:rPr>
          <w:rFonts w:hint="eastAsia" w:ascii="宋体" w:hAnsi="宋体" w:cs="宋体"/>
          <w:b/>
          <w:bCs/>
          <w:color w:val="000000" w:themeColor="text1"/>
          <w:sz w:val="24"/>
          <w:szCs w:val="24"/>
          <w:highlight w:val="none"/>
          <w:lang w:val="zh-CN"/>
          <w14:textFill>
            <w14:solidFill>
              <w14:schemeClr w14:val="tx1"/>
            </w14:solidFill>
          </w14:textFill>
        </w:rPr>
        <w:t>八、凡对本次采购提出询问，请按以下方式联系。</w:t>
      </w:r>
      <w:bookmarkEnd w:id="30"/>
    </w:p>
    <w:p w14:paraId="6D02FFFB">
      <w:pPr>
        <w:spacing w:line="460" w:lineRule="exact"/>
        <w:ind w:firstLine="480" w:firstLineChars="2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w:t>
      </w:r>
      <w:r>
        <w:rPr>
          <w:rFonts w:hint="eastAsia" w:ascii="宋体" w:hAnsi="宋体" w:cs="宋体"/>
          <w:color w:val="000000" w:themeColor="text1"/>
          <w:sz w:val="24"/>
          <w:szCs w:val="24"/>
          <w:highlight w:val="none"/>
          <w:lang w:val="zh-CN"/>
          <w14:textFill>
            <w14:solidFill>
              <w14:schemeClr w14:val="tx1"/>
            </w14:solidFill>
          </w14:textFill>
        </w:rPr>
        <w:t>.采购人信息</w:t>
      </w:r>
    </w:p>
    <w:p w14:paraId="0C00EB3E">
      <w:pPr>
        <w:spacing w:line="460" w:lineRule="exact"/>
        <w:ind w:firstLine="720" w:firstLineChars="3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名</w:t>
      </w:r>
      <w:r>
        <w:rPr>
          <w:rFonts w:hint="eastAsia"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称：</w:t>
      </w:r>
      <w:r>
        <w:rPr>
          <w:rFonts w:hint="eastAsia" w:ascii="宋体" w:hAnsi="宋体" w:cs="宋体"/>
          <w:color w:val="000000" w:themeColor="text1"/>
          <w:sz w:val="24"/>
          <w:szCs w:val="24"/>
          <w:highlight w:val="none"/>
          <w:lang w:eastAsia="zh-CN"/>
          <w14:textFill>
            <w14:solidFill>
              <w14:schemeClr w14:val="tx1"/>
            </w14:solidFill>
          </w14:textFill>
        </w:rPr>
        <w:t>延边朝鲜族自治州土壤肥料工作站</w:t>
      </w:r>
    </w:p>
    <w:p w14:paraId="0507B626">
      <w:pPr>
        <w:spacing w:line="460" w:lineRule="exact"/>
        <w:ind w:firstLine="720" w:firstLineChars="3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地    址：延边朝鲜族自治州延吉市天池路3418号</w:t>
      </w:r>
      <w:r>
        <w:rPr>
          <w:rFonts w:hint="eastAsia" w:ascii="宋体" w:hAnsi="宋体" w:cs="宋体"/>
          <w:color w:val="000000" w:themeColor="text1"/>
          <w:sz w:val="24"/>
          <w:szCs w:val="24"/>
          <w:highlight w:val="none"/>
          <w14:textFill>
            <w14:solidFill>
              <w14:schemeClr w14:val="tx1"/>
            </w14:solidFill>
          </w14:textFill>
        </w:rPr>
        <w:t xml:space="preserve"> </w:t>
      </w:r>
    </w:p>
    <w:p w14:paraId="15DED137">
      <w:pPr>
        <w:spacing w:line="460" w:lineRule="exact"/>
        <w:ind w:firstLine="720" w:firstLineChars="3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联 系 人：</w:t>
      </w:r>
      <w:r>
        <w:rPr>
          <w:rFonts w:hint="eastAsia" w:ascii="宋体" w:hAnsi="宋体" w:cs="宋体"/>
          <w:color w:val="000000" w:themeColor="text1"/>
          <w:sz w:val="24"/>
          <w:szCs w:val="24"/>
          <w:highlight w:val="none"/>
          <w:lang w:val="en-US" w:eastAsia="zh-CN"/>
          <w14:textFill>
            <w14:solidFill>
              <w14:schemeClr w14:val="tx1"/>
            </w14:solidFill>
          </w14:textFill>
        </w:rPr>
        <w:t>战美松</w:t>
      </w:r>
    </w:p>
    <w:p w14:paraId="2B981B57">
      <w:pPr>
        <w:spacing w:line="460" w:lineRule="exact"/>
        <w:ind w:firstLine="720" w:firstLineChars="300"/>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联系方式：</w:t>
      </w:r>
      <w:r>
        <w:rPr>
          <w:rFonts w:hint="eastAsia" w:ascii="宋体" w:hAnsi="宋体" w:cs="宋体"/>
          <w:color w:val="000000" w:themeColor="text1"/>
          <w:sz w:val="24"/>
          <w:szCs w:val="24"/>
          <w:highlight w:val="none"/>
          <w:lang w:val="en-US" w:eastAsia="zh-CN"/>
          <w14:textFill>
            <w14:solidFill>
              <w14:schemeClr w14:val="tx1"/>
            </w14:solidFill>
          </w14:textFill>
        </w:rPr>
        <w:t>0433-2260230</w:t>
      </w:r>
    </w:p>
    <w:p w14:paraId="3A15AC6F">
      <w:pPr>
        <w:spacing w:line="460" w:lineRule="exact"/>
        <w:ind w:firstLine="480" w:firstLineChars="2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2.</w:t>
      </w:r>
      <w:r>
        <w:rPr>
          <w:rFonts w:hint="eastAsia" w:ascii="宋体" w:hAnsi="宋体" w:cs="宋体"/>
          <w:color w:val="000000" w:themeColor="text1"/>
          <w:sz w:val="24"/>
          <w:szCs w:val="24"/>
          <w:highlight w:val="none"/>
          <w:lang w:val="zh-CN"/>
          <w14:textFill>
            <w14:solidFill>
              <w14:schemeClr w14:val="tx1"/>
            </w14:solidFill>
          </w14:textFill>
        </w:rPr>
        <w:t>采购代理机构信息</w:t>
      </w:r>
    </w:p>
    <w:p w14:paraId="4DC3E22D">
      <w:pPr>
        <w:spacing w:line="460" w:lineRule="exact"/>
        <w:ind w:firstLine="720" w:firstLineChars="300"/>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名</w:t>
      </w:r>
      <w:r>
        <w:rPr>
          <w:rFonts w:hint="eastAsia"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称：</w:t>
      </w:r>
      <w:r>
        <w:rPr>
          <w:rFonts w:hint="eastAsia" w:ascii="宋体" w:hAnsi="宋体" w:cs="宋体"/>
          <w:color w:val="000000" w:themeColor="text1"/>
          <w:sz w:val="24"/>
          <w:szCs w:val="24"/>
          <w:highlight w:val="none"/>
          <w:lang w:eastAsia="zh-CN"/>
          <w14:textFill>
            <w14:solidFill>
              <w14:schemeClr w14:val="tx1"/>
            </w14:solidFill>
          </w14:textFill>
        </w:rPr>
        <w:t>吉林省浩业工程咨询有限公司</w:t>
      </w:r>
    </w:p>
    <w:p w14:paraId="1CCE43D3">
      <w:pPr>
        <w:spacing w:line="460" w:lineRule="exact"/>
        <w:ind w:firstLine="720" w:firstLineChars="3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地</w:t>
      </w:r>
      <w:r>
        <w:rPr>
          <w:rFonts w:hint="eastAsia"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址：延吉市长白山东路286号1001</w:t>
      </w:r>
    </w:p>
    <w:p w14:paraId="1CFB4AA7">
      <w:pPr>
        <w:spacing w:line="460" w:lineRule="exact"/>
        <w:ind w:firstLine="720" w:firstLineChars="3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联系方式：</w:t>
      </w:r>
      <w:r>
        <w:rPr>
          <w:rFonts w:hint="eastAsia" w:ascii="宋体" w:hAnsi="宋体" w:cs="宋体"/>
          <w:color w:val="000000" w:themeColor="text1"/>
          <w:sz w:val="24"/>
          <w:szCs w:val="24"/>
          <w:highlight w:val="none"/>
          <w:lang w:val="en-US" w:eastAsia="zh-CN"/>
          <w14:textFill>
            <w14:solidFill>
              <w14:schemeClr w14:val="tx1"/>
            </w14:solidFill>
          </w14:textFill>
        </w:rPr>
        <w:t>0433-2066666</w:t>
      </w:r>
    </w:p>
    <w:p w14:paraId="5C9D3EE9">
      <w:pPr>
        <w:spacing w:line="460" w:lineRule="exact"/>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3.项目联系方式</w:t>
      </w:r>
    </w:p>
    <w:p w14:paraId="462C84C9">
      <w:pPr>
        <w:spacing w:line="460" w:lineRule="exact"/>
        <w:ind w:firstLine="720" w:firstLineChars="3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项目联系人：</w:t>
      </w:r>
      <w:r>
        <w:rPr>
          <w:rFonts w:hint="eastAsia" w:ascii="宋体" w:hAnsi="宋体" w:cs="宋体"/>
          <w:color w:val="000000" w:themeColor="text1"/>
          <w:sz w:val="24"/>
          <w:szCs w:val="24"/>
          <w:highlight w:val="none"/>
          <w:lang w:eastAsia="zh-CN"/>
          <w14:textFill>
            <w14:solidFill>
              <w14:schemeClr w14:val="tx1"/>
            </w14:solidFill>
          </w14:textFill>
        </w:rPr>
        <w:t>刘磊</w:t>
      </w:r>
      <w:r>
        <w:rPr>
          <w:rFonts w:hint="eastAsia" w:ascii="宋体" w:hAnsi="宋体" w:cs="宋体"/>
          <w:color w:val="000000" w:themeColor="text1"/>
          <w:sz w:val="24"/>
          <w:szCs w:val="24"/>
          <w:highlight w:val="none"/>
          <w:lang w:val="zh-CN"/>
          <w14:textFill>
            <w14:solidFill>
              <w14:schemeClr w14:val="tx1"/>
            </w14:solidFill>
          </w14:textFill>
        </w:rPr>
        <w:t xml:space="preserve"> </w:t>
      </w:r>
    </w:p>
    <w:p w14:paraId="2865EDAA">
      <w:pPr>
        <w:spacing w:line="460" w:lineRule="exact"/>
        <w:ind w:firstLine="720" w:firstLineChars="3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电     话</w:t>
      </w: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cs="宋体"/>
          <w:color w:val="000000" w:themeColor="text1"/>
          <w:sz w:val="24"/>
          <w:szCs w:val="24"/>
          <w:highlight w:val="none"/>
          <w:lang w:eastAsia="zh-CN"/>
          <w14:textFill>
            <w14:solidFill>
              <w14:schemeClr w14:val="tx1"/>
            </w14:solidFill>
          </w14:textFill>
        </w:rPr>
        <w:t>13844374439</w:t>
      </w:r>
      <w:r>
        <w:rPr>
          <w:rFonts w:hint="eastAsia" w:ascii="宋体" w:hAnsi="宋体" w:cs="宋体"/>
          <w:color w:val="000000" w:themeColor="text1"/>
          <w:sz w:val="24"/>
          <w:szCs w:val="24"/>
          <w:highlight w:val="none"/>
          <w14:textFill>
            <w14:solidFill>
              <w14:schemeClr w14:val="tx1"/>
            </w14:solidFill>
          </w14:textFill>
        </w:rPr>
        <w:t xml:space="preserve">     </w:t>
      </w:r>
    </w:p>
    <w:p w14:paraId="151C7F64">
      <w:pPr>
        <w:spacing w:line="46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监督管理部门：</w:t>
      </w:r>
      <w:r>
        <w:rPr>
          <w:rFonts w:ascii="宋体" w:hAnsi="宋体" w:eastAsia="宋体" w:cs="宋体"/>
          <w:color w:val="000000" w:themeColor="text1"/>
          <w:sz w:val="24"/>
          <w:szCs w:val="24"/>
          <w:highlight w:val="none"/>
          <w14:textFill>
            <w14:solidFill>
              <w14:schemeClr w14:val="tx1"/>
            </w14:solidFill>
          </w14:textFill>
        </w:rPr>
        <w:t>延边朝鲜族自治州财政局政府采购</w:t>
      </w:r>
      <w:r>
        <w:rPr>
          <w:rFonts w:hint="eastAsia" w:ascii="宋体" w:hAnsi="宋体" w:cs="宋体"/>
          <w:color w:val="000000" w:themeColor="text1"/>
          <w:sz w:val="24"/>
          <w:szCs w:val="24"/>
          <w:highlight w:val="none"/>
          <w:lang w:eastAsia="zh-CN"/>
          <w14:textFill>
            <w14:solidFill>
              <w14:schemeClr w14:val="tx1"/>
            </w14:solidFill>
          </w14:textFill>
        </w:rPr>
        <w:t>管理处</w:t>
      </w:r>
    </w:p>
    <w:p w14:paraId="67A4A929">
      <w:pPr>
        <w:autoSpaceDE w:val="0"/>
        <w:autoSpaceDN w:val="0"/>
        <w:adjustRightInd w:val="0"/>
        <w:spacing w:before="158" w:beforeLines="50" w:after="158" w:afterLines="50" w:line="460" w:lineRule="exact"/>
        <w:ind w:firstLine="3600" w:firstLineChars="1500"/>
        <w:jc w:val="right"/>
        <w:rPr>
          <w:rFonts w:ascii="宋体" w:hAnsi="宋体" w:cs="宋体"/>
          <w:color w:val="000000" w:themeColor="text1"/>
          <w:sz w:val="24"/>
          <w:szCs w:val="24"/>
          <w:highlight w:val="none"/>
          <w14:textFill>
            <w14:solidFill>
              <w14:schemeClr w14:val="tx1"/>
            </w14:solidFill>
          </w14:textFill>
        </w:rPr>
      </w:pPr>
    </w:p>
    <w:p w14:paraId="143A24A7">
      <w:pPr>
        <w:autoSpaceDE w:val="0"/>
        <w:autoSpaceDN w:val="0"/>
        <w:adjustRightInd w:val="0"/>
        <w:spacing w:before="158" w:beforeLines="50" w:after="158" w:afterLines="50" w:line="460" w:lineRule="exact"/>
        <w:ind w:firstLine="3600" w:firstLineChars="1500"/>
        <w:jc w:val="right"/>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吉林省浩业工程咨询有限公司</w:t>
      </w:r>
    </w:p>
    <w:p w14:paraId="17178D31">
      <w:pPr>
        <w:pStyle w:val="13"/>
        <w:rPr>
          <w:rFonts w:ascii="宋体" w:eastAsia="宋体" w:cs="宋体"/>
          <w:color w:val="000000" w:themeColor="text1"/>
          <w:szCs w:val="24"/>
          <w:highlight w:val="none"/>
          <w:lang w:val="zh-CN"/>
          <w14:textFill>
            <w14:solidFill>
              <w14:schemeClr w14:val="tx1"/>
            </w14:solidFill>
          </w14:textFill>
        </w:rPr>
      </w:pPr>
    </w:p>
    <w:p w14:paraId="7D28983C">
      <w:pPr>
        <w:jc w:val="right"/>
        <w:rPr>
          <w:rFonts w:hint="eastAsia"/>
          <w:color w:val="000000" w:themeColor="text1"/>
          <w:sz w:val="32"/>
          <w:szCs w:val="32"/>
          <w:highlight w:val="none"/>
          <w:lang w:eastAsia="zh-CN"/>
          <w14:textFill>
            <w14:solidFill>
              <w14:schemeClr w14:val="tx1"/>
            </w14:solidFill>
          </w14:textFill>
        </w:rPr>
      </w:pPr>
      <w:bookmarkStart w:id="31" w:name="_Toc26736"/>
      <w:bookmarkStart w:id="32" w:name="_Toc32728"/>
      <w:r>
        <w:rPr>
          <w:rFonts w:hint="eastAsia" w:ascii="宋体" w:hAnsi="宋体" w:cs="宋体"/>
          <w:color w:val="000000" w:themeColor="text1"/>
          <w:sz w:val="24"/>
          <w:szCs w:val="24"/>
          <w:highlight w:val="none"/>
          <w14:textFill>
            <w14:solidFill>
              <w14:schemeClr w14:val="tx1"/>
            </w14:solidFill>
          </w14:textFill>
        </w:rPr>
        <w:t xml:space="preserve"> </w:t>
      </w:r>
      <w:bookmarkEnd w:id="31"/>
      <w:bookmarkEnd w:id="32"/>
      <w:r>
        <w:rPr>
          <w:rFonts w:hint="eastAsia" w:ascii="宋体" w:hAnsi="宋体" w:cs="宋体"/>
          <w:color w:val="000000" w:themeColor="text1"/>
          <w:sz w:val="24"/>
          <w:szCs w:val="24"/>
          <w:highlight w:val="none"/>
          <w:lang w:val="zh-CN"/>
          <w14:textFill>
            <w14:solidFill>
              <w14:schemeClr w14:val="tx1"/>
            </w14:solidFill>
          </w14:textFill>
        </w:rPr>
        <w:t>202</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cs="宋体"/>
          <w:color w:val="000000" w:themeColor="text1"/>
          <w:sz w:val="24"/>
          <w:szCs w:val="24"/>
          <w:highlight w:val="none"/>
          <w:lang w:val="zh-CN"/>
          <w14:textFill>
            <w14:solidFill>
              <w14:schemeClr w14:val="tx1"/>
            </w14:solidFill>
          </w14:textFill>
        </w:rPr>
        <w:t>年</w:t>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cs="宋体"/>
          <w:color w:val="000000" w:themeColor="text1"/>
          <w:sz w:val="24"/>
          <w:szCs w:val="24"/>
          <w:highlight w:val="none"/>
          <w:lang w:val="zh-CN"/>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6</w:t>
      </w:r>
      <w:r>
        <w:rPr>
          <w:rFonts w:hint="eastAsia" w:ascii="宋体" w:hAnsi="宋体" w:cs="宋体"/>
          <w:color w:val="000000" w:themeColor="text1"/>
          <w:sz w:val="24"/>
          <w:szCs w:val="24"/>
          <w:highlight w:val="none"/>
          <w14:textFill>
            <w14:solidFill>
              <w14:schemeClr w14:val="tx1"/>
            </w14:solidFill>
          </w14:textFill>
        </w:rPr>
        <w:t>日</w:t>
      </w:r>
      <w:r>
        <w:rPr>
          <w:rFonts w:hint="eastAsia"/>
          <w:color w:val="000000" w:themeColor="text1"/>
          <w:sz w:val="32"/>
          <w:szCs w:val="32"/>
          <w:highlight w:val="none"/>
          <w:lang w:eastAsia="zh-CN"/>
          <w14:textFill>
            <w14:solidFill>
              <w14:schemeClr w14:val="tx1"/>
            </w14:solidFill>
          </w14:textFill>
        </w:rPr>
        <w:br w:type="page"/>
      </w:r>
    </w:p>
    <w:p w14:paraId="221E395D">
      <w:pPr>
        <w:pStyle w:val="77"/>
        <w:keepNext/>
        <w:keepLines/>
        <w:numPr>
          <w:ilvl w:val="0"/>
          <w:numId w:val="0"/>
        </w:numPr>
        <w:jc w:val="center"/>
        <w:outlineLvl w:val="0"/>
        <w:rPr>
          <w:rFonts w:hint="eastAsia"/>
          <w:color w:val="000000" w:themeColor="text1"/>
          <w:sz w:val="32"/>
          <w:szCs w:val="32"/>
          <w:highlight w:val="none"/>
          <w:lang w:eastAsia="zh-CN"/>
          <w14:textFill>
            <w14:solidFill>
              <w14:schemeClr w14:val="tx1"/>
            </w14:solidFill>
          </w14:textFill>
        </w:rPr>
      </w:pPr>
      <w:bookmarkStart w:id="33" w:name="_Toc32529"/>
      <w:r>
        <w:rPr>
          <w:rFonts w:hint="eastAsia" w:ascii="Times New Roman" w:hAnsi="Times New Roman" w:eastAsia="宋体" w:cs="Calibri"/>
          <w:b/>
          <w:bCs/>
          <w:color w:val="000000" w:themeColor="text1"/>
          <w:kern w:val="44"/>
          <w:sz w:val="36"/>
          <w:szCs w:val="36"/>
          <w:highlight w:val="none"/>
          <w:lang w:val="en-US" w:eastAsia="zh-CN" w:bidi="ar-SA"/>
          <w14:textFill>
            <w14:solidFill>
              <w14:schemeClr w14:val="tx1"/>
            </w14:solidFill>
          </w14:textFill>
        </w:rPr>
        <w:t>第二章 供应商须知</w:t>
      </w:r>
      <w:bookmarkEnd w:id="33"/>
    </w:p>
    <w:p w14:paraId="0FB8BDA1">
      <w:pPr>
        <w:pStyle w:val="77"/>
        <w:keepNext/>
        <w:keepLines/>
        <w:spacing w:after="220" w:line="500" w:lineRule="exact"/>
        <w:outlineLvl w:val="1"/>
        <w:rPr>
          <w:color w:val="000000" w:themeColor="text1"/>
          <w:sz w:val="32"/>
          <w:szCs w:val="32"/>
          <w:highlight w:val="none"/>
          <w14:textFill>
            <w14:solidFill>
              <w14:schemeClr w14:val="tx1"/>
            </w14:solidFill>
          </w14:textFill>
        </w:rPr>
      </w:pPr>
      <w:r>
        <w:rPr>
          <w:rFonts w:hint="eastAsia"/>
          <w:color w:val="000000" w:themeColor="text1"/>
          <w:sz w:val="32"/>
          <w:szCs w:val="32"/>
          <w:highlight w:val="none"/>
          <w:lang w:eastAsia="zh-CN"/>
          <w14:textFill>
            <w14:solidFill>
              <w14:schemeClr w14:val="tx1"/>
            </w14:solidFill>
          </w14:textFill>
        </w:rPr>
        <w:t>一、供应商须知前附表</w:t>
      </w:r>
      <w:bookmarkEnd w:id="25"/>
      <w:bookmarkEnd w:id="26"/>
      <w:bookmarkEnd w:id="27"/>
      <w:bookmarkEnd w:id="28"/>
    </w:p>
    <w:tbl>
      <w:tblPr>
        <w:tblStyle w:val="32"/>
        <w:tblW w:w="8373" w:type="dxa"/>
        <w:jc w:val="center"/>
        <w:tblLayout w:type="fixed"/>
        <w:tblCellMar>
          <w:top w:w="0" w:type="dxa"/>
          <w:left w:w="10" w:type="dxa"/>
          <w:bottom w:w="0" w:type="dxa"/>
          <w:right w:w="10" w:type="dxa"/>
        </w:tblCellMar>
      </w:tblPr>
      <w:tblGrid>
        <w:gridCol w:w="909"/>
        <w:gridCol w:w="1735"/>
        <w:gridCol w:w="5729"/>
      </w:tblGrid>
      <w:tr w14:paraId="47484074">
        <w:tblPrEx>
          <w:tblCellMar>
            <w:top w:w="0" w:type="dxa"/>
            <w:left w:w="10" w:type="dxa"/>
            <w:bottom w:w="0" w:type="dxa"/>
            <w:right w:w="10" w:type="dxa"/>
          </w:tblCellMar>
        </w:tblPrEx>
        <w:trPr>
          <w:trHeight w:val="509" w:hRule="exact"/>
          <w:jc w:val="center"/>
        </w:trPr>
        <w:tc>
          <w:tcPr>
            <w:tcW w:w="909" w:type="dxa"/>
            <w:tcBorders>
              <w:top w:val="single" w:color="auto" w:sz="4" w:space="0"/>
              <w:left w:val="single" w:color="auto" w:sz="4" w:space="0"/>
            </w:tcBorders>
            <w:shd w:val="clear" w:color="auto" w:fill="FFFFFF"/>
            <w:vAlign w:val="center"/>
          </w:tcPr>
          <w:p w14:paraId="2338B835">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序号</w:t>
            </w:r>
          </w:p>
        </w:tc>
        <w:tc>
          <w:tcPr>
            <w:tcW w:w="1735" w:type="dxa"/>
            <w:tcBorders>
              <w:top w:val="single" w:color="auto" w:sz="4" w:space="0"/>
              <w:left w:val="single" w:color="auto" w:sz="4" w:space="0"/>
            </w:tcBorders>
            <w:shd w:val="clear" w:color="auto" w:fill="FFFFFF"/>
            <w:vAlign w:val="center"/>
          </w:tcPr>
          <w:p w14:paraId="6F92E489">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条款名称</w:t>
            </w:r>
          </w:p>
        </w:tc>
        <w:tc>
          <w:tcPr>
            <w:tcW w:w="5729" w:type="dxa"/>
            <w:tcBorders>
              <w:top w:val="single" w:color="auto" w:sz="4" w:space="0"/>
              <w:left w:val="single" w:color="auto" w:sz="4" w:space="0"/>
              <w:right w:val="single" w:color="auto" w:sz="4" w:space="0"/>
            </w:tcBorders>
            <w:shd w:val="clear" w:color="auto" w:fill="FFFFFF"/>
            <w:vAlign w:val="center"/>
          </w:tcPr>
          <w:p w14:paraId="007374F4">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编列内容</w:t>
            </w:r>
          </w:p>
        </w:tc>
      </w:tr>
      <w:tr w14:paraId="2DF627C2">
        <w:tblPrEx>
          <w:tblCellMar>
            <w:top w:w="0" w:type="dxa"/>
            <w:left w:w="10" w:type="dxa"/>
            <w:bottom w:w="0" w:type="dxa"/>
            <w:right w:w="10" w:type="dxa"/>
          </w:tblCellMar>
        </w:tblPrEx>
        <w:trPr>
          <w:trHeight w:val="1702" w:hRule="exact"/>
          <w:jc w:val="center"/>
        </w:trPr>
        <w:tc>
          <w:tcPr>
            <w:tcW w:w="909" w:type="dxa"/>
            <w:tcBorders>
              <w:top w:val="single" w:color="auto" w:sz="4" w:space="0"/>
              <w:left w:val="single" w:color="auto" w:sz="4" w:space="0"/>
            </w:tcBorders>
            <w:shd w:val="clear" w:color="auto" w:fill="FFFFFF"/>
            <w:vAlign w:val="center"/>
          </w:tcPr>
          <w:p w14:paraId="67AA5CBE">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eastAsia="en-US"/>
                <w14:textFill>
                  <w14:solidFill>
                    <w14:schemeClr w14:val="tx1"/>
                  </w14:solidFill>
                </w14:textFill>
              </w:rPr>
              <w:t>1.1.</w:t>
            </w:r>
            <w:r>
              <w:rPr>
                <w:rFonts w:hint="eastAsia" w:ascii="宋体" w:hAnsi="宋体" w:cs="宋体"/>
                <w:color w:val="000000" w:themeColor="text1"/>
                <w:sz w:val="24"/>
                <w:szCs w:val="24"/>
                <w:highlight w:val="none"/>
                <w14:textFill>
                  <w14:solidFill>
                    <w14:schemeClr w14:val="tx1"/>
                  </w14:solidFill>
                </w14:textFill>
              </w:rPr>
              <w:t>1</w:t>
            </w:r>
          </w:p>
        </w:tc>
        <w:tc>
          <w:tcPr>
            <w:tcW w:w="1735" w:type="dxa"/>
            <w:tcBorders>
              <w:top w:val="single" w:color="auto" w:sz="4" w:space="0"/>
              <w:left w:val="single" w:color="auto" w:sz="4" w:space="0"/>
            </w:tcBorders>
            <w:shd w:val="clear" w:color="auto" w:fill="FFFFFF"/>
            <w:vAlign w:val="center"/>
          </w:tcPr>
          <w:p w14:paraId="6E78B81E">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采购人</w:t>
            </w:r>
          </w:p>
        </w:tc>
        <w:tc>
          <w:tcPr>
            <w:tcW w:w="5729" w:type="dxa"/>
            <w:tcBorders>
              <w:top w:val="single" w:color="auto" w:sz="4" w:space="0"/>
              <w:left w:val="single" w:color="auto" w:sz="4" w:space="0"/>
              <w:right w:val="single" w:color="auto" w:sz="4" w:space="0"/>
            </w:tcBorders>
            <w:shd w:val="clear" w:color="auto" w:fill="FFFFFF"/>
            <w:vAlign w:val="center"/>
          </w:tcPr>
          <w:p w14:paraId="175120E8">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名</w:t>
            </w:r>
            <w:r>
              <w:rPr>
                <w:rFonts w:hint="eastAsia"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称：</w:t>
            </w:r>
            <w:r>
              <w:rPr>
                <w:rFonts w:hint="eastAsia" w:ascii="宋体" w:hAnsi="宋体" w:cs="宋体"/>
                <w:color w:val="000000" w:themeColor="text1"/>
                <w:sz w:val="24"/>
                <w:szCs w:val="24"/>
                <w:highlight w:val="none"/>
                <w:lang w:eastAsia="zh-CN"/>
                <w14:textFill>
                  <w14:solidFill>
                    <w14:schemeClr w14:val="tx1"/>
                  </w14:solidFill>
                </w14:textFill>
              </w:rPr>
              <w:t>延边朝鲜族自治州土壤肥料工作站</w:t>
            </w:r>
          </w:p>
          <w:p w14:paraId="7BB71EC0">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地    址：延边朝鲜族自治州延吉市天池路3418号</w:t>
            </w:r>
          </w:p>
          <w:p w14:paraId="0D749B93">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联 系 人：</w:t>
            </w:r>
            <w:r>
              <w:rPr>
                <w:rFonts w:hint="eastAsia" w:ascii="宋体" w:hAnsi="宋体" w:cs="宋体"/>
                <w:color w:val="000000" w:themeColor="text1"/>
                <w:sz w:val="24"/>
                <w:szCs w:val="24"/>
                <w:highlight w:val="none"/>
                <w:lang w:val="en-US" w:eastAsia="zh-CN"/>
                <w14:textFill>
                  <w14:solidFill>
                    <w14:schemeClr w14:val="tx1"/>
                  </w14:solidFill>
                </w14:textFill>
              </w:rPr>
              <w:t>战美松</w:t>
            </w:r>
          </w:p>
          <w:p w14:paraId="18BB340E">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联系方式：</w:t>
            </w:r>
            <w:r>
              <w:rPr>
                <w:rFonts w:hint="eastAsia" w:ascii="宋体" w:hAnsi="宋体" w:cs="宋体"/>
                <w:color w:val="000000" w:themeColor="text1"/>
                <w:sz w:val="24"/>
                <w:szCs w:val="24"/>
                <w:highlight w:val="none"/>
                <w:lang w:val="zh-CN" w:eastAsia="zh-CN"/>
                <w14:textFill>
                  <w14:solidFill>
                    <w14:schemeClr w14:val="tx1"/>
                  </w14:solidFill>
                </w14:textFill>
              </w:rPr>
              <w:t>0433-2260230</w:t>
            </w:r>
          </w:p>
          <w:p w14:paraId="4939EB47">
            <w:pPr>
              <w:keepNext w:val="0"/>
              <w:keepLines w:val="0"/>
              <w:pageBreakBefore w:val="0"/>
              <w:widowControl w:val="0"/>
              <w:kinsoku/>
              <w:wordWrap/>
              <w:overflowPunct/>
              <w:topLinePunct w:val="0"/>
              <w:bidi w:val="0"/>
              <w:snapToGrid/>
              <w:spacing w:line="400" w:lineRule="exact"/>
              <w:jc w:val="both"/>
              <w:textAlignment w:val="auto"/>
              <w:rPr>
                <w:rFonts w:ascii="宋体" w:hAnsi="宋体" w:cs="宋体"/>
                <w:color w:val="000000" w:themeColor="text1"/>
                <w:sz w:val="24"/>
                <w:szCs w:val="24"/>
                <w:highlight w:val="none"/>
                <w14:textFill>
                  <w14:solidFill>
                    <w14:schemeClr w14:val="tx1"/>
                  </w14:solidFill>
                </w14:textFill>
              </w:rPr>
            </w:pPr>
          </w:p>
        </w:tc>
      </w:tr>
      <w:tr w14:paraId="37058C24">
        <w:tblPrEx>
          <w:tblCellMar>
            <w:top w:w="0" w:type="dxa"/>
            <w:left w:w="10" w:type="dxa"/>
            <w:bottom w:w="0" w:type="dxa"/>
            <w:right w:w="10" w:type="dxa"/>
          </w:tblCellMar>
        </w:tblPrEx>
        <w:trPr>
          <w:trHeight w:val="2165" w:hRule="exact"/>
          <w:jc w:val="center"/>
        </w:trPr>
        <w:tc>
          <w:tcPr>
            <w:tcW w:w="909" w:type="dxa"/>
            <w:tcBorders>
              <w:top w:val="single" w:color="auto" w:sz="4" w:space="0"/>
              <w:left w:val="single" w:color="auto" w:sz="4" w:space="0"/>
            </w:tcBorders>
            <w:shd w:val="clear" w:color="auto" w:fill="FFFFFF"/>
            <w:vAlign w:val="center"/>
          </w:tcPr>
          <w:p w14:paraId="2E467B9E">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eastAsia="en-US"/>
                <w14:textFill>
                  <w14:solidFill>
                    <w14:schemeClr w14:val="tx1"/>
                  </w14:solidFill>
                </w14:textFill>
              </w:rPr>
              <w:t>1.1.</w:t>
            </w:r>
            <w:r>
              <w:rPr>
                <w:rFonts w:hint="eastAsia" w:ascii="宋体" w:hAnsi="宋体" w:cs="宋体"/>
                <w:color w:val="000000" w:themeColor="text1"/>
                <w:sz w:val="24"/>
                <w:szCs w:val="24"/>
                <w:highlight w:val="none"/>
                <w14:textFill>
                  <w14:solidFill>
                    <w14:schemeClr w14:val="tx1"/>
                  </w14:solidFill>
                </w14:textFill>
              </w:rPr>
              <w:t>2</w:t>
            </w:r>
          </w:p>
        </w:tc>
        <w:tc>
          <w:tcPr>
            <w:tcW w:w="1735" w:type="dxa"/>
            <w:tcBorders>
              <w:top w:val="single" w:color="auto" w:sz="4" w:space="0"/>
              <w:left w:val="single" w:color="auto" w:sz="4" w:space="0"/>
            </w:tcBorders>
            <w:shd w:val="clear" w:color="auto" w:fill="FFFFFF"/>
            <w:vAlign w:val="center"/>
          </w:tcPr>
          <w:p w14:paraId="54C4D17A">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采购代理机构</w:t>
            </w:r>
          </w:p>
        </w:tc>
        <w:tc>
          <w:tcPr>
            <w:tcW w:w="5729" w:type="dxa"/>
            <w:tcBorders>
              <w:top w:val="single" w:color="auto" w:sz="4" w:space="0"/>
              <w:left w:val="single" w:color="auto" w:sz="4" w:space="0"/>
              <w:right w:val="single" w:color="auto" w:sz="4" w:space="0"/>
            </w:tcBorders>
            <w:shd w:val="clear" w:color="auto" w:fill="FFFFFF"/>
            <w:vAlign w:val="center"/>
          </w:tcPr>
          <w:p w14:paraId="475655AF">
            <w:pPr>
              <w:keepNext w:val="0"/>
              <w:keepLines w:val="0"/>
              <w:pageBreakBefore w:val="0"/>
              <w:widowControl w:val="0"/>
              <w:kinsoku/>
              <w:wordWrap/>
              <w:overflowPunct/>
              <w:topLinePunct w:val="0"/>
              <w:bidi w:val="0"/>
              <w:snapToGrid/>
              <w:spacing w:line="40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名    称：</w:t>
            </w:r>
            <w:r>
              <w:rPr>
                <w:rFonts w:hint="eastAsia" w:ascii="宋体" w:hAnsi="宋体" w:cs="宋体"/>
                <w:color w:val="000000" w:themeColor="text1"/>
                <w:sz w:val="24"/>
                <w:szCs w:val="24"/>
                <w:highlight w:val="none"/>
                <w:lang w:eastAsia="zh-CN"/>
                <w14:textFill>
                  <w14:solidFill>
                    <w14:schemeClr w14:val="tx1"/>
                  </w14:solidFill>
                </w14:textFill>
              </w:rPr>
              <w:t>吉林省浩业工程咨询有限公司</w:t>
            </w:r>
          </w:p>
          <w:p w14:paraId="50AEF405">
            <w:pPr>
              <w:keepNext w:val="0"/>
              <w:keepLines w:val="0"/>
              <w:pageBreakBefore w:val="0"/>
              <w:widowControl w:val="0"/>
              <w:kinsoku/>
              <w:wordWrap/>
              <w:overflowPunct/>
              <w:topLinePunct w:val="0"/>
              <w:bidi w:val="0"/>
              <w:snapToGrid/>
              <w:spacing w:line="40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地    址：</w:t>
            </w:r>
            <w:r>
              <w:rPr>
                <w:rFonts w:hint="eastAsia" w:ascii="宋体" w:hAnsi="宋体" w:cs="宋体"/>
                <w:color w:val="000000" w:themeColor="text1"/>
                <w:sz w:val="24"/>
                <w:szCs w:val="24"/>
                <w:highlight w:val="none"/>
                <w:lang w:eastAsia="zh-CN"/>
                <w14:textFill>
                  <w14:solidFill>
                    <w14:schemeClr w14:val="tx1"/>
                  </w14:solidFill>
                </w14:textFill>
              </w:rPr>
              <w:t>延吉市长白山东路286号1001</w:t>
            </w:r>
          </w:p>
          <w:p w14:paraId="45625B31">
            <w:pPr>
              <w:keepNext w:val="0"/>
              <w:keepLines w:val="0"/>
              <w:pageBreakBefore w:val="0"/>
              <w:widowControl w:val="0"/>
              <w:kinsoku/>
              <w:wordWrap/>
              <w:overflowPunct/>
              <w:topLinePunct w:val="0"/>
              <w:bidi w:val="0"/>
              <w:snapToGrid/>
              <w:spacing w:line="40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联 系 人：</w:t>
            </w:r>
            <w:r>
              <w:rPr>
                <w:rFonts w:hint="eastAsia" w:ascii="宋体" w:hAnsi="宋体" w:cs="宋体"/>
                <w:color w:val="000000" w:themeColor="text1"/>
                <w:sz w:val="24"/>
                <w:szCs w:val="24"/>
                <w:highlight w:val="none"/>
                <w:lang w:eastAsia="zh-CN"/>
                <w14:textFill>
                  <w14:solidFill>
                    <w14:schemeClr w14:val="tx1"/>
                  </w14:solidFill>
                </w14:textFill>
              </w:rPr>
              <w:t>刘磊</w:t>
            </w:r>
          </w:p>
          <w:p w14:paraId="4EA704DB">
            <w:pPr>
              <w:keepNext w:val="0"/>
              <w:keepLines w:val="0"/>
              <w:pageBreakBefore w:val="0"/>
              <w:widowControl w:val="0"/>
              <w:kinsoku/>
              <w:wordWrap/>
              <w:overflowPunct/>
              <w:topLinePunct w:val="0"/>
              <w:bidi w:val="0"/>
              <w:snapToGrid/>
              <w:spacing w:line="40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电    话：</w:t>
            </w:r>
            <w:r>
              <w:rPr>
                <w:rFonts w:hint="eastAsia" w:ascii="宋体" w:hAnsi="宋体" w:cs="宋体"/>
                <w:color w:val="000000" w:themeColor="text1"/>
                <w:sz w:val="24"/>
                <w:szCs w:val="24"/>
                <w:highlight w:val="none"/>
                <w:lang w:eastAsia="zh-CN"/>
                <w14:textFill>
                  <w14:solidFill>
                    <w14:schemeClr w14:val="tx1"/>
                  </w14:solidFill>
                </w14:textFill>
              </w:rPr>
              <w:t>13844374439</w:t>
            </w:r>
          </w:p>
          <w:p w14:paraId="01148841">
            <w:pPr>
              <w:keepNext w:val="0"/>
              <w:keepLines w:val="0"/>
              <w:pageBreakBefore w:val="0"/>
              <w:widowControl w:val="0"/>
              <w:kinsoku/>
              <w:wordWrap/>
              <w:overflowPunct/>
              <w:topLinePunct w:val="0"/>
              <w:bidi w:val="0"/>
              <w:snapToGrid/>
              <w:spacing w:line="40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电子邮箱：</w:t>
            </w:r>
            <w:r>
              <w:rPr>
                <w:rFonts w:hint="eastAsia" w:ascii="宋体" w:hAnsi="宋体" w:cs="宋体"/>
                <w:color w:val="000000" w:themeColor="text1"/>
                <w:sz w:val="24"/>
                <w:szCs w:val="24"/>
                <w:highlight w:val="none"/>
                <w:lang w:eastAsia="zh-CN"/>
                <w14:textFill>
                  <w14:solidFill>
                    <w14:schemeClr w14:val="tx1"/>
                  </w14:solidFill>
                </w14:textFill>
              </w:rPr>
              <w:t>jlhy1777@163.com</w:t>
            </w:r>
          </w:p>
        </w:tc>
      </w:tr>
      <w:tr w14:paraId="381E1A09">
        <w:tblPrEx>
          <w:tblCellMar>
            <w:top w:w="0" w:type="dxa"/>
            <w:left w:w="10" w:type="dxa"/>
            <w:bottom w:w="0" w:type="dxa"/>
            <w:right w:w="10" w:type="dxa"/>
          </w:tblCellMar>
        </w:tblPrEx>
        <w:trPr>
          <w:trHeight w:val="826" w:hRule="exact"/>
          <w:jc w:val="center"/>
        </w:trPr>
        <w:tc>
          <w:tcPr>
            <w:tcW w:w="909" w:type="dxa"/>
            <w:tcBorders>
              <w:top w:val="single" w:color="auto" w:sz="4" w:space="0"/>
              <w:left w:val="single" w:color="auto" w:sz="4" w:space="0"/>
            </w:tcBorders>
            <w:shd w:val="clear" w:color="auto" w:fill="FFFFFF"/>
            <w:vAlign w:val="center"/>
          </w:tcPr>
          <w:p w14:paraId="0A9DF004">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eastAsia="en-US"/>
                <w14:textFill>
                  <w14:solidFill>
                    <w14:schemeClr w14:val="tx1"/>
                  </w14:solidFill>
                </w14:textFill>
              </w:rPr>
              <w:t>1.1.</w:t>
            </w:r>
            <w:r>
              <w:rPr>
                <w:rFonts w:hint="eastAsia" w:ascii="宋体" w:hAnsi="宋体" w:cs="宋体"/>
                <w:color w:val="000000" w:themeColor="text1"/>
                <w:sz w:val="24"/>
                <w:szCs w:val="24"/>
                <w:highlight w:val="none"/>
                <w14:textFill>
                  <w14:solidFill>
                    <w14:schemeClr w14:val="tx1"/>
                  </w14:solidFill>
                </w14:textFill>
              </w:rPr>
              <w:t>6</w:t>
            </w:r>
          </w:p>
        </w:tc>
        <w:tc>
          <w:tcPr>
            <w:tcW w:w="1735" w:type="dxa"/>
            <w:tcBorders>
              <w:top w:val="single" w:color="auto" w:sz="4" w:space="0"/>
              <w:left w:val="single" w:color="auto" w:sz="4" w:space="0"/>
            </w:tcBorders>
            <w:shd w:val="clear" w:color="auto" w:fill="FFFFFF"/>
            <w:vAlign w:val="center"/>
          </w:tcPr>
          <w:p w14:paraId="47E67C79">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项目名称</w:t>
            </w:r>
          </w:p>
        </w:tc>
        <w:tc>
          <w:tcPr>
            <w:tcW w:w="5729" w:type="dxa"/>
            <w:tcBorders>
              <w:top w:val="single" w:color="auto" w:sz="4" w:space="0"/>
              <w:left w:val="single" w:color="auto" w:sz="4" w:space="0"/>
              <w:right w:val="single" w:color="auto" w:sz="4" w:space="0"/>
            </w:tcBorders>
            <w:shd w:val="clear" w:color="auto" w:fill="FFFFFF"/>
            <w:vAlign w:val="center"/>
          </w:tcPr>
          <w:p w14:paraId="3F8D1A4C">
            <w:pPr>
              <w:keepNext w:val="0"/>
              <w:keepLines w:val="0"/>
              <w:pageBreakBefore w:val="0"/>
              <w:widowControl w:val="0"/>
              <w:kinsoku/>
              <w:wordWrap/>
              <w:overflowPunct/>
              <w:topLinePunct w:val="0"/>
              <w:bidi w:val="0"/>
              <w:snapToGrid/>
              <w:spacing w:line="40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延边州第三次全国土壤普查项目</w:t>
            </w:r>
          </w:p>
        </w:tc>
      </w:tr>
      <w:tr w14:paraId="219DF14A">
        <w:tblPrEx>
          <w:tblCellMar>
            <w:top w:w="0" w:type="dxa"/>
            <w:left w:w="10" w:type="dxa"/>
            <w:bottom w:w="0" w:type="dxa"/>
            <w:right w:w="10" w:type="dxa"/>
          </w:tblCellMar>
        </w:tblPrEx>
        <w:trPr>
          <w:trHeight w:val="680" w:hRule="atLeast"/>
          <w:jc w:val="center"/>
        </w:trPr>
        <w:tc>
          <w:tcPr>
            <w:tcW w:w="909" w:type="dxa"/>
            <w:vMerge w:val="restart"/>
            <w:tcBorders>
              <w:top w:val="single" w:color="auto" w:sz="4" w:space="0"/>
              <w:left w:val="single" w:color="auto" w:sz="4" w:space="0"/>
            </w:tcBorders>
            <w:shd w:val="clear" w:color="auto" w:fill="FFFFFF"/>
            <w:vAlign w:val="center"/>
          </w:tcPr>
          <w:p w14:paraId="50A63E77">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eastAsia="en-US"/>
                <w14:textFill>
                  <w14:solidFill>
                    <w14:schemeClr w14:val="tx1"/>
                  </w14:solidFill>
                </w14:textFill>
              </w:rPr>
              <w:t>1.1.</w:t>
            </w:r>
            <w:r>
              <w:rPr>
                <w:rFonts w:hint="eastAsia" w:ascii="宋体" w:hAnsi="宋体" w:cs="宋体"/>
                <w:color w:val="000000" w:themeColor="text1"/>
                <w:sz w:val="24"/>
                <w:szCs w:val="24"/>
                <w:highlight w:val="none"/>
                <w14:textFill>
                  <w14:solidFill>
                    <w14:schemeClr w14:val="tx1"/>
                  </w14:solidFill>
                </w14:textFill>
              </w:rPr>
              <w:t>7</w:t>
            </w:r>
          </w:p>
        </w:tc>
        <w:tc>
          <w:tcPr>
            <w:tcW w:w="1735" w:type="dxa"/>
            <w:tcBorders>
              <w:top w:val="single" w:color="auto" w:sz="4" w:space="0"/>
              <w:left w:val="single" w:color="auto" w:sz="4" w:space="0"/>
              <w:bottom w:val="single" w:color="auto" w:sz="4" w:space="0"/>
            </w:tcBorders>
            <w:shd w:val="clear" w:color="auto" w:fill="FFFFFF"/>
            <w:vAlign w:val="center"/>
          </w:tcPr>
          <w:p w14:paraId="59FBC251">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项目地点</w:t>
            </w:r>
          </w:p>
        </w:tc>
        <w:tc>
          <w:tcPr>
            <w:tcW w:w="5729" w:type="dxa"/>
            <w:tcBorders>
              <w:top w:val="single" w:color="auto" w:sz="4" w:space="0"/>
              <w:left w:val="single" w:color="auto" w:sz="4" w:space="0"/>
              <w:bottom w:val="single" w:color="auto" w:sz="4" w:space="0"/>
              <w:right w:val="single" w:color="auto" w:sz="4" w:space="0"/>
            </w:tcBorders>
            <w:shd w:val="clear" w:color="auto" w:fill="FFFFFF"/>
            <w:vAlign w:val="center"/>
          </w:tcPr>
          <w:p w14:paraId="73C7FE9F">
            <w:pPr>
              <w:keepNext w:val="0"/>
              <w:keepLines w:val="0"/>
              <w:pageBreakBefore w:val="0"/>
              <w:widowControl w:val="0"/>
              <w:kinsoku/>
              <w:wordWrap/>
              <w:overflowPunct/>
              <w:topLinePunct w:val="0"/>
              <w:bidi w:val="0"/>
              <w:snapToGrid/>
              <w:spacing w:line="40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采购人指定地点</w:t>
            </w:r>
          </w:p>
        </w:tc>
      </w:tr>
      <w:tr w14:paraId="3173CF10">
        <w:tblPrEx>
          <w:tblCellMar>
            <w:top w:w="0" w:type="dxa"/>
            <w:left w:w="10" w:type="dxa"/>
            <w:bottom w:w="0" w:type="dxa"/>
            <w:right w:w="10" w:type="dxa"/>
          </w:tblCellMar>
        </w:tblPrEx>
        <w:trPr>
          <w:trHeight w:val="680" w:hRule="atLeast"/>
          <w:jc w:val="center"/>
        </w:trPr>
        <w:tc>
          <w:tcPr>
            <w:tcW w:w="909" w:type="dxa"/>
            <w:vMerge w:val="continue"/>
            <w:tcBorders>
              <w:left w:val="single" w:color="auto" w:sz="4" w:space="0"/>
            </w:tcBorders>
            <w:shd w:val="clear" w:color="auto" w:fill="FFFFFF"/>
            <w:vAlign w:val="center"/>
          </w:tcPr>
          <w:p w14:paraId="5EB062EB">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lang w:eastAsia="en-US"/>
                <w14:textFill>
                  <w14:solidFill>
                    <w14:schemeClr w14:val="tx1"/>
                  </w14:solidFill>
                </w14:textFill>
              </w:rPr>
            </w:pPr>
          </w:p>
        </w:tc>
        <w:tc>
          <w:tcPr>
            <w:tcW w:w="1735" w:type="dxa"/>
            <w:tcBorders>
              <w:top w:val="single" w:color="auto" w:sz="4" w:space="0"/>
              <w:left w:val="single" w:color="auto" w:sz="4" w:space="0"/>
            </w:tcBorders>
            <w:shd w:val="clear" w:color="auto" w:fill="FFFFFF"/>
            <w:vAlign w:val="center"/>
          </w:tcPr>
          <w:p w14:paraId="4D673CB1">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合同履行期限</w:t>
            </w:r>
          </w:p>
        </w:tc>
        <w:tc>
          <w:tcPr>
            <w:tcW w:w="5729" w:type="dxa"/>
            <w:tcBorders>
              <w:top w:val="single" w:color="auto" w:sz="4" w:space="0"/>
              <w:left w:val="single" w:color="auto" w:sz="4" w:space="0"/>
              <w:right w:val="single" w:color="auto" w:sz="4" w:space="0"/>
            </w:tcBorders>
            <w:shd w:val="clear" w:color="auto" w:fill="FFFFFF"/>
            <w:vAlign w:val="center"/>
          </w:tcPr>
          <w:p w14:paraId="4349E3B7">
            <w:pPr>
              <w:keepNext w:val="0"/>
              <w:keepLines w:val="0"/>
              <w:pageBreakBefore w:val="0"/>
              <w:widowControl w:val="0"/>
              <w:kinsoku/>
              <w:wordWrap/>
              <w:overflowPunct/>
              <w:topLinePunct w:val="0"/>
              <w:bidi w:val="0"/>
              <w:snapToGrid/>
              <w:spacing w:line="400" w:lineRule="exact"/>
              <w:textAlignment w:val="auto"/>
              <w:rPr>
                <w:rFonts w:hint="eastAsia" w:ascii="宋体" w:hAnsi="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自合同签订之日起至</w:t>
            </w:r>
            <w:r>
              <w:rPr>
                <w:rFonts w:hint="eastAsia" w:ascii="宋体" w:hAnsi="宋体" w:eastAsia="宋体" w:cs="宋体"/>
                <w:color w:val="000000" w:themeColor="text1"/>
                <w:sz w:val="24"/>
                <w:szCs w:val="24"/>
                <w:highlight w:val="none"/>
                <w:lang w:val="en-US" w:eastAsia="zh-CN"/>
                <w14:textFill>
                  <w14:solidFill>
                    <w14:schemeClr w14:val="tx1"/>
                  </w14:solidFill>
                </w14:textFill>
              </w:rPr>
              <w:t>2025年12月31日止</w:t>
            </w:r>
            <w:r>
              <w:rPr>
                <w:rFonts w:hint="eastAsia" w:ascii="宋体" w:hAnsi="宋体" w:eastAsia="宋体" w:cs="宋体"/>
                <w:color w:val="000000" w:themeColor="text1"/>
                <w:sz w:val="24"/>
                <w:szCs w:val="24"/>
                <w:highlight w:val="none"/>
                <w:lang w:eastAsia="zh-CN"/>
                <w14:textFill>
                  <w14:solidFill>
                    <w14:schemeClr w14:val="tx1"/>
                  </w14:solidFill>
                </w14:textFill>
              </w:rPr>
              <w:t>。</w:t>
            </w:r>
          </w:p>
        </w:tc>
      </w:tr>
      <w:tr w14:paraId="535B25B5">
        <w:tblPrEx>
          <w:tblCellMar>
            <w:top w:w="0" w:type="dxa"/>
            <w:left w:w="10" w:type="dxa"/>
            <w:bottom w:w="0" w:type="dxa"/>
            <w:right w:w="10" w:type="dxa"/>
          </w:tblCellMar>
        </w:tblPrEx>
        <w:trPr>
          <w:trHeight w:val="680" w:hRule="atLeast"/>
          <w:jc w:val="center"/>
        </w:trPr>
        <w:tc>
          <w:tcPr>
            <w:tcW w:w="909" w:type="dxa"/>
            <w:tcBorders>
              <w:top w:val="single" w:color="auto" w:sz="4" w:space="0"/>
              <w:left w:val="single" w:color="auto" w:sz="4" w:space="0"/>
            </w:tcBorders>
            <w:shd w:val="clear" w:color="auto" w:fill="FFFFFF"/>
            <w:vAlign w:val="center"/>
          </w:tcPr>
          <w:p w14:paraId="08C1CEDE">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eastAsia="en-US"/>
                <w14:textFill>
                  <w14:solidFill>
                    <w14:schemeClr w14:val="tx1"/>
                  </w14:solidFill>
                </w14:textFill>
              </w:rPr>
              <w:t>1.1.</w:t>
            </w:r>
            <w:r>
              <w:rPr>
                <w:rFonts w:hint="eastAsia" w:ascii="宋体" w:hAnsi="宋体" w:cs="宋体"/>
                <w:color w:val="000000" w:themeColor="text1"/>
                <w:sz w:val="24"/>
                <w:szCs w:val="24"/>
                <w:highlight w:val="none"/>
                <w14:textFill>
                  <w14:solidFill>
                    <w14:schemeClr w14:val="tx1"/>
                  </w14:solidFill>
                </w14:textFill>
              </w:rPr>
              <w:t>8</w:t>
            </w:r>
          </w:p>
        </w:tc>
        <w:tc>
          <w:tcPr>
            <w:tcW w:w="1735" w:type="dxa"/>
            <w:tcBorders>
              <w:top w:val="single" w:color="auto" w:sz="4" w:space="0"/>
              <w:left w:val="single" w:color="auto" w:sz="4" w:space="0"/>
            </w:tcBorders>
            <w:shd w:val="clear" w:color="auto" w:fill="FFFFFF"/>
            <w:vAlign w:val="center"/>
          </w:tcPr>
          <w:p w14:paraId="403D90B1">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预算金额</w:t>
            </w:r>
          </w:p>
        </w:tc>
        <w:tc>
          <w:tcPr>
            <w:tcW w:w="5729" w:type="dxa"/>
            <w:tcBorders>
              <w:top w:val="single" w:color="auto" w:sz="4" w:space="0"/>
              <w:left w:val="single" w:color="auto" w:sz="4" w:space="0"/>
              <w:right w:val="single" w:color="auto" w:sz="4" w:space="0"/>
            </w:tcBorders>
            <w:shd w:val="clear" w:color="auto" w:fill="FFFFFF"/>
            <w:vAlign w:val="center"/>
          </w:tcPr>
          <w:p w14:paraId="00AFE5DC">
            <w:pPr>
              <w:keepNext w:val="0"/>
              <w:keepLines w:val="0"/>
              <w:pageBreakBefore w:val="0"/>
              <w:widowControl w:val="0"/>
              <w:kinsoku/>
              <w:wordWrap/>
              <w:overflowPunct/>
              <w:topLinePunct w:val="0"/>
              <w:bidi w:val="0"/>
              <w:snapToGrid/>
              <w:spacing w:line="40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人民币900,000.00元</w:t>
            </w:r>
          </w:p>
        </w:tc>
      </w:tr>
      <w:tr w14:paraId="79672597">
        <w:tblPrEx>
          <w:tblCellMar>
            <w:top w:w="0" w:type="dxa"/>
            <w:left w:w="10" w:type="dxa"/>
            <w:bottom w:w="0" w:type="dxa"/>
            <w:right w:w="10" w:type="dxa"/>
          </w:tblCellMar>
        </w:tblPrEx>
        <w:trPr>
          <w:trHeight w:val="680" w:hRule="atLeast"/>
          <w:jc w:val="center"/>
        </w:trPr>
        <w:tc>
          <w:tcPr>
            <w:tcW w:w="909" w:type="dxa"/>
            <w:vMerge w:val="restart"/>
            <w:tcBorders>
              <w:top w:val="single" w:color="auto" w:sz="4" w:space="0"/>
              <w:left w:val="single" w:color="auto" w:sz="4" w:space="0"/>
            </w:tcBorders>
            <w:shd w:val="clear" w:color="auto" w:fill="FFFFFF"/>
            <w:vAlign w:val="center"/>
          </w:tcPr>
          <w:p w14:paraId="3A316D95">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eastAsia="en-US"/>
                <w14:textFill>
                  <w14:solidFill>
                    <w14:schemeClr w14:val="tx1"/>
                  </w14:solidFill>
                </w14:textFill>
              </w:rPr>
              <w:t>1.1.</w:t>
            </w:r>
            <w:r>
              <w:rPr>
                <w:rFonts w:hint="eastAsia" w:ascii="宋体" w:hAnsi="宋体" w:cs="宋体"/>
                <w:color w:val="000000" w:themeColor="text1"/>
                <w:sz w:val="24"/>
                <w:szCs w:val="24"/>
                <w:highlight w:val="none"/>
                <w14:textFill>
                  <w14:solidFill>
                    <w14:schemeClr w14:val="tx1"/>
                  </w14:solidFill>
                </w14:textFill>
              </w:rPr>
              <w:t>9</w:t>
            </w:r>
          </w:p>
        </w:tc>
        <w:tc>
          <w:tcPr>
            <w:tcW w:w="1735" w:type="dxa"/>
            <w:tcBorders>
              <w:top w:val="single" w:color="auto" w:sz="4" w:space="0"/>
              <w:left w:val="single" w:color="auto" w:sz="4" w:space="0"/>
              <w:bottom w:val="single" w:color="auto" w:sz="4" w:space="0"/>
            </w:tcBorders>
            <w:shd w:val="clear" w:color="auto" w:fill="FFFFFF"/>
            <w:vAlign w:val="center"/>
          </w:tcPr>
          <w:p w14:paraId="0DBB7DE7">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品目名称</w:t>
            </w:r>
          </w:p>
        </w:tc>
        <w:tc>
          <w:tcPr>
            <w:tcW w:w="5729" w:type="dxa"/>
            <w:tcBorders>
              <w:top w:val="single" w:color="auto" w:sz="4" w:space="0"/>
              <w:left w:val="single" w:color="auto" w:sz="4" w:space="0"/>
              <w:bottom w:val="single" w:color="auto" w:sz="4" w:space="0"/>
              <w:right w:val="single" w:color="auto" w:sz="4" w:space="0"/>
            </w:tcBorders>
            <w:shd w:val="clear" w:color="auto" w:fill="FFFFFF"/>
            <w:vAlign w:val="center"/>
          </w:tcPr>
          <w:p w14:paraId="47747302">
            <w:pPr>
              <w:keepNext w:val="0"/>
              <w:keepLines w:val="0"/>
              <w:pageBreakBefore w:val="0"/>
              <w:widowControl w:val="0"/>
              <w:kinsoku/>
              <w:wordWrap/>
              <w:overflowPunct/>
              <w:topLinePunct w:val="0"/>
              <w:bidi w:val="0"/>
              <w:snapToGrid/>
              <w:spacing w:line="400" w:lineRule="exact"/>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其他专业技术服务</w:t>
            </w:r>
          </w:p>
        </w:tc>
      </w:tr>
      <w:tr w14:paraId="3D62F80D">
        <w:tblPrEx>
          <w:tblCellMar>
            <w:top w:w="0" w:type="dxa"/>
            <w:left w:w="10" w:type="dxa"/>
            <w:bottom w:w="0" w:type="dxa"/>
            <w:right w:w="10" w:type="dxa"/>
          </w:tblCellMar>
        </w:tblPrEx>
        <w:trPr>
          <w:trHeight w:val="680" w:hRule="atLeast"/>
          <w:jc w:val="center"/>
        </w:trPr>
        <w:tc>
          <w:tcPr>
            <w:tcW w:w="909" w:type="dxa"/>
            <w:vMerge w:val="continue"/>
            <w:tcBorders>
              <w:left w:val="single" w:color="auto" w:sz="4" w:space="0"/>
            </w:tcBorders>
            <w:shd w:val="clear" w:color="auto" w:fill="FFFFFF"/>
            <w:vAlign w:val="center"/>
          </w:tcPr>
          <w:p w14:paraId="3C357F85">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lang w:eastAsia="en-US"/>
                <w14:textFill>
                  <w14:solidFill>
                    <w14:schemeClr w14:val="tx1"/>
                  </w14:solidFill>
                </w14:textFill>
              </w:rPr>
            </w:pPr>
          </w:p>
        </w:tc>
        <w:tc>
          <w:tcPr>
            <w:tcW w:w="1735" w:type="dxa"/>
            <w:tcBorders>
              <w:top w:val="single" w:color="auto" w:sz="4" w:space="0"/>
              <w:left w:val="single" w:color="auto" w:sz="4" w:space="0"/>
            </w:tcBorders>
            <w:shd w:val="clear" w:color="auto" w:fill="FFFFFF"/>
            <w:vAlign w:val="center"/>
          </w:tcPr>
          <w:p w14:paraId="59A3EBDE">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标段划分</w:t>
            </w:r>
          </w:p>
        </w:tc>
        <w:tc>
          <w:tcPr>
            <w:tcW w:w="5729" w:type="dxa"/>
            <w:tcBorders>
              <w:top w:val="single" w:color="auto" w:sz="4" w:space="0"/>
              <w:left w:val="single" w:color="auto" w:sz="4" w:space="0"/>
              <w:right w:val="single" w:color="auto" w:sz="4" w:space="0"/>
            </w:tcBorders>
            <w:shd w:val="clear" w:color="auto" w:fill="FFFFFF"/>
            <w:vAlign w:val="center"/>
          </w:tcPr>
          <w:p w14:paraId="7526798F">
            <w:pPr>
              <w:keepNext w:val="0"/>
              <w:keepLines w:val="0"/>
              <w:pageBreakBefore w:val="0"/>
              <w:widowControl w:val="0"/>
              <w:kinsoku/>
              <w:wordWrap/>
              <w:overflowPunct/>
              <w:topLinePunct w:val="0"/>
              <w:bidi w:val="0"/>
              <w:snapToGrid/>
              <w:spacing w:line="400" w:lineRule="exact"/>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1个</w:t>
            </w:r>
          </w:p>
        </w:tc>
      </w:tr>
      <w:tr w14:paraId="39ADE968">
        <w:tblPrEx>
          <w:tblCellMar>
            <w:top w:w="0" w:type="dxa"/>
            <w:left w:w="10" w:type="dxa"/>
            <w:bottom w:w="0" w:type="dxa"/>
            <w:right w:w="10" w:type="dxa"/>
          </w:tblCellMar>
        </w:tblPrEx>
        <w:trPr>
          <w:trHeight w:val="680" w:hRule="atLeast"/>
          <w:jc w:val="center"/>
        </w:trPr>
        <w:tc>
          <w:tcPr>
            <w:tcW w:w="909" w:type="dxa"/>
            <w:tcBorders>
              <w:top w:val="single" w:color="auto" w:sz="4" w:space="0"/>
              <w:left w:val="single" w:color="auto" w:sz="4" w:space="0"/>
            </w:tcBorders>
            <w:shd w:val="clear" w:color="auto" w:fill="FFFFFF"/>
            <w:vAlign w:val="center"/>
          </w:tcPr>
          <w:p w14:paraId="4884810E">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1.2.1</w:t>
            </w:r>
          </w:p>
        </w:tc>
        <w:tc>
          <w:tcPr>
            <w:tcW w:w="1735" w:type="dxa"/>
            <w:tcBorders>
              <w:top w:val="single" w:color="auto" w:sz="4" w:space="0"/>
              <w:left w:val="single" w:color="auto" w:sz="4" w:space="0"/>
            </w:tcBorders>
            <w:shd w:val="clear" w:color="auto" w:fill="FFFFFF"/>
            <w:vAlign w:val="center"/>
          </w:tcPr>
          <w:p w14:paraId="08C049D6">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资金来源</w:t>
            </w:r>
          </w:p>
        </w:tc>
        <w:tc>
          <w:tcPr>
            <w:tcW w:w="5729" w:type="dxa"/>
            <w:tcBorders>
              <w:top w:val="single" w:color="auto" w:sz="4" w:space="0"/>
              <w:left w:val="single" w:color="auto" w:sz="4" w:space="0"/>
              <w:right w:val="single" w:color="auto" w:sz="4" w:space="0"/>
            </w:tcBorders>
            <w:shd w:val="clear" w:color="auto" w:fill="FFFFFF"/>
            <w:vAlign w:val="center"/>
          </w:tcPr>
          <w:p w14:paraId="13A11054">
            <w:pPr>
              <w:keepNext w:val="0"/>
              <w:keepLines w:val="0"/>
              <w:pageBreakBefore w:val="0"/>
              <w:widowControl w:val="0"/>
              <w:kinsoku/>
              <w:wordWrap/>
              <w:overflowPunct/>
              <w:topLinePunct w:val="0"/>
              <w:bidi w:val="0"/>
              <w:snapToGrid/>
              <w:spacing w:line="400" w:lineRule="exact"/>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其他财政性资金</w:t>
            </w:r>
          </w:p>
        </w:tc>
      </w:tr>
      <w:tr w14:paraId="0F3BFBB9">
        <w:tblPrEx>
          <w:tblCellMar>
            <w:top w:w="0" w:type="dxa"/>
            <w:left w:w="10" w:type="dxa"/>
            <w:bottom w:w="0" w:type="dxa"/>
            <w:right w:w="10" w:type="dxa"/>
          </w:tblCellMar>
        </w:tblPrEx>
        <w:trPr>
          <w:trHeight w:val="680" w:hRule="atLeast"/>
          <w:jc w:val="center"/>
        </w:trPr>
        <w:tc>
          <w:tcPr>
            <w:tcW w:w="909" w:type="dxa"/>
            <w:tcBorders>
              <w:top w:val="single" w:color="auto" w:sz="4" w:space="0"/>
              <w:left w:val="single" w:color="auto" w:sz="4" w:space="0"/>
            </w:tcBorders>
            <w:shd w:val="clear" w:color="auto" w:fill="FFFFFF"/>
            <w:vAlign w:val="center"/>
          </w:tcPr>
          <w:p w14:paraId="50AFD028">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1.2.2</w:t>
            </w:r>
          </w:p>
        </w:tc>
        <w:tc>
          <w:tcPr>
            <w:tcW w:w="1735" w:type="dxa"/>
            <w:tcBorders>
              <w:top w:val="single" w:color="auto" w:sz="4" w:space="0"/>
              <w:left w:val="single" w:color="auto" w:sz="4" w:space="0"/>
            </w:tcBorders>
            <w:shd w:val="clear" w:color="auto" w:fill="FFFFFF"/>
            <w:vAlign w:val="center"/>
          </w:tcPr>
          <w:p w14:paraId="0732A9BB">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岀资比例</w:t>
            </w:r>
          </w:p>
        </w:tc>
        <w:tc>
          <w:tcPr>
            <w:tcW w:w="5729" w:type="dxa"/>
            <w:tcBorders>
              <w:top w:val="single" w:color="auto" w:sz="4" w:space="0"/>
              <w:left w:val="single" w:color="auto" w:sz="4" w:space="0"/>
              <w:right w:val="single" w:color="auto" w:sz="4" w:space="0"/>
            </w:tcBorders>
            <w:shd w:val="clear" w:color="auto" w:fill="FFFFFF"/>
            <w:vAlign w:val="center"/>
          </w:tcPr>
          <w:p w14:paraId="381B13BE">
            <w:pPr>
              <w:keepNext w:val="0"/>
              <w:keepLines w:val="0"/>
              <w:pageBreakBefore w:val="0"/>
              <w:widowControl w:val="0"/>
              <w:kinsoku/>
              <w:wordWrap/>
              <w:overflowPunct/>
              <w:topLinePunct w:val="0"/>
              <w:bidi w:val="0"/>
              <w:snapToGrid/>
              <w:spacing w:line="400" w:lineRule="exact"/>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100%</w:t>
            </w:r>
          </w:p>
        </w:tc>
      </w:tr>
      <w:tr w14:paraId="20849B88">
        <w:tblPrEx>
          <w:tblCellMar>
            <w:top w:w="0" w:type="dxa"/>
            <w:left w:w="10" w:type="dxa"/>
            <w:bottom w:w="0" w:type="dxa"/>
            <w:right w:w="10" w:type="dxa"/>
          </w:tblCellMar>
        </w:tblPrEx>
        <w:trPr>
          <w:trHeight w:val="680" w:hRule="atLeast"/>
          <w:jc w:val="center"/>
        </w:trPr>
        <w:tc>
          <w:tcPr>
            <w:tcW w:w="909" w:type="dxa"/>
            <w:tcBorders>
              <w:top w:val="single" w:color="auto" w:sz="4" w:space="0"/>
              <w:left w:val="single" w:color="auto" w:sz="4" w:space="0"/>
            </w:tcBorders>
            <w:shd w:val="clear" w:color="auto" w:fill="FFFFFF"/>
            <w:vAlign w:val="center"/>
          </w:tcPr>
          <w:p w14:paraId="79FC7F75">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1.2.3</w:t>
            </w:r>
          </w:p>
        </w:tc>
        <w:tc>
          <w:tcPr>
            <w:tcW w:w="1735" w:type="dxa"/>
            <w:tcBorders>
              <w:top w:val="single" w:color="auto" w:sz="4" w:space="0"/>
              <w:left w:val="single" w:color="auto" w:sz="4" w:space="0"/>
            </w:tcBorders>
            <w:shd w:val="clear" w:color="auto" w:fill="FFFFFF"/>
            <w:vAlign w:val="center"/>
          </w:tcPr>
          <w:p w14:paraId="69112D30">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资金落实情况</w:t>
            </w:r>
          </w:p>
        </w:tc>
        <w:tc>
          <w:tcPr>
            <w:tcW w:w="5729" w:type="dxa"/>
            <w:tcBorders>
              <w:top w:val="single" w:color="auto" w:sz="4" w:space="0"/>
              <w:left w:val="single" w:color="auto" w:sz="4" w:space="0"/>
              <w:right w:val="single" w:color="auto" w:sz="4" w:space="0"/>
            </w:tcBorders>
            <w:shd w:val="clear" w:color="auto" w:fill="FFFFFF"/>
            <w:vAlign w:val="center"/>
          </w:tcPr>
          <w:p w14:paraId="1B8D4B68">
            <w:pPr>
              <w:keepNext w:val="0"/>
              <w:keepLines w:val="0"/>
              <w:pageBreakBefore w:val="0"/>
              <w:widowControl w:val="0"/>
              <w:kinsoku/>
              <w:wordWrap/>
              <w:overflowPunct/>
              <w:topLinePunct w:val="0"/>
              <w:bidi w:val="0"/>
              <w:snapToGrid/>
              <w:spacing w:line="400" w:lineRule="exact"/>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已落实</w:t>
            </w:r>
          </w:p>
        </w:tc>
      </w:tr>
      <w:tr w14:paraId="07F0389B">
        <w:tblPrEx>
          <w:tblCellMar>
            <w:top w:w="0" w:type="dxa"/>
            <w:left w:w="10" w:type="dxa"/>
            <w:bottom w:w="0" w:type="dxa"/>
            <w:right w:w="10" w:type="dxa"/>
          </w:tblCellMar>
        </w:tblPrEx>
        <w:trPr>
          <w:trHeight w:val="725" w:hRule="exact"/>
          <w:jc w:val="center"/>
        </w:trPr>
        <w:tc>
          <w:tcPr>
            <w:tcW w:w="909" w:type="dxa"/>
            <w:tcBorders>
              <w:top w:val="single" w:color="auto" w:sz="4" w:space="0"/>
              <w:left w:val="single" w:color="auto" w:sz="4" w:space="0"/>
            </w:tcBorders>
            <w:shd w:val="clear" w:color="auto" w:fill="FFFFFF"/>
            <w:vAlign w:val="center"/>
          </w:tcPr>
          <w:p w14:paraId="41D3F84B">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1.3.1</w:t>
            </w:r>
          </w:p>
        </w:tc>
        <w:tc>
          <w:tcPr>
            <w:tcW w:w="1735" w:type="dxa"/>
            <w:tcBorders>
              <w:top w:val="single" w:color="auto" w:sz="4" w:space="0"/>
              <w:left w:val="single" w:color="auto" w:sz="4" w:space="0"/>
            </w:tcBorders>
            <w:shd w:val="clear" w:color="auto" w:fill="FFFFFF"/>
            <w:vAlign w:val="center"/>
          </w:tcPr>
          <w:p w14:paraId="3BFE223E">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采购范围</w:t>
            </w:r>
          </w:p>
        </w:tc>
        <w:tc>
          <w:tcPr>
            <w:tcW w:w="5729" w:type="dxa"/>
            <w:tcBorders>
              <w:top w:val="single" w:color="auto" w:sz="4" w:space="0"/>
              <w:left w:val="single" w:color="auto" w:sz="4" w:space="0"/>
              <w:right w:val="single" w:color="auto" w:sz="4" w:space="0"/>
            </w:tcBorders>
            <w:shd w:val="clear" w:color="auto" w:fill="FFFFFF"/>
            <w:vAlign w:val="center"/>
          </w:tcPr>
          <w:p w14:paraId="3B0B670A">
            <w:pPr>
              <w:keepNext w:val="0"/>
              <w:keepLines w:val="0"/>
              <w:pageBreakBefore w:val="0"/>
              <w:widowControl w:val="0"/>
              <w:kinsoku/>
              <w:wordWrap/>
              <w:overflowPunct/>
              <w:topLinePunct w:val="0"/>
              <w:bidi w:val="0"/>
              <w:snapToGrid/>
              <w:spacing w:line="400" w:lineRule="exact"/>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成果编制</w:t>
            </w:r>
          </w:p>
        </w:tc>
      </w:tr>
      <w:tr w14:paraId="37614B8B">
        <w:tblPrEx>
          <w:tblCellMar>
            <w:top w:w="0" w:type="dxa"/>
            <w:left w:w="10" w:type="dxa"/>
            <w:bottom w:w="0" w:type="dxa"/>
            <w:right w:w="10" w:type="dxa"/>
          </w:tblCellMar>
        </w:tblPrEx>
        <w:trPr>
          <w:trHeight w:val="884" w:hRule="exact"/>
          <w:jc w:val="center"/>
        </w:trPr>
        <w:tc>
          <w:tcPr>
            <w:tcW w:w="909" w:type="dxa"/>
            <w:tcBorders>
              <w:top w:val="single" w:color="auto" w:sz="4" w:space="0"/>
              <w:left w:val="single" w:color="auto" w:sz="4" w:space="0"/>
              <w:bottom w:val="single" w:color="auto" w:sz="4" w:space="0"/>
            </w:tcBorders>
            <w:shd w:val="clear" w:color="auto" w:fill="FFFFFF"/>
            <w:vAlign w:val="center"/>
          </w:tcPr>
          <w:p w14:paraId="0D1A34F7">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1.3.</w:t>
            </w:r>
            <w:r>
              <w:rPr>
                <w:rFonts w:hint="eastAsia" w:ascii="宋体" w:hAnsi="宋体" w:cs="宋体"/>
                <w:color w:val="000000" w:themeColor="text1"/>
                <w:sz w:val="24"/>
                <w:szCs w:val="24"/>
                <w:highlight w:val="none"/>
                <w:lang w:val="en-US" w:eastAsia="zh-CN"/>
                <w14:textFill>
                  <w14:solidFill>
                    <w14:schemeClr w14:val="tx1"/>
                  </w14:solidFill>
                </w14:textFill>
              </w:rPr>
              <w:t>2</w:t>
            </w:r>
          </w:p>
        </w:tc>
        <w:tc>
          <w:tcPr>
            <w:tcW w:w="1735" w:type="dxa"/>
            <w:tcBorders>
              <w:top w:val="single" w:color="auto" w:sz="4" w:space="0"/>
              <w:left w:val="single" w:color="auto" w:sz="4" w:space="0"/>
              <w:bottom w:val="single" w:color="auto" w:sz="4" w:space="0"/>
            </w:tcBorders>
            <w:shd w:val="clear" w:color="auto" w:fill="FFFFFF"/>
            <w:vAlign w:val="center"/>
          </w:tcPr>
          <w:p w14:paraId="1560D3B7">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服务要求</w:t>
            </w:r>
          </w:p>
        </w:tc>
        <w:tc>
          <w:tcPr>
            <w:tcW w:w="5729" w:type="dxa"/>
            <w:tcBorders>
              <w:top w:val="single" w:color="auto" w:sz="4" w:space="0"/>
              <w:left w:val="single" w:color="auto" w:sz="4" w:space="0"/>
              <w:bottom w:val="single" w:color="auto" w:sz="4" w:space="0"/>
              <w:right w:val="single" w:color="auto" w:sz="4" w:space="0"/>
            </w:tcBorders>
            <w:shd w:val="clear" w:color="auto" w:fill="FFFFFF"/>
            <w:vAlign w:val="center"/>
          </w:tcPr>
          <w:p w14:paraId="52FE070E">
            <w:pPr>
              <w:keepNext w:val="0"/>
              <w:keepLines w:val="0"/>
              <w:pageBreakBefore w:val="0"/>
              <w:widowControl w:val="0"/>
              <w:kinsoku/>
              <w:wordWrap/>
              <w:overflowPunct/>
              <w:topLinePunct w:val="0"/>
              <w:bidi w:val="0"/>
              <w:snapToGrid/>
              <w:spacing w:line="400" w:lineRule="exact"/>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符合现行国家及行业合格标准。</w:t>
            </w:r>
          </w:p>
        </w:tc>
      </w:tr>
    </w:tbl>
    <w:p w14:paraId="6B3EDBD3">
      <w:pPr>
        <w:keepNext w:val="0"/>
        <w:keepLines w:val="0"/>
        <w:pageBreakBefore w:val="0"/>
        <w:widowControl w:val="0"/>
        <w:kinsoku/>
        <w:wordWrap/>
        <w:overflowPunct/>
        <w:topLinePunct w:val="0"/>
        <w:bidi w:val="0"/>
        <w:snapToGrid/>
        <w:spacing w:line="400" w:lineRule="exact"/>
        <w:textAlignment w:val="auto"/>
        <w:rPr>
          <w:color w:val="000000" w:themeColor="text1"/>
          <w:sz w:val="2"/>
          <w:szCs w:val="2"/>
          <w:highlight w:val="none"/>
          <w14:textFill>
            <w14:solidFill>
              <w14:schemeClr w14:val="tx1"/>
            </w14:solidFill>
          </w14:textFill>
        </w:rPr>
      </w:pPr>
      <w:r>
        <w:rPr>
          <w:color w:val="000000" w:themeColor="text1"/>
          <w:highlight w:val="none"/>
          <w14:textFill>
            <w14:solidFill>
              <w14:schemeClr w14:val="tx1"/>
            </w14:solidFill>
          </w14:textFill>
        </w:rPr>
        <w:br w:type="page"/>
      </w:r>
    </w:p>
    <w:tbl>
      <w:tblPr>
        <w:tblStyle w:val="32"/>
        <w:tblW w:w="8308" w:type="dxa"/>
        <w:jc w:val="center"/>
        <w:tblLayout w:type="fixed"/>
        <w:tblCellMar>
          <w:top w:w="0" w:type="dxa"/>
          <w:left w:w="10" w:type="dxa"/>
          <w:bottom w:w="0" w:type="dxa"/>
          <w:right w:w="10" w:type="dxa"/>
        </w:tblCellMar>
      </w:tblPr>
      <w:tblGrid>
        <w:gridCol w:w="855"/>
        <w:gridCol w:w="1715"/>
        <w:gridCol w:w="5738"/>
      </w:tblGrid>
      <w:tr w14:paraId="737C1E6C">
        <w:tblPrEx>
          <w:tblCellMar>
            <w:top w:w="0" w:type="dxa"/>
            <w:left w:w="10" w:type="dxa"/>
            <w:bottom w:w="0" w:type="dxa"/>
            <w:right w:w="10" w:type="dxa"/>
          </w:tblCellMar>
        </w:tblPrEx>
        <w:trPr>
          <w:trHeight w:val="13752" w:hRule="exact"/>
          <w:jc w:val="center"/>
        </w:trPr>
        <w:tc>
          <w:tcPr>
            <w:tcW w:w="855" w:type="dxa"/>
            <w:tcBorders>
              <w:top w:val="single" w:color="auto" w:sz="4" w:space="0"/>
              <w:left w:val="single" w:color="auto" w:sz="4" w:space="0"/>
              <w:bottom w:val="single" w:color="auto" w:sz="4" w:space="0"/>
            </w:tcBorders>
            <w:shd w:val="clear" w:color="auto" w:fill="FFFFFF"/>
            <w:vAlign w:val="center"/>
          </w:tcPr>
          <w:p w14:paraId="260DAE90">
            <w:pPr>
              <w:pStyle w:val="78"/>
              <w:keepNext w:val="0"/>
              <w:keepLines w:val="0"/>
              <w:pageBreakBefore w:val="0"/>
              <w:widowControl w:val="0"/>
              <w:kinsoku/>
              <w:wordWrap/>
              <w:overflowPunct/>
              <w:topLinePunct w:val="0"/>
              <w:bidi w:val="0"/>
              <w:snapToGrid/>
              <w:spacing w:after="0" w:line="400" w:lineRule="exact"/>
              <w:jc w:val="center"/>
              <w:textAlignment w:val="auto"/>
              <w:rPr>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lang w:val="en-US" w:eastAsia="en-US" w:bidi="en-US"/>
                <w14:textFill>
                  <w14:solidFill>
                    <w14:schemeClr w14:val="tx1"/>
                  </w14:solidFill>
                </w14:textFill>
              </w:rPr>
              <w:t>1.4.</w:t>
            </w:r>
            <w:r>
              <w:rPr>
                <w:rFonts w:hint="eastAsia"/>
                <w:b w:val="0"/>
                <w:bCs w:val="0"/>
                <w:color w:val="000000" w:themeColor="text1"/>
                <w:sz w:val="24"/>
                <w:szCs w:val="24"/>
                <w:highlight w:val="none"/>
                <w:lang w:val="zh-CN" w:eastAsia="zh-CN" w:bidi="zh-CN"/>
                <w14:textFill>
                  <w14:solidFill>
                    <w14:schemeClr w14:val="tx1"/>
                  </w14:solidFill>
                </w14:textFill>
              </w:rPr>
              <w:t>1</w:t>
            </w:r>
          </w:p>
        </w:tc>
        <w:tc>
          <w:tcPr>
            <w:tcW w:w="1715" w:type="dxa"/>
            <w:tcBorders>
              <w:top w:val="single" w:color="auto" w:sz="4" w:space="0"/>
              <w:left w:val="single" w:color="auto" w:sz="4" w:space="0"/>
              <w:bottom w:val="single" w:color="auto" w:sz="4" w:space="0"/>
            </w:tcBorders>
            <w:shd w:val="clear" w:color="auto" w:fill="FFFFFF"/>
            <w:vAlign w:val="center"/>
          </w:tcPr>
          <w:p w14:paraId="0FA259CC">
            <w:pPr>
              <w:pStyle w:val="78"/>
              <w:keepNext w:val="0"/>
              <w:keepLines w:val="0"/>
              <w:pageBreakBefore w:val="0"/>
              <w:widowControl w:val="0"/>
              <w:kinsoku/>
              <w:wordWrap/>
              <w:overflowPunct/>
              <w:topLinePunct w:val="0"/>
              <w:bidi w:val="0"/>
              <w:snapToGrid/>
              <w:spacing w:after="0" w:line="400" w:lineRule="exact"/>
              <w:jc w:val="center"/>
              <w:textAlignment w:val="auto"/>
              <w:rPr>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14:textFill>
                  <w14:solidFill>
                    <w14:schemeClr w14:val="tx1"/>
                  </w14:solidFill>
                </w14:textFill>
              </w:rPr>
              <w:t>供应商资质条件</w:t>
            </w:r>
            <w:r>
              <w:rPr>
                <w:rFonts w:hint="eastAsia"/>
                <w:b w:val="0"/>
                <w:bCs w:val="0"/>
                <w:color w:val="000000" w:themeColor="text1"/>
                <w:sz w:val="24"/>
                <w:szCs w:val="24"/>
                <w:highlight w:val="none"/>
                <w:lang w:eastAsia="zh-CN"/>
                <w14:textFill>
                  <w14:solidFill>
                    <w14:schemeClr w14:val="tx1"/>
                  </w14:solidFill>
                </w14:textFill>
              </w:rPr>
              <w:t>、</w:t>
            </w:r>
            <w:r>
              <w:rPr>
                <w:rFonts w:hint="eastAsia"/>
                <w:b w:val="0"/>
                <w:bCs w:val="0"/>
                <w:color w:val="000000" w:themeColor="text1"/>
                <w:sz w:val="24"/>
                <w:szCs w:val="24"/>
                <w:highlight w:val="none"/>
                <w:lang w:val="en-US" w:eastAsia="zh-CN"/>
                <w14:textFill>
                  <w14:solidFill>
                    <w14:schemeClr w14:val="tx1"/>
                  </w14:solidFill>
                </w14:textFill>
              </w:rPr>
              <w:t>财务</w:t>
            </w:r>
            <w:r>
              <w:rPr>
                <w:rFonts w:hint="eastAsia"/>
                <w:b w:val="0"/>
                <w:bCs w:val="0"/>
                <w:color w:val="000000" w:themeColor="text1"/>
                <w:sz w:val="24"/>
                <w:szCs w:val="24"/>
                <w:highlight w:val="none"/>
                <w14:textFill>
                  <w14:solidFill>
                    <w14:schemeClr w14:val="tx1"/>
                  </w14:solidFill>
                </w14:textFill>
              </w:rPr>
              <w:t>和信誉</w:t>
            </w:r>
          </w:p>
        </w:tc>
        <w:tc>
          <w:tcPr>
            <w:tcW w:w="5738" w:type="dxa"/>
            <w:tcBorders>
              <w:top w:val="single" w:color="auto" w:sz="4" w:space="0"/>
              <w:left w:val="single" w:color="auto" w:sz="4" w:space="0"/>
              <w:bottom w:val="single" w:color="auto" w:sz="4" w:space="0"/>
              <w:right w:val="single" w:color="auto" w:sz="4" w:space="0"/>
            </w:tcBorders>
            <w:shd w:val="clear" w:color="auto" w:fill="FFFFFF"/>
          </w:tcPr>
          <w:p w14:paraId="531DF578">
            <w:pPr>
              <w:pStyle w:val="78"/>
              <w:keepNext w:val="0"/>
              <w:keepLines w:val="0"/>
              <w:pageBreakBefore w:val="0"/>
              <w:widowControl w:val="0"/>
              <w:kinsoku/>
              <w:wordWrap/>
              <w:overflowPunct/>
              <w:topLinePunct w:val="0"/>
              <w:autoSpaceDE/>
              <w:autoSpaceDN/>
              <w:bidi w:val="0"/>
              <w:adjustRightInd/>
              <w:snapToGrid/>
              <w:spacing w:after="0" w:line="400" w:lineRule="exact"/>
              <w:textAlignment w:val="auto"/>
              <w:rPr>
                <w:b w:val="0"/>
                <w:bCs w:val="0"/>
                <w:color w:val="000000" w:themeColor="text1"/>
                <w:sz w:val="24"/>
                <w:szCs w:val="24"/>
                <w:highlight w:val="none"/>
                <w:lang w:eastAsia="zh-CN"/>
                <w14:textFill>
                  <w14:solidFill>
                    <w14:schemeClr w14:val="tx1"/>
                  </w14:solidFill>
                </w14:textFill>
              </w:rPr>
            </w:pPr>
            <w:r>
              <w:rPr>
                <w:rFonts w:hint="eastAsia"/>
                <w:color w:val="000000" w:themeColor="text1"/>
                <w:sz w:val="24"/>
                <w:szCs w:val="24"/>
                <w:highlight w:val="none"/>
                <w14:textFill>
                  <w14:solidFill>
                    <w14:schemeClr w14:val="tx1"/>
                  </w14:solidFill>
                </w14:textFill>
              </w:rPr>
              <w:t>资质条件：</w:t>
            </w:r>
            <w:r>
              <w:rPr>
                <w:rFonts w:hint="eastAsia"/>
                <w:b w:val="0"/>
                <w:bCs w:val="0"/>
                <w:color w:val="000000" w:themeColor="text1"/>
                <w:sz w:val="24"/>
                <w:szCs w:val="24"/>
                <w:highlight w:val="none"/>
                <w:lang w:eastAsia="zh-CN"/>
                <w14:textFill>
                  <w14:solidFill>
                    <w14:schemeClr w14:val="tx1"/>
                  </w14:solidFill>
                </w14:textFill>
              </w:rPr>
              <w:t>（</w:t>
            </w:r>
            <w:r>
              <w:rPr>
                <w:rFonts w:hint="eastAsia"/>
                <w:b w:val="0"/>
                <w:bCs w:val="0"/>
                <w:color w:val="000000" w:themeColor="text1"/>
                <w:sz w:val="24"/>
                <w:szCs w:val="24"/>
                <w:highlight w:val="none"/>
                <w:lang w:val="en-US" w:eastAsia="zh-CN"/>
                <w14:textFill>
                  <w14:solidFill>
                    <w14:schemeClr w14:val="tx1"/>
                  </w14:solidFill>
                </w14:textFill>
              </w:rPr>
              <w:t>1</w:t>
            </w:r>
            <w:r>
              <w:rPr>
                <w:rFonts w:hint="eastAsia"/>
                <w:b w:val="0"/>
                <w:bCs w:val="0"/>
                <w:color w:val="000000" w:themeColor="text1"/>
                <w:sz w:val="24"/>
                <w:szCs w:val="24"/>
                <w:highlight w:val="none"/>
                <w:lang w:eastAsia="zh-CN"/>
                <w14:textFill>
                  <w14:solidFill>
                    <w14:schemeClr w14:val="tx1"/>
                  </w14:solidFill>
                </w14:textFill>
              </w:rPr>
              <w:t>）</w:t>
            </w:r>
            <w:r>
              <w:rPr>
                <w:rFonts w:hint="eastAsia"/>
                <w:b w:val="0"/>
                <w:bCs w:val="0"/>
                <w:color w:val="000000" w:themeColor="text1"/>
                <w:sz w:val="24"/>
                <w:szCs w:val="24"/>
                <w:highlight w:val="none"/>
                <w14:textFill>
                  <w14:solidFill>
                    <w14:schemeClr w14:val="tx1"/>
                  </w14:solidFill>
                </w14:textFill>
              </w:rPr>
              <w:t>须符合《中华人民共和国政府采购法》第二十二条的规定，在中华人民共和国境内注册，能够独立承担民事责任、具有良好的商业信誉和健全的财务会计制度；具有履行合同所必须的设备和专业技术能力；依法缴纳税收和良好的社会保障资金；</w:t>
            </w:r>
            <w:r>
              <w:rPr>
                <w:rFonts w:hint="eastAsia"/>
                <w:b w:val="0"/>
                <w:bCs w:val="0"/>
                <w:color w:val="000000" w:themeColor="text1"/>
                <w:sz w:val="24"/>
                <w:szCs w:val="24"/>
                <w:highlight w:val="none"/>
                <w:lang w:val="en-US" w:eastAsia="zh-CN"/>
                <w14:textFill>
                  <w14:solidFill>
                    <w14:schemeClr w14:val="tx1"/>
                  </w14:solidFill>
                </w14:textFill>
              </w:rPr>
              <w:t>参加政府活动采购活动前三年内，</w:t>
            </w:r>
            <w:r>
              <w:rPr>
                <w:rFonts w:hint="eastAsia"/>
                <w:b w:val="0"/>
                <w:bCs w:val="0"/>
                <w:color w:val="000000" w:themeColor="text1"/>
                <w:sz w:val="24"/>
                <w:szCs w:val="24"/>
                <w:highlight w:val="none"/>
                <w14:textFill>
                  <w14:solidFill>
                    <w14:schemeClr w14:val="tx1"/>
                  </w14:solidFill>
                </w14:textFill>
              </w:rPr>
              <w:t>在经营活动中没有重大违法记录；法律、行政法规规定的其他条件</w:t>
            </w:r>
            <w:r>
              <w:rPr>
                <w:rFonts w:hint="eastAsia"/>
                <w:b w:val="0"/>
                <w:bCs w:val="0"/>
                <w:color w:val="000000" w:themeColor="text1"/>
                <w:sz w:val="24"/>
                <w:szCs w:val="24"/>
                <w:highlight w:val="none"/>
                <w:lang w:eastAsia="zh-CN"/>
                <w14:textFill>
                  <w14:solidFill>
                    <w14:schemeClr w14:val="tx1"/>
                  </w14:solidFill>
                </w14:textFill>
              </w:rPr>
              <w:t>；</w:t>
            </w:r>
          </w:p>
          <w:p w14:paraId="4E370462">
            <w:pPr>
              <w:pStyle w:val="78"/>
              <w:keepNext w:val="0"/>
              <w:keepLines w:val="0"/>
              <w:pageBreakBefore w:val="0"/>
              <w:widowControl w:val="0"/>
              <w:kinsoku/>
              <w:wordWrap/>
              <w:overflowPunct/>
              <w:topLinePunct w:val="0"/>
              <w:autoSpaceDE/>
              <w:autoSpaceDN/>
              <w:bidi w:val="0"/>
              <w:adjustRightInd/>
              <w:snapToGrid/>
              <w:spacing w:after="0" w:line="400" w:lineRule="exact"/>
              <w:textAlignment w:val="auto"/>
              <w:rPr>
                <w:b w:val="0"/>
                <w:bCs w:val="0"/>
                <w:color w:val="000000" w:themeColor="text1"/>
                <w:sz w:val="24"/>
                <w:szCs w:val="24"/>
                <w:highlight w:val="none"/>
                <w:lang w:eastAsia="zh-CN"/>
                <w14:textFill>
                  <w14:solidFill>
                    <w14:schemeClr w14:val="tx1"/>
                  </w14:solidFill>
                </w14:textFill>
              </w:rPr>
            </w:pPr>
            <w:r>
              <w:rPr>
                <w:rFonts w:hint="eastAsia"/>
                <w:b w:val="0"/>
                <w:bCs w:val="0"/>
                <w:color w:val="000000" w:themeColor="text1"/>
                <w:sz w:val="24"/>
                <w:szCs w:val="24"/>
                <w:highlight w:val="none"/>
                <w:lang w:val="en-US" w:eastAsia="zh-CN"/>
                <w14:textFill>
                  <w14:solidFill>
                    <w14:schemeClr w14:val="tx1"/>
                  </w14:solidFill>
                </w14:textFill>
              </w:rPr>
              <w:t>（2）供应商必须是具有独立承担民事责任能力的在中华人民共和国境内注册的法人或其他组织，投标时提交有效的</w:t>
            </w:r>
            <w:r>
              <w:rPr>
                <w:rFonts w:hint="eastAsia"/>
                <w:b/>
                <w:bCs/>
                <w:color w:val="000000" w:themeColor="text1"/>
                <w:sz w:val="24"/>
                <w:szCs w:val="24"/>
                <w:highlight w:val="none"/>
                <w:lang w:val="en-US" w:eastAsia="zh-CN"/>
                <w14:textFill>
                  <w14:solidFill>
                    <w14:schemeClr w14:val="tx1"/>
                  </w14:solidFill>
                </w14:textFill>
              </w:rPr>
              <w:t>营业执照副本</w:t>
            </w:r>
            <w:r>
              <w:rPr>
                <w:rFonts w:hint="eastAsia"/>
                <w:b w:val="0"/>
                <w:bCs w:val="0"/>
                <w:color w:val="000000" w:themeColor="text1"/>
                <w:sz w:val="24"/>
                <w:szCs w:val="24"/>
                <w:highlight w:val="none"/>
                <w:lang w:val="en-US" w:eastAsia="zh-CN"/>
                <w14:textFill>
                  <w14:solidFill>
                    <w14:schemeClr w14:val="tx1"/>
                  </w14:solidFill>
                </w14:textFill>
              </w:rPr>
              <w:t>，并要求本项目相适应的相关经营范围，具有相应的人员、设备、资金等方面的能力</w:t>
            </w:r>
            <w:r>
              <w:rPr>
                <w:rFonts w:hint="eastAsia"/>
                <w:b w:val="0"/>
                <w:bCs w:val="0"/>
                <w:color w:val="000000" w:themeColor="text1"/>
                <w:sz w:val="24"/>
                <w:szCs w:val="24"/>
                <w:highlight w:val="none"/>
                <w:lang w:eastAsia="zh-CN"/>
                <w14:textFill>
                  <w14:solidFill>
                    <w14:schemeClr w14:val="tx1"/>
                  </w14:solidFill>
                </w14:textFill>
              </w:rPr>
              <w:t>。</w:t>
            </w:r>
          </w:p>
          <w:p w14:paraId="3D76788C">
            <w:pPr>
              <w:pStyle w:val="78"/>
              <w:keepNext w:val="0"/>
              <w:keepLines w:val="0"/>
              <w:pageBreakBefore w:val="0"/>
              <w:widowControl w:val="0"/>
              <w:kinsoku/>
              <w:wordWrap/>
              <w:overflowPunct/>
              <w:topLinePunct w:val="0"/>
              <w:autoSpaceDE/>
              <w:autoSpaceDN/>
              <w:bidi w:val="0"/>
              <w:adjustRightInd/>
              <w:snapToGrid/>
              <w:spacing w:after="160" w:line="400" w:lineRule="exact"/>
              <w:textAlignment w:val="auto"/>
              <w:rPr>
                <w:rFonts w:hint="eastAsia"/>
                <w:color w:val="000000" w:themeColor="text1"/>
                <w:sz w:val="24"/>
                <w:szCs w:val="24"/>
                <w:highlight w:val="none"/>
                <w14:textFill>
                  <w14:solidFill>
                    <w14:schemeClr w14:val="tx1"/>
                  </w14:solidFill>
                </w14:textFill>
              </w:rPr>
            </w:pPr>
          </w:p>
          <w:p w14:paraId="7A48F10F">
            <w:pPr>
              <w:pStyle w:val="78"/>
              <w:keepNext w:val="0"/>
              <w:keepLines w:val="0"/>
              <w:pageBreakBefore w:val="0"/>
              <w:widowControl w:val="0"/>
              <w:kinsoku/>
              <w:wordWrap/>
              <w:overflowPunct/>
              <w:topLinePunct w:val="0"/>
              <w:autoSpaceDE/>
              <w:autoSpaceDN/>
              <w:bidi w:val="0"/>
              <w:adjustRightInd/>
              <w:snapToGrid/>
              <w:spacing w:after="160" w:line="400" w:lineRule="exact"/>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财务要求：</w:t>
            </w:r>
            <w:r>
              <w:rPr>
                <w:rFonts w:hint="eastAsia"/>
                <w:b w:val="0"/>
                <w:bCs w:val="0"/>
                <w:color w:val="000000" w:themeColor="text1"/>
                <w:sz w:val="24"/>
                <w:szCs w:val="24"/>
                <w:highlight w:val="none"/>
                <w:lang w:val="zh-CN"/>
                <w14:textFill>
                  <w14:solidFill>
                    <w14:schemeClr w14:val="tx1"/>
                  </w14:solidFill>
                </w14:textFill>
              </w:rPr>
              <w:t>近年（2023年度）财务审计报告或财务报表（含资产负债表、现金流量表、利润表），新成立企业提供当年验资报告或银行出具的公司资信证明</w:t>
            </w:r>
            <w:r>
              <w:rPr>
                <w:rFonts w:hint="eastAsia"/>
                <w:b w:val="0"/>
                <w:bCs w:val="0"/>
                <w:color w:val="000000" w:themeColor="text1"/>
                <w:sz w:val="24"/>
                <w:szCs w:val="24"/>
                <w:highlight w:val="none"/>
                <w:lang w:val="en-US" w:eastAsia="zh-CN"/>
                <w14:textFill>
                  <w14:solidFill>
                    <w14:schemeClr w14:val="tx1"/>
                  </w14:solidFill>
                </w14:textFill>
              </w:rPr>
              <w:t>。</w:t>
            </w:r>
          </w:p>
          <w:p w14:paraId="2883ABE1">
            <w:pPr>
              <w:pStyle w:val="78"/>
              <w:keepNext w:val="0"/>
              <w:keepLines w:val="0"/>
              <w:pageBreakBefore w:val="0"/>
              <w:widowControl w:val="0"/>
              <w:kinsoku/>
              <w:wordWrap/>
              <w:overflowPunct/>
              <w:topLinePunct w:val="0"/>
              <w:autoSpaceDE/>
              <w:autoSpaceDN/>
              <w:bidi w:val="0"/>
              <w:adjustRightInd/>
              <w:snapToGrid/>
              <w:spacing w:after="0" w:line="400" w:lineRule="exact"/>
              <w:textAlignment w:val="auto"/>
              <w:rPr>
                <w:rFonts w:hint="eastAsia"/>
                <w:color w:val="000000" w:themeColor="text1"/>
                <w:sz w:val="24"/>
                <w:szCs w:val="24"/>
                <w:highlight w:val="none"/>
                <w14:textFill>
                  <w14:solidFill>
                    <w14:schemeClr w14:val="tx1"/>
                  </w14:solidFill>
                </w14:textFill>
              </w:rPr>
            </w:pPr>
          </w:p>
          <w:p w14:paraId="5807469F">
            <w:pPr>
              <w:pStyle w:val="78"/>
              <w:keepNext w:val="0"/>
              <w:keepLines w:val="0"/>
              <w:pageBreakBefore w:val="0"/>
              <w:widowControl w:val="0"/>
              <w:kinsoku/>
              <w:wordWrap/>
              <w:overflowPunct/>
              <w:topLinePunct w:val="0"/>
              <w:autoSpaceDE/>
              <w:autoSpaceDN/>
              <w:bidi w:val="0"/>
              <w:adjustRightInd/>
              <w:snapToGrid/>
              <w:spacing w:after="0" w:line="400" w:lineRule="exact"/>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信誉要求：</w:t>
            </w:r>
          </w:p>
          <w:p w14:paraId="59AB8729">
            <w:pPr>
              <w:pStyle w:val="78"/>
              <w:keepNext w:val="0"/>
              <w:keepLines w:val="0"/>
              <w:pageBreakBefore w:val="0"/>
              <w:widowControl w:val="0"/>
              <w:tabs>
                <w:tab w:val="left" w:pos="422"/>
              </w:tabs>
              <w:kinsoku/>
              <w:wordWrap/>
              <w:overflowPunct/>
              <w:topLinePunct w:val="0"/>
              <w:autoSpaceDE/>
              <w:autoSpaceDN/>
              <w:bidi w:val="0"/>
              <w:adjustRightInd/>
              <w:snapToGrid/>
              <w:spacing w:after="0" w:line="400" w:lineRule="exact"/>
              <w:textAlignment w:val="auto"/>
              <w:rPr>
                <w:b w:val="0"/>
                <w:bCs w:val="0"/>
                <w:color w:val="000000" w:themeColor="text1"/>
                <w:sz w:val="24"/>
                <w:szCs w:val="24"/>
                <w:highlight w:val="none"/>
                <w:lang w:eastAsia="zh-CN"/>
                <w14:textFill>
                  <w14:solidFill>
                    <w14:schemeClr w14:val="tx1"/>
                  </w14:solidFill>
                </w14:textFill>
              </w:rPr>
            </w:pPr>
            <w:r>
              <w:rPr>
                <w:rFonts w:hint="eastAsia"/>
                <w:b w:val="0"/>
                <w:bCs w:val="0"/>
                <w:color w:val="000000" w:themeColor="text1"/>
                <w:sz w:val="24"/>
                <w:szCs w:val="24"/>
                <w:highlight w:val="none"/>
                <w14:textFill>
                  <w14:solidFill>
                    <w14:schemeClr w14:val="tx1"/>
                  </w14:solidFill>
                </w14:textFill>
              </w:rPr>
              <w:t>（1）拒绝列入政府取消投标资格记录期间的企业或个人投标（提供由法定代表人或其委托代理人签字并加盖单位公章的承诺书）</w:t>
            </w:r>
            <w:r>
              <w:rPr>
                <w:rFonts w:hint="eastAsia"/>
                <w:b w:val="0"/>
                <w:bCs w:val="0"/>
                <w:color w:val="000000" w:themeColor="text1"/>
                <w:sz w:val="24"/>
                <w:szCs w:val="24"/>
                <w:highlight w:val="none"/>
                <w:lang w:eastAsia="zh-CN"/>
                <w14:textFill>
                  <w14:solidFill>
                    <w14:schemeClr w14:val="tx1"/>
                  </w14:solidFill>
                </w14:textFill>
              </w:rPr>
              <w:t>；</w:t>
            </w:r>
          </w:p>
          <w:p w14:paraId="5A67E621">
            <w:pPr>
              <w:pStyle w:val="78"/>
              <w:keepNext w:val="0"/>
              <w:keepLines w:val="0"/>
              <w:pageBreakBefore w:val="0"/>
              <w:widowControl w:val="0"/>
              <w:tabs>
                <w:tab w:val="left" w:pos="528"/>
              </w:tabs>
              <w:kinsoku/>
              <w:wordWrap/>
              <w:overflowPunct/>
              <w:topLinePunct w:val="0"/>
              <w:autoSpaceDE/>
              <w:autoSpaceDN/>
              <w:bidi w:val="0"/>
              <w:adjustRightInd/>
              <w:snapToGrid/>
              <w:spacing w:after="0" w:line="400" w:lineRule="exact"/>
              <w:textAlignment w:val="auto"/>
              <w:rPr>
                <w:rFonts w:hint="eastAsia" w:eastAsia="宋体"/>
                <w:b w:val="0"/>
                <w:bCs w:val="0"/>
                <w:color w:val="000000" w:themeColor="text1"/>
                <w:sz w:val="24"/>
                <w:szCs w:val="24"/>
                <w:highlight w:val="none"/>
                <w:lang w:val="en-US" w:eastAsia="zh-CN"/>
                <w14:textFill>
                  <w14:solidFill>
                    <w14:schemeClr w14:val="tx1"/>
                  </w14:solidFill>
                </w14:textFill>
              </w:rPr>
            </w:pPr>
            <w:r>
              <w:rPr>
                <w:rFonts w:hint="eastAsia"/>
                <w:b w:val="0"/>
                <w:bCs w:val="0"/>
                <w:color w:val="000000" w:themeColor="text1"/>
                <w:sz w:val="24"/>
                <w:szCs w:val="24"/>
                <w:highlight w:val="none"/>
                <w14:textFill>
                  <w14:solidFill>
                    <w14:schemeClr w14:val="tx1"/>
                  </w14:solidFill>
                </w14:textFill>
              </w:rPr>
              <w:t>（</w:t>
            </w:r>
            <w:r>
              <w:rPr>
                <w:rFonts w:hint="eastAsia"/>
                <w:b w:val="0"/>
                <w:bCs w:val="0"/>
                <w:color w:val="000000" w:themeColor="text1"/>
                <w:sz w:val="24"/>
                <w:szCs w:val="24"/>
                <w:highlight w:val="none"/>
                <w:lang w:val="en-US" w:eastAsia="zh-CN"/>
                <w14:textFill>
                  <w14:solidFill>
                    <w14:schemeClr w14:val="tx1"/>
                  </w14:solidFill>
                </w14:textFill>
              </w:rPr>
              <w:t>2</w:t>
            </w:r>
            <w:r>
              <w:rPr>
                <w:rFonts w:hint="eastAsia"/>
                <w:b w:val="0"/>
                <w:bCs w:val="0"/>
                <w:color w:val="000000" w:themeColor="text1"/>
                <w:sz w:val="24"/>
                <w:szCs w:val="24"/>
                <w:highlight w:val="none"/>
                <w14:textFill>
                  <w14:solidFill>
                    <w14:schemeClr w14:val="tx1"/>
                  </w14:solidFill>
                </w14:textFill>
              </w:rPr>
              <w:t>）供应商须对供应商、法定代表人、拟委任的项目经理进行行贿犯罪档案查询</w:t>
            </w:r>
            <w:r>
              <w:rPr>
                <w:rFonts w:hint="eastAsia"/>
                <w:b w:val="0"/>
                <w:bCs w:val="0"/>
                <w:color w:val="000000" w:themeColor="text1"/>
                <w:sz w:val="24"/>
                <w:szCs w:val="24"/>
                <w:highlight w:val="none"/>
                <w:lang w:eastAsia="zh-CN"/>
                <w14:textFill>
                  <w14:solidFill>
                    <w14:schemeClr w14:val="tx1"/>
                  </w14:solidFill>
                </w14:textFill>
              </w:rPr>
              <w:t>[登录中国裁判文书网自行查询,查询时间范围必须包括：本项目信息公告发布之日起（含公告发布当日）前三年]</w:t>
            </w:r>
            <w:r>
              <w:rPr>
                <w:rFonts w:hint="eastAsia"/>
                <w:b w:val="0"/>
                <w:bCs w:val="0"/>
                <w:color w:val="000000" w:themeColor="text1"/>
                <w:sz w:val="24"/>
                <w:szCs w:val="24"/>
                <w:highlight w:val="none"/>
                <w14:textFill>
                  <w14:solidFill>
                    <w14:schemeClr w14:val="tx1"/>
                  </w14:solidFill>
                </w14:textFill>
              </w:rPr>
              <w:t>（</w:t>
            </w:r>
            <w:r>
              <w:rPr>
                <w:rFonts w:hint="eastAsia"/>
                <w:b w:val="0"/>
                <w:bCs w:val="0"/>
                <w:color w:val="000000" w:themeColor="text1"/>
                <w:sz w:val="24"/>
                <w:szCs w:val="24"/>
                <w:highlight w:val="none"/>
                <w:lang w:eastAsia="zh-CN"/>
                <w14:textFill>
                  <w14:solidFill>
                    <w14:schemeClr w14:val="tx1"/>
                  </w14:solidFill>
                </w14:textFill>
              </w:rPr>
              <w:t>须提供网络截图加盖公章</w:t>
            </w:r>
            <w:r>
              <w:rPr>
                <w:rFonts w:hint="eastAsia"/>
                <w:b w:val="0"/>
                <w:bCs w:val="0"/>
                <w:color w:val="000000" w:themeColor="text1"/>
                <w:sz w:val="24"/>
                <w:szCs w:val="24"/>
                <w:highlight w:val="none"/>
                <w14:textFill>
                  <w14:solidFill>
                    <w14:schemeClr w14:val="tx1"/>
                  </w14:solidFill>
                </w14:textFill>
              </w:rPr>
              <w:t>）</w:t>
            </w:r>
            <w:r>
              <w:rPr>
                <w:rFonts w:hint="eastAsia"/>
                <w:b w:val="0"/>
                <w:bCs w:val="0"/>
                <w:color w:val="000000" w:themeColor="text1"/>
                <w:sz w:val="24"/>
                <w:szCs w:val="24"/>
                <w:highlight w:val="none"/>
                <w:lang w:eastAsia="zh-CN"/>
                <w14:textFill>
                  <w14:solidFill>
                    <w14:schemeClr w14:val="tx1"/>
                  </w14:solidFill>
                </w14:textFill>
              </w:rPr>
              <w:t>；</w:t>
            </w:r>
          </w:p>
          <w:p w14:paraId="144F2FB0">
            <w:pPr>
              <w:pStyle w:val="78"/>
              <w:keepNext w:val="0"/>
              <w:keepLines w:val="0"/>
              <w:pageBreakBefore w:val="0"/>
              <w:widowControl w:val="0"/>
              <w:tabs>
                <w:tab w:val="left" w:pos="427"/>
              </w:tabs>
              <w:kinsoku/>
              <w:wordWrap/>
              <w:overflowPunct/>
              <w:topLinePunct w:val="0"/>
              <w:autoSpaceDE/>
              <w:autoSpaceDN/>
              <w:bidi w:val="0"/>
              <w:adjustRightInd/>
              <w:snapToGrid/>
              <w:spacing w:after="0" w:line="400" w:lineRule="exact"/>
              <w:textAlignment w:val="auto"/>
              <w:rPr>
                <w:b w:val="0"/>
                <w:bCs w:val="0"/>
                <w:color w:val="000000" w:themeColor="text1"/>
                <w:sz w:val="24"/>
                <w:szCs w:val="24"/>
                <w:highlight w:val="none"/>
                <w:lang w:eastAsia="zh-CN"/>
                <w14:textFill>
                  <w14:solidFill>
                    <w14:schemeClr w14:val="tx1"/>
                  </w14:solidFill>
                </w14:textFill>
              </w:rPr>
            </w:pPr>
            <w:r>
              <w:rPr>
                <w:rFonts w:hint="eastAsia"/>
                <w:b w:val="0"/>
                <w:bCs w:val="0"/>
                <w:color w:val="000000" w:themeColor="text1"/>
                <w:sz w:val="24"/>
                <w:szCs w:val="24"/>
                <w:highlight w:val="none"/>
                <w14:textFill>
                  <w14:solidFill>
                    <w14:schemeClr w14:val="tx1"/>
                  </w14:solidFill>
                </w14:textFill>
              </w:rPr>
              <w:t>（</w:t>
            </w:r>
            <w:r>
              <w:rPr>
                <w:rFonts w:hint="eastAsia"/>
                <w:b w:val="0"/>
                <w:bCs w:val="0"/>
                <w:color w:val="000000" w:themeColor="text1"/>
                <w:sz w:val="24"/>
                <w:szCs w:val="24"/>
                <w:highlight w:val="none"/>
                <w:lang w:val="en-US" w:eastAsia="zh-CN"/>
                <w14:textFill>
                  <w14:solidFill>
                    <w14:schemeClr w14:val="tx1"/>
                  </w14:solidFill>
                </w14:textFill>
              </w:rPr>
              <w:t>3</w:t>
            </w:r>
            <w:r>
              <w:rPr>
                <w:rFonts w:hint="eastAsia"/>
                <w:b w:val="0"/>
                <w:bCs w:val="0"/>
                <w:color w:val="000000" w:themeColor="text1"/>
                <w:sz w:val="24"/>
                <w:szCs w:val="24"/>
                <w:highlight w:val="none"/>
                <w14:textFill>
                  <w14:solidFill>
                    <w14:schemeClr w14:val="tx1"/>
                  </w14:solidFill>
                </w14:textFill>
              </w:rPr>
              <w:t>）</w:t>
            </w:r>
            <w:r>
              <w:rPr>
                <w:rFonts w:hint="eastAsia"/>
                <w:b w:val="0"/>
                <w:bCs w:val="0"/>
                <w:color w:val="000000" w:themeColor="text1"/>
                <w:sz w:val="24"/>
                <w:szCs w:val="24"/>
                <w:highlight w:val="none"/>
                <w:lang w:eastAsia="zh-CN"/>
                <w14:textFill>
                  <w14:solidFill>
                    <w14:schemeClr w14:val="tx1"/>
                  </w14:solidFill>
                </w14:textFill>
              </w:rPr>
              <w:t>未被工商行政管理机关在国家企业信用信息公示系统</w:t>
            </w:r>
            <w:r>
              <w:rPr>
                <w:rFonts w:hint="eastAsia"/>
                <w:b w:val="0"/>
                <w:bCs w:val="0"/>
                <w:color w:val="000000" w:themeColor="text1"/>
                <w:sz w:val="24"/>
                <w:szCs w:val="24"/>
                <w:highlight w:val="none"/>
                <w:lang w:val="en-US" w:eastAsia="zh-CN" w:bidi="en-US"/>
                <w14:textFill>
                  <w14:solidFill>
                    <w14:schemeClr w14:val="tx1"/>
                  </w14:solidFill>
                </w14:textFill>
              </w:rPr>
              <w:t>（http://www.gsxt.gov.cn/）</w:t>
            </w:r>
            <w:r>
              <w:rPr>
                <w:rFonts w:hint="eastAsia"/>
                <w:b w:val="0"/>
                <w:bCs w:val="0"/>
                <w:color w:val="000000" w:themeColor="text1"/>
                <w:sz w:val="24"/>
                <w:szCs w:val="24"/>
                <w:highlight w:val="none"/>
                <w14:textFill>
                  <w14:solidFill>
                    <w14:schemeClr w14:val="tx1"/>
                  </w14:solidFill>
                </w14:textFill>
              </w:rPr>
              <w:t>中列入严重违法失信企业名单（</w:t>
            </w:r>
            <w:r>
              <w:rPr>
                <w:rFonts w:hint="eastAsia"/>
                <w:b w:val="0"/>
                <w:bCs w:val="0"/>
                <w:color w:val="000000" w:themeColor="text1"/>
                <w:sz w:val="24"/>
                <w:szCs w:val="24"/>
                <w:highlight w:val="none"/>
                <w:lang w:eastAsia="zh-CN"/>
                <w14:textFill>
                  <w14:solidFill>
                    <w14:schemeClr w14:val="tx1"/>
                  </w14:solidFill>
                </w14:textFill>
              </w:rPr>
              <w:t>须提供网络截图加盖公章</w:t>
            </w:r>
            <w:r>
              <w:rPr>
                <w:rFonts w:hint="eastAsia"/>
                <w:b w:val="0"/>
                <w:bCs w:val="0"/>
                <w:color w:val="000000" w:themeColor="text1"/>
                <w:sz w:val="24"/>
                <w:szCs w:val="24"/>
                <w:highlight w:val="none"/>
                <w14:textFill>
                  <w14:solidFill>
                    <w14:schemeClr w14:val="tx1"/>
                  </w14:solidFill>
                </w14:textFill>
              </w:rPr>
              <w:t>）</w:t>
            </w:r>
            <w:r>
              <w:rPr>
                <w:rFonts w:hint="eastAsia"/>
                <w:b w:val="0"/>
                <w:bCs w:val="0"/>
                <w:color w:val="000000" w:themeColor="text1"/>
                <w:sz w:val="24"/>
                <w:szCs w:val="24"/>
                <w:highlight w:val="none"/>
                <w:lang w:eastAsia="zh-CN"/>
                <w14:textFill>
                  <w14:solidFill>
                    <w14:schemeClr w14:val="tx1"/>
                  </w14:solidFill>
                </w14:textFill>
              </w:rPr>
              <w:t>；</w:t>
            </w:r>
          </w:p>
          <w:p w14:paraId="77717092">
            <w:pPr>
              <w:pStyle w:val="78"/>
              <w:keepNext w:val="0"/>
              <w:keepLines w:val="0"/>
              <w:pageBreakBefore w:val="0"/>
              <w:widowControl w:val="0"/>
              <w:tabs>
                <w:tab w:val="left" w:pos="422"/>
              </w:tabs>
              <w:kinsoku/>
              <w:wordWrap/>
              <w:overflowPunct/>
              <w:topLinePunct w:val="0"/>
              <w:autoSpaceDE/>
              <w:autoSpaceDN/>
              <w:bidi w:val="0"/>
              <w:adjustRightInd/>
              <w:snapToGrid/>
              <w:spacing w:after="0" w:line="400" w:lineRule="exact"/>
              <w:textAlignment w:val="auto"/>
              <w:rPr>
                <w:b w:val="0"/>
                <w:bCs w:val="0"/>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14:textFill>
                  <w14:solidFill>
                    <w14:schemeClr w14:val="tx1"/>
                  </w14:solidFill>
                </w14:textFill>
              </w:rPr>
              <w:t>（</w:t>
            </w:r>
            <w:r>
              <w:rPr>
                <w:rFonts w:hint="eastAsia"/>
                <w:b w:val="0"/>
                <w:bCs w:val="0"/>
                <w:color w:val="000000" w:themeColor="text1"/>
                <w:sz w:val="24"/>
                <w:szCs w:val="24"/>
                <w:highlight w:val="none"/>
                <w:lang w:val="en-US" w:eastAsia="zh-CN"/>
                <w14:textFill>
                  <w14:solidFill>
                    <w14:schemeClr w14:val="tx1"/>
                  </w14:solidFill>
                </w14:textFill>
              </w:rPr>
              <w:t>4</w:t>
            </w:r>
            <w:r>
              <w:rPr>
                <w:rFonts w:hint="eastAsia"/>
                <w:b w:val="0"/>
                <w:bCs w:val="0"/>
                <w:color w:val="000000" w:themeColor="text1"/>
                <w:sz w:val="24"/>
                <w:szCs w:val="24"/>
                <w:highlight w:val="none"/>
                <w14:textFill>
                  <w14:solidFill>
                    <w14:schemeClr w14:val="tx1"/>
                  </w14:solidFill>
                </w14:textFill>
              </w:rPr>
              <w:t>）</w:t>
            </w:r>
            <w:r>
              <w:rPr>
                <w:rFonts w:hint="eastAsia"/>
                <w:b w:val="0"/>
                <w:bCs w:val="0"/>
                <w:color w:val="000000" w:themeColor="text1"/>
                <w:sz w:val="24"/>
                <w:szCs w:val="24"/>
                <w:highlight w:val="none"/>
                <w14:textFill>
                  <w14:solidFill>
                    <w14:schemeClr w14:val="tx1"/>
                  </w14:solidFill>
                </w14:textFill>
              </w:rPr>
              <w:tab/>
            </w:r>
            <w:r>
              <w:rPr>
                <w:rFonts w:hint="eastAsia"/>
                <w:b w:val="0"/>
                <w:bCs w:val="0"/>
                <w:color w:val="000000" w:themeColor="text1"/>
                <w:sz w:val="24"/>
                <w:szCs w:val="24"/>
                <w:highlight w:val="none"/>
                <w14:textFill>
                  <w14:solidFill>
                    <w14:schemeClr w14:val="tx1"/>
                  </w14:solidFill>
                </w14:textFill>
              </w:rPr>
              <w:t>供应商未被列入</w:t>
            </w:r>
            <w:r>
              <w:rPr>
                <w:rFonts w:hint="eastAsia"/>
                <w:b w:val="0"/>
                <w:bCs w:val="0"/>
                <w:color w:val="000000" w:themeColor="text1"/>
                <w:sz w:val="24"/>
                <w:szCs w:val="24"/>
                <w:highlight w:val="none"/>
                <w:lang w:eastAsia="zh-CN"/>
                <w14:textFill>
                  <w14:solidFill>
                    <w14:schemeClr w14:val="tx1"/>
                  </w14:solidFill>
                </w14:textFill>
              </w:rPr>
              <w:t>“</w:t>
            </w:r>
            <w:r>
              <w:rPr>
                <w:rFonts w:hint="eastAsia"/>
                <w:b w:val="0"/>
                <w:bCs w:val="0"/>
                <w:color w:val="000000" w:themeColor="text1"/>
                <w:sz w:val="24"/>
                <w:szCs w:val="24"/>
                <w:highlight w:val="none"/>
                <w14:textFill>
                  <w14:solidFill>
                    <w14:schemeClr w14:val="tx1"/>
                  </w14:solidFill>
                </w14:textFill>
              </w:rPr>
              <w:t>信用</w:t>
            </w:r>
            <w:r>
              <w:rPr>
                <w:rFonts w:hint="eastAsia"/>
                <w:b w:val="0"/>
                <w:bCs w:val="0"/>
                <w:color w:val="000000" w:themeColor="text1"/>
                <w:sz w:val="24"/>
                <w:szCs w:val="24"/>
                <w:highlight w:val="none"/>
                <w:lang w:val="zh-CN" w:eastAsia="zh-CN" w:bidi="zh-CN"/>
                <w14:textFill>
                  <w14:solidFill>
                    <w14:schemeClr w14:val="tx1"/>
                  </w14:solidFill>
                </w14:textFill>
              </w:rPr>
              <w:t>中国”</w:t>
            </w:r>
            <w:r>
              <w:rPr>
                <w:rFonts w:hint="eastAsia"/>
                <w:b w:val="0"/>
                <w:bCs w:val="0"/>
                <w:color w:val="000000" w:themeColor="text1"/>
                <w:sz w:val="24"/>
                <w:szCs w:val="24"/>
                <w:highlight w:val="none"/>
                <w14:textFill>
                  <w14:solidFill>
                    <w14:schemeClr w14:val="tx1"/>
                  </w14:solidFill>
                </w14:textFill>
              </w:rPr>
              <w:t>网站</w:t>
            </w:r>
          </w:p>
          <w:p w14:paraId="3EB13135">
            <w:pPr>
              <w:pStyle w:val="78"/>
              <w:keepNext w:val="0"/>
              <w:keepLines w:val="0"/>
              <w:pageBreakBefore w:val="0"/>
              <w:widowControl w:val="0"/>
              <w:kinsoku/>
              <w:wordWrap/>
              <w:overflowPunct/>
              <w:topLinePunct w:val="0"/>
              <w:autoSpaceDE/>
              <w:autoSpaceDN/>
              <w:bidi w:val="0"/>
              <w:adjustRightInd/>
              <w:snapToGrid/>
              <w:spacing w:after="0" w:line="400" w:lineRule="exact"/>
              <w:textAlignment w:val="auto"/>
              <w:rPr>
                <w:b w:val="0"/>
                <w:bCs w:val="0"/>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lang w:val="en-US" w:bidi="en-US"/>
                <w14:textFill>
                  <w14:solidFill>
                    <w14:schemeClr w14:val="tx1"/>
                  </w14:solidFill>
                </w14:textFill>
              </w:rPr>
              <w:t>（www.creditchina.gov.cn）</w:t>
            </w:r>
            <w:r>
              <w:rPr>
                <w:rFonts w:hint="eastAsia"/>
                <w:b w:val="0"/>
                <w:bCs w:val="0"/>
                <w:color w:val="000000" w:themeColor="text1"/>
                <w:sz w:val="24"/>
                <w:szCs w:val="24"/>
                <w:highlight w:val="none"/>
                <w14:textFill>
                  <w14:solidFill>
                    <w14:schemeClr w14:val="tx1"/>
                  </w14:solidFill>
                </w14:textFill>
              </w:rPr>
              <w:t>、中国政府采购网</w:t>
            </w:r>
          </w:p>
          <w:p w14:paraId="4D62CFA6">
            <w:pPr>
              <w:pStyle w:val="78"/>
              <w:keepNext w:val="0"/>
              <w:keepLines w:val="0"/>
              <w:pageBreakBefore w:val="0"/>
              <w:widowControl w:val="0"/>
              <w:kinsoku/>
              <w:wordWrap/>
              <w:overflowPunct/>
              <w:topLinePunct w:val="0"/>
              <w:autoSpaceDE/>
              <w:autoSpaceDN/>
              <w:bidi w:val="0"/>
              <w:adjustRightInd/>
              <w:snapToGrid/>
              <w:spacing w:after="240" w:line="400" w:lineRule="exact"/>
              <w:textAlignment w:val="auto"/>
              <w:rPr>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lang w:val="en-US" w:bidi="en-US"/>
                <w14:textFill>
                  <w14:solidFill>
                    <w14:schemeClr w14:val="tx1"/>
                  </w14:solidFill>
                </w14:textFill>
              </w:rPr>
              <w:t>（www.ccgp.gov.cn）</w:t>
            </w:r>
            <w:r>
              <w:rPr>
                <w:rFonts w:hint="eastAsia"/>
                <w:b w:val="0"/>
                <w:bCs w:val="0"/>
                <w:color w:val="000000" w:themeColor="text1"/>
                <w:sz w:val="24"/>
                <w:szCs w:val="24"/>
                <w:highlight w:val="none"/>
                <w14:textFill>
                  <w14:solidFill>
                    <w14:schemeClr w14:val="tx1"/>
                  </w14:solidFill>
                </w14:textFill>
              </w:rPr>
              <w:t>等渠道信用记录失信被执行人、</w:t>
            </w:r>
            <w:r>
              <w:rPr>
                <w:rFonts w:hint="eastAsia"/>
                <w:b w:val="0"/>
                <w:bCs w:val="0"/>
                <w:color w:val="000000" w:themeColor="text1"/>
                <w:sz w:val="24"/>
                <w:szCs w:val="24"/>
                <w:highlight w:val="none"/>
                <w:lang w:eastAsia="zh-CN"/>
                <w14:textFill>
                  <w14:solidFill>
                    <w14:schemeClr w14:val="tx1"/>
                  </w14:solidFill>
                </w14:textFill>
              </w:rPr>
              <w:t>重大税收违法失信主体</w:t>
            </w:r>
            <w:r>
              <w:rPr>
                <w:rFonts w:hint="eastAsia"/>
                <w:b w:val="0"/>
                <w:bCs w:val="0"/>
                <w:color w:val="000000" w:themeColor="text1"/>
                <w:sz w:val="24"/>
                <w:szCs w:val="24"/>
                <w:highlight w:val="none"/>
                <w14:textFill>
                  <w14:solidFill>
                    <w14:schemeClr w14:val="tx1"/>
                  </w14:solidFill>
                </w14:textFill>
              </w:rPr>
              <w:t>、政府采购严重违法失信行为记录名单（</w:t>
            </w:r>
            <w:r>
              <w:rPr>
                <w:rFonts w:hint="eastAsia"/>
                <w:b w:val="0"/>
                <w:bCs w:val="0"/>
                <w:color w:val="000000" w:themeColor="text1"/>
                <w:sz w:val="24"/>
                <w:szCs w:val="24"/>
                <w:highlight w:val="none"/>
                <w:lang w:eastAsia="zh-CN"/>
                <w14:textFill>
                  <w14:solidFill>
                    <w14:schemeClr w14:val="tx1"/>
                  </w14:solidFill>
                </w14:textFill>
              </w:rPr>
              <w:t>须提供网络截图加盖公章</w:t>
            </w:r>
            <w:r>
              <w:rPr>
                <w:rFonts w:hint="eastAsia"/>
                <w:b w:val="0"/>
                <w:bCs w:val="0"/>
                <w:color w:val="000000" w:themeColor="text1"/>
                <w:sz w:val="24"/>
                <w:szCs w:val="24"/>
                <w:highlight w:val="none"/>
                <w14:textFill>
                  <w14:solidFill>
                    <w14:schemeClr w14:val="tx1"/>
                  </w14:solidFill>
                </w14:textFill>
              </w:rPr>
              <w:t>）。</w:t>
            </w:r>
          </w:p>
        </w:tc>
      </w:tr>
    </w:tbl>
    <w:p w14:paraId="01C30919">
      <w:pPr>
        <w:keepNext w:val="0"/>
        <w:keepLines w:val="0"/>
        <w:pageBreakBefore w:val="0"/>
        <w:widowControl w:val="0"/>
        <w:kinsoku/>
        <w:wordWrap/>
        <w:overflowPunct/>
        <w:topLinePunct w:val="0"/>
        <w:bidi w:val="0"/>
        <w:snapToGrid/>
        <w:spacing w:line="400" w:lineRule="exact"/>
        <w:textAlignment w:val="auto"/>
        <w:rPr>
          <w:color w:val="000000" w:themeColor="text1"/>
          <w:sz w:val="2"/>
          <w:szCs w:val="2"/>
          <w:highlight w:val="none"/>
          <w:lang w:eastAsia="zh-TW"/>
          <w14:textFill>
            <w14:solidFill>
              <w14:schemeClr w14:val="tx1"/>
            </w14:solidFill>
          </w14:textFill>
        </w:rPr>
      </w:pPr>
      <w:r>
        <w:rPr>
          <w:color w:val="000000" w:themeColor="text1"/>
          <w:highlight w:val="none"/>
          <w:lang w:eastAsia="zh-TW"/>
          <w14:textFill>
            <w14:solidFill>
              <w14:schemeClr w14:val="tx1"/>
            </w14:solidFill>
          </w14:textFill>
        </w:rPr>
        <w:br w:type="page"/>
      </w:r>
    </w:p>
    <w:tbl>
      <w:tblPr>
        <w:tblStyle w:val="32"/>
        <w:tblW w:w="8328" w:type="dxa"/>
        <w:jc w:val="center"/>
        <w:tblLayout w:type="fixed"/>
        <w:tblCellMar>
          <w:top w:w="0" w:type="dxa"/>
          <w:left w:w="10" w:type="dxa"/>
          <w:bottom w:w="0" w:type="dxa"/>
          <w:right w:w="10" w:type="dxa"/>
        </w:tblCellMar>
      </w:tblPr>
      <w:tblGrid>
        <w:gridCol w:w="822"/>
        <w:gridCol w:w="1732"/>
        <w:gridCol w:w="5774"/>
      </w:tblGrid>
      <w:tr w14:paraId="6B7B2BF9">
        <w:tblPrEx>
          <w:tblCellMar>
            <w:top w:w="0" w:type="dxa"/>
            <w:left w:w="10" w:type="dxa"/>
            <w:bottom w:w="0" w:type="dxa"/>
            <w:right w:w="10" w:type="dxa"/>
          </w:tblCellMar>
        </w:tblPrEx>
        <w:trPr>
          <w:trHeight w:val="7068" w:hRule="exact"/>
          <w:jc w:val="center"/>
        </w:trPr>
        <w:tc>
          <w:tcPr>
            <w:tcW w:w="822" w:type="dxa"/>
            <w:tcBorders>
              <w:top w:val="single" w:color="auto" w:sz="4" w:space="0"/>
              <w:left w:val="single" w:color="auto" w:sz="4" w:space="0"/>
            </w:tcBorders>
            <w:shd w:val="clear" w:color="auto" w:fill="FFFFFF"/>
            <w:vAlign w:val="center"/>
          </w:tcPr>
          <w:p w14:paraId="52D59FCD">
            <w:pPr>
              <w:keepNext w:val="0"/>
              <w:keepLines w:val="0"/>
              <w:pageBreakBefore w:val="0"/>
              <w:widowControl w:val="0"/>
              <w:kinsoku/>
              <w:wordWrap/>
              <w:overflowPunct/>
              <w:topLinePunct w:val="0"/>
              <w:bidi w:val="0"/>
              <w:snapToGrid/>
              <w:spacing w:line="400" w:lineRule="exact"/>
              <w:jc w:val="center"/>
              <w:textAlignment w:val="auto"/>
              <w:rPr>
                <w:rFonts w:ascii="Calibri" w:hAnsi="Calibri"/>
                <w:color w:val="000000" w:themeColor="text1"/>
                <w:sz w:val="24"/>
                <w:szCs w:val="24"/>
                <w:highlight w:val="none"/>
                <w:lang w:eastAsia="zh-TW"/>
                <w14:textFill>
                  <w14:solidFill>
                    <w14:schemeClr w14:val="tx1"/>
                  </w14:solidFill>
                </w14:textFill>
              </w:rPr>
            </w:pPr>
          </w:p>
        </w:tc>
        <w:tc>
          <w:tcPr>
            <w:tcW w:w="1732" w:type="dxa"/>
            <w:tcBorders>
              <w:top w:val="single" w:color="auto" w:sz="4" w:space="0"/>
              <w:left w:val="single" w:color="auto" w:sz="4" w:space="0"/>
            </w:tcBorders>
            <w:shd w:val="clear" w:color="auto" w:fill="FFFFFF"/>
          </w:tcPr>
          <w:p w14:paraId="6C299654">
            <w:pPr>
              <w:keepNext w:val="0"/>
              <w:keepLines w:val="0"/>
              <w:pageBreakBefore w:val="0"/>
              <w:widowControl w:val="0"/>
              <w:kinsoku/>
              <w:wordWrap/>
              <w:overflowPunct/>
              <w:topLinePunct w:val="0"/>
              <w:bidi w:val="0"/>
              <w:snapToGrid/>
              <w:spacing w:line="400" w:lineRule="exact"/>
              <w:jc w:val="center"/>
              <w:textAlignment w:val="auto"/>
              <w:rPr>
                <w:rFonts w:ascii="Calibri" w:hAnsi="Calibri"/>
                <w:color w:val="000000" w:themeColor="text1"/>
                <w:sz w:val="24"/>
                <w:szCs w:val="24"/>
                <w:highlight w:val="none"/>
                <w:lang w:eastAsia="zh-TW"/>
                <w14:textFill>
                  <w14:solidFill>
                    <w14:schemeClr w14:val="tx1"/>
                  </w14:solidFill>
                </w14:textFill>
              </w:rPr>
            </w:pPr>
          </w:p>
        </w:tc>
        <w:tc>
          <w:tcPr>
            <w:tcW w:w="5774" w:type="dxa"/>
            <w:tcBorders>
              <w:top w:val="single" w:color="auto" w:sz="4" w:space="0"/>
              <w:left w:val="single" w:color="auto" w:sz="4" w:space="0"/>
              <w:right w:val="single" w:color="auto" w:sz="4" w:space="0"/>
            </w:tcBorders>
            <w:shd w:val="clear" w:color="auto" w:fill="FFFFFF"/>
          </w:tcPr>
          <w:p w14:paraId="15D441C5">
            <w:pPr>
              <w:pStyle w:val="78"/>
              <w:keepNext w:val="0"/>
              <w:keepLines w:val="0"/>
              <w:pageBreakBefore w:val="0"/>
              <w:widowControl w:val="0"/>
              <w:kinsoku/>
              <w:wordWrap/>
              <w:overflowPunct/>
              <w:topLinePunct w:val="0"/>
              <w:bidi w:val="0"/>
              <w:snapToGrid/>
              <w:spacing w:after="0" w:line="400" w:lineRule="exact"/>
              <w:textAlignment w:val="auto"/>
              <w:rPr>
                <w:color w:val="000000" w:themeColor="text1"/>
                <w:sz w:val="24"/>
                <w:szCs w:val="24"/>
                <w:highlight w:val="none"/>
                <w:lang w:eastAsia="zh-CN"/>
                <w14:textFill>
                  <w14:solidFill>
                    <w14:schemeClr w14:val="tx1"/>
                  </w14:solidFill>
                </w14:textFill>
              </w:rPr>
            </w:pPr>
            <w:r>
              <w:rPr>
                <w:rFonts w:hint="eastAsia"/>
                <w:color w:val="000000" w:themeColor="text1"/>
                <w:sz w:val="24"/>
                <w:szCs w:val="24"/>
                <w:highlight w:val="none"/>
                <w14:textFill>
                  <w14:solidFill>
                    <w14:schemeClr w14:val="tx1"/>
                  </w14:solidFill>
                </w14:textFill>
              </w:rPr>
              <w:t>项目</w:t>
            </w:r>
            <w:r>
              <w:rPr>
                <w:rFonts w:hint="eastAsia"/>
                <w:color w:val="000000" w:themeColor="text1"/>
                <w:sz w:val="24"/>
                <w:szCs w:val="24"/>
                <w:highlight w:val="none"/>
                <w:lang w:eastAsia="zh-CN"/>
                <w14:textFill>
                  <w14:solidFill>
                    <w14:schemeClr w14:val="tx1"/>
                  </w14:solidFill>
                </w14:textFill>
              </w:rPr>
              <w:t>负责人</w:t>
            </w:r>
            <w:r>
              <w:rPr>
                <w:rFonts w:hint="eastAsia"/>
                <w:color w:val="000000" w:themeColor="text1"/>
                <w:sz w:val="24"/>
                <w:szCs w:val="24"/>
                <w:highlight w:val="none"/>
                <w14:textFill>
                  <w14:solidFill>
                    <w14:schemeClr w14:val="tx1"/>
                  </w14:solidFill>
                </w14:textFill>
              </w:rPr>
              <w:t>资格：</w:t>
            </w:r>
            <w:r>
              <w:rPr>
                <w:rFonts w:hint="eastAsia"/>
                <w:b/>
                <w:bCs/>
                <w:color w:val="000000" w:themeColor="text1"/>
                <w:sz w:val="24"/>
                <w:szCs w:val="24"/>
                <w:highlight w:val="none"/>
                <w:lang w:val="en-US" w:eastAsia="zh-CN"/>
                <w14:textFill>
                  <w14:solidFill>
                    <w14:schemeClr w14:val="tx1"/>
                  </w14:solidFill>
                </w14:textFill>
              </w:rPr>
              <w:t>供应商须具有保证服务顺利实施完成的人员和专业技术能力条件</w:t>
            </w:r>
            <w:r>
              <w:rPr>
                <w:rFonts w:hint="eastAsia"/>
                <w:b w:val="0"/>
                <w:bCs w:val="0"/>
                <w:color w:val="000000" w:themeColor="text1"/>
                <w:sz w:val="24"/>
                <w:szCs w:val="24"/>
                <w:highlight w:val="none"/>
                <w:lang w:val="en-US" w:eastAsia="zh-CN"/>
                <w14:textFill>
                  <w14:solidFill>
                    <w14:schemeClr w14:val="tx1"/>
                  </w14:solidFill>
                </w14:textFill>
              </w:rPr>
              <w:t>，投标人拟派出的项目负责人须具备土壤学专业背景（土壤农化、农业资源利用、地理信息系统类、测绘类、测量类、遥感类、地质类、地质实验、土地资源管理、农业区划发展等）相关专业高级工程师（含）及以上职称；提供项目负责人的投标截止日期前六个月内任意一个月的社保缴费证明</w:t>
            </w:r>
            <w:r>
              <w:rPr>
                <w:rFonts w:hint="eastAsia"/>
                <w:b w:val="0"/>
                <w:bCs w:val="0"/>
                <w:color w:val="000000" w:themeColor="text1"/>
                <w:sz w:val="24"/>
                <w:szCs w:val="24"/>
                <w:highlight w:val="none"/>
                <w:lang w:eastAsia="zh-CN"/>
                <w14:textFill>
                  <w14:solidFill>
                    <w14:schemeClr w14:val="tx1"/>
                  </w14:solidFill>
                </w14:textFill>
              </w:rPr>
              <w:t>。</w:t>
            </w:r>
          </w:p>
          <w:p w14:paraId="609ED9ED">
            <w:pPr>
              <w:pStyle w:val="83"/>
              <w:keepNext w:val="0"/>
              <w:keepLines w:val="0"/>
              <w:pageBreakBefore w:val="0"/>
              <w:widowControl w:val="0"/>
              <w:kinsoku/>
              <w:wordWrap/>
              <w:overflowPunct/>
              <w:topLinePunct w:val="0"/>
              <w:bidi w:val="0"/>
              <w:snapToGrid/>
              <w:spacing w:line="400" w:lineRule="exact"/>
              <w:ind w:firstLine="0" w:firstLineChars="0"/>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其他要求：</w:t>
            </w:r>
            <w:r>
              <w:rPr>
                <w:rFonts w:hint="eastAsia" w:ascii="宋体" w:hAnsi="宋体" w:cs="宋体"/>
                <w:color w:val="000000" w:themeColor="text1"/>
                <w:sz w:val="24"/>
                <w:szCs w:val="24"/>
                <w:highlight w:val="none"/>
                <w14:textFill>
                  <w14:solidFill>
                    <w14:schemeClr w14:val="tx1"/>
                  </w14:solidFill>
                </w14:textFill>
              </w:rPr>
              <w:t>（1）本项目中标人不允许转包、拆包；</w:t>
            </w:r>
          </w:p>
          <w:p w14:paraId="0C570838">
            <w:pPr>
              <w:pStyle w:val="83"/>
              <w:keepNext w:val="0"/>
              <w:keepLines w:val="0"/>
              <w:pageBreakBefore w:val="0"/>
              <w:widowControl w:val="0"/>
              <w:kinsoku/>
              <w:wordWrap/>
              <w:overflowPunct/>
              <w:topLinePunct w:val="0"/>
              <w:bidi w:val="0"/>
              <w:snapToGrid/>
              <w:spacing w:line="400" w:lineRule="exact"/>
              <w:ind w:firstLine="0" w:firstLineChars="0"/>
              <w:textAlignment w:val="auto"/>
              <w:rPr>
                <w:rFonts w:hint="eastAsia"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cs="宋体"/>
                <w:color w:val="000000" w:themeColor="text1"/>
                <w:sz w:val="24"/>
                <w:szCs w:val="24"/>
                <w:highlight w:val="none"/>
                <w14:textFill>
                  <w14:solidFill>
                    <w14:schemeClr w14:val="tx1"/>
                  </w14:solidFill>
                </w14:textFill>
              </w:rPr>
              <w:t>2</w:t>
            </w: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cs="宋体"/>
                <w:color w:val="000000" w:themeColor="text1"/>
                <w:sz w:val="24"/>
                <w:szCs w:val="24"/>
                <w:highlight w:val="none"/>
                <w14:textFill>
                  <w14:solidFill>
                    <w14:schemeClr w14:val="tx1"/>
                  </w14:solidFill>
                </w14:textFill>
              </w:rPr>
              <w:t>企业名称不同但法定代表人为同一个自然人的两个或者两个以上的投标人不得参加同一采购项目的投标；单位负责人为同一人或者存在控股、管理关系的不同单位，不得参加同一标段投标或者未划分标段的同一招标项目投标。如果出现上述情况，相关投标人的投标均将被拒绝；</w:t>
            </w:r>
          </w:p>
          <w:p w14:paraId="12195C48">
            <w:pPr>
              <w:pStyle w:val="83"/>
              <w:keepNext w:val="0"/>
              <w:keepLines w:val="0"/>
              <w:pageBreakBefore w:val="0"/>
              <w:widowControl w:val="0"/>
              <w:kinsoku/>
              <w:wordWrap/>
              <w:overflowPunct/>
              <w:topLinePunct w:val="0"/>
              <w:bidi w:val="0"/>
              <w:snapToGrid/>
              <w:spacing w:line="400" w:lineRule="exact"/>
              <w:ind w:firstLine="0" w:firstLineChars="0"/>
              <w:textAlignment w:val="auto"/>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投标人须在政采云注册并办理数字证书（CA认证）；</w:t>
            </w:r>
          </w:p>
          <w:p w14:paraId="5397ADB7">
            <w:pPr>
              <w:pStyle w:val="83"/>
              <w:keepNext w:val="0"/>
              <w:keepLines w:val="0"/>
              <w:pageBreakBefore w:val="0"/>
              <w:widowControl w:val="0"/>
              <w:kinsoku/>
              <w:wordWrap/>
              <w:overflowPunct/>
              <w:topLinePunct w:val="0"/>
              <w:bidi w:val="0"/>
              <w:snapToGrid/>
              <w:spacing w:line="400" w:lineRule="exact"/>
              <w:ind w:firstLine="0" w:firstLineChars="0"/>
              <w:textAlignment w:val="auto"/>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cs="宋体"/>
                <w:color w:val="000000" w:themeColor="text1"/>
                <w:sz w:val="24"/>
                <w:szCs w:val="24"/>
                <w:highlight w:val="none"/>
                <w:lang w:val="zh-CN"/>
                <w14:textFill>
                  <w14:solidFill>
                    <w14:schemeClr w14:val="tx1"/>
                  </w14:solidFill>
                </w14:textFill>
              </w:rPr>
              <w:t>投标人须提供投标截止日期前六个月内任意一个月的依法缴纳税收和社会保障资金相关证明材料</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7191E0ED">
            <w:pPr>
              <w:pStyle w:val="78"/>
              <w:keepNext w:val="0"/>
              <w:keepLines w:val="0"/>
              <w:pageBreakBefore w:val="0"/>
              <w:widowControl w:val="0"/>
              <w:kinsoku/>
              <w:wordWrap/>
              <w:overflowPunct/>
              <w:topLinePunct w:val="0"/>
              <w:bidi w:val="0"/>
              <w:snapToGrid/>
              <w:spacing w:after="0" w:line="400" w:lineRule="exact"/>
              <w:textAlignment w:val="auto"/>
              <w:rPr>
                <w:color w:val="000000" w:themeColor="text1"/>
                <w:sz w:val="24"/>
                <w:szCs w:val="24"/>
                <w:highlight w:val="none"/>
                <w14:textFill>
                  <w14:solidFill>
                    <w14:schemeClr w14:val="tx1"/>
                  </w14:solidFill>
                </w14:textFill>
              </w:rPr>
            </w:pPr>
          </w:p>
        </w:tc>
      </w:tr>
      <w:tr w14:paraId="338772DF">
        <w:tblPrEx>
          <w:tblCellMar>
            <w:top w:w="0" w:type="dxa"/>
            <w:left w:w="10" w:type="dxa"/>
            <w:bottom w:w="0" w:type="dxa"/>
            <w:right w:w="10" w:type="dxa"/>
          </w:tblCellMar>
        </w:tblPrEx>
        <w:trPr>
          <w:trHeight w:val="1271" w:hRule="exact"/>
          <w:jc w:val="center"/>
        </w:trPr>
        <w:tc>
          <w:tcPr>
            <w:tcW w:w="822" w:type="dxa"/>
            <w:tcBorders>
              <w:top w:val="single" w:color="auto" w:sz="4" w:space="0"/>
              <w:left w:val="single" w:color="auto" w:sz="4" w:space="0"/>
            </w:tcBorders>
            <w:shd w:val="clear" w:color="auto" w:fill="FFFFFF"/>
            <w:vAlign w:val="center"/>
          </w:tcPr>
          <w:p w14:paraId="1D4BAA38">
            <w:pPr>
              <w:pStyle w:val="78"/>
              <w:keepNext w:val="0"/>
              <w:keepLines w:val="0"/>
              <w:pageBreakBefore w:val="0"/>
              <w:widowControl w:val="0"/>
              <w:kinsoku/>
              <w:wordWrap/>
              <w:overflowPunct/>
              <w:topLinePunct w:val="0"/>
              <w:bidi w:val="0"/>
              <w:snapToGrid/>
              <w:spacing w:after="0" w:line="400" w:lineRule="exact"/>
              <w:jc w:val="center"/>
              <w:textAlignment w:val="auto"/>
              <w:rPr>
                <w:color w:val="000000" w:themeColor="text1"/>
                <w:sz w:val="24"/>
                <w:szCs w:val="24"/>
                <w:highlight w:val="none"/>
                <w14:textFill>
                  <w14:solidFill>
                    <w14:schemeClr w14:val="tx1"/>
                  </w14:solidFill>
                </w14:textFill>
              </w:rPr>
            </w:pPr>
            <w:r>
              <w:rPr>
                <w:b w:val="0"/>
                <w:bCs w:val="0"/>
                <w:color w:val="000000" w:themeColor="text1"/>
                <w:sz w:val="24"/>
                <w:szCs w:val="24"/>
                <w:highlight w:val="none"/>
                <w:lang w:val="en-US" w:eastAsia="en-US" w:bidi="en-US"/>
                <w14:textFill>
                  <w14:solidFill>
                    <w14:schemeClr w14:val="tx1"/>
                  </w14:solidFill>
                </w14:textFill>
              </w:rPr>
              <w:t>1.4.</w:t>
            </w:r>
            <w:r>
              <w:rPr>
                <w:b w:val="0"/>
                <w:bCs w:val="0"/>
                <w:color w:val="000000" w:themeColor="text1"/>
                <w:sz w:val="24"/>
                <w:szCs w:val="24"/>
                <w:highlight w:val="none"/>
                <w:lang w:val="zh-CN" w:eastAsia="zh-CN" w:bidi="zh-CN"/>
                <w14:textFill>
                  <w14:solidFill>
                    <w14:schemeClr w14:val="tx1"/>
                  </w14:solidFill>
                </w14:textFill>
              </w:rPr>
              <w:t>2</w:t>
            </w:r>
          </w:p>
        </w:tc>
        <w:tc>
          <w:tcPr>
            <w:tcW w:w="1732" w:type="dxa"/>
            <w:tcBorders>
              <w:top w:val="single" w:color="auto" w:sz="4" w:space="0"/>
              <w:left w:val="single" w:color="auto" w:sz="4" w:space="0"/>
            </w:tcBorders>
            <w:shd w:val="clear" w:color="auto" w:fill="FFFFFF"/>
            <w:vAlign w:val="center"/>
          </w:tcPr>
          <w:p w14:paraId="4FEC9E83">
            <w:pPr>
              <w:pStyle w:val="78"/>
              <w:keepNext w:val="0"/>
              <w:keepLines w:val="0"/>
              <w:pageBreakBefore w:val="0"/>
              <w:widowControl w:val="0"/>
              <w:kinsoku/>
              <w:wordWrap/>
              <w:overflowPunct/>
              <w:topLinePunct w:val="0"/>
              <w:bidi w:val="0"/>
              <w:snapToGrid/>
              <w:spacing w:after="0" w:line="400" w:lineRule="exact"/>
              <w:jc w:val="center"/>
              <w:textAlignment w:val="auto"/>
              <w:rPr>
                <w:color w:val="000000" w:themeColor="text1"/>
                <w:sz w:val="24"/>
                <w:szCs w:val="24"/>
                <w:highlight w:val="none"/>
                <w14:textFill>
                  <w14:solidFill>
                    <w14:schemeClr w14:val="tx1"/>
                  </w14:solidFill>
                </w14:textFill>
              </w:rPr>
            </w:pPr>
            <w:r>
              <w:rPr>
                <w:b w:val="0"/>
                <w:bCs w:val="0"/>
                <w:color w:val="000000" w:themeColor="text1"/>
                <w:sz w:val="24"/>
                <w:szCs w:val="24"/>
                <w:highlight w:val="none"/>
                <w14:textFill>
                  <w14:solidFill>
                    <w14:schemeClr w14:val="tx1"/>
                  </w14:solidFill>
                </w14:textFill>
              </w:rPr>
              <w:t>是否接受联合体磋商</w:t>
            </w:r>
          </w:p>
        </w:tc>
        <w:tc>
          <w:tcPr>
            <w:tcW w:w="5774" w:type="dxa"/>
            <w:tcBorders>
              <w:top w:val="single" w:color="auto" w:sz="4" w:space="0"/>
              <w:left w:val="single" w:color="auto" w:sz="4" w:space="0"/>
              <w:right w:val="single" w:color="auto" w:sz="4" w:space="0"/>
            </w:tcBorders>
            <w:shd w:val="clear" w:color="auto" w:fill="FFFFFF"/>
            <w:vAlign w:val="center"/>
          </w:tcPr>
          <w:p w14:paraId="47C319BF">
            <w:pPr>
              <w:pStyle w:val="78"/>
              <w:keepNext w:val="0"/>
              <w:keepLines w:val="0"/>
              <w:pageBreakBefore w:val="0"/>
              <w:widowControl w:val="0"/>
              <w:kinsoku/>
              <w:wordWrap/>
              <w:overflowPunct/>
              <w:topLinePunct w:val="0"/>
              <w:bidi w:val="0"/>
              <w:snapToGrid/>
              <w:spacing w:after="180" w:line="400" w:lineRule="exact"/>
              <w:jc w:val="both"/>
              <w:textAlignment w:val="auto"/>
              <w:rPr>
                <w:color w:val="000000" w:themeColor="text1"/>
                <w:sz w:val="24"/>
                <w:szCs w:val="24"/>
                <w:highlight w:val="none"/>
                <w14:textFill>
                  <w14:solidFill>
                    <w14:schemeClr w14:val="tx1"/>
                  </w14:solidFill>
                </w14:textFill>
              </w:rPr>
            </w:pPr>
            <w:r>
              <w:rPr>
                <w:rFonts w:hint="eastAsia"/>
                <w:b w:val="0"/>
                <w:bCs w:val="0"/>
                <w:color w:val="000000" w:themeColor="text1"/>
                <w:sz w:val="24"/>
                <w:szCs w:val="24"/>
                <w:lang w:val="en-US" w:eastAsia="zh-CN"/>
                <w14:textFill>
                  <w14:solidFill>
                    <w14:schemeClr w14:val="tx1"/>
                  </w14:solidFill>
                </w14:textFill>
              </w:rPr>
              <w:t>√</w:t>
            </w:r>
            <w:r>
              <w:rPr>
                <w:b w:val="0"/>
                <w:bCs w:val="0"/>
                <w:color w:val="000000" w:themeColor="text1"/>
                <w:sz w:val="24"/>
                <w:szCs w:val="24"/>
                <w:highlight w:val="none"/>
                <w14:textFill>
                  <w14:solidFill>
                    <w14:schemeClr w14:val="tx1"/>
                  </w14:solidFill>
                </w14:textFill>
              </w:rPr>
              <w:t>不接受</w:t>
            </w:r>
          </w:p>
          <w:p w14:paraId="42E91DF2">
            <w:pPr>
              <w:pStyle w:val="78"/>
              <w:keepNext w:val="0"/>
              <w:keepLines w:val="0"/>
              <w:pageBreakBefore w:val="0"/>
              <w:widowControl w:val="0"/>
              <w:kinsoku/>
              <w:wordWrap/>
              <w:overflowPunct/>
              <w:topLinePunct w:val="0"/>
              <w:bidi w:val="0"/>
              <w:snapToGrid/>
              <w:spacing w:after="0" w:line="400" w:lineRule="exact"/>
              <w:jc w:val="both"/>
              <w:textAlignment w:val="auto"/>
              <w:rPr>
                <w:b w:val="0"/>
                <w:bCs w:val="0"/>
                <w:color w:val="000000" w:themeColor="text1"/>
                <w:sz w:val="24"/>
                <w:szCs w:val="24"/>
                <w:highlight w:val="none"/>
                <w14:textFill>
                  <w14:solidFill>
                    <w14:schemeClr w14:val="tx1"/>
                  </w14:solidFill>
                </w14:textFill>
              </w:rPr>
            </w:pPr>
            <w:r>
              <w:rPr>
                <w:b w:val="0"/>
                <w:bCs w:val="0"/>
                <w:color w:val="000000" w:themeColor="text1"/>
                <w:sz w:val="24"/>
                <w:szCs w:val="24"/>
                <w:lang w:val="en-US" w:eastAsia="zh-CN" w:bidi="en-US"/>
                <w14:textFill>
                  <w14:solidFill>
                    <w14:schemeClr w14:val="tx1"/>
                  </w14:solidFill>
                </w14:textFill>
              </w:rPr>
              <w:t>□</w:t>
            </w:r>
            <w:r>
              <w:rPr>
                <w:b w:val="0"/>
                <w:bCs w:val="0"/>
                <w:color w:val="000000" w:themeColor="text1"/>
                <w:sz w:val="24"/>
                <w:szCs w:val="24"/>
                <w:highlight w:val="none"/>
                <w14:textFill>
                  <w14:solidFill>
                    <w14:schemeClr w14:val="tx1"/>
                  </w14:solidFill>
                </w14:textFill>
              </w:rPr>
              <w:t>接受</w:t>
            </w:r>
          </w:p>
        </w:tc>
      </w:tr>
      <w:tr w14:paraId="210D2E72">
        <w:tblPrEx>
          <w:tblCellMar>
            <w:top w:w="0" w:type="dxa"/>
            <w:left w:w="10" w:type="dxa"/>
            <w:bottom w:w="0" w:type="dxa"/>
            <w:right w:w="10" w:type="dxa"/>
          </w:tblCellMar>
        </w:tblPrEx>
        <w:trPr>
          <w:trHeight w:val="1692" w:hRule="exact"/>
          <w:jc w:val="center"/>
        </w:trPr>
        <w:tc>
          <w:tcPr>
            <w:tcW w:w="822" w:type="dxa"/>
            <w:tcBorders>
              <w:top w:val="single" w:color="auto" w:sz="4" w:space="0"/>
              <w:left w:val="single" w:color="auto" w:sz="4" w:space="0"/>
            </w:tcBorders>
            <w:shd w:val="clear" w:color="auto" w:fill="FFFFFF"/>
            <w:vAlign w:val="center"/>
          </w:tcPr>
          <w:p w14:paraId="0BD62044">
            <w:pPr>
              <w:pStyle w:val="78"/>
              <w:keepNext w:val="0"/>
              <w:keepLines w:val="0"/>
              <w:pageBreakBefore w:val="0"/>
              <w:widowControl w:val="0"/>
              <w:kinsoku/>
              <w:wordWrap/>
              <w:overflowPunct/>
              <w:topLinePunct w:val="0"/>
              <w:bidi w:val="0"/>
              <w:snapToGrid/>
              <w:spacing w:after="0" w:line="400" w:lineRule="exact"/>
              <w:jc w:val="center"/>
              <w:textAlignment w:val="auto"/>
              <w:rPr>
                <w:color w:val="000000" w:themeColor="text1"/>
                <w:sz w:val="24"/>
                <w:szCs w:val="24"/>
                <w:highlight w:val="none"/>
                <w14:textFill>
                  <w14:solidFill>
                    <w14:schemeClr w14:val="tx1"/>
                  </w14:solidFill>
                </w14:textFill>
              </w:rPr>
            </w:pPr>
            <w:r>
              <w:rPr>
                <w:b w:val="0"/>
                <w:bCs w:val="0"/>
                <w:color w:val="000000" w:themeColor="text1"/>
                <w:sz w:val="24"/>
                <w:szCs w:val="24"/>
                <w:highlight w:val="none"/>
                <w:lang w:val="en-US" w:eastAsia="en-US" w:bidi="en-US"/>
                <w14:textFill>
                  <w14:solidFill>
                    <w14:schemeClr w14:val="tx1"/>
                  </w14:solidFill>
                </w14:textFill>
              </w:rPr>
              <w:t>1</w:t>
            </w:r>
            <w:r>
              <w:rPr>
                <w:rFonts w:hint="eastAsia"/>
                <w:b w:val="0"/>
                <w:bCs w:val="0"/>
                <w:color w:val="000000" w:themeColor="text1"/>
                <w:sz w:val="24"/>
                <w:szCs w:val="24"/>
                <w:highlight w:val="none"/>
                <w:lang w:val="en-US" w:eastAsia="zh-CN" w:bidi="en-US"/>
                <w14:textFill>
                  <w14:solidFill>
                    <w14:schemeClr w14:val="tx1"/>
                  </w14:solidFill>
                </w14:textFill>
              </w:rPr>
              <w:t>.</w:t>
            </w:r>
            <w:r>
              <w:rPr>
                <w:b w:val="0"/>
                <w:bCs w:val="0"/>
                <w:color w:val="000000" w:themeColor="text1"/>
                <w:sz w:val="24"/>
                <w:szCs w:val="24"/>
                <w:highlight w:val="none"/>
                <w:lang w:val="en-US" w:eastAsia="en-US" w:bidi="en-US"/>
                <w14:textFill>
                  <w14:solidFill>
                    <w14:schemeClr w14:val="tx1"/>
                  </w14:solidFill>
                </w14:textFill>
              </w:rPr>
              <w:t>9.</w:t>
            </w:r>
            <w:r>
              <w:rPr>
                <w:b w:val="0"/>
                <w:bCs w:val="0"/>
                <w:color w:val="000000" w:themeColor="text1"/>
                <w:sz w:val="24"/>
                <w:szCs w:val="24"/>
                <w:highlight w:val="none"/>
                <w:lang w:val="zh-CN" w:eastAsia="zh-CN" w:bidi="zh-CN"/>
                <w14:textFill>
                  <w14:solidFill>
                    <w14:schemeClr w14:val="tx1"/>
                  </w14:solidFill>
                </w14:textFill>
              </w:rPr>
              <w:t>1</w:t>
            </w:r>
          </w:p>
        </w:tc>
        <w:tc>
          <w:tcPr>
            <w:tcW w:w="1732" w:type="dxa"/>
            <w:tcBorders>
              <w:top w:val="single" w:color="auto" w:sz="4" w:space="0"/>
              <w:left w:val="single" w:color="auto" w:sz="4" w:space="0"/>
            </w:tcBorders>
            <w:shd w:val="clear" w:color="auto" w:fill="FFFFFF"/>
            <w:vAlign w:val="center"/>
          </w:tcPr>
          <w:p w14:paraId="62E5EE92">
            <w:pPr>
              <w:pStyle w:val="78"/>
              <w:keepNext w:val="0"/>
              <w:keepLines w:val="0"/>
              <w:pageBreakBefore w:val="0"/>
              <w:widowControl w:val="0"/>
              <w:kinsoku/>
              <w:wordWrap/>
              <w:overflowPunct/>
              <w:topLinePunct w:val="0"/>
              <w:bidi w:val="0"/>
              <w:snapToGrid/>
              <w:spacing w:after="0" w:line="400" w:lineRule="exact"/>
              <w:jc w:val="center"/>
              <w:textAlignment w:val="auto"/>
              <w:rPr>
                <w:color w:val="000000" w:themeColor="text1"/>
                <w:sz w:val="24"/>
                <w:szCs w:val="24"/>
                <w:highlight w:val="none"/>
                <w14:textFill>
                  <w14:solidFill>
                    <w14:schemeClr w14:val="tx1"/>
                  </w14:solidFill>
                </w14:textFill>
              </w:rPr>
            </w:pPr>
            <w:r>
              <w:rPr>
                <w:b w:val="0"/>
                <w:bCs w:val="0"/>
                <w:color w:val="000000" w:themeColor="text1"/>
                <w:sz w:val="24"/>
                <w:szCs w:val="24"/>
                <w:highlight w:val="none"/>
                <w14:textFill>
                  <w14:solidFill>
                    <w14:schemeClr w14:val="tx1"/>
                  </w14:solidFill>
                </w14:textFill>
              </w:rPr>
              <w:t>踏勘现场</w:t>
            </w:r>
          </w:p>
        </w:tc>
        <w:tc>
          <w:tcPr>
            <w:tcW w:w="5774" w:type="dxa"/>
            <w:tcBorders>
              <w:top w:val="single" w:color="auto" w:sz="4" w:space="0"/>
              <w:left w:val="single" w:color="auto" w:sz="4" w:space="0"/>
              <w:right w:val="single" w:color="auto" w:sz="4" w:space="0"/>
            </w:tcBorders>
            <w:shd w:val="clear" w:color="auto" w:fill="FFFFFF"/>
            <w:vAlign w:val="center"/>
          </w:tcPr>
          <w:p w14:paraId="2E9D8B77">
            <w:pPr>
              <w:pStyle w:val="78"/>
              <w:keepNext w:val="0"/>
              <w:keepLines w:val="0"/>
              <w:pageBreakBefore w:val="0"/>
              <w:widowControl w:val="0"/>
              <w:kinsoku/>
              <w:wordWrap/>
              <w:overflowPunct/>
              <w:topLinePunct w:val="0"/>
              <w:bidi w:val="0"/>
              <w:snapToGrid/>
              <w:spacing w:after="180" w:line="400" w:lineRule="exact"/>
              <w:jc w:val="both"/>
              <w:textAlignment w:val="auto"/>
              <w:rPr>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lang w:val="en-US" w:eastAsia="zh-CN"/>
                <w14:textFill>
                  <w14:solidFill>
                    <w14:schemeClr w14:val="tx1"/>
                  </w14:solidFill>
                </w14:textFill>
              </w:rPr>
              <w:t>√</w:t>
            </w:r>
            <w:r>
              <w:rPr>
                <w:b w:val="0"/>
                <w:bCs w:val="0"/>
                <w:color w:val="000000" w:themeColor="text1"/>
                <w:sz w:val="24"/>
                <w:szCs w:val="24"/>
                <w:highlight w:val="none"/>
                <w14:textFill>
                  <w14:solidFill>
                    <w14:schemeClr w14:val="tx1"/>
                  </w14:solidFill>
                </w14:textFill>
              </w:rPr>
              <w:t>不组织</w:t>
            </w:r>
          </w:p>
          <w:p w14:paraId="1CC5B0EF">
            <w:pPr>
              <w:pStyle w:val="78"/>
              <w:keepNext w:val="0"/>
              <w:keepLines w:val="0"/>
              <w:pageBreakBefore w:val="0"/>
              <w:widowControl w:val="0"/>
              <w:kinsoku/>
              <w:wordWrap/>
              <w:overflowPunct/>
              <w:topLinePunct w:val="0"/>
              <w:bidi w:val="0"/>
              <w:snapToGrid/>
              <w:spacing w:after="180" w:line="400" w:lineRule="exact"/>
              <w:jc w:val="both"/>
              <w:textAlignment w:val="auto"/>
              <w:rPr>
                <w:color w:val="000000" w:themeColor="text1"/>
                <w:sz w:val="24"/>
                <w:szCs w:val="24"/>
                <w:highlight w:val="none"/>
                <w14:textFill>
                  <w14:solidFill>
                    <w14:schemeClr w14:val="tx1"/>
                  </w14:solidFill>
                </w14:textFill>
              </w:rPr>
            </w:pPr>
            <w:r>
              <w:rPr>
                <w:b w:val="0"/>
                <w:bCs w:val="0"/>
                <w:color w:val="000000" w:themeColor="text1"/>
                <w:sz w:val="24"/>
                <w:szCs w:val="24"/>
                <w:highlight w:val="none"/>
                <w:lang w:val="en-US" w:eastAsia="zh-CN" w:bidi="en-US"/>
                <w14:textFill>
                  <w14:solidFill>
                    <w14:schemeClr w14:val="tx1"/>
                  </w14:solidFill>
                </w14:textFill>
              </w:rPr>
              <w:t>□</w:t>
            </w:r>
            <w:r>
              <w:rPr>
                <w:b w:val="0"/>
                <w:bCs w:val="0"/>
                <w:color w:val="000000" w:themeColor="text1"/>
                <w:sz w:val="24"/>
                <w:szCs w:val="24"/>
                <w:highlight w:val="none"/>
                <w14:textFill>
                  <w14:solidFill>
                    <w14:schemeClr w14:val="tx1"/>
                  </w14:solidFill>
                </w14:textFill>
              </w:rPr>
              <w:t>组织，踏勘时间：</w:t>
            </w:r>
          </w:p>
          <w:p w14:paraId="7F0A5905">
            <w:pPr>
              <w:pStyle w:val="78"/>
              <w:keepNext w:val="0"/>
              <w:keepLines w:val="0"/>
              <w:pageBreakBefore w:val="0"/>
              <w:widowControl w:val="0"/>
              <w:kinsoku/>
              <w:wordWrap/>
              <w:overflowPunct/>
              <w:topLinePunct w:val="0"/>
              <w:bidi w:val="0"/>
              <w:snapToGrid/>
              <w:spacing w:after="180" w:line="400" w:lineRule="exact"/>
              <w:ind w:firstLine="960" w:firstLineChars="400"/>
              <w:jc w:val="both"/>
              <w:textAlignment w:val="auto"/>
              <w:rPr>
                <w:color w:val="000000" w:themeColor="text1"/>
                <w:sz w:val="24"/>
                <w:szCs w:val="24"/>
                <w:highlight w:val="none"/>
                <w14:textFill>
                  <w14:solidFill>
                    <w14:schemeClr w14:val="tx1"/>
                  </w14:solidFill>
                </w14:textFill>
              </w:rPr>
            </w:pPr>
            <w:r>
              <w:rPr>
                <w:b w:val="0"/>
                <w:bCs w:val="0"/>
                <w:color w:val="000000" w:themeColor="text1"/>
                <w:sz w:val="24"/>
                <w:szCs w:val="24"/>
                <w:highlight w:val="none"/>
                <w14:textFill>
                  <w14:solidFill>
                    <w14:schemeClr w14:val="tx1"/>
                  </w14:solidFill>
                </w14:textFill>
              </w:rPr>
              <w:t>踏勘集中地点：</w:t>
            </w:r>
          </w:p>
        </w:tc>
      </w:tr>
      <w:tr w14:paraId="495BF7B6">
        <w:tblPrEx>
          <w:tblCellMar>
            <w:top w:w="0" w:type="dxa"/>
            <w:left w:w="10" w:type="dxa"/>
            <w:bottom w:w="0" w:type="dxa"/>
            <w:right w:w="10" w:type="dxa"/>
          </w:tblCellMar>
        </w:tblPrEx>
        <w:trPr>
          <w:trHeight w:val="1131" w:hRule="exact"/>
          <w:jc w:val="center"/>
        </w:trPr>
        <w:tc>
          <w:tcPr>
            <w:tcW w:w="822" w:type="dxa"/>
            <w:tcBorders>
              <w:top w:val="single" w:color="auto" w:sz="4" w:space="0"/>
              <w:left w:val="single" w:color="auto" w:sz="4" w:space="0"/>
            </w:tcBorders>
            <w:shd w:val="clear" w:color="auto" w:fill="FFFFFF"/>
            <w:vAlign w:val="center"/>
          </w:tcPr>
          <w:p w14:paraId="5FDF383C">
            <w:pPr>
              <w:pStyle w:val="78"/>
              <w:keepNext w:val="0"/>
              <w:keepLines w:val="0"/>
              <w:pageBreakBefore w:val="0"/>
              <w:widowControl w:val="0"/>
              <w:kinsoku/>
              <w:wordWrap/>
              <w:overflowPunct/>
              <w:topLinePunct w:val="0"/>
              <w:bidi w:val="0"/>
              <w:snapToGrid/>
              <w:spacing w:after="0" w:line="400" w:lineRule="exact"/>
              <w:jc w:val="center"/>
              <w:textAlignment w:val="auto"/>
              <w:rPr>
                <w:color w:val="000000" w:themeColor="text1"/>
                <w:sz w:val="24"/>
                <w:szCs w:val="24"/>
                <w:highlight w:val="none"/>
                <w14:textFill>
                  <w14:solidFill>
                    <w14:schemeClr w14:val="tx1"/>
                  </w14:solidFill>
                </w14:textFill>
              </w:rPr>
            </w:pPr>
            <w:r>
              <w:rPr>
                <w:b w:val="0"/>
                <w:bCs w:val="0"/>
                <w:color w:val="000000" w:themeColor="text1"/>
                <w:sz w:val="24"/>
                <w:szCs w:val="24"/>
                <w:highlight w:val="none"/>
                <w:lang w:val="en-US" w:eastAsia="en-US" w:bidi="en-US"/>
                <w14:textFill>
                  <w14:solidFill>
                    <w14:schemeClr w14:val="tx1"/>
                  </w14:solidFill>
                </w14:textFill>
              </w:rPr>
              <w:t>1.10</w:t>
            </w:r>
            <w:r>
              <w:rPr>
                <w:rFonts w:hint="eastAsia"/>
                <w:b w:val="0"/>
                <w:bCs w:val="0"/>
                <w:color w:val="000000" w:themeColor="text1"/>
                <w:sz w:val="24"/>
                <w:szCs w:val="24"/>
                <w:highlight w:val="none"/>
                <w:lang w:val="en-US" w:eastAsia="zh-CN" w:bidi="en-US"/>
                <w14:textFill>
                  <w14:solidFill>
                    <w14:schemeClr w14:val="tx1"/>
                  </w14:solidFill>
                </w14:textFill>
              </w:rPr>
              <w:t>.</w:t>
            </w:r>
            <w:r>
              <w:rPr>
                <w:b w:val="0"/>
                <w:bCs w:val="0"/>
                <w:color w:val="000000" w:themeColor="text1"/>
                <w:sz w:val="24"/>
                <w:szCs w:val="24"/>
                <w:highlight w:val="none"/>
                <w:lang w:val="en-US" w:eastAsia="en-US" w:bidi="en-US"/>
                <w14:textFill>
                  <w14:solidFill>
                    <w14:schemeClr w14:val="tx1"/>
                  </w14:solidFill>
                </w14:textFill>
              </w:rPr>
              <w:t>1</w:t>
            </w:r>
          </w:p>
        </w:tc>
        <w:tc>
          <w:tcPr>
            <w:tcW w:w="1732" w:type="dxa"/>
            <w:tcBorders>
              <w:top w:val="single" w:color="auto" w:sz="4" w:space="0"/>
              <w:left w:val="single" w:color="auto" w:sz="4" w:space="0"/>
            </w:tcBorders>
            <w:shd w:val="clear" w:color="auto" w:fill="FFFFFF"/>
            <w:vAlign w:val="center"/>
          </w:tcPr>
          <w:p w14:paraId="0CB44B7B">
            <w:pPr>
              <w:pStyle w:val="78"/>
              <w:keepNext w:val="0"/>
              <w:keepLines w:val="0"/>
              <w:pageBreakBefore w:val="0"/>
              <w:widowControl w:val="0"/>
              <w:kinsoku/>
              <w:wordWrap/>
              <w:overflowPunct/>
              <w:topLinePunct w:val="0"/>
              <w:bidi w:val="0"/>
              <w:snapToGrid/>
              <w:spacing w:after="0" w:line="400" w:lineRule="exact"/>
              <w:jc w:val="center"/>
              <w:textAlignment w:val="auto"/>
              <w:rPr>
                <w:color w:val="000000" w:themeColor="text1"/>
                <w:sz w:val="24"/>
                <w:szCs w:val="24"/>
                <w:highlight w:val="none"/>
                <w14:textFill>
                  <w14:solidFill>
                    <w14:schemeClr w14:val="tx1"/>
                  </w14:solidFill>
                </w14:textFill>
              </w:rPr>
            </w:pPr>
            <w:r>
              <w:rPr>
                <w:b w:val="0"/>
                <w:bCs w:val="0"/>
                <w:color w:val="000000" w:themeColor="text1"/>
                <w:sz w:val="24"/>
                <w:szCs w:val="24"/>
                <w:highlight w:val="none"/>
                <w14:textFill>
                  <w14:solidFill>
                    <w14:schemeClr w14:val="tx1"/>
                  </w14:solidFill>
                </w14:textFill>
              </w:rPr>
              <w:t>磋商答疑会</w:t>
            </w:r>
          </w:p>
        </w:tc>
        <w:tc>
          <w:tcPr>
            <w:tcW w:w="5774" w:type="dxa"/>
            <w:tcBorders>
              <w:top w:val="single" w:color="auto" w:sz="4" w:space="0"/>
              <w:left w:val="single" w:color="auto" w:sz="4" w:space="0"/>
              <w:right w:val="single" w:color="auto" w:sz="4" w:space="0"/>
            </w:tcBorders>
            <w:shd w:val="clear" w:color="auto" w:fill="FFFFFF"/>
            <w:vAlign w:val="center"/>
          </w:tcPr>
          <w:p w14:paraId="0E7E3CF4">
            <w:pPr>
              <w:pStyle w:val="78"/>
              <w:keepNext w:val="0"/>
              <w:keepLines w:val="0"/>
              <w:pageBreakBefore w:val="0"/>
              <w:widowControl w:val="0"/>
              <w:kinsoku/>
              <w:wordWrap/>
              <w:overflowPunct/>
              <w:topLinePunct w:val="0"/>
              <w:bidi w:val="0"/>
              <w:snapToGrid/>
              <w:spacing w:after="140" w:line="400" w:lineRule="exact"/>
              <w:jc w:val="both"/>
              <w:textAlignment w:val="auto"/>
              <w:rPr>
                <w:color w:val="000000" w:themeColor="text1"/>
                <w:sz w:val="24"/>
                <w:szCs w:val="24"/>
                <w:highlight w:val="none"/>
                <w14:textFill>
                  <w14:solidFill>
                    <w14:schemeClr w14:val="tx1"/>
                  </w14:solidFill>
                </w14:textFill>
              </w:rPr>
            </w:pPr>
            <w:r>
              <w:rPr>
                <w:b w:val="0"/>
                <w:bCs w:val="0"/>
                <w:color w:val="000000" w:themeColor="text1"/>
                <w:sz w:val="24"/>
                <w:szCs w:val="24"/>
                <w:highlight w:val="none"/>
                <w:lang w:val="en-US" w:eastAsia="en-US" w:bidi="en-US"/>
                <w14:textFill>
                  <w14:solidFill>
                    <w14:schemeClr w14:val="tx1"/>
                  </w14:solidFill>
                </w14:textFill>
              </w:rPr>
              <w:t>□</w:t>
            </w:r>
            <w:r>
              <w:rPr>
                <w:b w:val="0"/>
                <w:bCs w:val="0"/>
                <w:color w:val="000000" w:themeColor="text1"/>
                <w:sz w:val="24"/>
                <w:szCs w:val="24"/>
                <w:highlight w:val="none"/>
                <w14:textFill>
                  <w14:solidFill>
                    <w14:schemeClr w14:val="tx1"/>
                  </w14:solidFill>
                </w14:textFill>
              </w:rPr>
              <w:t>召开</w:t>
            </w:r>
          </w:p>
          <w:p w14:paraId="41F16006">
            <w:pPr>
              <w:pStyle w:val="78"/>
              <w:keepNext w:val="0"/>
              <w:keepLines w:val="0"/>
              <w:pageBreakBefore w:val="0"/>
              <w:widowControl w:val="0"/>
              <w:kinsoku/>
              <w:wordWrap/>
              <w:overflowPunct/>
              <w:topLinePunct w:val="0"/>
              <w:bidi w:val="0"/>
              <w:snapToGrid/>
              <w:spacing w:after="0" w:line="400" w:lineRule="exact"/>
              <w:jc w:val="both"/>
              <w:textAlignment w:val="auto"/>
              <w:rPr>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lang w:val="en-US" w:eastAsia="zh-CN"/>
                <w14:textFill>
                  <w14:solidFill>
                    <w14:schemeClr w14:val="tx1"/>
                  </w14:solidFill>
                </w14:textFill>
              </w:rPr>
              <w:t>√</w:t>
            </w:r>
            <w:r>
              <w:rPr>
                <w:b w:val="0"/>
                <w:bCs w:val="0"/>
                <w:color w:val="000000" w:themeColor="text1"/>
                <w:sz w:val="24"/>
                <w:szCs w:val="24"/>
                <w:highlight w:val="none"/>
                <w14:textFill>
                  <w14:solidFill>
                    <w14:schemeClr w14:val="tx1"/>
                  </w14:solidFill>
                </w14:textFill>
              </w:rPr>
              <w:t>不召开</w:t>
            </w:r>
          </w:p>
        </w:tc>
      </w:tr>
      <w:tr w14:paraId="5F65D12E">
        <w:tblPrEx>
          <w:tblCellMar>
            <w:top w:w="0" w:type="dxa"/>
            <w:left w:w="10" w:type="dxa"/>
            <w:bottom w:w="0" w:type="dxa"/>
            <w:right w:w="10" w:type="dxa"/>
          </w:tblCellMar>
        </w:tblPrEx>
        <w:trPr>
          <w:trHeight w:val="2327" w:hRule="exact"/>
          <w:jc w:val="center"/>
        </w:trPr>
        <w:tc>
          <w:tcPr>
            <w:tcW w:w="822" w:type="dxa"/>
            <w:tcBorders>
              <w:top w:val="single" w:color="auto" w:sz="4" w:space="0"/>
              <w:left w:val="single" w:color="auto" w:sz="4" w:space="0"/>
              <w:bottom w:val="single" w:color="auto" w:sz="4" w:space="0"/>
            </w:tcBorders>
            <w:shd w:val="clear" w:color="auto" w:fill="FFFFFF"/>
            <w:vAlign w:val="center"/>
          </w:tcPr>
          <w:p w14:paraId="08516B6C">
            <w:pPr>
              <w:pStyle w:val="78"/>
              <w:keepNext w:val="0"/>
              <w:keepLines w:val="0"/>
              <w:pageBreakBefore w:val="0"/>
              <w:widowControl w:val="0"/>
              <w:kinsoku/>
              <w:wordWrap/>
              <w:overflowPunct/>
              <w:topLinePunct w:val="0"/>
              <w:bidi w:val="0"/>
              <w:snapToGrid/>
              <w:spacing w:after="0" w:line="400" w:lineRule="exact"/>
              <w:jc w:val="center"/>
              <w:textAlignment w:val="auto"/>
              <w:rPr>
                <w:color w:val="000000" w:themeColor="text1"/>
                <w:sz w:val="24"/>
                <w:szCs w:val="24"/>
                <w:highlight w:val="none"/>
                <w14:textFill>
                  <w14:solidFill>
                    <w14:schemeClr w14:val="tx1"/>
                  </w14:solidFill>
                </w14:textFill>
              </w:rPr>
            </w:pPr>
            <w:r>
              <w:rPr>
                <w:b w:val="0"/>
                <w:bCs w:val="0"/>
                <w:color w:val="000000" w:themeColor="text1"/>
                <w:sz w:val="24"/>
                <w:szCs w:val="24"/>
                <w:highlight w:val="none"/>
                <w:lang w:val="zh-CN" w:eastAsia="zh-CN" w:bidi="zh-CN"/>
                <w14:textFill>
                  <w14:solidFill>
                    <w14:schemeClr w14:val="tx1"/>
                  </w14:solidFill>
                </w14:textFill>
              </w:rPr>
              <w:t>1.11</w:t>
            </w:r>
          </w:p>
        </w:tc>
        <w:tc>
          <w:tcPr>
            <w:tcW w:w="1732" w:type="dxa"/>
            <w:tcBorders>
              <w:top w:val="single" w:color="auto" w:sz="4" w:space="0"/>
              <w:left w:val="single" w:color="auto" w:sz="4" w:space="0"/>
              <w:bottom w:val="single" w:color="auto" w:sz="4" w:space="0"/>
            </w:tcBorders>
            <w:shd w:val="clear" w:color="auto" w:fill="FFFFFF"/>
            <w:vAlign w:val="center"/>
          </w:tcPr>
          <w:p w14:paraId="7C79F6CB">
            <w:pPr>
              <w:pStyle w:val="78"/>
              <w:keepNext w:val="0"/>
              <w:keepLines w:val="0"/>
              <w:pageBreakBefore w:val="0"/>
              <w:widowControl w:val="0"/>
              <w:kinsoku/>
              <w:wordWrap/>
              <w:overflowPunct/>
              <w:topLinePunct w:val="0"/>
              <w:bidi w:val="0"/>
              <w:snapToGrid/>
              <w:spacing w:after="0" w:line="400" w:lineRule="exact"/>
              <w:jc w:val="center"/>
              <w:textAlignment w:val="auto"/>
              <w:rPr>
                <w:color w:val="000000" w:themeColor="text1"/>
                <w:sz w:val="24"/>
                <w:szCs w:val="24"/>
                <w:highlight w:val="none"/>
                <w14:textFill>
                  <w14:solidFill>
                    <w14:schemeClr w14:val="tx1"/>
                  </w14:solidFill>
                </w14:textFill>
              </w:rPr>
            </w:pPr>
            <w:r>
              <w:rPr>
                <w:b w:val="0"/>
                <w:bCs w:val="0"/>
                <w:color w:val="000000" w:themeColor="text1"/>
                <w:sz w:val="24"/>
                <w:szCs w:val="24"/>
                <w:highlight w:val="none"/>
                <w14:textFill>
                  <w14:solidFill>
                    <w14:schemeClr w14:val="tx1"/>
                  </w14:solidFill>
                </w14:textFill>
              </w:rPr>
              <w:t>分包</w:t>
            </w:r>
          </w:p>
        </w:tc>
        <w:tc>
          <w:tcPr>
            <w:tcW w:w="5774" w:type="dxa"/>
            <w:tcBorders>
              <w:top w:val="single" w:color="auto" w:sz="4" w:space="0"/>
              <w:left w:val="single" w:color="auto" w:sz="4" w:space="0"/>
              <w:bottom w:val="single" w:color="auto" w:sz="4" w:space="0"/>
              <w:right w:val="single" w:color="auto" w:sz="4" w:space="0"/>
            </w:tcBorders>
            <w:shd w:val="clear" w:color="auto" w:fill="FFFFFF"/>
            <w:vAlign w:val="center"/>
          </w:tcPr>
          <w:p w14:paraId="13EFA0EB">
            <w:pPr>
              <w:pStyle w:val="78"/>
              <w:keepNext w:val="0"/>
              <w:keepLines w:val="0"/>
              <w:pageBreakBefore w:val="0"/>
              <w:widowControl w:val="0"/>
              <w:kinsoku/>
              <w:wordWrap/>
              <w:overflowPunct/>
              <w:topLinePunct w:val="0"/>
              <w:bidi w:val="0"/>
              <w:snapToGrid/>
              <w:spacing w:after="160" w:line="400" w:lineRule="exact"/>
              <w:jc w:val="both"/>
              <w:textAlignment w:val="auto"/>
              <w:rPr>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lang w:val="en-US" w:eastAsia="zh-CN" w:bidi="en-US"/>
                <w14:textFill>
                  <w14:solidFill>
                    <w14:schemeClr w14:val="tx1"/>
                  </w14:solidFill>
                </w14:textFill>
              </w:rPr>
              <w:t>☑</w:t>
            </w:r>
            <w:r>
              <w:rPr>
                <w:b w:val="0"/>
                <w:bCs w:val="0"/>
                <w:color w:val="000000" w:themeColor="text1"/>
                <w:sz w:val="24"/>
                <w:szCs w:val="24"/>
                <w:highlight w:val="none"/>
                <w14:textFill>
                  <w14:solidFill>
                    <w14:schemeClr w14:val="tx1"/>
                  </w14:solidFill>
                </w14:textFill>
              </w:rPr>
              <w:t>不允许</w:t>
            </w:r>
          </w:p>
          <w:p w14:paraId="7D818DEF">
            <w:pPr>
              <w:pStyle w:val="78"/>
              <w:keepNext w:val="0"/>
              <w:keepLines w:val="0"/>
              <w:pageBreakBefore w:val="0"/>
              <w:widowControl w:val="0"/>
              <w:kinsoku/>
              <w:wordWrap/>
              <w:overflowPunct/>
              <w:topLinePunct w:val="0"/>
              <w:bidi w:val="0"/>
              <w:snapToGrid/>
              <w:spacing w:after="160" w:line="400" w:lineRule="exact"/>
              <w:jc w:val="both"/>
              <w:textAlignment w:val="auto"/>
              <w:rPr>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lang w:val="en-US" w:eastAsia="zh-CN" w:bidi="en-US"/>
                <w14:textFill>
                  <w14:solidFill>
                    <w14:schemeClr w14:val="tx1"/>
                  </w14:solidFill>
                </w14:textFill>
              </w:rPr>
              <w:t>□</w:t>
            </w:r>
            <w:r>
              <w:rPr>
                <w:b w:val="0"/>
                <w:bCs w:val="0"/>
                <w:color w:val="000000" w:themeColor="text1"/>
                <w:sz w:val="24"/>
                <w:szCs w:val="24"/>
                <w:highlight w:val="none"/>
                <w14:textFill>
                  <w14:solidFill>
                    <w14:schemeClr w14:val="tx1"/>
                  </w14:solidFill>
                </w14:textFill>
              </w:rPr>
              <w:t>允许，分包内容要求：</w:t>
            </w:r>
          </w:p>
          <w:p w14:paraId="48CE66BE">
            <w:pPr>
              <w:pStyle w:val="78"/>
              <w:keepNext w:val="0"/>
              <w:keepLines w:val="0"/>
              <w:pageBreakBefore w:val="0"/>
              <w:widowControl w:val="0"/>
              <w:kinsoku/>
              <w:wordWrap/>
              <w:overflowPunct/>
              <w:topLinePunct w:val="0"/>
              <w:bidi w:val="0"/>
              <w:snapToGrid/>
              <w:spacing w:after="160" w:line="400" w:lineRule="exact"/>
              <w:ind w:firstLine="940"/>
              <w:jc w:val="both"/>
              <w:textAlignment w:val="auto"/>
              <w:rPr>
                <w:color w:val="000000" w:themeColor="text1"/>
                <w:sz w:val="24"/>
                <w:szCs w:val="24"/>
                <w:highlight w:val="none"/>
                <w14:textFill>
                  <w14:solidFill>
                    <w14:schemeClr w14:val="tx1"/>
                  </w14:solidFill>
                </w14:textFill>
              </w:rPr>
            </w:pPr>
            <w:r>
              <w:rPr>
                <w:b w:val="0"/>
                <w:bCs w:val="0"/>
                <w:color w:val="000000" w:themeColor="text1"/>
                <w:sz w:val="24"/>
                <w:szCs w:val="24"/>
                <w:highlight w:val="none"/>
                <w14:textFill>
                  <w14:solidFill>
                    <w14:schemeClr w14:val="tx1"/>
                  </w14:solidFill>
                </w14:textFill>
              </w:rPr>
              <w:t>分包金额要求：</w:t>
            </w:r>
          </w:p>
          <w:p w14:paraId="56E4557D">
            <w:pPr>
              <w:pStyle w:val="78"/>
              <w:keepNext w:val="0"/>
              <w:keepLines w:val="0"/>
              <w:pageBreakBefore w:val="0"/>
              <w:widowControl w:val="0"/>
              <w:kinsoku/>
              <w:wordWrap/>
              <w:overflowPunct/>
              <w:topLinePunct w:val="0"/>
              <w:bidi w:val="0"/>
              <w:snapToGrid/>
              <w:spacing w:after="160" w:line="400" w:lineRule="exact"/>
              <w:ind w:firstLine="940"/>
              <w:jc w:val="both"/>
              <w:textAlignment w:val="auto"/>
              <w:rPr>
                <w:color w:val="000000" w:themeColor="text1"/>
                <w:sz w:val="24"/>
                <w:szCs w:val="24"/>
                <w:highlight w:val="none"/>
                <w14:textFill>
                  <w14:solidFill>
                    <w14:schemeClr w14:val="tx1"/>
                  </w14:solidFill>
                </w14:textFill>
              </w:rPr>
            </w:pPr>
            <w:r>
              <w:rPr>
                <w:b w:val="0"/>
                <w:bCs w:val="0"/>
                <w:color w:val="000000" w:themeColor="text1"/>
                <w:sz w:val="24"/>
                <w:szCs w:val="24"/>
                <w:highlight w:val="none"/>
                <w14:textFill>
                  <w14:solidFill>
                    <w14:schemeClr w14:val="tx1"/>
                  </w14:solidFill>
                </w14:textFill>
              </w:rPr>
              <w:t>接受分包的第三人资质要求：</w:t>
            </w:r>
          </w:p>
        </w:tc>
      </w:tr>
      <w:tr w14:paraId="7D6363EE">
        <w:tblPrEx>
          <w:tblCellMar>
            <w:top w:w="0" w:type="dxa"/>
            <w:left w:w="10" w:type="dxa"/>
            <w:bottom w:w="0" w:type="dxa"/>
            <w:right w:w="10" w:type="dxa"/>
          </w:tblCellMar>
        </w:tblPrEx>
        <w:trPr>
          <w:trHeight w:val="1041" w:hRule="exact"/>
          <w:jc w:val="center"/>
        </w:trPr>
        <w:tc>
          <w:tcPr>
            <w:tcW w:w="822" w:type="dxa"/>
            <w:tcBorders>
              <w:top w:val="single" w:color="auto" w:sz="4" w:space="0"/>
              <w:left w:val="single" w:color="auto" w:sz="4" w:space="0"/>
              <w:bottom w:val="single" w:color="auto" w:sz="4" w:space="0"/>
              <w:right w:val="single" w:color="auto" w:sz="4" w:space="0"/>
            </w:tcBorders>
            <w:shd w:val="clear" w:color="auto" w:fill="FFFFFF"/>
            <w:vAlign w:val="center"/>
          </w:tcPr>
          <w:p w14:paraId="197F294D">
            <w:pPr>
              <w:pStyle w:val="78"/>
              <w:keepNext w:val="0"/>
              <w:keepLines w:val="0"/>
              <w:pageBreakBefore w:val="0"/>
              <w:widowControl w:val="0"/>
              <w:kinsoku/>
              <w:wordWrap/>
              <w:overflowPunct/>
              <w:topLinePunct w:val="0"/>
              <w:bidi w:val="0"/>
              <w:snapToGrid/>
              <w:spacing w:after="0" w:line="400" w:lineRule="exact"/>
              <w:jc w:val="center"/>
              <w:textAlignment w:val="auto"/>
              <w:rPr>
                <w:color w:val="000000" w:themeColor="text1"/>
                <w:sz w:val="24"/>
                <w:szCs w:val="24"/>
                <w:highlight w:val="none"/>
                <w14:textFill>
                  <w14:solidFill>
                    <w14:schemeClr w14:val="tx1"/>
                  </w14:solidFill>
                </w14:textFill>
              </w:rPr>
            </w:pPr>
            <w:r>
              <w:rPr>
                <w:b w:val="0"/>
                <w:bCs w:val="0"/>
                <w:color w:val="000000" w:themeColor="text1"/>
                <w:sz w:val="24"/>
                <w:szCs w:val="24"/>
                <w:highlight w:val="none"/>
                <w:lang w:val="zh-CN" w:eastAsia="zh-CN" w:bidi="zh-CN"/>
                <w14:textFill>
                  <w14:solidFill>
                    <w14:schemeClr w14:val="tx1"/>
                  </w14:solidFill>
                </w14:textFill>
              </w:rPr>
              <w:t>1.12</w:t>
            </w:r>
          </w:p>
        </w:tc>
        <w:tc>
          <w:tcPr>
            <w:tcW w:w="1732" w:type="dxa"/>
            <w:tcBorders>
              <w:top w:val="single" w:color="auto" w:sz="4" w:space="0"/>
              <w:left w:val="single" w:color="auto" w:sz="4" w:space="0"/>
              <w:bottom w:val="single" w:color="auto" w:sz="4" w:space="0"/>
              <w:right w:val="single" w:color="auto" w:sz="4" w:space="0"/>
            </w:tcBorders>
            <w:shd w:val="clear" w:color="auto" w:fill="FFFFFF"/>
            <w:vAlign w:val="center"/>
          </w:tcPr>
          <w:p w14:paraId="288E4E59">
            <w:pPr>
              <w:pStyle w:val="78"/>
              <w:keepNext w:val="0"/>
              <w:keepLines w:val="0"/>
              <w:pageBreakBefore w:val="0"/>
              <w:widowControl w:val="0"/>
              <w:kinsoku/>
              <w:wordWrap/>
              <w:overflowPunct/>
              <w:topLinePunct w:val="0"/>
              <w:bidi w:val="0"/>
              <w:snapToGrid/>
              <w:spacing w:after="0" w:line="400" w:lineRule="exact"/>
              <w:jc w:val="center"/>
              <w:textAlignment w:val="auto"/>
              <w:rPr>
                <w:color w:val="000000" w:themeColor="text1"/>
                <w:sz w:val="24"/>
                <w:szCs w:val="24"/>
                <w:highlight w:val="none"/>
                <w14:textFill>
                  <w14:solidFill>
                    <w14:schemeClr w14:val="tx1"/>
                  </w14:solidFill>
                </w14:textFill>
              </w:rPr>
            </w:pPr>
            <w:r>
              <w:rPr>
                <w:b w:val="0"/>
                <w:bCs w:val="0"/>
                <w:color w:val="000000" w:themeColor="text1"/>
                <w:sz w:val="24"/>
                <w:szCs w:val="24"/>
                <w:highlight w:val="none"/>
                <w14:textFill>
                  <w14:solidFill>
                    <w14:schemeClr w14:val="tx1"/>
                  </w14:solidFill>
                </w14:textFill>
              </w:rPr>
              <w:t>偏离</w:t>
            </w:r>
          </w:p>
        </w:tc>
        <w:tc>
          <w:tcPr>
            <w:tcW w:w="5774" w:type="dxa"/>
            <w:tcBorders>
              <w:top w:val="single" w:color="auto" w:sz="4" w:space="0"/>
              <w:left w:val="single" w:color="auto" w:sz="4" w:space="0"/>
              <w:bottom w:val="single" w:color="auto" w:sz="4" w:space="0"/>
              <w:right w:val="single" w:color="auto" w:sz="4" w:space="0"/>
            </w:tcBorders>
            <w:shd w:val="clear" w:color="auto" w:fill="FFFFFF"/>
            <w:vAlign w:val="center"/>
          </w:tcPr>
          <w:p w14:paraId="7E618151">
            <w:pPr>
              <w:pStyle w:val="78"/>
              <w:keepNext w:val="0"/>
              <w:keepLines w:val="0"/>
              <w:pageBreakBefore w:val="0"/>
              <w:widowControl w:val="0"/>
              <w:kinsoku/>
              <w:wordWrap/>
              <w:overflowPunct/>
              <w:topLinePunct w:val="0"/>
              <w:bidi w:val="0"/>
              <w:snapToGrid/>
              <w:spacing w:after="180" w:line="400" w:lineRule="exact"/>
              <w:jc w:val="both"/>
              <w:textAlignment w:val="auto"/>
              <w:rPr>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lang w:val="en-US" w:eastAsia="zh-CN"/>
                <w14:textFill>
                  <w14:solidFill>
                    <w14:schemeClr w14:val="tx1"/>
                  </w14:solidFill>
                </w14:textFill>
              </w:rPr>
              <w:t>√</w:t>
            </w:r>
            <w:r>
              <w:rPr>
                <w:b w:val="0"/>
                <w:bCs w:val="0"/>
                <w:color w:val="000000" w:themeColor="text1"/>
                <w:sz w:val="24"/>
                <w:szCs w:val="24"/>
                <w:highlight w:val="none"/>
                <w14:textFill>
                  <w14:solidFill>
                    <w14:schemeClr w14:val="tx1"/>
                  </w14:solidFill>
                </w14:textFill>
              </w:rPr>
              <w:t>不允许</w:t>
            </w:r>
          </w:p>
          <w:p w14:paraId="03E7FB49">
            <w:pPr>
              <w:pStyle w:val="78"/>
              <w:keepNext w:val="0"/>
              <w:keepLines w:val="0"/>
              <w:pageBreakBefore w:val="0"/>
              <w:widowControl w:val="0"/>
              <w:kinsoku/>
              <w:wordWrap/>
              <w:overflowPunct/>
              <w:topLinePunct w:val="0"/>
              <w:bidi w:val="0"/>
              <w:snapToGrid/>
              <w:spacing w:after="0" w:line="400" w:lineRule="exact"/>
              <w:jc w:val="both"/>
              <w:textAlignment w:val="auto"/>
              <w:rPr>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lang w:val="en-US" w:eastAsia="zh-CN" w:bidi="en-US"/>
                <w14:textFill>
                  <w14:solidFill>
                    <w14:schemeClr w14:val="tx1"/>
                  </w14:solidFill>
                </w14:textFill>
              </w:rPr>
              <w:t>□</w:t>
            </w:r>
            <w:r>
              <w:rPr>
                <w:b w:val="0"/>
                <w:bCs w:val="0"/>
                <w:color w:val="000000" w:themeColor="text1"/>
                <w:sz w:val="24"/>
                <w:szCs w:val="24"/>
                <w:highlight w:val="none"/>
                <w14:textFill>
                  <w14:solidFill>
                    <w14:schemeClr w14:val="tx1"/>
                  </w14:solidFill>
                </w14:textFill>
              </w:rPr>
              <w:t>允许</w:t>
            </w:r>
          </w:p>
        </w:tc>
      </w:tr>
      <w:tr w14:paraId="272636D7">
        <w:tblPrEx>
          <w:tblCellMar>
            <w:top w:w="0" w:type="dxa"/>
            <w:left w:w="10" w:type="dxa"/>
            <w:bottom w:w="0" w:type="dxa"/>
            <w:right w:w="10" w:type="dxa"/>
          </w:tblCellMar>
        </w:tblPrEx>
        <w:trPr>
          <w:trHeight w:val="972" w:hRule="exact"/>
          <w:jc w:val="center"/>
        </w:trPr>
        <w:tc>
          <w:tcPr>
            <w:tcW w:w="822" w:type="dxa"/>
            <w:tcBorders>
              <w:top w:val="single" w:color="auto" w:sz="4" w:space="0"/>
              <w:left w:val="single" w:color="auto" w:sz="4" w:space="0"/>
              <w:bottom w:val="single" w:color="auto" w:sz="4" w:space="0"/>
            </w:tcBorders>
            <w:shd w:val="clear" w:color="auto" w:fill="FFFFFF"/>
            <w:vAlign w:val="center"/>
          </w:tcPr>
          <w:p w14:paraId="2A81CCA7">
            <w:pPr>
              <w:pStyle w:val="78"/>
              <w:keepNext w:val="0"/>
              <w:keepLines w:val="0"/>
              <w:pageBreakBefore w:val="0"/>
              <w:widowControl w:val="0"/>
              <w:kinsoku/>
              <w:wordWrap/>
              <w:overflowPunct/>
              <w:topLinePunct w:val="0"/>
              <w:bidi w:val="0"/>
              <w:snapToGrid/>
              <w:spacing w:after="0" w:line="400" w:lineRule="exact"/>
              <w:jc w:val="center"/>
              <w:textAlignment w:val="auto"/>
              <w:rPr>
                <w:color w:val="000000" w:themeColor="text1"/>
                <w:sz w:val="24"/>
                <w:szCs w:val="24"/>
                <w:highlight w:val="none"/>
                <w14:textFill>
                  <w14:solidFill>
                    <w14:schemeClr w14:val="tx1"/>
                  </w14:solidFill>
                </w14:textFill>
              </w:rPr>
            </w:pPr>
            <w:r>
              <w:rPr>
                <w:b w:val="0"/>
                <w:bCs w:val="0"/>
                <w:color w:val="000000" w:themeColor="text1"/>
                <w:sz w:val="24"/>
                <w:szCs w:val="24"/>
                <w:highlight w:val="none"/>
                <w:lang w:val="zh-CN" w:eastAsia="zh-CN" w:bidi="zh-CN"/>
                <w14:textFill>
                  <w14:solidFill>
                    <w14:schemeClr w14:val="tx1"/>
                  </w14:solidFill>
                </w14:textFill>
              </w:rPr>
              <w:t>2.1</w:t>
            </w:r>
          </w:p>
        </w:tc>
        <w:tc>
          <w:tcPr>
            <w:tcW w:w="1732" w:type="dxa"/>
            <w:tcBorders>
              <w:top w:val="single" w:color="auto" w:sz="4" w:space="0"/>
              <w:left w:val="single" w:color="auto" w:sz="4" w:space="0"/>
              <w:bottom w:val="single" w:color="auto" w:sz="4" w:space="0"/>
            </w:tcBorders>
            <w:shd w:val="clear" w:color="auto" w:fill="FFFFFF"/>
            <w:vAlign w:val="center"/>
          </w:tcPr>
          <w:p w14:paraId="7E1591D2">
            <w:pPr>
              <w:pStyle w:val="78"/>
              <w:keepNext w:val="0"/>
              <w:keepLines w:val="0"/>
              <w:pageBreakBefore w:val="0"/>
              <w:widowControl w:val="0"/>
              <w:kinsoku/>
              <w:wordWrap/>
              <w:overflowPunct/>
              <w:topLinePunct w:val="0"/>
              <w:bidi w:val="0"/>
              <w:snapToGrid/>
              <w:spacing w:after="0" w:line="400" w:lineRule="exact"/>
              <w:jc w:val="center"/>
              <w:textAlignment w:val="auto"/>
              <w:rPr>
                <w:color w:val="000000" w:themeColor="text1"/>
                <w:sz w:val="24"/>
                <w:szCs w:val="24"/>
                <w:highlight w:val="none"/>
                <w14:textFill>
                  <w14:solidFill>
                    <w14:schemeClr w14:val="tx1"/>
                  </w14:solidFill>
                </w14:textFill>
              </w:rPr>
            </w:pPr>
            <w:r>
              <w:rPr>
                <w:b w:val="0"/>
                <w:bCs w:val="0"/>
                <w:color w:val="000000" w:themeColor="text1"/>
                <w:sz w:val="24"/>
                <w:szCs w:val="24"/>
                <w:highlight w:val="none"/>
                <w14:textFill>
                  <w14:solidFill>
                    <w14:schemeClr w14:val="tx1"/>
                  </w14:solidFill>
                </w14:textFill>
              </w:rPr>
              <w:t>构成竞争性磋商文件的其他材料</w:t>
            </w:r>
          </w:p>
        </w:tc>
        <w:tc>
          <w:tcPr>
            <w:tcW w:w="5774" w:type="dxa"/>
            <w:tcBorders>
              <w:top w:val="single" w:color="auto" w:sz="4" w:space="0"/>
              <w:left w:val="single" w:color="auto" w:sz="4" w:space="0"/>
              <w:bottom w:val="single" w:color="auto" w:sz="4" w:space="0"/>
              <w:right w:val="single" w:color="auto" w:sz="4" w:space="0"/>
            </w:tcBorders>
            <w:shd w:val="clear" w:color="auto" w:fill="FFFFFF"/>
            <w:vAlign w:val="center"/>
          </w:tcPr>
          <w:p w14:paraId="4D62399D">
            <w:pPr>
              <w:pStyle w:val="78"/>
              <w:keepNext w:val="0"/>
              <w:keepLines w:val="0"/>
              <w:pageBreakBefore w:val="0"/>
              <w:widowControl w:val="0"/>
              <w:kinsoku/>
              <w:wordWrap/>
              <w:overflowPunct/>
              <w:topLinePunct w:val="0"/>
              <w:bidi w:val="0"/>
              <w:snapToGrid/>
              <w:spacing w:after="0" w:line="400" w:lineRule="exact"/>
              <w:jc w:val="left"/>
              <w:textAlignment w:val="auto"/>
              <w:rPr>
                <w:color w:val="000000" w:themeColor="text1"/>
                <w:sz w:val="24"/>
                <w:szCs w:val="24"/>
                <w:highlight w:val="none"/>
                <w:lang w:val="en-US" w:eastAsia="zh-CN"/>
                <w14:textFill>
                  <w14:solidFill>
                    <w14:schemeClr w14:val="tx1"/>
                  </w14:solidFill>
                </w14:textFill>
              </w:rPr>
            </w:pPr>
            <w:r>
              <w:rPr>
                <w:rFonts w:hint="eastAsia"/>
                <w:color w:val="000000" w:themeColor="text1"/>
                <w:sz w:val="24"/>
                <w:szCs w:val="24"/>
                <w:highlight w:val="none"/>
                <w:lang w:val="en-US" w:eastAsia="zh-CN"/>
                <w14:textFill>
                  <w14:solidFill>
                    <w14:schemeClr w14:val="tx1"/>
                  </w14:solidFill>
                </w14:textFill>
              </w:rPr>
              <w:t>/</w:t>
            </w:r>
          </w:p>
        </w:tc>
      </w:tr>
      <w:tr w14:paraId="55855798">
        <w:tblPrEx>
          <w:tblCellMar>
            <w:top w:w="0" w:type="dxa"/>
            <w:left w:w="10" w:type="dxa"/>
            <w:bottom w:w="0" w:type="dxa"/>
            <w:right w:w="10" w:type="dxa"/>
          </w:tblCellMar>
        </w:tblPrEx>
        <w:trPr>
          <w:trHeight w:val="1717" w:hRule="exact"/>
          <w:jc w:val="center"/>
        </w:trPr>
        <w:tc>
          <w:tcPr>
            <w:tcW w:w="822" w:type="dxa"/>
            <w:tcBorders>
              <w:top w:val="single" w:color="auto" w:sz="4" w:space="0"/>
              <w:left w:val="single" w:color="auto" w:sz="4" w:space="0"/>
              <w:bottom w:val="single" w:color="auto" w:sz="4" w:space="0"/>
            </w:tcBorders>
            <w:shd w:val="clear" w:color="auto" w:fill="FFFFFF"/>
            <w:vAlign w:val="center"/>
          </w:tcPr>
          <w:p w14:paraId="22DC9BE6">
            <w:pPr>
              <w:pStyle w:val="78"/>
              <w:keepNext w:val="0"/>
              <w:keepLines w:val="0"/>
              <w:pageBreakBefore w:val="0"/>
              <w:widowControl w:val="0"/>
              <w:kinsoku/>
              <w:wordWrap/>
              <w:overflowPunct/>
              <w:topLinePunct w:val="0"/>
              <w:autoSpaceDE/>
              <w:autoSpaceDN/>
              <w:bidi w:val="0"/>
              <w:adjustRightInd/>
              <w:snapToGrid/>
              <w:spacing w:after="0" w:line="400" w:lineRule="exact"/>
              <w:jc w:val="center"/>
              <w:textAlignment w:val="auto"/>
              <w:rPr>
                <w:b w:val="0"/>
                <w:bCs w:val="0"/>
                <w:color w:val="000000" w:themeColor="text1"/>
                <w:sz w:val="24"/>
                <w:szCs w:val="24"/>
                <w:highlight w:val="none"/>
                <w:lang w:val="zh-CN" w:eastAsia="zh-CN" w:bidi="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2.2.1</w:t>
            </w:r>
          </w:p>
        </w:tc>
        <w:tc>
          <w:tcPr>
            <w:tcW w:w="1732" w:type="dxa"/>
            <w:tcBorders>
              <w:top w:val="single" w:color="auto" w:sz="4" w:space="0"/>
              <w:left w:val="single" w:color="auto" w:sz="4" w:space="0"/>
              <w:bottom w:val="single" w:color="auto" w:sz="4" w:space="0"/>
            </w:tcBorders>
            <w:shd w:val="clear" w:color="auto" w:fill="FFFFFF"/>
            <w:vAlign w:val="center"/>
          </w:tcPr>
          <w:p w14:paraId="0757AAA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sz w:val="24"/>
                <w:szCs w:val="24"/>
                <w:highlight w:val="none"/>
              </w:rPr>
              <w:t>供应商要求澄清竞争性磋商文件的截止时间</w:t>
            </w:r>
          </w:p>
        </w:tc>
        <w:tc>
          <w:tcPr>
            <w:tcW w:w="5774" w:type="dxa"/>
            <w:tcBorders>
              <w:top w:val="single" w:color="auto" w:sz="4" w:space="0"/>
              <w:left w:val="single" w:color="auto" w:sz="4" w:space="0"/>
              <w:bottom w:val="single" w:color="auto" w:sz="4" w:space="0"/>
              <w:right w:val="single" w:color="auto" w:sz="4" w:space="0"/>
            </w:tcBorders>
            <w:shd w:val="clear" w:color="auto" w:fill="FFFFFF"/>
            <w:vAlign w:val="center"/>
          </w:tcPr>
          <w:p w14:paraId="31EFC21B">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递交首次响应文件截止时间5日前</w:t>
            </w:r>
          </w:p>
          <w:p w14:paraId="1F5EA1CB">
            <w:pPr>
              <w:pStyle w:val="13"/>
              <w:rPr>
                <w:rFonts w:hint="eastAsia"/>
                <w:lang w:val="en-US" w:eastAsia="zh-CN"/>
              </w:rPr>
            </w:pPr>
            <w:r>
              <w:rPr>
                <w:rFonts w:hint="eastAsia" w:ascii="宋体" w:hAnsi="宋体" w:eastAsia="宋体" w:cs="宋体"/>
                <w:b w:val="0"/>
                <w:bCs w:val="0"/>
                <w:spacing w:val="0"/>
                <w:kern w:val="2"/>
                <w:sz w:val="24"/>
                <w:szCs w:val="24"/>
                <w:highlight w:val="none"/>
                <w:lang w:val="en-US" w:eastAsia="zh-CN" w:bidi="ar-SA"/>
              </w:rPr>
              <w:t>形式：网上提交，在“政采云”平台（网址http：//www.zcygov.cn) 上发布。</w:t>
            </w:r>
          </w:p>
        </w:tc>
      </w:tr>
      <w:tr w14:paraId="58B31A44">
        <w:tblPrEx>
          <w:tblCellMar>
            <w:top w:w="0" w:type="dxa"/>
            <w:left w:w="10" w:type="dxa"/>
            <w:bottom w:w="0" w:type="dxa"/>
            <w:right w:w="10" w:type="dxa"/>
          </w:tblCellMar>
        </w:tblPrEx>
        <w:trPr>
          <w:trHeight w:val="1567" w:hRule="exact"/>
          <w:jc w:val="center"/>
        </w:trPr>
        <w:tc>
          <w:tcPr>
            <w:tcW w:w="822" w:type="dxa"/>
            <w:tcBorders>
              <w:top w:val="single" w:color="auto" w:sz="4" w:space="0"/>
              <w:left w:val="single" w:color="auto" w:sz="4" w:space="0"/>
              <w:bottom w:val="single" w:color="auto" w:sz="4" w:space="0"/>
            </w:tcBorders>
            <w:shd w:val="clear" w:color="auto" w:fill="FFFFFF"/>
            <w:vAlign w:val="center"/>
          </w:tcPr>
          <w:p w14:paraId="1AE14AF3">
            <w:pPr>
              <w:pStyle w:val="78"/>
              <w:keepNext w:val="0"/>
              <w:keepLines w:val="0"/>
              <w:pageBreakBefore w:val="0"/>
              <w:widowControl w:val="0"/>
              <w:kinsoku/>
              <w:wordWrap/>
              <w:overflowPunct/>
              <w:topLinePunct w:val="0"/>
              <w:autoSpaceDE/>
              <w:autoSpaceDN/>
              <w:bidi w:val="0"/>
              <w:adjustRightInd/>
              <w:snapToGrid/>
              <w:spacing w:after="0" w:line="400" w:lineRule="exact"/>
              <w:jc w:val="center"/>
              <w:textAlignment w:val="auto"/>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b w:val="0"/>
                <w:bCs w:val="0"/>
                <w:color w:val="000000" w:themeColor="text1"/>
                <w:sz w:val="24"/>
                <w:szCs w:val="24"/>
                <w:highlight w:val="none"/>
                <w:lang w:val="en-US" w:eastAsia="en-US" w:bidi="en-US"/>
                <w14:textFill>
                  <w14:solidFill>
                    <w14:schemeClr w14:val="tx1"/>
                  </w14:solidFill>
                </w14:textFill>
              </w:rPr>
              <w:t>2.2.</w:t>
            </w:r>
            <w:r>
              <w:rPr>
                <w:b w:val="0"/>
                <w:bCs w:val="0"/>
                <w:color w:val="000000" w:themeColor="text1"/>
                <w:sz w:val="24"/>
                <w:szCs w:val="24"/>
                <w:highlight w:val="none"/>
                <w:lang w:val="zh-CN" w:eastAsia="zh-CN" w:bidi="zh-CN"/>
                <w14:textFill>
                  <w14:solidFill>
                    <w14:schemeClr w14:val="tx1"/>
                  </w14:solidFill>
                </w14:textFill>
              </w:rPr>
              <w:t>2</w:t>
            </w:r>
          </w:p>
        </w:tc>
        <w:tc>
          <w:tcPr>
            <w:tcW w:w="1732" w:type="dxa"/>
            <w:tcBorders>
              <w:top w:val="single" w:color="auto" w:sz="4" w:space="0"/>
              <w:left w:val="single" w:color="auto" w:sz="4" w:space="0"/>
              <w:bottom w:val="single" w:color="auto" w:sz="4" w:space="0"/>
            </w:tcBorders>
            <w:shd w:val="clear" w:color="auto" w:fill="FFFFFF"/>
            <w:vAlign w:val="center"/>
          </w:tcPr>
          <w:p w14:paraId="048500AA">
            <w:pPr>
              <w:pStyle w:val="78"/>
              <w:keepNext w:val="0"/>
              <w:keepLines w:val="0"/>
              <w:pageBreakBefore w:val="0"/>
              <w:widowControl w:val="0"/>
              <w:kinsoku/>
              <w:wordWrap/>
              <w:overflowPunct/>
              <w:topLinePunct w:val="0"/>
              <w:autoSpaceDE/>
              <w:autoSpaceDN/>
              <w:bidi w:val="0"/>
              <w:adjustRightInd/>
              <w:snapToGrid/>
              <w:spacing w:after="0" w:line="400" w:lineRule="exact"/>
              <w:jc w:val="center"/>
              <w:textAlignment w:val="auto"/>
              <w:rPr>
                <w:rFonts w:hint="eastAsia" w:ascii="宋体" w:hAnsi="宋体" w:eastAsia="宋体" w:cs="宋体"/>
                <w:b w:val="0"/>
                <w:bCs w:val="0"/>
                <w:sz w:val="24"/>
                <w:szCs w:val="24"/>
                <w:highlight w:val="none"/>
              </w:rPr>
            </w:pPr>
            <w:r>
              <w:rPr>
                <w:b w:val="0"/>
                <w:bCs w:val="0"/>
                <w:color w:val="000000" w:themeColor="text1"/>
                <w:sz w:val="24"/>
                <w:szCs w:val="24"/>
                <w:highlight w:val="none"/>
                <w14:textFill>
                  <w14:solidFill>
                    <w14:schemeClr w14:val="tx1"/>
                  </w14:solidFill>
                </w14:textFill>
              </w:rPr>
              <w:t>供应商递交澄清竞争性磋商文件的形式</w:t>
            </w:r>
          </w:p>
        </w:tc>
        <w:tc>
          <w:tcPr>
            <w:tcW w:w="5774" w:type="dxa"/>
            <w:tcBorders>
              <w:top w:val="single" w:color="auto" w:sz="4" w:space="0"/>
              <w:left w:val="single" w:color="auto" w:sz="4" w:space="0"/>
              <w:bottom w:val="single" w:color="auto" w:sz="4" w:space="0"/>
              <w:right w:val="single" w:color="auto" w:sz="4" w:space="0"/>
            </w:tcBorders>
            <w:shd w:val="clear" w:color="auto" w:fill="FFFFFF"/>
            <w:vAlign w:val="center"/>
          </w:tcPr>
          <w:p w14:paraId="576EB5BA">
            <w:pPr>
              <w:pStyle w:val="78"/>
              <w:keepNext w:val="0"/>
              <w:keepLines w:val="0"/>
              <w:pageBreakBefore w:val="0"/>
              <w:widowControl w:val="0"/>
              <w:kinsoku/>
              <w:wordWrap/>
              <w:overflowPunct/>
              <w:topLinePunct w:val="0"/>
              <w:autoSpaceDE/>
              <w:autoSpaceDN/>
              <w:bidi w:val="0"/>
              <w:adjustRightInd/>
              <w:snapToGrid/>
              <w:spacing w:after="0" w:line="400" w:lineRule="exact"/>
              <w:jc w:val="left"/>
              <w:textAlignment w:val="auto"/>
              <w:rPr>
                <w:rFonts w:hint="eastAsia" w:ascii="宋体" w:hAnsi="宋体" w:eastAsia="宋体" w:cs="宋体"/>
                <w:b w:val="0"/>
                <w:bCs w:val="0"/>
                <w:sz w:val="24"/>
                <w:szCs w:val="24"/>
                <w:highlight w:val="none"/>
              </w:rPr>
            </w:pPr>
            <w:r>
              <w:rPr>
                <w:rFonts w:hint="default"/>
                <w:b w:val="0"/>
                <w:bCs w:val="0"/>
                <w:sz w:val="24"/>
                <w:szCs w:val="24"/>
                <w:highlight w:val="none"/>
              </w:rPr>
              <w:t>电子文档</w:t>
            </w:r>
          </w:p>
        </w:tc>
      </w:tr>
      <w:tr w14:paraId="182FA38C">
        <w:tblPrEx>
          <w:tblCellMar>
            <w:top w:w="0" w:type="dxa"/>
            <w:left w:w="10" w:type="dxa"/>
            <w:bottom w:w="0" w:type="dxa"/>
            <w:right w:w="10" w:type="dxa"/>
          </w:tblCellMar>
        </w:tblPrEx>
        <w:trPr>
          <w:trHeight w:val="1522" w:hRule="exact"/>
          <w:jc w:val="center"/>
        </w:trPr>
        <w:tc>
          <w:tcPr>
            <w:tcW w:w="822" w:type="dxa"/>
            <w:tcBorders>
              <w:top w:val="single" w:color="auto" w:sz="4" w:space="0"/>
              <w:left w:val="single" w:color="auto" w:sz="4" w:space="0"/>
              <w:bottom w:val="single" w:color="auto" w:sz="4" w:space="0"/>
            </w:tcBorders>
            <w:shd w:val="clear" w:color="auto" w:fill="FFFFFF"/>
            <w:vAlign w:val="center"/>
          </w:tcPr>
          <w:p w14:paraId="3C25D4A2">
            <w:pPr>
              <w:pStyle w:val="78"/>
              <w:keepNext w:val="0"/>
              <w:keepLines w:val="0"/>
              <w:pageBreakBefore w:val="0"/>
              <w:widowControl w:val="0"/>
              <w:kinsoku/>
              <w:wordWrap/>
              <w:overflowPunct/>
              <w:topLinePunct w:val="0"/>
              <w:autoSpaceDE/>
              <w:autoSpaceDN/>
              <w:bidi w:val="0"/>
              <w:adjustRightInd/>
              <w:snapToGrid/>
              <w:spacing w:after="0" w:line="400" w:lineRule="exact"/>
              <w:jc w:val="center"/>
              <w:textAlignment w:val="auto"/>
              <w:rPr>
                <w:b w:val="0"/>
                <w:bCs w:val="0"/>
                <w:color w:val="000000" w:themeColor="text1"/>
                <w:sz w:val="24"/>
                <w:szCs w:val="24"/>
                <w:highlight w:val="none"/>
                <w:lang w:val="en-US" w:eastAsia="en-US" w:bidi="en-US"/>
                <w14:textFill>
                  <w14:solidFill>
                    <w14:schemeClr w14:val="tx1"/>
                  </w14:solidFill>
                </w14:textFill>
              </w:rPr>
            </w:pPr>
            <w:r>
              <w:rPr>
                <w:b w:val="0"/>
                <w:bCs w:val="0"/>
                <w:color w:val="000000" w:themeColor="text1"/>
                <w:sz w:val="24"/>
                <w:szCs w:val="24"/>
                <w:highlight w:val="none"/>
                <w:lang w:val="en-US" w:eastAsia="en-US" w:bidi="en-US"/>
                <w14:textFill>
                  <w14:solidFill>
                    <w14:schemeClr w14:val="tx1"/>
                  </w14:solidFill>
                </w14:textFill>
              </w:rPr>
              <w:t>2.3.</w:t>
            </w:r>
            <w:r>
              <w:rPr>
                <w:b w:val="0"/>
                <w:bCs w:val="0"/>
                <w:color w:val="000000" w:themeColor="text1"/>
                <w:sz w:val="24"/>
                <w:szCs w:val="24"/>
                <w:highlight w:val="none"/>
                <w:lang w:val="zh-CN" w:eastAsia="zh-CN" w:bidi="zh-CN"/>
                <w14:textFill>
                  <w14:solidFill>
                    <w14:schemeClr w14:val="tx1"/>
                  </w14:solidFill>
                </w14:textFill>
              </w:rPr>
              <w:t>1</w:t>
            </w:r>
          </w:p>
        </w:tc>
        <w:tc>
          <w:tcPr>
            <w:tcW w:w="1732" w:type="dxa"/>
            <w:tcBorders>
              <w:top w:val="single" w:color="auto" w:sz="4" w:space="0"/>
              <w:left w:val="single" w:color="auto" w:sz="4" w:space="0"/>
              <w:bottom w:val="single" w:color="auto" w:sz="4" w:space="0"/>
            </w:tcBorders>
            <w:shd w:val="clear" w:color="auto" w:fill="FFFFFF"/>
            <w:vAlign w:val="center"/>
          </w:tcPr>
          <w:p w14:paraId="54D548D7">
            <w:pPr>
              <w:pStyle w:val="78"/>
              <w:keepNext w:val="0"/>
              <w:keepLines w:val="0"/>
              <w:pageBreakBefore w:val="0"/>
              <w:widowControl w:val="0"/>
              <w:kinsoku/>
              <w:wordWrap/>
              <w:overflowPunct/>
              <w:topLinePunct w:val="0"/>
              <w:autoSpaceDE/>
              <w:autoSpaceDN/>
              <w:bidi w:val="0"/>
              <w:adjustRightInd/>
              <w:snapToGrid/>
              <w:spacing w:after="0" w:line="400" w:lineRule="exact"/>
              <w:jc w:val="center"/>
              <w:textAlignment w:val="auto"/>
              <w:rPr>
                <w:b w:val="0"/>
                <w:bCs w:val="0"/>
                <w:color w:val="000000" w:themeColor="text1"/>
                <w:sz w:val="24"/>
                <w:szCs w:val="24"/>
                <w:highlight w:val="none"/>
                <w14:textFill>
                  <w14:solidFill>
                    <w14:schemeClr w14:val="tx1"/>
                  </w14:solidFill>
                </w14:textFill>
              </w:rPr>
            </w:pPr>
            <w:r>
              <w:rPr>
                <w:b w:val="0"/>
                <w:bCs w:val="0"/>
                <w:color w:val="000000" w:themeColor="text1"/>
                <w:sz w:val="24"/>
                <w:szCs w:val="24"/>
                <w:highlight w:val="none"/>
                <w14:textFill>
                  <w14:solidFill>
                    <w14:schemeClr w14:val="tx1"/>
                  </w14:solidFill>
                </w14:textFill>
              </w:rPr>
              <w:t>竞争性磋商文件</w:t>
            </w:r>
            <w:r>
              <w:rPr>
                <w:rFonts w:hint="eastAsia"/>
                <w:b w:val="0"/>
                <w:bCs w:val="0"/>
                <w:color w:val="000000" w:themeColor="text1"/>
                <w:sz w:val="24"/>
                <w:szCs w:val="24"/>
                <w:highlight w:val="none"/>
                <w:lang w:val="en-US" w:eastAsia="zh-CN"/>
                <w14:textFill>
                  <w14:solidFill>
                    <w14:schemeClr w14:val="tx1"/>
                  </w14:solidFill>
                </w14:textFill>
              </w:rPr>
              <w:t>澄清与</w:t>
            </w:r>
            <w:r>
              <w:rPr>
                <w:b w:val="0"/>
                <w:bCs w:val="0"/>
                <w:color w:val="000000" w:themeColor="text1"/>
                <w:sz w:val="24"/>
                <w:szCs w:val="24"/>
                <w:highlight w:val="none"/>
                <w14:textFill>
                  <w14:solidFill>
                    <w14:schemeClr w14:val="tx1"/>
                  </w14:solidFill>
                </w14:textFill>
              </w:rPr>
              <w:t>修改的截止时间</w:t>
            </w:r>
          </w:p>
        </w:tc>
        <w:tc>
          <w:tcPr>
            <w:tcW w:w="5774" w:type="dxa"/>
            <w:tcBorders>
              <w:top w:val="single" w:color="auto" w:sz="4" w:space="0"/>
              <w:left w:val="single" w:color="auto" w:sz="4" w:space="0"/>
              <w:bottom w:val="single" w:color="auto" w:sz="4" w:space="0"/>
              <w:right w:val="single" w:color="auto" w:sz="4" w:space="0"/>
            </w:tcBorders>
            <w:shd w:val="clear" w:color="auto" w:fill="FFFFFF"/>
            <w:vAlign w:val="center"/>
          </w:tcPr>
          <w:p w14:paraId="21837DF3">
            <w:pPr>
              <w:pStyle w:val="78"/>
              <w:keepNext w:val="0"/>
              <w:keepLines w:val="0"/>
              <w:pageBreakBefore w:val="0"/>
              <w:widowControl w:val="0"/>
              <w:kinsoku/>
              <w:wordWrap/>
              <w:overflowPunct/>
              <w:topLinePunct w:val="0"/>
              <w:autoSpaceDE/>
              <w:autoSpaceDN/>
              <w:bidi w:val="0"/>
              <w:adjustRightInd/>
              <w:snapToGrid/>
              <w:spacing w:after="0" w:line="400" w:lineRule="exact"/>
              <w:jc w:val="left"/>
              <w:textAlignment w:val="auto"/>
              <w:rPr>
                <w:rFonts w:hint="default"/>
                <w:b w:val="0"/>
                <w:bCs w:val="0"/>
                <w:sz w:val="24"/>
                <w:szCs w:val="24"/>
                <w:highlight w:val="none"/>
              </w:rPr>
            </w:pPr>
            <w:r>
              <w:rPr>
                <w:b w:val="0"/>
                <w:bCs w:val="0"/>
                <w:color w:val="000000" w:themeColor="text1"/>
                <w:sz w:val="24"/>
                <w:szCs w:val="24"/>
                <w:highlight w:val="none"/>
                <w14:textFill>
                  <w14:solidFill>
                    <w14:schemeClr w14:val="tx1"/>
                  </w14:solidFill>
                </w14:textFill>
              </w:rPr>
              <w:t>递交首次响应文件截止时间5</w:t>
            </w:r>
            <w:r>
              <w:rPr>
                <w:rFonts w:hint="eastAsia"/>
                <w:b w:val="0"/>
                <w:bCs w:val="0"/>
                <w:color w:val="000000" w:themeColor="text1"/>
                <w:sz w:val="24"/>
                <w:szCs w:val="24"/>
                <w:highlight w:val="none"/>
                <w:lang w:val="en-US" w:eastAsia="zh-CN"/>
                <w14:textFill>
                  <w14:solidFill>
                    <w14:schemeClr w14:val="tx1"/>
                  </w14:solidFill>
                </w14:textFill>
              </w:rPr>
              <w:t>日</w:t>
            </w:r>
            <w:r>
              <w:rPr>
                <w:b w:val="0"/>
                <w:bCs w:val="0"/>
                <w:color w:val="000000" w:themeColor="text1"/>
                <w:sz w:val="24"/>
                <w:szCs w:val="24"/>
                <w:highlight w:val="none"/>
                <w14:textFill>
                  <w14:solidFill>
                    <w14:schemeClr w14:val="tx1"/>
                  </w14:solidFill>
                </w14:textFill>
              </w:rPr>
              <w:t>前</w:t>
            </w:r>
          </w:p>
        </w:tc>
      </w:tr>
      <w:tr w14:paraId="5D745F68">
        <w:tblPrEx>
          <w:tblCellMar>
            <w:top w:w="0" w:type="dxa"/>
            <w:left w:w="10" w:type="dxa"/>
            <w:bottom w:w="0" w:type="dxa"/>
            <w:right w:w="10" w:type="dxa"/>
          </w:tblCellMar>
        </w:tblPrEx>
        <w:trPr>
          <w:trHeight w:val="1652" w:hRule="exact"/>
          <w:jc w:val="center"/>
        </w:trPr>
        <w:tc>
          <w:tcPr>
            <w:tcW w:w="822" w:type="dxa"/>
            <w:tcBorders>
              <w:top w:val="single" w:color="auto" w:sz="4" w:space="0"/>
              <w:left w:val="single" w:color="auto" w:sz="4" w:space="0"/>
              <w:bottom w:val="single" w:color="auto" w:sz="4" w:space="0"/>
            </w:tcBorders>
            <w:shd w:val="clear" w:color="auto" w:fill="FFFFFF"/>
            <w:vAlign w:val="center"/>
          </w:tcPr>
          <w:p w14:paraId="20F2A497">
            <w:pPr>
              <w:pStyle w:val="78"/>
              <w:keepNext w:val="0"/>
              <w:keepLines w:val="0"/>
              <w:pageBreakBefore w:val="0"/>
              <w:widowControl w:val="0"/>
              <w:kinsoku/>
              <w:wordWrap/>
              <w:overflowPunct/>
              <w:topLinePunct w:val="0"/>
              <w:autoSpaceDE/>
              <w:autoSpaceDN/>
              <w:bidi w:val="0"/>
              <w:adjustRightInd/>
              <w:snapToGrid/>
              <w:spacing w:after="0" w:line="400" w:lineRule="exact"/>
              <w:jc w:val="center"/>
              <w:textAlignment w:val="auto"/>
              <w:rPr>
                <w:b w:val="0"/>
                <w:bCs w:val="0"/>
                <w:color w:val="000000" w:themeColor="text1"/>
                <w:sz w:val="24"/>
                <w:szCs w:val="24"/>
                <w:highlight w:val="none"/>
                <w:lang w:val="en-US" w:eastAsia="en-US" w:bidi="en-US"/>
                <w14:textFill>
                  <w14:solidFill>
                    <w14:schemeClr w14:val="tx1"/>
                  </w14:solidFill>
                </w14:textFill>
              </w:rPr>
            </w:pPr>
            <w:r>
              <w:rPr>
                <w:b w:val="0"/>
                <w:bCs w:val="0"/>
                <w:color w:val="000000" w:themeColor="text1"/>
                <w:sz w:val="24"/>
                <w:szCs w:val="24"/>
                <w:highlight w:val="none"/>
                <w:lang w:val="zh-CN" w:eastAsia="zh-CN" w:bidi="zh-CN"/>
                <w14:textFill>
                  <w14:solidFill>
                    <w14:schemeClr w14:val="tx1"/>
                  </w14:solidFill>
                </w14:textFill>
              </w:rPr>
              <w:t>2.3.2</w:t>
            </w:r>
          </w:p>
        </w:tc>
        <w:tc>
          <w:tcPr>
            <w:tcW w:w="1732" w:type="dxa"/>
            <w:tcBorders>
              <w:top w:val="single" w:color="auto" w:sz="4" w:space="0"/>
              <w:left w:val="single" w:color="auto" w:sz="4" w:space="0"/>
              <w:bottom w:val="single" w:color="auto" w:sz="4" w:space="0"/>
            </w:tcBorders>
            <w:shd w:val="clear" w:color="auto" w:fill="FFFFFF"/>
            <w:vAlign w:val="center"/>
          </w:tcPr>
          <w:p w14:paraId="375D7E52">
            <w:pPr>
              <w:pStyle w:val="78"/>
              <w:keepNext w:val="0"/>
              <w:keepLines w:val="0"/>
              <w:pageBreakBefore w:val="0"/>
              <w:widowControl w:val="0"/>
              <w:kinsoku/>
              <w:wordWrap/>
              <w:overflowPunct/>
              <w:topLinePunct w:val="0"/>
              <w:autoSpaceDE/>
              <w:autoSpaceDN/>
              <w:bidi w:val="0"/>
              <w:adjustRightInd/>
              <w:snapToGrid/>
              <w:spacing w:after="0" w:line="400" w:lineRule="exact"/>
              <w:jc w:val="center"/>
              <w:textAlignment w:val="auto"/>
              <w:rPr>
                <w:b w:val="0"/>
                <w:bCs w:val="0"/>
                <w:color w:val="000000" w:themeColor="text1"/>
                <w:sz w:val="24"/>
                <w:szCs w:val="24"/>
                <w:highlight w:val="none"/>
                <w14:textFill>
                  <w14:solidFill>
                    <w14:schemeClr w14:val="tx1"/>
                  </w14:solidFill>
                </w14:textFill>
              </w:rPr>
            </w:pPr>
            <w:r>
              <w:rPr>
                <w:b w:val="0"/>
                <w:bCs w:val="0"/>
                <w:color w:val="000000" w:themeColor="text1"/>
                <w:sz w:val="24"/>
                <w:szCs w:val="24"/>
                <w:highlight w:val="none"/>
                <w14:textFill>
                  <w14:solidFill>
                    <w14:schemeClr w14:val="tx1"/>
                  </w14:solidFill>
                </w14:textFill>
              </w:rPr>
              <w:t>供应商确认收到竞争性磋商文件</w:t>
            </w:r>
            <w:r>
              <w:rPr>
                <w:rFonts w:hint="eastAsia"/>
                <w:b w:val="0"/>
                <w:bCs w:val="0"/>
                <w:color w:val="000000" w:themeColor="text1"/>
                <w:sz w:val="24"/>
                <w:szCs w:val="24"/>
                <w:highlight w:val="none"/>
                <w:lang w:val="en-US" w:eastAsia="zh-CN"/>
                <w14:textFill>
                  <w14:solidFill>
                    <w14:schemeClr w14:val="tx1"/>
                  </w14:solidFill>
                </w14:textFill>
              </w:rPr>
              <w:t>澄清与</w:t>
            </w:r>
            <w:r>
              <w:rPr>
                <w:b w:val="0"/>
                <w:bCs w:val="0"/>
                <w:color w:val="000000" w:themeColor="text1"/>
                <w:sz w:val="24"/>
                <w:szCs w:val="24"/>
                <w:highlight w:val="none"/>
                <w14:textFill>
                  <w14:solidFill>
                    <w14:schemeClr w14:val="tx1"/>
                  </w14:solidFill>
                </w14:textFill>
              </w:rPr>
              <w:t>修改的时间</w:t>
            </w:r>
          </w:p>
        </w:tc>
        <w:tc>
          <w:tcPr>
            <w:tcW w:w="5774" w:type="dxa"/>
            <w:tcBorders>
              <w:top w:val="single" w:color="auto" w:sz="4" w:space="0"/>
              <w:left w:val="single" w:color="auto" w:sz="4" w:space="0"/>
              <w:bottom w:val="single" w:color="auto" w:sz="4" w:space="0"/>
              <w:right w:val="single" w:color="auto" w:sz="4" w:space="0"/>
            </w:tcBorders>
            <w:shd w:val="clear" w:color="auto" w:fill="FFFFFF"/>
            <w:vAlign w:val="center"/>
          </w:tcPr>
          <w:p w14:paraId="6B1B8DAC">
            <w:pPr>
              <w:pStyle w:val="78"/>
              <w:keepNext w:val="0"/>
              <w:keepLines w:val="0"/>
              <w:pageBreakBefore w:val="0"/>
              <w:widowControl w:val="0"/>
              <w:kinsoku/>
              <w:wordWrap/>
              <w:overflowPunct/>
              <w:topLinePunct w:val="0"/>
              <w:autoSpaceDE/>
              <w:autoSpaceDN/>
              <w:bidi w:val="0"/>
              <w:adjustRightInd/>
              <w:snapToGrid/>
              <w:spacing w:after="0" w:line="400" w:lineRule="exact"/>
              <w:jc w:val="left"/>
              <w:textAlignment w:val="auto"/>
              <w:rPr>
                <w:rFonts w:hint="default"/>
                <w:b w:val="0"/>
                <w:bCs w:val="0"/>
                <w:sz w:val="24"/>
                <w:szCs w:val="24"/>
                <w:highlight w:val="none"/>
              </w:rPr>
            </w:pPr>
            <w:r>
              <w:rPr>
                <w:rFonts w:hint="default"/>
                <w:b w:val="0"/>
                <w:bCs w:val="0"/>
                <w:sz w:val="24"/>
                <w:szCs w:val="24"/>
                <w:highlight w:val="none"/>
                <w:lang w:eastAsia="zh-CN"/>
              </w:rPr>
              <w:t>时间：</w:t>
            </w:r>
            <w:r>
              <w:rPr>
                <w:rFonts w:hint="default"/>
                <w:b w:val="0"/>
                <w:bCs w:val="0"/>
                <w:sz w:val="24"/>
                <w:szCs w:val="24"/>
                <w:highlight w:val="none"/>
              </w:rPr>
              <w:t>收到相关文件1日内</w:t>
            </w:r>
          </w:p>
          <w:p w14:paraId="55E8D349">
            <w:pPr>
              <w:pStyle w:val="78"/>
              <w:keepNext w:val="0"/>
              <w:keepLines w:val="0"/>
              <w:pageBreakBefore w:val="0"/>
              <w:widowControl w:val="0"/>
              <w:kinsoku/>
              <w:wordWrap/>
              <w:overflowPunct/>
              <w:topLinePunct w:val="0"/>
              <w:autoSpaceDE/>
              <w:autoSpaceDN/>
              <w:bidi w:val="0"/>
              <w:adjustRightInd/>
              <w:snapToGrid/>
              <w:spacing w:after="0" w:line="400" w:lineRule="exact"/>
              <w:jc w:val="left"/>
              <w:textAlignment w:val="auto"/>
              <w:rPr>
                <w:rFonts w:hint="default"/>
                <w:b w:val="0"/>
                <w:bCs w:val="0"/>
                <w:sz w:val="24"/>
                <w:szCs w:val="24"/>
                <w:highlight w:val="none"/>
              </w:rPr>
            </w:pPr>
            <w:r>
              <w:rPr>
                <w:rFonts w:hint="default"/>
                <w:b w:val="0"/>
                <w:bCs w:val="0"/>
                <w:sz w:val="24"/>
                <w:szCs w:val="24"/>
                <w:highlight w:val="none"/>
              </w:rPr>
              <w:t>形式：</w:t>
            </w:r>
            <w:r>
              <w:rPr>
                <w:rFonts w:hint="default"/>
                <w:b w:val="0"/>
                <w:bCs w:val="0"/>
                <w:sz w:val="24"/>
                <w:szCs w:val="24"/>
                <w:highlight w:val="none"/>
                <w:lang w:val="en-US" w:eastAsia="zh-CN"/>
              </w:rPr>
              <w:t>网上提交，在政采云”平台（网址http：//www.zcygov.cn)  提交</w:t>
            </w:r>
          </w:p>
        </w:tc>
      </w:tr>
      <w:tr w14:paraId="6EECA13F">
        <w:tblPrEx>
          <w:tblCellMar>
            <w:top w:w="0" w:type="dxa"/>
            <w:left w:w="10" w:type="dxa"/>
            <w:bottom w:w="0" w:type="dxa"/>
            <w:right w:w="10" w:type="dxa"/>
          </w:tblCellMar>
        </w:tblPrEx>
        <w:trPr>
          <w:trHeight w:val="1697" w:hRule="exact"/>
          <w:jc w:val="center"/>
        </w:trPr>
        <w:tc>
          <w:tcPr>
            <w:tcW w:w="822" w:type="dxa"/>
            <w:tcBorders>
              <w:top w:val="single" w:color="auto" w:sz="4" w:space="0"/>
              <w:left w:val="single" w:color="auto" w:sz="4" w:space="0"/>
              <w:bottom w:val="single" w:color="auto" w:sz="4" w:space="0"/>
            </w:tcBorders>
            <w:shd w:val="clear" w:color="auto" w:fill="FFFFFF"/>
            <w:vAlign w:val="center"/>
          </w:tcPr>
          <w:p w14:paraId="0B5EDBF9">
            <w:pPr>
              <w:pStyle w:val="78"/>
              <w:keepNext w:val="0"/>
              <w:keepLines w:val="0"/>
              <w:pageBreakBefore w:val="0"/>
              <w:widowControl w:val="0"/>
              <w:kinsoku/>
              <w:wordWrap/>
              <w:overflowPunct/>
              <w:topLinePunct w:val="0"/>
              <w:autoSpaceDE/>
              <w:autoSpaceDN/>
              <w:bidi w:val="0"/>
              <w:adjustRightInd/>
              <w:snapToGrid/>
              <w:spacing w:after="0" w:line="400" w:lineRule="exact"/>
              <w:jc w:val="center"/>
              <w:textAlignment w:val="auto"/>
              <w:rPr>
                <w:b w:val="0"/>
                <w:bCs w:val="0"/>
                <w:color w:val="000000" w:themeColor="text1"/>
                <w:sz w:val="24"/>
                <w:szCs w:val="24"/>
                <w:highlight w:val="none"/>
                <w:lang w:val="zh-CN" w:eastAsia="zh-CN" w:bidi="zh-CN"/>
                <w14:textFill>
                  <w14:solidFill>
                    <w14:schemeClr w14:val="tx1"/>
                  </w14:solidFill>
                </w14:textFill>
              </w:rPr>
            </w:pPr>
            <w:r>
              <w:rPr>
                <w:b w:val="0"/>
                <w:bCs w:val="0"/>
                <w:color w:val="000000" w:themeColor="text1"/>
                <w:sz w:val="24"/>
                <w:szCs w:val="24"/>
                <w:highlight w:val="none"/>
                <w:lang w:val="zh-CN" w:eastAsia="zh-CN" w:bidi="zh-CN"/>
                <w14:textFill>
                  <w14:solidFill>
                    <w14:schemeClr w14:val="tx1"/>
                  </w14:solidFill>
                </w14:textFill>
              </w:rPr>
              <w:t>3.1.1</w:t>
            </w:r>
          </w:p>
        </w:tc>
        <w:tc>
          <w:tcPr>
            <w:tcW w:w="1732" w:type="dxa"/>
            <w:tcBorders>
              <w:top w:val="single" w:color="auto" w:sz="4" w:space="0"/>
              <w:left w:val="single" w:color="auto" w:sz="4" w:space="0"/>
              <w:bottom w:val="single" w:color="auto" w:sz="4" w:space="0"/>
            </w:tcBorders>
            <w:shd w:val="clear" w:color="auto" w:fill="FFFFFF"/>
            <w:vAlign w:val="center"/>
          </w:tcPr>
          <w:p w14:paraId="3349554D">
            <w:pPr>
              <w:pStyle w:val="78"/>
              <w:keepNext w:val="0"/>
              <w:keepLines w:val="0"/>
              <w:pageBreakBefore w:val="0"/>
              <w:widowControl w:val="0"/>
              <w:kinsoku/>
              <w:wordWrap/>
              <w:overflowPunct/>
              <w:topLinePunct w:val="0"/>
              <w:autoSpaceDE/>
              <w:autoSpaceDN/>
              <w:bidi w:val="0"/>
              <w:adjustRightInd/>
              <w:snapToGrid/>
              <w:spacing w:after="0" w:line="400" w:lineRule="exact"/>
              <w:jc w:val="center"/>
              <w:textAlignment w:val="auto"/>
              <w:rPr>
                <w:b w:val="0"/>
                <w:bCs w:val="0"/>
                <w:color w:val="000000" w:themeColor="text1"/>
                <w:sz w:val="24"/>
                <w:szCs w:val="24"/>
                <w:highlight w:val="none"/>
                <w14:textFill>
                  <w14:solidFill>
                    <w14:schemeClr w14:val="tx1"/>
                  </w14:solidFill>
                </w14:textFill>
              </w:rPr>
            </w:pPr>
            <w:r>
              <w:rPr>
                <w:b w:val="0"/>
                <w:bCs w:val="0"/>
                <w:color w:val="000000" w:themeColor="text1"/>
                <w:sz w:val="24"/>
                <w:szCs w:val="24"/>
                <w:highlight w:val="none"/>
                <w14:textFill>
                  <w14:solidFill>
                    <w14:schemeClr w14:val="tx1"/>
                  </w14:solidFill>
                </w14:textFill>
              </w:rPr>
              <w:t>构成响应文件的其他材料</w:t>
            </w:r>
          </w:p>
        </w:tc>
        <w:tc>
          <w:tcPr>
            <w:tcW w:w="5774" w:type="dxa"/>
            <w:tcBorders>
              <w:top w:val="single" w:color="auto" w:sz="4" w:space="0"/>
              <w:left w:val="single" w:color="auto" w:sz="4" w:space="0"/>
              <w:bottom w:val="single" w:color="auto" w:sz="4" w:space="0"/>
              <w:right w:val="single" w:color="auto" w:sz="4" w:space="0"/>
            </w:tcBorders>
            <w:shd w:val="clear" w:color="auto" w:fill="FFFFFF"/>
            <w:vAlign w:val="center"/>
          </w:tcPr>
          <w:p w14:paraId="0D24E29D">
            <w:pPr>
              <w:pStyle w:val="78"/>
              <w:keepNext w:val="0"/>
              <w:keepLines w:val="0"/>
              <w:pageBreakBefore w:val="0"/>
              <w:widowControl w:val="0"/>
              <w:kinsoku/>
              <w:wordWrap/>
              <w:overflowPunct/>
              <w:topLinePunct w:val="0"/>
              <w:autoSpaceDE/>
              <w:autoSpaceDN/>
              <w:bidi w:val="0"/>
              <w:adjustRightInd/>
              <w:snapToGrid/>
              <w:spacing w:after="0" w:line="400" w:lineRule="exact"/>
              <w:jc w:val="left"/>
              <w:textAlignment w:val="auto"/>
              <w:rPr>
                <w:b w:val="0"/>
                <w:bCs w:val="0"/>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lang w:val="zh-CN" w:eastAsia="zh-CN"/>
                <w14:textFill>
                  <w14:solidFill>
                    <w14:schemeClr w14:val="tx1"/>
                  </w14:solidFill>
                </w14:textFill>
              </w:rPr>
              <w:t>本项目所有证件资料以上传至“政采云”平台加盖电子公章的证件为准，评标时由评审委员会现场核验，如所提供的资料为虚假材料，投标文件将被否决</w:t>
            </w:r>
            <w:r>
              <w:rPr>
                <w:rFonts w:hint="eastAsia"/>
                <w:b w:val="0"/>
                <w:bCs w:val="0"/>
                <w:color w:val="000000" w:themeColor="text1"/>
                <w:sz w:val="24"/>
                <w:szCs w:val="24"/>
                <w:highlight w:val="none"/>
                <w:lang w:val="zh-CN"/>
                <w14:textFill>
                  <w14:solidFill>
                    <w14:schemeClr w14:val="tx1"/>
                  </w14:solidFill>
                </w14:textFill>
              </w:rPr>
              <w:t>。</w:t>
            </w:r>
          </w:p>
        </w:tc>
      </w:tr>
      <w:tr w14:paraId="3148818B">
        <w:tblPrEx>
          <w:tblCellMar>
            <w:top w:w="0" w:type="dxa"/>
            <w:left w:w="10" w:type="dxa"/>
            <w:bottom w:w="0" w:type="dxa"/>
            <w:right w:w="10" w:type="dxa"/>
          </w:tblCellMar>
        </w:tblPrEx>
        <w:trPr>
          <w:trHeight w:val="1887" w:hRule="exact"/>
          <w:jc w:val="center"/>
        </w:trPr>
        <w:tc>
          <w:tcPr>
            <w:tcW w:w="822" w:type="dxa"/>
            <w:tcBorders>
              <w:top w:val="single" w:color="auto" w:sz="4" w:space="0"/>
              <w:left w:val="single" w:color="auto" w:sz="4" w:space="0"/>
              <w:bottom w:val="single" w:color="auto" w:sz="4" w:space="0"/>
            </w:tcBorders>
            <w:shd w:val="clear" w:color="auto" w:fill="FFFFFF"/>
            <w:vAlign w:val="center"/>
          </w:tcPr>
          <w:p w14:paraId="22B98BC1">
            <w:pPr>
              <w:keepNext w:val="0"/>
              <w:keepLines w:val="0"/>
              <w:pageBreakBefore w:val="0"/>
              <w:widowControl w:val="0"/>
              <w:kinsoku/>
              <w:wordWrap/>
              <w:overflowPunct/>
              <w:topLinePunct w:val="0"/>
              <w:bidi w:val="0"/>
              <w:snapToGrid/>
              <w:spacing w:line="400" w:lineRule="exact"/>
              <w:jc w:val="center"/>
              <w:textAlignment w:val="auto"/>
              <w:rPr>
                <w:b w:val="0"/>
                <w:bCs w:val="0"/>
                <w:color w:val="000000" w:themeColor="text1"/>
                <w:sz w:val="24"/>
                <w:szCs w:val="24"/>
                <w:highlight w:val="none"/>
                <w:lang w:val="zh-CN" w:eastAsia="zh-CN" w:bidi="zh-CN"/>
                <w14:textFill>
                  <w14:solidFill>
                    <w14:schemeClr w14:val="tx1"/>
                  </w14:solidFill>
                </w14:textFill>
              </w:rPr>
            </w:pPr>
            <w:r>
              <w:rPr>
                <w:rFonts w:hint="eastAsia" w:ascii="宋体" w:hAnsi="宋体" w:eastAsia="宋体" w:cs="宋体"/>
                <w:sz w:val="24"/>
                <w:szCs w:val="24"/>
                <w:highlight w:val="none"/>
              </w:rPr>
              <w:t>3.2.3</w:t>
            </w:r>
          </w:p>
        </w:tc>
        <w:tc>
          <w:tcPr>
            <w:tcW w:w="1732" w:type="dxa"/>
            <w:tcBorders>
              <w:top w:val="single" w:color="auto" w:sz="4" w:space="0"/>
              <w:left w:val="single" w:color="auto" w:sz="4" w:space="0"/>
              <w:bottom w:val="single" w:color="auto" w:sz="4" w:space="0"/>
            </w:tcBorders>
            <w:shd w:val="clear" w:color="auto" w:fill="FFFFFF"/>
            <w:vAlign w:val="center"/>
          </w:tcPr>
          <w:p w14:paraId="18BF85DE">
            <w:pPr>
              <w:keepNext w:val="0"/>
              <w:keepLines w:val="0"/>
              <w:pageBreakBefore w:val="0"/>
              <w:widowControl w:val="0"/>
              <w:kinsoku/>
              <w:wordWrap/>
              <w:overflowPunct/>
              <w:topLinePunct w:val="0"/>
              <w:bidi w:val="0"/>
              <w:snapToGrid/>
              <w:spacing w:line="400" w:lineRule="exact"/>
              <w:jc w:val="center"/>
              <w:textAlignment w:val="auto"/>
              <w:rPr>
                <w:b w:val="0"/>
                <w:bCs w:val="0"/>
                <w:color w:val="000000" w:themeColor="text1"/>
                <w:sz w:val="24"/>
                <w:szCs w:val="24"/>
                <w:highlight w:val="none"/>
                <w14:textFill>
                  <w14:solidFill>
                    <w14:schemeClr w14:val="tx1"/>
                  </w14:solidFill>
                </w14:textFill>
              </w:rPr>
            </w:pPr>
            <w:r>
              <w:rPr>
                <w:rFonts w:hint="eastAsia" w:ascii="宋体" w:hAnsi="宋体" w:eastAsia="宋体" w:cs="宋体"/>
                <w:sz w:val="24"/>
                <w:szCs w:val="24"/>
                <w:highlight w:val="none"/>
              </w:rPr>
              <w:t>报价方式</w:t>
            </w:r>
          </w:p>
        </w:tc>
        <w:tc>
          <w:tcPr>
            <w:tcW w:w="5774" w:type="dxa"/>
            <w:tcBorders>
              <w:top w:val="single" w:color="auto" w:sz="4" w:space="0"/>
              <w:left w:val="single" w:color="auto" w:sz="4" w:space="0"/>
              <w:bottom w:val="single" w:color="auto" w:sz="4" w:space="0"/>
              <w:right w:val="single" w:color="auto" w:sz="4" w:space="0"/>
            </w:tcBorders>
            <w:shd w:val="clear" w:color="auto" w:fill="FFFFFF"/>
            <w:vAlign w:val="center"/>
          </w:tcPr>
          <w:p w14:paraId="419C910F">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实行两轮报价法，第二轮报价为最终报价。</w:t>
            </w:r>
          </w:p>
          <w:p w14:paraId="65F674EC">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供应商的首轮报价不得超过最高限价。</w:t>
            </w:r>
          </w:p>
          <w:p w14:paraId="2DFF76CF">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color w:val="000000" w:themeColor="text1"/>
                <w:sz w:val="24"/>
                <w:szCs w:val="24"/>
                <w:highlight w:val="none"/>
                <w:lang w:val="en-US" w:eastAsia="zh-CN"/>
                <w14:textFill>
                  <w14:solidFill>
                    <w14:schemeClr w14:val="tx1"/>
                  </w14:solidFill>
                </w14:textFill>
              </w:rPr>
            </w:pPr>
            <w:r>
              <w:rPr>
                <w:rFonts w:hint="eastAsia" w:ascii="宋体" w:hAnsi="宋体" w:eastAsia="宋体" w:cs="宋体"/>
                <w:sz w:val="24"/>
                <w:szCs w:val="24"/>
                <w:highlight w:val="none"/>
              </w:rPr>
              <w:t>参加磋商的供应商第二轮磋商报价 (最终报价) 不得高于其首轮报价。</w:t>
            </w:r>
          </w:p>
        </w:tc>
      </w:tr>
      <w:tr w14:paraId="02E7AEA8">
        <w:tblPrEx>
          <w:tblCellMar>
            <w:top w:w="0" w:type="dxa"/>
            <w:left w:w="10" w:type="dxa"/>
            <w:bottom w:w="0" w:type="dxa"/>
            <w:right w:w="10" w:type="dxa"/>
          </w:tblCellMar>
        </w:tblPrEx>
        <w:trPr>
          <w:trHeight w:val="1187" w:hRule="exact"/>
          <w:jc w:val="center"/>
        </w:trPr>
        <w:tc>
          <w:tcPr>
            <w:tcW w:w="822" w:type="dxa"/>
            <w:tcBorders>
              <w:top w:val="single" w:color="auto" w:sz="4" w:space="0"/>
              <w:left w:val="single" w:color="auto" w:sz="4" w:space="0"/>
              <w:bottom w:val="single" w:color="auto" w:sz="4" w:space="0"/>
            </w:tcBorders>
            <w:shd w:val="clear" w:color="auto" w:fill="FFFFFF"/>
            <w:vAlign w:val="center"/>
          </w:tcPr>
          <w:p w14:paraId="562DE2A2">
            <w:pPr>
              <w:pStyle w:val="78"/>
              <w:keepNext w:val="0"/>
              <w:keepLines w:val="0"/>
              <w:pageBreakBefore w:val="0"/>
              <w:widowControl w:val="0"/>
              <w:kinsoku/>
              <w:wordWrap/>
              <w:overflowPunct/>
              <w:topLinePunct w:val="0"/>
              <w:bidi w:val="0"/>
              <w:snapToGrid/>
              <w:spacing w:after="0" w:line="400" w:lineRule="exact"/>
              <w:jc w:val="center"/>
              <w:textAlignment w:val="auto"/>
              <w:rPr>
                <w:rFonts w:hint="eastAsia" w:ascii="宋体" w:hAnsi="宋体" w:eastAsia="宋体" w:cs="宋体"/>
                <w:sz w:val="24"/>
                <w:szCs w:val="24"/>
                <w:highlight w:val="none"/>
              </w:rPr>
            </w:pPr>
            <w:r>
              <w:rPr>
                <w:b w:val="0"/>
                <w:bCs w:val="0"/>
                <w:color w:val="000000" w:themeColor="text1"/>
                <w:sz w:val="24"/>
                <w:szCs w:val="24"/>
                <w:highlight w:val="none"/>
                <w:lang w:val="en-US" w:eastAsia="en-US" w:bidi="en-US"/>
                <w14:textFill>
                  <w14:solidFill>
                    <w14:schemeClr w14:val="tx1"/>
                  </w14:solidFill>
                </w14:textFill>
              </w:rPr>
              <w:t>3.3.</w:t>
            </w:r>
            <w:r>
              <w:rPr>
                <w:b w:val="0"/>
                <w:bCs w:val="0"/>
                <w:color w:val="000000" w:themeColor="text1"/>
                <w:sz w:val="24"/>
                <w:szCs w:val="24"/>
                <w:highlight w:val="none"/>
                <w:lang w:val="zh-CN" w:eastAsia="zh-CN" w:bidi="zh-CN"/>
                <w14:textFill>
                  <w14:solidFill>
                    <w14:schemeClr w14:val="tx1"/>
                  </w14:solidFill>
                </w14:textFill>
              </w:rPr>
              <w:t>1</w:t>
            </w:r>
          </w:p>
        </w:tc>
        <w:tc>
          <w:tcPr>
            <w:tcW w:w="1732" w:type="dxa"/>
            <w:tcBorders>
              <w:top w:val="single" w:color="auto" w:sz="4" w:space="0"/>
              <w:left w:val="single" w:color="auto" w:sz="4" w:space="0"/>
              <w:bottom w:val="single" w:color="auto" w:sz="4" w:space="0"/>
            </w:tcBorders>
            <w:shd w:val="clear" w:color="auto" w:fill="FFFFFF"/>
            <w:vAlign w:val="center"/>
          </w:tcPr>
          <w:p w14:paraId="556DEEF7">
            <w:pPr>
              <w:pStyle w:val="78"/>
              <w:keepNext w:val="0"/>
              <w:keepLines w:val="0"/>
              <w:pageBreakBefore w:val="0"/>
              <w:widowControl w:val="0"/>
              <w:kinsoku/>
              <w:wordWrap/>
              <w:overflowPunct/>
              <w:topLinePunct w:val="0"/>
              <w:bidi w:val="0"/>
              <w:snapToGrid/>
              <w:spacing w:after="0" w:line="400" w:lineRule="exact"/>
              <w:jc w:val="center"/>
              <w:textAlignment w:val="auto"/>
              <w:rPr>
                <w:rFonts w:hint="eastAsia" w:ascii="宋体" w:hAnsi="宋体" w:eastAsia="宋体" w:cs="宋体"/>
                <w:sz w:val="24"/>
                <w:szCs w:val="24"/>
                <w:highlight w:val="none"/>
              </w:rPr>
            </w:pPr>
            <w:r>
              <w:rPr>
                <w:b w:val="0"/>
                <w:bCs w:val="0"/>
                <w:color w:val="000000" w:themeColor="text1"/>
                <w:sz w:val="24"/>
                <w:szCs w:val="24"/>
                <w:highlight w:val="none"/>
                <w14:textFill>
                  <w14:solidFill>
                    <w14:schemeClr w14:val="tx1"/>
                  </w14:solidFill>
                </w14:textFill>
              </w:rPr>
              <w:t>磋商有效期</w:t>
            </w:r>
          </w:p>
        </w:tc>
        <w:tc>
          <w:tcPr>
            <w:tcW w:w="5774" w:type="dxa"/>
            <w:tcBorders>
              <w:top w:val="single" w:color="auto" w:sz="4" w:space="0"/>
              <w:left w:val="single" w:color="auto" w:sz="4" w:space="0"/>
              <w:bottom w:val="single" w:color="auto" w:sz="4" w:space="0"/>
              <w:right w:val="single" w:color="auto" w:sz="4" w:space="0"/>
            </w:tcBorders>
            <w:shd w:val="clear" w:color="auto" w:fill="FFFFFF"/>
            <w:vAlign w:val="center"/>
          </w:tcPr>
          <w:p w14:paraId="6F45278F">
            <w:pPr>
              <w:pStyle w:val="78"/>
              <w:keepNext w:val="0"/>
              <w:keepLines w:val="0"/>
              <w:pageBreakBefore w:val="0"/>
              <w:widowControl w:val="0"/>
              <w:kinsoku/>
              <w:wordWrap/>
              <w:overflowPunct/>
              <w:topLinePunct w:val="0"/>
              <w:bidi w:val="0"/>
              <w:snapToGrid/>
              <w:spacing w:after="0" w:line="400" w:lineRule="exact"/>
              <w:jc w:val="left"/>
              <w:textAlignment w:val="auto"/>
              <w:rPr>
                <w:rFonts w:hint="eastAsia" w:ascii="宋体" w:hAnsi="宋体" w:eastAsia="宋体" w:cs="宋体"/>
                <w:sz w:val="24"/>
                <w:szCs w:val="24"/>
                <w:highlight w:val="none"/>
              </w:rPr>
            </w:pPr>
            <w:r>
              <w:rPr>
                <w:b w:val="0"/>
                <w:bCs w:val="0"/>
                <w:color w:val="000000" w:themeColor="text1"/>
                <w:sz w:val="24"/>
                <w:szCs w:val="24"/>
                <w:highlight w:val="none"/>
                <w14:textFill>
                  <w14:solidFill>
                    <w14:schemeClr w14:val="tx1"/>
                  </w14:solidFill>
                </w14:textFill>
              </w:rPr>
              <w:t>自供应商提交</w:t>
            </w:r>
            <w:r>
              <w:rPr>
                <w:rFonts w:hint="eastAsia"/>
                <w:b w:val="0"/>
                <w:bCs w:val="0"/>
                <w:color w:val="000000" w:themeColor="text1"/>
                <w:sz w:val="24"/>
                <w:szCs w:val="24"/>
                <w:highlight w:val="none"/>
                <w:lang w:eastAsia="zh-CN"/>
                <w14:textFill>
                  <w14:solidFill>
                    <w14:schemeClr w14:val="tx1"/>
                  </w14:solidFill>
                </w14:textFill>
              </w:rPr>
              <w:t>响应文件</w:t>
            </w:r>
            <w:r>
              <w:rPr>
                <w:b w:val="0"/>
                <w:bCs w:val="0"/>
                <w:color w:val="000000" w:themeColor="text1"/>
                <w:sz w:val="24"/>
                <w:szCs w:val="24"/>
                <w:highlight w:val="none"/>
                <w14:textFill>
                  <w14:solidFill>
                    <w14:schemeClr w14:val="tx1"/>
                  </w14:solidFill>
                </w14:textFill>
              </w:rPr>
              <w:t>截止之日起计算</w:t>
            </w:r>
            <w:r>
              <w:rPr>
                <w:rFonts w:hint="eastAsia"/>
                <w:b w:val="0"/>
                <w:bCs w:val="0"/>
                <w:color w:val="000000" w:themeColor="text1"/>
                <w:sz w:val="24"/>
                <w:szCs w:val="24"/>
                <w:highlight w:val="none"/>
                <w:lang w:val="en-US" w:eastAsia="zh-CN"/>
                <w14:textFill>
                  <w14:solidFill>
                    <w14:schemeClr w14:val="tx1"/>
                  </w14:solidFill>
                </w14:textFill>
              </w:rPr>
              <w:t>6</w:t>
            </w:r>
            <w:r>
              <w:rPr>
                <w:b w:val="0"/>
                <w:bCs w:val="0"/>
                <w:color w:val="000000" w:themeColor="text1"/>
                <w:sz w:val="24"/>
                <w:szCs w:val="24"/>
                <w:highlight w:val="none"/>
                <w14:textFill>
                  <w14:solidFill>
                    <w14:schemeClr w14:val="tx1"/>
                  </w14:solidFill>
                </w14:textFill>
              </w:rPr>
              <w:t>0</w:t>
            </w:r>
            <w:r>
              <w:rPr>
                <w:rFonts w:hint="eastAsia"/>
                <w:b w:val="0"/>
                <w:bCs w:val="0"/>
                <w:color w:val="000000" w:themeColor="text1"/>
                <w:sz w:val="24"/>
                <w:szCs w:val="24"/>
                <w:highlight w:val="none"/>
                <w:lang w:eastAsia="zh-CN"/>
                <w14:textFill>
                  <w14:solidFill>
                    <w14:schemeClr w14:val="tx1"/>
                  </w14:solidFill>
                </w14:textFill>
              </w:rPr>
              <w:t>日历</w:t>
            </w:r>
            <w:r>
              <w:rPr>
                <w:b w:val="0"/>
                <w:bCs w:val="0"/>
                <w:color w:val="000000" w:themeColor="text1"/>
                <w:sz w:val="24"/>
                <w:szCs w:val="24"/>
                <w:highlight w:val="none"/>
                <w14:textFill>
                  <w14:solidFill>
                    <w14:schemeClr w14:val="tx1"/>
                  </w14:solidFill>
                </w14:textFill>
              </w:rPr>
              <w:t>天</w:t>
            </w:r>
          </w:p>
        </w:tc>
      </w:tr>
      <w:tr w14:paraId="6C7C0A3E">
        <w:tblPrEx>
          <w:tblCellMar>
            <w:top w:w="0" w:type="dxa"/>
            <w:left w:w="10" w:type="dxa"/>
            <w:bottom w:w="0" w:type="dxa"/>
            <w:right w:w="10" w:type="dxa"/>
          </w:tblCellMar>
        </w:tblPrEx>
        <w:trPr>
          <w:trHeight w:val="7597" w:hRule="exact"/>
          <w:jc w:val="center"/>
        </w:trPr>
        <w:tc>
          <w:tcPr>
            <w:tcW w:w="822" w:type="dxa"/>
            <w:tcBorders>
              <w:top w:val="single" w:color="auto" w:sz="4" w:space="0"/>
              <w:left w:val="single" w:color="auto" w:sz="4" w:space="0"/>
              <w:bottom w:val="single" w:color="auto" w:sz="4" w:space="0"/>
            </w:tcBorders>
            <w:shd w:val="clear" w:color="auto" w:fill="FFFFFF"/>
            <w:vAlign w:val="center"/>
          </w:tcPr>
          <w:p w14:paraId="68800D30">
            <w:pPr>
              <w:keepNext w:val="0"/>
              <w:keepLines w:val="0"/>
              <w:pageBreakBefore w:val="0"/>
              <w:widowControl w:val="0"/>
              <w:kinsoku/>
              <w:wordWrap/>
              <w:overflowPunct/>
              <w:topLinePunct w:val="0"/>
              <w:bidi w:val="0"/>
              <w:snapToGrid/>
              <w:spacing w:line="400" w:lineRule="exact"/>
              <w:jc w:val="center"/>
              <w:textAlignment w:val="auto"/>
              <w:rPr>
                <w:b w:val="0"/>
                <w:bCs w:val="0"/>
                <w:color w:val="000000" w:themeColor="text1"/>
                <w:sz w:val="24"/>
                <w:szCs w:val="24"/>
                <w:highlight w:val="none"/>
                <w:lang w:val="en-US" w:eastAsia="en-US" w:bidi="en-US"/>
                <w14:textFill>
                  <w14:solidFill>
                    <w14:schemeClr w14:val="tx1"/>
                  </w14:solidFill>
                </w14:textFill>
              </w:rPr>
            </w:pPr>
            <w:r>
              <w:rPr>
                <w:rFonts w:hint="eastAsia" w:ascii="宋体" w:hAnsi="宋体" w:cs="宋体"/>
                <w:color w:val="000000" w:themeColor="text1"/>
                <w:sz w:val="24"/>
                <w:szCs w:val="24"/>
                <w:highlight w:val="none"/>
                <w:lang w:eastAsia="en-US"/>
                <w14:textFill>
                  <w14:solidFill>
                    <w14:schemeClr w14:val="tx1"/>
                  </w14:solidFill>
                </w14:textFill>
              </w:rPr>
              <w:t>3.4.</w:t>
            </w:r>
            <w:r>
              <w:rPr>
                <w:rFonts w:hint="eastAsia" w:ascii="宋体" w:hAnsi="宋体" w:cs="宋体"/>
                <w:color w:val="000000" w:themeColor="text1"/>
                <w:sz w:val="24"/>
                <w:szCs w:val="24"/>
                <w:highlight w:val="none"/>
                <w:lang w:val="zh-CN"/>
                <w14:textFill>
                  <w14:solidFill>
                    <w14:schemeClr w14:val="tx1"/>
                  </w14:solidFill>
                </w14:textFill>
              </w:rPr>
              <w:t>1</w:t>
            </w:r>
          </w:p>
        </w:tc>
        <w:tc>
          <w:tcPr>
            <w:tcW w:w="1732" w:type="dxa"/>
            <w:tcBorders>
              <w:top w:val="single" w:color="auto" w:sz="4" w:space="0"/>
              <w:left w:val="single" w:color="auto" w:sz="4" w:space="0"/>
              <w:bottom w:val="single" w:color="auto" w:sz="4" w:space="0"/>
            </w:tcBorders>
            <w:shd w:val="clear" w:color="auto" w:fill="FFFFFF"/>
            <w:vAlign w:val="center"/>
          </w:tcPr>
          <w:p w14:paraId="3076BAB8">
            <w:pPr>
              <w:keepNext w:val="0"/>
              <w:keepLines w:val="0"/>
              <w:pageBreakBefore w:val="0"/>
              <w:widowControl w:val="0"/>
              <w:kinsoku/>
              <w:wordWrap/>
              <w:overflowPunct/>
              <w:topLinePunct w:val="0"/>
              <w:bidi w:val="0"/>
              <w:snapToGrid/>
              <w:spacing w:line="400" w:lineRule="exact"/>
              <w:jc w:val="center"/>
              <w:textAlignment w:val="auto"/>
              <w:rPr>
                <w:b w:val="0"/>
                <w:bCs w:val="0"/>
                <w:color w:val="000000" w:themeColor="text1"/>
                <w:sz w:val="24"/>
                <w:szCs w:val="24"/>
                <w:highlight w:val="none"/>
                <w14:textFill>
                  <w14:solidFill>
                    <w14:schemeClr w14:val="tx1"/>
                  </w14:solidFill>
                </w14:textFill>
              </w:rPr>
            </w:pPr>
            <w:r>
              <w:rPr>
                <w:rFonts w:ascii="Calibri" w:hAnsi="Calibri"/>
                <w:color w:val="000000" w:themeColor="text1"/>
                <w:sz w:val="24"/>
                <w:szCs w:val="24"/>
                <w:highlight w:val="none"/>
                <w14:textFill>
                  <w14:solidFill>
                    <w14:schemeClr w14:val="tx1"/>
                  </w14:solidFill>
                </w14:textFill>
              </w:rPr>
              <w:t>磋商保证金交纳形式</w:t>
            </w:r>
          </w:p>
        </w:tc>
        <w:tc>
          <w:tcPr>
            <w:tcW w:w="5774" w:type="dxa"/>
            <w:tcBorders>
              <w:top w:val="single" w:color="auto" w:sz="4" w:space="0"/>
              <w:left w:val="single" w:color="auto" w:sz="4" w:space="0"/>
              <w:bottom w:val="single" w:color="auto" w:sz="4" w:space="0"/>
              <w:right w:val="single" w:color="auto" w:sz="4" w:space="0"/>
            </w:tcBorders>
            <w:shd w:val="clear" w:color="auto" w:fill="FFFFFF"/>
            <w:vAlign w:val="center"/>
          </w:tcPr>
          <w:p w14:paraId="6D435EAD">
            <w:pPr>
              <w:keepNext w:val="0"/>
              <w:keepLines w:val="0"/>
              <w:pageBreakBefore w:val="0"/>
              <w:widowControl w:val="0"/>
              <w:kinsoku/>
              <w:wordWrap/>
              <w:overflowPunct/>
              <w:topLinePunct w:val="0"/>
              <w:bidi w:val="0"/>
              <w:snapToGrid/>
              <w:spacing w:line="400" w:lineRule="exact"/>
              <w:textAlignment w:val="auto"/>
              <w:rPr>
                <w:rFonts w:ascii="宋体" w:hAnsi="宋体" w:cs="宋体"/>
                <w:b/>
                <w:bCs/>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磋商保证金的形式：投标人可采用现金支票</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转账</w:t>
            </w:r>
            <w:r>
              <w:rPr>
                <w:rFonts w:hint="eastAsia" w:ascii="宋体" w:hAnsi="宋体" w:cs="宋体"/>
                <w:color w:val="000000" w:themeColor="text1"/>
                <w:sz w:val="24"/>
                <w:szCs w:val="24"/>
                <w:highlight w:val="none"/>
                <w14:textFill>
                  <w14:solidFill>
                    <w14:schemeClr w14:val="tx1"/>
                  </w14:solidFill>
                </w14:textFill>
              </w:rPr>
              <w:t>、保函等其中任何一种形式递交投标保证金，以现金支票、</w:t>
            </w:r>
            <w:r>
              <w:rPr>
                <w:rFonts w:hint="eastAsia" w:ascii="宋体" w:hAnsi="宋体" w:cs="宋体"/>
                <w:color w:val="000000" w:themeColor="text1"/>
                <w:sz w:val="24"/>
                <w:szCs w:val="24"/>
                <w:highlight w:val="none"/>
                <w:lang w:val="en-US" w:eastAsia="zh-CN"/>
                <w14:textFill>
                  <w14:solidFill>
                    <w14:schemeClr w14:val="tx1"/>
                  </w14:solidFill>
                </w14:textFill>
              </w:rPr>
              <w:t>转账或</w:t>
            </w:r>
            <w:r>
              <w:rPr>
                <w:rFonts w:hint="eastAsia" w:ascii="宋体" w:hAnsi="宋体" w:cs="宋体"/>
                <w:color w:val="000000" w:themeColor="text1"/>
                <w:sz w:val="24"/>
                <w:szCs w:val="24"/>
                <w:highlight w:val="none"/>
                <w14:textFill>
                  <w14:solidFill>
                    <w14:schemeClr w14:val="tx1"/>
                  </w14:solidFill>
                </w14:textFill>
              </w:rPr>
              <w:t>汇票形式提交的投标保证金应当从投标单位的基本账户转出。</w:t>
            </w:r>
          </w:p>
          <w:p w14:paraId="565FEEA2">
            <w:pPr>
              <w:keepNext w:val="0"/>
              <w:keepLines w:val="0"/>
              <w:pageBreakBefore w:val="0"/>
              <w:widowControl w:val="0"/>
              <w:kinsoku/>
              <w:wordWrap/>
              <w:overflowPunct/>
              <w:topLinePunct w:val="0"/>
              <w:bidi w:val="0"/>
              <w:snapToGrid/>
              <w:spacing w:line="400" w:lineRule="exact"/>
              <w:textAlignment w:val="auto"/>
              <w:rPr>
                <w:color w:val="000000" w:themeColor="text1"/>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投标保证金的金额</w:t>
            </w:r>
            <w:r>
              <w:rPr>
                <w:rFonts w:hint="eastAsia" w:ascii="宋体" w:hAnsi="宋体" w:cs="宋体"/>
                <w:color w:val="000000" w:themeColor="text1"/>
                <w:sz w:val="24"/>
                <w:szCs w:val="24"/>
                <w:highlight w:val="none"/>
                <w14:textFill>
                  <w14:solidFill>
                    <w14:schemeClr w14:val="tx1"/>
                  </w14:solidFill>
                </w14:textFill>
              </w:rPr>
              <w:t>：人民币</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18000 </w:t>
            </w:r>
            <w:r>
              <w:rPr>
                <w:rFonts w:hint="eastAsia" w:ascii="宋体" w:hAnsi="宋体" w:cs="宋体"/>
                <w:color w:val="000000" w:themeColor="text1"/>
                <w:sz w:val="24"/>
                <w:szCs w:val="24"/>
                <w:highlight w:val="none"/>
                <w14:textFill>
                  <w14:solidFill>
                    <w14:schemeClr w14:val="tx1"/>
                  </w14:solidFill>
                </w14:textFill>
              </w:rPr>
              <w:t>元</w:t>
            </w:r>
            <w:r>
              <w:rPr>
                <w:rFonts w:hint="eastAsia" w:ascii="宋体" w:hAnsi="宋体" w:cs="宋体"/>
                <w:color w:val="000000" w:themeColor="text1"/>
                <w:sz w:val="24"/>
                <w:szCs w:val="24"/>
                <w:highlight w:val="none"/>
                <w:lang w:eastAsia="zh-CN"/>
                <w14:textFill>
                  <w14:solidFill>
                    <w14:schemeClr w14:val="tx1"/>
                  </w14:solidFill>
                </w14:textFill>
              </w:rPr>
              <w:t>；</w:t>
            </w:r>
          </w:p>
          <w:p w14:paraId="4A7B9A2C">
            <w:pPr>
              <w:keepNext w:val="0"/>
              <w:keepLines w:val="0"/>
              <w:pageBreakBefore w:val="0"/>
              <w:widowControl w:val="0"/>
              <w:kinsoku/>
              <w:wordWrap/>
              <w:overflowPunct/>
              <w:topLinePunct w:val="0"/>
              <w:bidi w:val="0"/>
              <w:snapToGrid/>
              <w:spacing w:line="400" w:lineRule="exact"/>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磋商保证金的递交时间</w:t>
            </w: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b/>
                <w:bCs/>
                <w:color w:val="000000" w:themeColor="text1"/>
                <w:sz w:val="24"/>
                <w:szCs w:val="24"/>
                <w:highlight w:val="none"/>
                <w14:textFill>
                  <w14:solidFill>
                    <w14:schemeClr w14:val="tx1"/>
                  </w14:solidFill>
                </w14:textFill>
              </w:rPr>
              <w:t>磋商保证金须在投标截止时间前完成缴纳</w:t>
            </w:r>
            <w:r>
              <w:rPr>
                <w:rFonts w:hint="eastAsia" w:ascii="宋体" w:hAnsi="宋体" w:cs="宋体"/>
                <w:color w:val="000000" w:themeColor="text1"/>
                <w:sz w:val="24"/>
                <w:szCs w:val="24"/>
                <w:highlight w:val="none"/>
                <w14:textFill>
                  <w14:solidFill>
                    <w14:schemeClr w14:val="tx1"/>
                  </w14:solidFill>
                </w14:textFill>
              </w:rPr>
              <w:t>，从企业基本账户划拨到</w:t>
            </w:r>
            <w:r>
              <w:rPr>
                <w:rFonts w:hint="eastAsia" w:ascii="宋体" w:hAnsi="宋体" w:cs="宋体"/>
                <w:b/>
                <w:bCs/>
                <w:color w:val="000000" w:themeColor="text1"/>
                <w:sz w:val="24"/>
                <w:szCs w:val="24"/>
                <w:highlight w:val="none"/>
                <w:lang w:eastAsia="zh-CN"/>
                <w14:textFill>
                  <w14:solidFill>
                    <w14:schemeClr w14:val="tx1"/>
                  </w14:solidFill>
                </w14:textFill>
              </w:rPr>
              <w:t>吉林省浩业工程咨询有限公司</w:t>
            </w:r>
            <w:r>
              <w:rPr>
                <w:rFonts w:hint="eastAsia" w:ascii="宋体" w:hAnsi="宋体" w:cs="宋体"/>
                <w:color w:val="000000" w:themeColor="text1"/>
                <w:sz w:val="24"/>
                <w:szCs w:val="24"/>
                <w:highlight w:val="none"/>
                <w14:textFill>
                  <w14:solidFill>
                    <w14:schemeClr w14:val="tx1"/>
                  </w14:solidFill>
                </w14:textFill>
              </w:rPr>
              <w:t>的基本账户，或提供现金支票</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cs="宋体"/>
                <w:color w:val="000000" w:themeColor="text1"/>
                <w:sz w:val="24"/>
                <w:szCs w:val="24"/>
                <w:highlight w:val="none"/>
                <w14:textFill>
                  <w14:solidFill>
                    <w14:schemeClr w14:val="tx1"/>
                  </w14:solidFill>
                </w14:textFill>
              </w:rPr>
              <w:t>保兑支票、银行汇票、保函。</w:t>
            </w:r>
          </w:p>
          <w:p w14:paraId="163F405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73385F17">
            <w:pPr>
              <w:pStyle w:val="78"/>
              <w:keepNext w:val="0"/>
              <w:keepLines w:val="0"/>
              <w:pageBreakBefore w:val="0"/>
              <w:widowControl w:val="0"/>
              <w:kinsoku/>
              <w:wordWrap/>
              <w:overflowPunct/>
              <w:topLinePunct w:val="0"/>
              <w:bidi w:val="0"/>
              <w:snapToGrid/>
              <w:spacing w:after="0" w:line="400" w:lineRule="exact"/>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投标保证金退还时退至供应商企业基本账户</w:t>
            </w:r>
            <w:r>
              <w:rPr>
                <w:rFonts w:hint="eastAsia" w:ascii="宋体" w:hAnsi="宋体" w:eastAsia="宋体" w:cs="宋体"/>
                <w:color w:val="000000" w:themeColor="text1"/>
                <w:sz w:val="24"/>
                <w:szCs w:val="24"/>
                <w:highlight w:val="none"/>
                <w14:textFill>
                  <w14:solidFill>
                    <w14:schemeClr w14:val="tx1"/>
                  </w14:solidFill>
                </w14:textFill>
              </w:rPr>
              <w:t>。</w:t>
            </w:r>
          </w:p>
          <w:p w14:paraId="3CBDBD6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吉林省浩业工程咨询有限公司</w:t>
            </w:r>
            <w:r>
              <w:rPr>
                <w:rFonts w:hint="eastAsia" w:ascii="宋体" w:hAnsi="宋体" w:eastAsia="宋体" w:cs="宋体"/>
                <w:b/>
                <w:bCs/>
                <w:color w:val="000000" w:themeColor="text1"/>
                <w:sz w:val="24"/>
                <w:szCs w:val="24"/>
                <w:highlight w:val="none"/>
                <w14:textFill>
                  <w14:solidFill>
                    <w14:schemeClr w14:val="tx1"/>
                  </w14:solidFill>
                </w14:textFill>
              </w:rPr>
              <w:t>基本账户如下</w:t>
            </w:r>
            <w:r>
              <w:rPr>
                <w:rFonts w:hint="eastAsia" w:ascii="宋体" w:hAnsi="宋体" w:eastAsia="宋体" w:cs="宋体"/>
                <w:color w:val="000000" w:themeColor="text1"/>
                <w:sz w:val="24"/>
                <w:szCs w:val="24"/>
                <w:highlight w:val="none"/>
                <w14:textFill>
                  <w14:solidFill>
                    <w14:schemeClr w14:val="tx1"/>
                  </w14:solidFill>
                </w14:textFill>
              </w:rPr>
              <w:t>：</w:t>
            </w:r>
          </w:p>
          <w:p w14:paraId="2256FE8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开户名称</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吉林省浩业工程咨询有限公司</w:t>
            </w:r>
          </w:p>
          <w:p w14:paraId="06535A2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开户银行</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eastAsia="zh-CN"/>
                <w14:textFill>
                  <w14:solidFill>
                    <w14:schemeClr w14:val="tx1"/>
                  </w14:solidFill>
                </w14:textFill>
              </w:rPr>
              <w:t>吉林银行延吉建工街支行</w:t>
            </w:r>
          </w:p>
          <w:p w14:paraId="4333F27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账    号</w:t>
            </w:r>
            <w:r>
              <w:rPr>
                <w:rFonts w:hint="eastAsia" w:ascii="宋体" w:hAnsi="宋体" w:eastAsia="宋体" w:cs="宋体"/>
                <w:color w:val="000000" w:themeColor="text1"/>
                <w:sz w:val="24"/>
                <w:szCs w:val="24"/>
                <w:highlight w:val="none"/>
                <w14:textFill>
                  <w14:solidFill>
                    <w14:schemeClr w14:val="tx1"/>
                  </w14:solidFill>
                </w14:textFill>
              </w:rPr>
              <w:t>：0606 0110 0111 1111</w:t>
            </w:r>
          </w:p>
          <w:p w14:paraId="230E3521">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联 系 人</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康苗苗</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4F86108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联系电话</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13354339536</w:t>
            </w:r>
          </w:p>
          <w:p w14:paraId="2B658F1B">
            <w:pPr>
              <w:pStyle w:val="78"/>
              <w:keepNext w:val="0"/>
              <w:keepLines w:val="0"/>
              <w:pageBreakBefore w:val="0"/>
              <w:widowControl w:val="0"/>
              <w:kinsoku/>
              <w:wordWrap/>
              <w:overflowPunct/>
              <w:topLinePunct w:val="0"/>
              <w:bidi w:val="0"/>
              <w:snapToGrid/>
              <w:spacing w:after="0" w:line="400" w:lineRule="exact"/>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b/>
                <w:bCs/>
                <w:color w:val="000000" w:themeColor="text1"/>
                <w:spacing w:val="0"/>
                <w:w w:val="100"/>
                <w:position w:val="0"/>
                <w:sz w:val="24"/>
                <w:szCs w:val="24"/>
                <w:highlight w:val="none"/>
                <w:lang w:val="en-US" w:eastAsia="zh-CN"/>
                <w14:textFill>
                  <w14:solidFill>
                    <w14:schemeClr w14:val="tx1"/>
                  </w14:solidFill>
                </w14:textFill>
              </w:rPr>
              <w:t>注：填写转款凭证时必须注明投标项目名称、编号。</w:t>
            </w:r>
          </w:p>
        </w:tc>
      </w:tr>
      <w:tr w14:paraId="32C7B426">
        <w:tblPrEx>
          <w:tblCellMar>
            <w:top w:w="0" w:type="dxa"/>
            <w:left w:w="10" w:type="dxa"/>
            <w:bottom w:w="0" w:type="dxa"/>
            <w:right w:w="10" w:type="dxa"/>
          </w:tblCellMar>
        </w:tblPrEx>
        <w:trPr>
          <w:trHeight w:val="1572" w:hRule="exact"/>
          <w:jc w:val="center"/>
        </w:trPr>
        <w:tc>
          <w:tcPr>
            <w:tcW w:w="822" w:type="dxa"/>
            <w:tcBorders>
              <w:top w:val="single" w:color="auto" w:sz="4" w:space="0"/>
              <w:left w:val="single" w:color="auto" w:sz="4" w:space="0"/>
              <w:bottom w:val="single" w:color="auto" w:sz="4" w:space="0"/>
            </w:tcBorders>
            <w:shd w:val="clear" w:color="auto" w:fill="FFFFFF"/>
            <w:vAlign w:val="center"/>
          </w:tcPr>
          <w:p w14:paraId="033852BB">
            <w:pPr>
              <w:pStyle w:val="78"/>
              <w:keepNext w:val="0"/>
              <w:keepLines w:val="0"/>
              <w:pageBreakBefore w:val="0"/>
              <w:widowControl w:val="0"/>
              <w:kinsoku/>
              <w:wordWrap/>
              <w:overflowPunct/>
              <w:topLinePunct w:val="0"/>
              <w:bidi w:val="0"/>
              <w:snapToGrid/>
              <w:spacing w:after="0" w:line="400" w:lineRule="exact"/>
              <w:jc w:val="center"/>
              <w:textAlignment w:val="auto"/>
              <w:rPr>
                <w:rFonts w:hint="eastAsia" w:ascii="宋体" w:hAnsi="宋体" w:cs="宋体"/>
                <w:color w:val="000000" w:themeColor="text1"/>
                <w:sz w:val="24"/>
                <w:szCs w:val="24"/>
                <w:highlight w:val="none"/>
                <w:lang w:eastAsia="en-US"/>
                <w14:textFill>
                  <w14:solidFill>
                    <w14:schemeClr w14:val="tx1"/>
                  </w14:solidFill>
                </w14:textFill>
              </w:rPr>
            </w:pPr>
            <w:r>
              <w:rPr>
                <w:rFonts w:hint="eastAsia"/>
                <w:b w:val="0"/>
                <w:bCs w:val="0"/>
                <w:color w:val="000000" w:themeColor="text1"/>
                <w:sz w:val="24"/>
                <w:szCs w:val="24"/>
                <w:highlight w:val="none"/>
                <w:lang w:val="en-US" w:eastAsia="en-US" w:bidi="en-US"/>
                <w14:textFill>
                  <w14:solidFill>
                    <w14:schemeClr w14:val="tx1"/>
                  </w14:solidFill>
                </w14:textFill>
              </w:rPr>
              <w:t>3.5.</w:t>
            </w:r>
            <w:r>
              <w:rPr>
                <w:rFonts w:hint="eastAsia"/>
                <w:b w:val="0"/>
                <w:bCs w:val="0"/>
                <w:color w:val="000000" w:themeColor="text1"/>
                <w:sz w:val="24"/>
                <w:szCs w:val="24"/>
                <w:highlight w:val="none"/>
                <w:lang w:val="zh-CN" w:eastAsia="zh-CN" w:bidi="zh-CN"/>
                <w14:textFill>
                  <w14:solidFill>
                    <w14:schemeClr w14:val="tx1"/>
                  </w14:solidFill>
                </w14:textFill>
              </w:rPr>
              <w:t>2</w:t>
            </w:r>
          </w:p>
        </w:tc>
        <w:tc>
          <w:tcPr>
            <w:tcW w:w="1732" w:type="dxa"/>
            <w:tcBorders>
              <w:top w:val="single" w:color="auto" w:sz="4" w:space="0"/>
              <w:left w:val="single" w:color="auto" w:sz="4" w:space="0"/>
              <w:bottom w:val="single" w:color="auto" w:sz="4" w:space="0"/>
            </w:tcBorders>
            <w:shd w:val="clear" w:color="auto" w:fill="FFFFFF"/>
            <w:vAlign w:val="center"/>
          </w:tcPr>
          <w:p w14:paraId="52CC38A2">
            <w:pPr>
              <w:pStyle w:val="78"/>
              <w:keepNext w:val="0"/>
              <w:keepLines w:val="0"/>
              <w:pageBreakBefore w:val="0"/>
              <w:widowControl w:val="0"/>
              <w:kinsoku/>
              <w:wordWrap/>
              <w:overflowPunct/>
              <w:topLinePunct w:val="0"/>
              <w:bidi w:val="0"/>
              <w:snapToGrid/>
              <w:spacing w:after="0" w:line="400" w:lineRule="exact"/>
              <w:jc w:val="center"/>
              <w:textAlignment w:val="auto"/>
              <w:rPr>
                <w:rFonts w:ascii="Calibri" w:hAnsi="Calibri"/>
                <w:color w:val="000000" w:themeColor="text1"/>
                <w:sz w:val="24"/>
                <w:szCs w:val="24"/>
                <w:highlight w:val="none"/>
                <w14:textFill>
                  <w14:solidFill>
                    <w14:schemeClr w14:val="tx1"/>
                  </w14:solidFill>
                </w14:textFill>
              </w:rPr>
            </w:pPr>
            <w:r>
              <w:rPr>
                <w:b w:val="0"/>
                <w:bCs w:val="0"/>
                <w:color w:val="000000" w:themeColor="text1"/>
                <w:sz w:val="24"/>
                <w:szCs w:val="24"/>
                <w:highlight w:val="none"/>
                <w14:textFill>
                  <w14:solidFill>
                    <w14:schemeClr w14:val="tx1"/>
                  </w14:solidFill>
                </w14:textFill>
              </w:rPr>
              <w:t>近年财务状况的年份要求</w:t>
            </w:r>
          </w:p>
        </w:tc>
        <w:tc>
          <w:tcPr>
            <w:tcW w:w="5774" w:type="dxa"/>
            <w:tcBorders>
              <w:top w:val="single" w:color="auto" w:sz="4" w:space="0"/>
              <w:left w:val="single" w:color="auto" w:sz="4" w:space="0"/>
              <w:bottom w:val="single" w:color="auto" w:sz="4" w:space="0"/>
              <w:right w:val="single" w:color="auto" w:sz="4" w:space="0"/>
            </w:tcBorders>
            <w:shd w:val="clear" w:color="auto" w:fill="FFFFFF"/>
            <w:vAlign w:val="center"/>
          </w:tcPr>
          <w:p w14:paraId="5E544BE8">
            <w:pPr>
              <w:pStyle w:val="78"/>
              <w:keepNext w:val="0"/>
              <w:keepLines w:val="0"/>
              <w:pageBreakBefore w:val="0"/>
              <w:widowControl w:val="0"/>
              <w:kinsoku/>
              <w:wordWrap/>
              <w:overflowPunct/>
              <w:topLinePunct w:val="0"/>
              <w:bidi w:val="0"/>
              <w:snapToGrid/>
              <w:spacing w:after="0" w:line="400" w:lineRule="exact"/>
              <w:textAlignment w:val="auto"/>
              <w:rPr>
                <w:rFonts w:hint="eastAsia"/>
                <w:b/>
                <w:bCs/>
                <w:color w:val="000000" w:themeColor="text1"/>
                <w:spacing w:val="0"/>
                <w:w w:val="100"/>
                <w:position w:val="0"/>
                <w:sz w:val="24"/>
                <w:szCs w:val="24"/>
                <w:highlight w:val="none"/>
                <w:lang w:val="en-US" w:eastAsia="zh-CN"/>
                <w14:textFill>
                  <w14:solidFill>
                    <w14:schemeClr w14:val="tx1"/>
                  </w14:solidFill>
                </w14:textFill>
              </w:rPr>
            </w:pPr>
            <w:r>
              <w:rPr>
                <w:rFonts w:hint="eastAsia"/>
                <w:b w:val="0"/>
                <w:bCs w:val="0"/>
                <w:color w:val="000000" w:themeColor="text1"/>
                <w:sz w:val="24"/>
                <w:szCs w:val="24"/>
                <w:highlight w:val="none"/>
                <w:lang w:val="zh-CN"/>
                <w14:textFill>
                  <w14:solidFill>
                    <w14:schemeClr w14:val="tx1"/>
                  </w14:solidFill>
                </w14:textFill>
              </w:rPr>
              <w:t>近年（2023年度）财务审计报告或财务报表（含资产负债表、现金流量表、利润表），新成立企业提供当年验资报告或银行出具的公司资信证明</w:t>
            </w:r>
            <w:r>
              <w:rPr>
                <w:rFonts w:hint="eastAsia"/>
                <w:b w:val="0"/>
                <w:bCs w:val="0"/>
                <w:color w:val="000000" w:themeColor="text1"/>
                <w:sz w:val="24"/>
                <w:szCs w:val="24"/>
                <w:highlight w:val="none"/>
                <w:lang w:val="en-US" w:eastAsia="zh-CN"/>
                <w14:textFill>
                  <w14:solidFill>
                    <w14:schemeClr w14:val="tx1"/>
                  </w14:solidFill>
                </w14:textFill>
              </w:rPr>
              <w:t>。</w:t>
            </w:r>
          </w:p>
        </w:tc>
      </w:tr>
      <w:tr w14:paraId="593BB4FE">
        <w:tblPrEx>
          <w:tblCellMar>
            <w:top w:w="0" w:type="dxa"/>
            <w:left w:w="10" w:type="dxa"/>
            <w:bottom w:w="0" w:type="dxa"/>
            <w:right w:w="10" w:type="dxa"/>
          </w:tblCellMar>
        </w:tblPrEx>
        <w:trPr>
          <w:trHeight w:val="1312" w:hRule="exact"/>
          <w:jc w:val="center"/>
        </w:trPr>
        <w:tc>
          <w:tcPr>
            <w:tcW w:w="822" w:type="dxa"/>
            <w:tcBorders>
              <w:top w:val="single" w:color="auto" w:sz="4" w:space="0"/>
              <w:left w:val="single" w:color="auto" w:sz="4" w:space="0"/>
              <w:bottom w:val="single" w:color="auto" w:sz="4" w:space="0"/>
            </w:tcBorders>
            <w:shd w:val="clear" w:color="auto" w:fill="FFFFFF"/>
            <w:vAlign w:val="center"/>
          </w:tcPr>
          <w:p w14:paraId="31810134">
            <w:pPr>
              <w:pStyle w:val="78"/>
              <w:keepNext w:val="0"/>
              <w:keepLines w:val="0"/>
              <w:pageBreakBefore w:val="0"/>
              <w:widowControl w:val="0"/>
              <w:kinsoku/>
              <w:wordWrap/>
              <w:overflowPunct/>
              <w:topLinePunct w:val="0"/>
              <w:bidi w:val="0"/>
              <w:snapToGrid/>
              <w:spacing w:after="0" w:line="400" w:lineRule="exact"/>
              <w:jc w:val="center"/>
              <w:textAlignment w:val="auto"/>
              <w:rPr>
                <w:rFonts w:hint="eastAsia" w:ascii="宋体" w:hAnsi="宋体" w:cs="宋体"/>
                <w:color w:val="000000" w:themeColor="text1"/>
                <w:sz w:val="24"/>
                <w:szCs w:val="24"/>
                <w:highlight w:val="none"/>
                <w:lang w:eastAsia="en-US"/>
                <w14:textFill>
                  <w14:solidFill>
                    <w14:schemeClr w14:val="tx1"/>
                  </w14:solidFill>
                </w14:textFill>
              </w:rPr>
            </w:pPr>
            <w:r>
              <w:rPr>
                <w:rFonts w:hint="eastAsia"/>
                <w:b w:val="0"/>
                <w:bCs w:val="0"/>
                <w:color w:val="000000" w:themeColor="text1"/>
                <w:sz w:val="24"/>
                <w:szCs w:val="24"/>
                <w:highlight w:val="none"/>
                <w:lang w:val="en-US" w:eastAsia="en-US" w:bidi="en-US"/>
                <w14:textFill>
                  <w14:solidFill>
                    <w14:schemeClr w14:val="tx1"/>
                  </w14:solidFill>
                </w14:textFill>
              </w:rPr>
              <w:t>3.5.</w:t>
            </w:r>
            <w:r>
              <w:rPr>
                <w:rFonts w:hint="eastAsia"/>
                <w:b w:val="0"/>
                <w:bCs w:val="0"/>
                <w:color w:val="000000" w:themeColor="text1"/>
                <w:sz w:val="24"/>
                <w:szCs w:val="24"/>
                <w:highlight w:val="none"/>
                <w:lang w:val="zh-CN" w:eastAsia="zh-CN" w:bidi="zh-CN"/>
                <w14:textFill>
                  <w14:solidFill>
                    <w14:schemeClr w14:val="tx1"/>
                  </w14:solidFill>
                </w14:textFill>
              </w:rPr>
              <w:t>3</w:t>
            </w:r>
          </w:p>
        </w:tc>
        <w:tc>
          <w:tcPr>
            <w:tcW w:w="1732" w:type="dxa"/>
            <w:tcBorders>
              <w:top w:val="single" w:color="auto" w:sz="4" w:space="0"/>
              <w:left w:val="single" w:color="auto" w:sz="4" w:space="0"/>
              <w:bottom w:val="single" w:color="auto" w:sz="4" w:space="0"/>
            </w:tcBorders>
            <w:shd w:val="clear" w:color="auto" w:fill="FFFFFF"/>
            <w:vAlign w:val="center"/>
          </w:tcPr>
          <w:p w14:paraId="04A22166">
            <w:pPr>
              <w:pStyle w:val="78"/>
              <w:keepNext w:val="0"/>
              <w:keepLines w:val="0"/>
              <w:pageBreakBefore w:val="0"/>
              <w:widowControl w:val="0"/>
              <w:kinsoku/>
              <w:wordWrap/>
              <w:overflowPunct/>
              <w:topLinePunct w:val="0"/>
              <w:bidi w:val="0"/>
              <w:snapToGrid/>
              <w:spacing w:after="0" w:line="400" w:lineRule="exact"/>
              <w:jc w:val="center"/>
              <w:textAlignment w:val="auto"/>
              <w:rPr>
                <w:rFonts w:ascii="Calibri" w:hAnsi="Calibri"/>
                <w:color w:val="000000" w:themeColor="text1"/>
                <w:sz w:val="24"/>
                <w:szCs w:val="24"/>
                <w:highlight w:val="none"/>
                <w14:textFill>
                  <w14:solidFill>
                    <w14:schemeClr w14:val="tx1"/>
                  </w14:solidFill>
                </w14:textFill>
              </w:rPr>
            </w:pPr>
            <w:r>
              <w:rPr>
                <w:b w:val="0"/>
                <w:bCs w:val="0"/>
                <w:color w:val="000000" w:themeColor="text1"/>
                <w:sz w:val="24"/>
                <w:szCs w:val="24"/>
                <w:highlight w:val="none"/>
                <w14:textFill>
                  <w14:solidFill>
                    <w14:schemeClr w14:val="tx1"/>
                  </w14:solidFill>
                </w14:textFill>
              </w:rPr>
              <w:t>近年完成的类似项目的年份要求</w:t>
            </w:r>
          </w:p>
        </w:tc>
        <w:tc>
          <w:tcPr>
            <w:tcW w:w="5774" w:type="dxa"/>
            <w:tcBorders>
              <w:top w:val="single" w:color="auto" w:sz="4" w:space="0"/>
              <w:left w:val="single" w:color="auto" w:sz="4" w:space="0"/>
              <w:bottom w:val="single" w:color="auto" w:sz="4" w:space="0"/>
              <w:right w:val="single" w:color="auto" w:sz="4" w:space="0"/>
            </w:tcBorders>
            <w:shd w:val="clear" w:color="auto" w:fill="FFFFFF"/>
            <w:vAlign w:val="center"/>
          </w:tcPr>
          <w:p w14:paraId="5E09AA37">
            <w:pPr>
              <w:pStyle w:val="78"/>
              <w:keepNext w:val="0"/>
              <w:keepLines w:val="0"/>
              <w:pageBreakBefore w:val="0"/>
              <w:widowControl w:val="0"/>
              <w:kinsoku/>
              <w:wordWrap/>
              <w:overflowPunct/>
              <w:topLinePunct w:val="0"/>
              <w:bidi w:val="0"/>
              <w:snapToGrid/>
              <w:spacing w:after="0" w:line="400" w:lineRule="exact"/>
              <w:textAlignment w:val="auto"/>
              <w:rPr>
                <w:rFonts w:hint="eastAsia"/>
                <w:b/>
                <w:bCs/>
                <w:color w:val="000000" w:themeColor="text1"/>
                <w:spacing w:val="0"/>
                <w:w w:val="100"/>
                <w:position w:val="0"/>
                <w:sz w:val="24"/>
                <w:szCs w:val="24"/>
                <w:highlight w:val="none"/>
                <w:lang w:val="en-US" w:eastAsia="zh-CN"/>
                <w14:textFill>
                  <w14:solidFill>
                    <w14:schemeClr w14:val="tx1"/>
                  </w14:solidFill>
                </w14:textFill>
              </w:rPr>
            </w:pPr>
            <w:r>
              <w:rPr>
                <w:rFonts w:hint="eastAsia"/>
                <w:b w:val="0"/>
                <w:bCs w:val="0"/>
                <w:color w:val="000000" w:themeColor="text1"/>
                <w:sz w:val="24"/>
                <w:szCs w:val="24"/>
                <w:highlight w:val="none"/>
                <w:lang w:val="en-US" w:eastAsia="zh-CN"/>
                <w14:textFill>
                  <w14:solidFill>
                    <w14:schemeClr w14:val="tx1"/>
                  </w14:solidFill>
                </w14:textFill>
              </w:rPr>
              <w:t>2022年3月-至今</w:t>
            </w:r>
          </w:p>
        </w:tc>
      </w:tr>
      <w:tr w14:paraId="4AF93554">
        <w:tblPrEx>
          <w:tblCellMar>
            <w:top w:w="0" w:type="dxa"/>
            <w:left w:w="10" w:type="dxa"/>
            <w:bottom w:w="0" w:type="dxa"/>
            <w:right w:w="10" w:type="dxa"/>
          </w:tblCellMar>
        </w:tblPrEx>
        <w:trPr>
          <w:trHeight w:val="1312" w:hRule="exact"/>
          <w:jc w:val="center"/>
        </w:trPr>
        <w:tc>
          <w:tcPr>
            <w:tcW w:w="822" w:type="dxa"/>
            <w:tcBorders>
              <w:top w:val="single" w:color="auto" w:sz="4" w:space="0"/>
              <w:left w:val="single" w:color="auto" w:sz="4" w:space="0"/>
              <w:bottom w:val="single" w:color="auto" w:sz="4" w:space="0"/>
            </w:tcBorders>
            <w:shd w:val="clear" w:color="auto" w:fill="FFFFFF"/>
            <w:vAlign w:val="center"/>
          </w:tcPr>
          <w:p w14:paraId="08AB4A37">
            <w:pPr>
              <w:pStyle w:val="78"/>
              <w:keepNext w:val="0"/>
              <w:keepLines w:val="0"/>
              <w:pageBreakBefore w:val="0"/>
              <w:widowControl w:val="0"/>
              <w:kinsoku/>
              <w:wordWrap/>
              <w:overflowPunct/>
              <w:topLinePunct w:val="0"/>
              <w:bidi w:val="0"/>
              <w:snapToGrid/>
              <w:spacing w:after="0" w:line="400" w:lineRule="exact"/>
              <w:ind w:firstLine="180" w:firstLineChars="0"/>
              <w:jc w:val="center"/>
              <w:textAlignment w:val="auto"/>
              <w:rPr>
                <w:rFonts w:hint="eastAsia"/>
                <w:b w:val="0"/>
                <w:bCs w:val="0"/>
                <w:color w:val="000000" w:themeColor="text1"/>
                <w:sz w:val="24"/>
                <w:szCs w:val="24"/>
                <w:highlight w:val="none"/>
                <w:lang w:val="en-US" w:eastAsia="en-US" w:bidi="en-US"/>
                <w14:textFill>
                  <w14:solidFill>
                    <w14:schemeClr w14:val="tx1"/>
                  </w14:solidFill>
                </w14:textFill>
              </w:rPr>
            </w:pPr>
            <w:r>
              <w:rPr>
                <w:rFonts w:hint="eastAsia"/>
                <w:b w:val="0"/>
                <w:bCs w:val="0"/>
                <w:color w:val="000000" w:themeColor="text1"/>
                <w:sz w:val="24"/>
                <w:szCs w:val="24"/>
                <w:highlight w:val="none"/>
                <w:lang w:val="zh-CN" w:eastAsia="zh-CN" w:bidi="zh-CN"/>
                <w14:textFill>
                  <w14:solidFill>
                    <w14:schemeClr w14:val="tx1"/>
                  </w14:solidFill>
                </w14:textFill>
              </w:rPr>
              <w:t>3.5.5</w:t>
            </w:r>
          </w:p>
        </w:tc>
        <w:tc>
          <w:tcPr>
            <w:tcW w:w="1732" w:type="dxa"/>
            <w:tcBorders>
              <w:top w:val="single" w:color="auto" w:sz="4" w:space="0"/>
              <w:left w:val="single" w:color="auto" w:sz="4" w:space="0"/>
              <w:bottom w:val="single" w:color="auto" w:sz="4" w:space="0"/>
            </w:tcBorders>
            <w:shd w:val="clear" w:color="auto" w:fill="FFFFFF"/>
            <w:vAlign w:val="center"/>
          </w:tcPr>
          <w:p w14:paraId="0568B88D">
            <w:pPr>
              <w:pStyle w:val="78"/>
              <w:keepNext w:val="0"/>
              <w:keepLines w:val="0"/>
              <w:pageBreakBefore w:val="0"/>
              <w:widowControl w:val="0"/>
              <w:kinsoku/>
              <w:wordWrap/>
              <w:overflowPunct/>
              <w:topLinePunct w:val="0"/>
              <w:bidi w:val="0"/>
              <w:snapToGrid/>
              <w:spacing w:after="0" w:line="400" w:lineRule="exact"/>
              <w:jc w:val="center"/>
              <w:textAlignment w:val="auto"/>
              <w:rPr>
                <w:b w:val="0"/>
                <w:bCs w:val="0"/>
                <w:color w:val="000000" w:themeColor="text1"/>
                <w:sz w:val="24"/>
                <w:szCs w:val="24"/>
                <w:highlight w:val="none"/>
                <w14:textFill>
                  <w14:solidFill>
                    <w14:schemeClr w14:val="tx1"/>
                  </w14:solidFill>
                </w14:textFill>
              </w:rPr>
            </w:pPr>
            <w:r>
              <w:rPr>
                <w:b w:val="0"/>
                <w:bCs w:val="0"/>
                <w:color w:val="000000" w:themeColor="text1"/>
                <w:sz w:val="24"/>
                <w:szCs w:val="24"/>
                <w:highlight w:val="none"/>
                <w14:textFill>
                  <w14:solidFill>
                    <w14:schemeClr w14:val="tx1"/>
                  </w14:solidFill>
                </w14:textFill>
              </w:rPr>
              <w:t>近年发生的诉讼及仲裁情况的年份要求</w:t>
            </w:r>
          </w:p>
        </w:tc>
        <w:tc>
          <w:tcPr>
            <w:tcW w:w="5774" w:type="dxa"/>
            <w:tcBorders>
              <w:top w:val="single" w:color="auto" w:sz="4" w:space="0"/>
              <w:left w:val="single" w:color="auto" w:sz="4" w:space="0"/>
              <w:bottom w:val="single" w:color="auto" w:sz="4" w:space="0"/>
              <w:right w:val="single" w:color="auto" w:sz="4" w:space="0"/>
            </w:tcBorders>
            <w:shd w:val="clear" w:color="auto" w:fill="FFFFFF"/>
            <w:vAlign w:val="center"/>
          </w:tcPr>
          <w:p w14:paraId="74D90A59">
            <w:pPr>
              <w:pStyle w:val="78"/>
              <w:keepNext w:val="0"/>
              <w:keepLines w:val="0"/>
              <w:pageBreakBefore w:val="0"/>
              <w:widowControl w:val="0"/>
              <w:kinsoku/>
              <w:wordWrap/>
              <w:overflowPunct/>
              <w:topLinePunct w:val="0"/>
              <w:bidi w:val="0"/>
              <w:snapToGrid/>
              <w:spacing w:after="0" w:line="400" w:lineRule="exact"/>
              <w:textAlignment w:val="auto"/>
              <w:rPr>
                <w:rFonts w:hint="eastAsia"/>
                <w:b w:val="0"/>
                <w:bCs w:val="0"/>
                <w:color w:val="000000" w:themeColor="text1"/>
                <w:sz w:val="24"/>
                <w:szCs w:val="24"/>
                <w:highlight w:val="none"/>
                <w:lang w:val="en-US" w:eastAsia="zh-CN"/>
                <w14:textFill>
                  <w14:solidFill>
                    <w14:schemeClr w14:val="tx1"/>
                  </w14:solidFill>
                </w14:textFill>
              </w:rPr>
            </w:pPr>
            <w:r>
              <w:rPr>
                <w:rFonts w:hint="eastAsia"/>
                <w:b w:val="0"/>
                <w:bCs w:val="0"/>
                <w:color w:val="000000" w:themeColor="text1"/>
                <w:sz w:val="24"/>
                <w:szCs w:val="24"/>
                <w:highlight w:val="none"/>
                <w:lang w:eastAsia="zh-CN"/>
                <w14:textFill>
                  <w14:solidFill>
                    <w14:schemeClr w14:val="tx1"/>
                  </w14:solidFill>
                </w14:textFill>
              </w:rPr>
              <w:t>2022年3月-至今</w:t>
            </w:r>
          </w:p>
        </w:tc>
      </w:tr>
      <w:tr w14:paraId="677C39DC">
        <w:tblPrEx>
          <w:tblCellMar>
            <w:top w:w="0" w:type="dxa"/>
            <w:left w:w="10" w:type="dxa"/>
            <w:bottom w:w="0" w:type="dxa"/>
            <w:right w:w="10" w:type="dxa"/>
          </w:tblCellMar>
        </w:tblPrEx>
        <w:trPr>
          <w:trHeight w:val="1452" w:hRule="exact"/>
          <w:jc w:val="center"/>
        </w:trPr>
        <w:tc>
          <w:tcPr>
            <w:tcW w:w="822" w:type="dxa"/>
            <w:tcBorders>
              <w:top w:val="single" w:color="auto" w:sz="4" w:space="0"/>
              <w:left w:val="single" w:color="auto" w:sz="4" w:space="0"/>
              <w:bottom w:val="single" w:color="auto" w:sz="4" w:space="0"/>
            </w:tcBorders>
            <w:shd w:val="clear" w:color="auto" w:fill="FFFFFF"/>
            <w:vAlign w:val="center"/>
          </w:tcPr>
          <w:p w14:paraId="7E377FDD">
            <w:pPr>
              <w:pStyle w:val="78"/>
              <w:keepNext w:val="0"/>
              <w:keepLines w:val="0"/>
              <w:pageBreakBefore w:val="0"/>
              <w:widowControl w:val="0"/>
              <w:kinsoku/>
              <w:wordWrap/>
              <w:overflowPunct/>
              <w:topLinePunct w:val="0"/>
              <w:bidi w:val="0"/>
              <w:snapToGrid/>
              <w:spacing w:after="0" w:line="400" w:lineRule="exact"/>
              <w:jc w:val="center"/>
              <w:textAlignment w:val="auto"/>
              <w:rPr>
                <w:rFonts w:hint="eastAsia"/>
                <w:b w:val="0"/>
                <w:bCs w:val="0"/>
                <w:color w:val="000000" w:themeColor="text1"/>
                <w:sz w:val="24"/>
                <w:szCs w:val="24"/>
                <w:highlight w:val="none"/>
                <w:lang w:val="zh-CN" w:eastAsia="zh-CN" w:bidi="zh-CN"/>
                <w14:textFill>
                  <w14:solidFill>
                    <w14:schemeClr w14:val="tx1"/>
                  </w14:solidFill>
                </w14:textFill>
              </w:rPr>
            </w:pPr>
            <w:r>
              <w:rPr>
                <w:rFonts w:hint="eastAsia"/>
                <w:b w:val="0"/>
                <w:bCs w:val="0"/>
                <w:color w:val="000000" w:themeColor="text1"/>
                <w:sz w:val="24"/>
                <w:szCs w:val="24"/>
                <w:highlight w:val="none"/>
                <w:lang w:val="en-US" w:eastAsia="en-US" w:bidi="en-US"/>
                <w14:textFill>
                  <w14:solidFill>
                    <w14:schemeClr w14:val="tx1"/>
                  </w14:solidFill>
                </w14:textFill>
              </w:rPr>
              <w:t>3.</w:t>
            </w:r>
            <w:r>
              <w:rPr>
                <w:rFonts w:hint="eastAsia"/>
                <w:b w:val="0"/>
                <w:bCs w:val="0"/>
                <w:color w:val="000000" w:themeColor="text1"/>
                <w:sz w:val="24"/>
                <w:szCs w:val="24"/>
                <w:highlight w:val="none"/>
                <w:lang w:val="zh-CN" w:eastAsia="zh-CN" w:bidi="zh-CN"/>
                <w14:textFill>
                  <w14:solidFill>
                    <w14:schemeClr w14:val="tx1"/>
                  </w14:solidFill>
                </w14:textFill>
              </w:rPr>
              <w:t>6</w:t>
            </w:r>
          </w:p>
        </w:tc>
        <w:tc>
          <w:tcPr>
            <w:tcW w:w="1732" w:type="dxa"/>
            <w:tcBorders>
              <w:top w:val="single" w:color="auto" w:sz="4" w:space="0"/>
              <w:left w:val="single" w:color="auto" w:sz="4" w:space="0"/>
              <w:bottom w:val="single" w:color="auto" w:sz="4" w:space="0"/>
            </w:tcBorders>
            <w:shd w:val="clear" w:color="auto" w:fill="FFFFFF"/>
            <w:vAlign w:val="center"/>
          </w:tcPr>
          <w:p w14:paraId="4DA77F46">
            <w:pPr>
              <w:pStyle w:val="78"/>
              <w:keepNext w:val="0"/>
              <w:keepLines w:val="0"/>
              <w:pageBreakBefore w:val="0"/>
              <w:widowControl w:val="0"/>
              <w:kinsoku/>
              <w:wordWrap/>
              <w:overflowPunct/>
              <w:topLinePunct w:val="0"/>
              <w:bidi w:val="0"/>
              <w:snapToGrid/>
              <w:spacing w:after="0" w:line="400" w:lineRule="exact"/>
              <w:jc w:val="center"/>
              <w:textAlignment w:val="auto"/>
              <w:rPr>
                <w:b w:val="0"/>
                <w:bCs w:val="0"/>
                <w:color w:val="000000" w:themeColor="text1"/>
                <w:sz w:val="24"/>
                <w:szCs w:val="24"/>
                <w:highlight w:val="none"/>
                <w14:textFill>
                  <w14:solidFill>
                    <w14:schemeClr w14:val="tx1"/>
                  </w14:solidFill>
                </w14:textFill>
              </w:rPr>
            </w:pPr>
            <w:r>
              <w:rPr>
                <w:b w:val="0"/>
                <w:bCs w:val="0"/>
                <w:color w:val="000000" w:themeColor="text1"/>
                <w:sz w:val="24"/>
                <w:szCs w:val="24"/>
                <w:highlight w:val="none"/>
                <w14:textFill>
                  <w14:solidFill>
                    <w14:schemeClr w14:val="tx1"/>
                  </w14:solidFill>
                </w14:textFill>
              </w:rPr>
              <w:t>是否允许递交备选磋商方案</w:t>
            </w:r>
          </w:p>
        </w:tc>
        <w:tc>
          <w:tcPr>
            <w:tcW w:w="5774" w:type="dxa"/>
            <w:tcBorders>
              <w:top w:val="single" w:color="auto" w:sz="4" w:space="0"/>
              <w:left w:val="single" w:color="auto" w:sz="4" w:space="0"/>
              <w:bottom w:val="single" w:color="auto" w:sz="4" w:space="0"/>
              <w:right w:val="single" w:color="auto" w:sz="4" w:space="0"/>
            </w:tcBorders>
            <w:shd w:val="clear" w:color="auto" w:fill="FFFFFF"/>
            <w:vAlign w:val="center"/>
          </w:tcPr>
          <w:p w14:paraId="131460DB">
            <w:pPr>
              <w:pStyle w:val="78"/>
              <w:keepNext w:val="0"/>
              <w:keepLines w:val="0"/>
              <w:pageBreakBefore w:val="0"/>
              <w:widowControl w:val="0"/>
              <w:kinsoku/>
              <w:wordWrap/>
              <w:overflowPunct/>
              <w:topLinePunct w:val="0"/>
              <w:bidi w:val="0"/>
              <w:snapToGrid/>
              <w:spacing w:after="140" w:line="400" w:lineRule="exact"/>
              <w:textAlignment w:val="auto"/>
              <w:rPr>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lang w:val="en-US" w:eastAsia="zh-CN"/>
                <w14:textFill>
                  <w14:solidFill>
                    <w14:schemeClr w14:val="tx1"/>
                  </w14:solidFill>
                </w14:textFill>
              </w:rPr>
              <w:t>√</w:t>
            </w:r>
            <w:r>
              <w:rPr>
                <w:b w:val="0"/>
                <w:bCs w:val="0"/>
                <w:color w:val="000000" w:themeColor="text1"/>
                <w:sz w:val="24"/>
                <w:szCs w:val="24"/>
                <w:highlight w:val="none"/>
                <w14:textFill>
                  <w14:solidFill>
                    <w14:schemeClr w14:val="tx1"/>
                  </w14:solidFill>
                </w14:textFill>
              </w:rPr>
              <w:t>不允许</w:t>
            </w:r>
          </w:p>
          <w:p w14:paraId="26D01D6B">
            <w:pPr>
              <w:pStyle w:val="78"/>
              <w:keepNext w:val="0"/>
              <w:keepLines w:val="0"/>
              <w:pageBreakBefore w:val="0"/>
              <w:widowControl w:val="0"/>
              <w:kinsoku/>
              <w:wordWrap/>
              <w:overflowPunct/>
              <w:topLinePunct w:val="0"/>
              <w:bidi w:val="0"/>
              <w:snapToGrid/>
              <w:spacing w:after="0" w:line="400" w:lineRule="exact"/>
              <w:textAlignment w:val="auto"/>
              <w:rPr>
                <w:rFonts w:hint="eastAsia"/>
                <w:b w:val="0"/>
                <w:bCs w:val="0"/>
                <w:color w:val="000000" w:themeColor="text1"/>
                <w:sz w:val="24"/>
                <w:szCs w:val="24"/>
                <w:highlight w:val="none"/>
                <w:lang w:eastAsia="zh-CN"/>
                <w14:textFill>
                  <w14:solidFill>
                    <w14:schemeClr w14:val="tx1"/>
                  </w14:solidFill>
                </w14:textFill>
              </w:rPr>
            </w:pPr>
            <w:r>
              <w:rPr>
                <w:b w:val="0"/>
                <w:bCs w:val="0"/>
                <w:color w:val="000000" w:themeColor="text1"/>
                <w:sz w:val="24"/>
                <w:szCs w:val="24"/>
                <w:highlight w:val="none"/>
                <w:lang w:val="en-US" w:eastAsia="en-US" w:bidi="en-US"/>
                <w14:textFill>
                  <w14:solidFill>
                    <w14:schemeClr w14:val="tx1"/>
                  </w14:solidFill>
                </w14:textFill>
              </w:rPr>
              <w:t>□</w:t>
            </w:r>
            <w:r>
              <w:rPr>
                <w:b w:val="0"/>
                <w:bCs w:val="0"/>
                <w:color w:val="000000" w:themeColor="text1"/>
                <w:sz w:val="24"/>
                <w:szCs w:val="24"/>
                <w:highlight w:val="none"/>
                <w14:textFill>
                  <w14:solidFill>
                    <w14:schemeClr w14:val="tx1"/>
                  </w14:solidFill>
                </w14:textFill>
              </w:rPr>
              <w:t>允许</w:t>
            </w:r>
          </w:p>
        </w:tc>
      </w:tr>
    </w:tbl>
    <w:p w14:paraId="2003E8C0">
      <w:pPr>
        <w:keepNext w:val="0"/>
        <w:keepLines w:val="0"/>
        <w:pageBreakBefore w:val="0"/>
        <w:widowControl w:val="0"/>
        <w:kinsoku/>
        <w:wordWrap/>
        <w:overflowPunct/>
        <w:topLinePunct w:val="0"/>
        <w:bidi w:val="0"/>
        <w:snapToGrid/>
        <w:spacing w:line="400" w:lineRule="exact"/>
        <w:textAlignment w:val="auto"/>
        <w:rPr>
          <w:color w:val="000000" w:themeColor="text1"/>
          <w:sz w:val="2"/>
          <w:szCs w:val="2"/>
          <w:highlight w:val="none"/>
          <w14:textFill>
            <w14:solidFill>
              <w14:schemeClr w14:val="tx1"/>
            </w14:solidFill>
          </w14:textFill>
        </w:rPr>
      </w:pPr>
      <w:r>
        <w:rPr>
          <w:color w:val="000000" w:themeColor="text1"/>
          <w:highlight w:val="none"/>
          <w14:textFill>
            <w14:solidFill>
              <w14:schemeClr w14:val="tx1"/>
            </w14:solidFill>
          </w14:textFill>
        </w:rPr>
        <w:br w:type="page"/>
      </w:r>
    </w:p>
    <w:tbl>
      <w:tblPr>
        <w:tblStyle w:val="32"/>
        <w:tblW w:w="8366" w:type="dxa"/>
        <w:jc w:val="center"/>
        <w:tblLayout w:type="fixed"/>
        <w:tblCellMar>
          <w:top w:w="0" w:type="dxa"/>
          <w:left w:w="10" w:type="dxa"/>
          <w:bottom w:w="0" w:type="dxa"/>
          <w:right w:w="10" w:type="dxa"/>
        </w:tblCellMar>
      </w:tblPr>
      <w:tblGrid>
        <w:gridCol w:w="865"/>
        <w:gridCol w:w="13"/>
        <w:gridCol w:w="1636"/>
        <w:gridCol w:w="19"/>
        <w:gridCol w:w="1"/>
        <w:gridCol w:w="5795"/>
        <w:gridCol w:w="37"/>
      </w:tblGrid>
      <w:tr w14:paraId="3E205F16">
        <w:tblPrEx>
          <w:tblCellMar>
            <w:top w:w="0" w:type="dxa"/>
            <w:left w:w="10" w:type="dxa"/>
            <w:bottom w:w="0" w:type="dxa"/>
            <w:right w:w="10" w:type="dxa"/>
          </w:tblCellMar>
        </w:tblPrEx>
        <w:trPr>
          <w:gridAfter w:val="1"/>
          <w:wAfter w:w="37" w:type="dxa"/>
          <w:trHeight w:val="2644" w:hRule="exact"/>
          <w:jc w:val="center"/>
        </w:trPr>
        <w:tc>
          <w:tcPr>
            <w:tcW w:w="865" w:type="dxa"/>
            <w:tcBorders>
              <w:top w:val="single" w:color="auto" w:sz="4" w:space="0"/>
              <w:left w:val="single" w:color="auto" w:sz="4" w:space="0"/>
              <w:bottom w:val="single" w:color="auto" w:sz="4" w:space="0"/>
            </w:tcBorders>
            <w:shd w:val="clear" w:color="auto" w:fill="FFFFFF"/>
            <w:vAlign w:val="center"/>
          </w:tcPr>
          <w:p w14:paraId="3041861F">
            <w:pPr>
              <w:pStyle w:val="78"/>
              <w:keepNext w:val="0"/>
              <w:keepLines w:val="0"/>
              <w:pageBreakBefore w:val="0"/>
              <w:widowControl w:val="0"/>
              <w:kinsoku/>
              <w:wordWrap/>
              <w:overflowPunct/>
              <w:topLinePunct w:val="0"/>
              <w:bidi w:val="0"/>
              <w:snapToGrid/>
              <w:spacing w:after="0" w:line="400" w:lineRule="exact"/>
              <w:jc w:val="center"/>
              <w:textAlignment w:val="auto"/>
              <w:rPr>
                <w:rFonts w:hint="eastAsia"/>
                <w:b w:val="0"/>
                <w:bCs w:val="0"/>
                <w:color w:val="000000" w:themeColor="text1"/>
                <w:sz w:val="24"/>
                <w:szCs w:val="24"/>
                <w:highlight w:val="none"/>
                <w:lang w:val="en-US" w:eastAsia="en-US" w:bidi="en-US"/>
                <w14:textFill>
                  <w14:solidFill>
                    <w14:schemeClr w14:val="tx1"/>
                  </w14:solidFill>
                </w14:textFill>
              </w:rPr>
            </w:pPr>
            <w:r>
              <w:rPr>
                <w:rFonts w:hint="eastAsia"/>
                <w:b w:val="0"/>
                <w:bCs w:val="0"/>
                <w:color w:val="000000" w:themeColor="text1"/>
                <w:sz w:val="24"/>
                <w:szCs w:val="24"/>
                <w:highlight w:val="none"/>
                <w:lang w:val="en-US" w:eastAsia="en-US" w:bidi="en-US"/>
                <w14:textFill>
                  <w14:solidFill>
                    <w14:schemeClr w14:val="tx1"/>
                  </w14:solidFill>
                </w14:textFill>
              </w:rPr>
              <w:t>3.7.</w:t>
            </w:r>
            <w:r>
              <w:rPr>
                <w:rFonts w:hint="eastAsia"/>
                <w:b w:val="0"/>
                <w:bCs w:val="0"/>
                <w:color w:val="000000" w:themeColor="text1"/>
                <w:sz w:val="24"/>
                <w:szCs w:val="24"/>
                <w:highlight w:val="none"/>
                <w:lang w:val="zh-CN" w:eastAsia="zh-CN" w:bidi="zh-CN"/>
                <w14:textFill>
                  <w14:solidFill>
                    <w14:schemeClr w14:val="tx1"/>
                  </w14:solidFill>
                </w14:textFill>
              </w:rPr>
              <w:t>3</w:t>
            </w:r>
          </w:p>
        </w:tc>
        <w:tc>
          <w:tcPr>
            <w:tcW w:w="1669" w:type="dxa"/>
            <w:gridSpan w:val="4"/>
            <w:tcBorders>
              <w:top w:val="single" w:color="auto" w:sz="4" w:space="0"/>
              <w:left w:val="single" w:color="auto" w:sz="4" w:space="0"/>
              <w:bottom w:val="single" w:color="auto" w:sz="4" w:space="0"/>
            </w:tcBorders>
            <w:shd w:val="clear" w:color="auto" w:fill="FFFFFF"/>
            <w:vAlign w:val="center"/>
          </w:tcPr>
          <w:p w14:paraId="0854D6B2">
            <w:pPr>
              <w:pStyle w:val="78"/>
              <w:keepNext w:val="0"/>
              <w:keepLines w:val="0"/>
              <w:pageBreakBefore w:val="0"/>
              <w:widowControl w:val="0"/>
              <w:kinsoku/>
              <w:wordWrap/>
              <w:overflowPunct/>
              <w:topLinePunct w:val="0"/>
              <w:bidi w:val="0"/>
              <w:snapToGrid/>
              <w:spacing w:after="0" w:line="400" w:lineRule="exact"/>
              <w:jc w:val="center"/>
              <w:textAlignment w:val="auto"/>
              <w:rPr>
                <w:b w:val="0"/>
                <w:bCs w:val="0"/>
                <w:color w:val="000000" w:themeColor="text1"/>
                <w:sz w:val="24"/>
                <w:szCs w:val="24"/>
                <w:highlight w:val="none"/>
                <w14:textFill>
                  <w14:solidFill>
                    <w14:schemeClr w14:val="tx1"/>
                  </w14:solidFill>
                </w14:textFill>
              </w:rPr>
            </w:pPr>
            <w:r>
              <w:rPr>
                <w:b w:val="0"/>
                <w:bCs w:val="0"/>
                <w:color w:val="000000" w:themeColor="text1"/>
                <w:sz w:val="24"/>
                <w:szCs w:val="24"/>
                <w:highlight w:val="none"/>
                <w14:textFill>
                  <w14:solidFill>
                    <w14:schemeClr w14:val="tx1"/>
                  </w14:solidFill>
                </w14:textFill>
              </w:rPr>
              <w:t>签字或盖章要求</w:t>
            </w:r>
          </w:p>
        </w:tc>
        <w:tc>
          <w:tcPr>
            <w:tcW w:w="5795" w:type="dxa"/>
            <w:tcBorders>
              <w:top w:val="single" w:color="auto" w:sz="4" w:space="0"/>
              <w:left w:val="single" w:color="auto" w:sz="4" w:space="0"/>
              <w:bottom w:val="single" w:color="auto" w:sz="4" w:space="0"/>
              <w:right w:val="single" w:color="auto" w:sz="4" w:space="0"/>
            </w:tcBorders>
            <w:shd w:val="clear" w:color="auto" w:fill="FFFFFF"/>
            <w:vAlign w:val="center"/>
          </w:tcPr>
          <w:p w14:paraId="18E87F27">
            <w:pPr>
              <w:pStyle w:val="78"/>
              <w:keepNext w:val="0"/>
              <w:keepLines w:val="0"/>
              <w:pageBreakBefore w:val="0"/>
              <w:widowControl w:val="0"/>
              <w:kinsoku/>
              <w:wordWrap/>
              <w:overflowPunct/>
              <w:topLinePunct w:val="0"/>
              <w:bidi w:val="0"/>
              <w:snapToGrid/>
              <w:spacing w:after="0" w:line="400" w:lineRule="exact"/>
              <w:textAlignment w:val="auto"/>
              <w:rPr>
                <w:b w:val="0"/>
                <w:bCs w:val="0"/>
                <w:color w:val="000000" w:themeColor="text1"/>
                <w:sz w:val="24"/>
                <w:szCs w:val="24"/>
                <w:highlight w:val="none"/>
                <w:lang w:val="en-US" w:eastAsia="en-US" w:bidi="en-US"/>
                <w14:textFill>
                  <w14:solidFill>
                    <w14:schemeClr w14:val="tx1"/>
                  </w14:solidFill>
                </w14:textFill>
              </w:rPr>
            </w:pPr>
            <w:r>
              <w:rPr>
                <w:rFonts w:hint="eastAsia"/>
                <w:b w:val="0"/>
                <w:bCs w:val="0"/>
                <w:color w:val="000000" w:themeColor="text1"/>
                <w:sz w:val="24"/>
                <w:szCs w:val="24"/>
                <w:highlight w:val="none"/>
                <w:lang w:eastAsia="zh-CN"/>
                <w14:textFill>
                  <w14:solidFill>
                    <w14:schemeClr w14:val="tx1"/>
                  </w14:solidFill>
                </w14:textFill>
              </w:rPr>
              <w:t>投标文件、封面、投标函和其他需要签字或盖章的地方均应加盖</w:t>
            </w:r>
            <w:r>
              <w:rPr>
                <w:rFonts w:hint="eastAsia"/>
                <w:b w:val="0"/>
                <w:bCs w:val="0"/>
                <w:color w:val="000000" w:themeColor="text1"/>
                <w:sz w:val="24"/>
                <w:szCs w:val="24"/>
                <w:highlight w:val="none"/>
                <w:lang w:val="en-US" w:eastAsia="zh-CN"/>
                <w14:textFill>
                  <w14:solidFill>
                    <w14:schemeClr w14:val="tx1"/>
                  </w14:solidFill>
                </w14:textFill>
              </w:rPr>
              <w:t>投标人电子签章，</w:t>
            </w:r>
            <w:r>
              <w:rPr>
                <w:rFonts w:hint="eastAsia"/>
                <w:b w:val="0"/>
                <w:bCs w:val="0"/>
                <w:color w:val="000000" w:themeColor="text1"/>
                <w:sz w:val="24"/>
                <w:szCs w:val="24"/>
                <w:highlight w:val="none"/>
                <w:lang w:eastAsia="zh-CN"/>
                <w14:textFill>
                  <w14:solidFill>
                    <w14:schemeClr w14:val="tx1"/>
                  </w14:solidFill>
                </w14:textFill>
              </w:rPr>
              <w:t>并经法定代表人或其委托代理人签字或盖章（</w:t>
            </w:r>
            <w:r>
              <w:rPr>
                <w:rFonts w:hint="eastAsia"/>
                <w:b w:val="0"/>
                <w:bCs w:val="0"/>
                <w:color w:val="000000" w:themeColor="text1"/>
                <w:sz w:val="24"/>
                <w:szCs w:val="24"/>
                <w:highlight w:val="none"/>
                <w:lang w:val="en-US" w:eastAsia="zh-CN"/>
                <w14:textFill>
                  <w14:solidFill>
                    <w14:schemeClr w14:val="tx1"/>
                  </w14:solidFill>
                </w14:textFill>
              </w:rPr>
              <w:t>电子签章</w:t>
            </w:r>
            <w:r>
              <w:rPr>
                <w:rFonts w:hint="eastAsia"/>
                <w:b w:val="0"/>
                <w:bCs w:val="0"/>
                <w:color w:val="000000" w:themeColor="text1"/>
                <w:sz w:val="24"/>
                <w:szCs w:val="24"/>
                <w:highlight w:val="none"/>
                <w:lang w:eastAsia="zh-CN"/>
                <w14:textFill>
                  <w14:solidFill>
                    <w14:schemeClr w14:val="tx1"/>
                  </w14:solidFill>
                </w14:textFill>
              </w:rPr>
              <w:t>）。由委托代理人签字或盖章（</w:t>
            </w:r>
            <w:r>
              <w:rPr>
                <w:rFonts w:hint="eastAsia"/>
                <w:b w:val="0"/>
                <w:bCs w:val="0"/>
                <w:color w:val="000000" w:themeColor="text1"/>
                <w:sz w:val="24"/>
                <w:szCs w:val="24"/>
                <w:highlight w:val="none"/>
                <w:lang w:val="en-US" w:eastAsia="zh-CN"/>
                <w14:textFill>
                  <w14:solidFill>
                    <w14:schemeClr w14:val="tx1"/>
                  </w14:solidFill>
                </w14:textFill>
              </w:rPr>
              <w:t>电子签章</w:t>
            </w:r>
            <w:r>
              <w:rPr>
                <w:rFonts w:hint="eastAsia"/>
                <w:b w:val="0"/>
                <w:bCs w:val="0"/>
                <w:color w:val="000000" w:themeColor="text1"/>
                <w:sz w:val="24"/>
                <w:szCs w:val="24"/>
                <w:highlight w:val="none"/>
                <w:lang w:eastAsia="zh-CN"/>
                <w14:textFill>
                  <w14:solidFill>
                    <w14:schemeClr w14:val="tx1"/>
                  </w14:solidFill>
                </w14:textFill>
              </w:rPr>
              <w:t>）的在投标文件中须同时递交投标文件授权委托书。投标文件授权委托书格式、签字、盖章及内容均应符合要求，否则投标文件授权委托书无效。</w:t>
            </w:r>
          </w:p>
        </w:tc>
      </w:tr>
      <w:tr w14:paraId="2C72D764">
        <w:tblPrEx>
          <w:tblCellMar>
            <w:top w:w="0" w:type="dxa"/>
            <w:left w:w="10" w:type="dxa"/>
            <w:bottom w:w="0" w:type="dxa"/>
            <w:right w:w="10" w:type="dxa"/>
          </w:tblCellMar>
        </w:tblPrEx>
        <w:trPr>
          <w:gridAfter w:val="1"/>
          <w:wAfter w:w="37" w:type="dxa"/>
          <w:trHeight w:val="1669" w:hRule="exact"/>
          <w:jc w:val="center"/>
        </w:trPr>
        <w:tc>
          <w:tcPr>
            <w:tcW w:w="865" w:type="dxa"/>
            <w:tcBorders>
              <w:top w:val="single" w:color="auto" w:sz="4" w:space="0"/>
              <w:left w:val="single" w:color="auto" w:sz="4" w:space="0"/>
              <w:bottom w:val="single" w:color="auto" w:sz="4" w:space="0"/>
            </w:tcBorders>
            <w:shd w:val="clear" w:color="auto" w:fill="FFFFFF"/>
            <w:vAlign w:val="center"/>
          </w:tcPr>
          <w:p w14:paraId="07E89696">
            <w:pPr>
              <w:keepNext w:val="0"/>
              <w:keepLines w:val="0"/>
              <w:pageBreakBefore w:val="0"/>
              <w:widowControl w:val="0"/>
              <w:kinsoku/>
              <w:wordWrap/>
              <w:overflowPunct/>
              <w:topLinePunct w:val="0"/>
              <w:bidi w:val="0"/>
              <w:snapToGrid/>
              <w:spacing w:line="400" w:lineRule="exact"/>
              <w:jc w:val="center"/>
              <w:textAlignment w:val="auto"/>
              <w:rPr>
                <w:rFonts w:hint="eastAsia"/>
                <w:b w:val="0"/>
                <w:bCs w:val="0"/>
                <w:color w:val="000000" w:themeColor="text1"/>
                <w:sz w:val="24"/>
                <w:szCs w:val="24"/>
                <w:highlight w:val="none"/>
                <w:lang w:val="en-US" w:eastAsia="en-US" w:bidi="en-US"/>
                <w14:textFill>
                  <w14:solidFill>
                    <w14:schemeClr w14:val="tx1"/>
                  </w14:solidFill>
                </w14:textFill>
              </w:rPr>
            </w:pPr>
            <w:r>
              <w:rPr>
                <w:rFonts w:hint="eastAsia" w:ascii="宋体" w:hAnsi="宋体" w:cs="宋体"/>
                <w:color w:val="000000" w:themeColor="text1"/>
                <w:sz w:val="24"/>
                <w:szCs w:val="24"/>
                <w:highlight w:val="none"/>
                <w:lang w:eastAsia="en-US"/>
                <w14:textFill>
                  <w14:solidFill>
                    <w14:schemeClr w14:val="tx1"/>
                  </w14:solidFill>
                </w14:textFill>
              </w:rPr>
              <w:t>3.7.</w:t>
            </w:r>
            <w:r>
              <w:rPr>
                <w:rFonts w:hint="eastAsia" w:ascii="宋体" w:hAnsi="宋体" w:cs="宋体"/>
                <w:color w:val="000000" w:themeColor="text1"/>
                <w:sz w:val="24"/>
                <w:szCs w:val="24"/>
                <w:highlight w:val="none"/>
                <w:lang w:val="zh-CN"/>
                <w14:textFill>
                  <w14:solidFill>
                    <w14:schemeClr w14:val="tx1"/>
                  </w14:solidFill>
                </w14:textFill>
              </w:rPr>
              <w:t>4</w:t>
            </w:r>
          </w:p>
        </w:tc>
        <w:tc>
          <w:tcPr>
            <w:tcW w:w="1669" w:type="dxa"/>
            <w:gridSpan w:val="4"/>
            <w:tcBorders>
              <w:top w:val="single" w:color="auto" w:sz="4" w:space="0"/>
              <w:left w:val="single" w:color="auto" w:sz="4" w:space="0"/>
              <w:bottom w:val="single" w:color="auto" w:sz="4" w:space="0"/>
            </w:tcBorders>
            <w:shd w:val="clear" w:color="auto" w:fill="FFFFFF"/>
            <w:vAlign w:val="center"/>
          </w:tcPr>
          <w:p w14:paraId="0B83B58A">
            <w:pPr>
              <w:keepNext w:val="0"/>
              <w:keepLines w:val="0"/>
              <w:pageBreakBefore w:val="0"/>
              <w:widowControl w:val="0"/>
              <w:kinsoku/>
              <w:wordWrap/>
              <w:overflowPunct/>
              <w:topLinePunct w:val="0"/>
              <w:bidi w:val="0"/>
              <w:snapToGrid/>
              <w:spacing w:line="400" w:lineRule="exact"/>
              <w:jc w:val="center"/>
              <w:textAlignment w:val="auto"/>
              <w:rPr>
                <w:b w:val="0"/>
                <w:bCs w:val="0"/>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响应文件份数</w:t>
            </w:r>
          </w:p>
        </w:tc>
        <w:tc>
          <w:tcPr>
            <w:tcW w:w="5795" w:type="dxa"/>
            <w:tcBorders>
              <w:top w:val="single" w:color="auto" w:sz="4" w:space="0"/>
              <w:left w:val="single" w:color="auto" w:sz="4" w:space="0"/>
              <w:bottom w:val="single" w:color="auto" w:sz="4" w:space="0"/>
              <w:right w:val="single" w:color="auto" w:sz="4" w:space="0"/>
            </w:tcBorders>
            <w:shd w:val="clear" w:color="auto" w:fill="FFFFFF"/>
            <w:vAlign w:val="center"/>
          </w:tcPr>
          <w:p w14:paraId="55C6D078">
            <w:pPr>
              <w:keepNext w:val="0"/>
              <w:keepLines w:val="0"/>
              <w:pageBreakBefore w:val="0"/>
              <w:widowControl w:val="0"/>
              <w:kinsoku/>
              <w:wordWrap/>
              <w:overflowPunct/>
              <w:topLinePunct w:val="0"/>
              <w:bidi w:val="0"/>
              <w:snapToGrid/>
              <w:spacing w:line="400" w:lineRule="exact"/>
              <w:textAlignment w:val="auto"/>
              <w:rPr>
                <w:rFonts w:hint="eastAsia"/>
                <w:b w:val="0"/>
                <w:bCs w:val="0"/>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投标单位在中标后，应按招标人要求的形式（纸质版、电子版）和份数提供投标文件（纸质版投标文件及普通电子版投标文件应与</w:t>
            </w:r>
            <w:r>
              <w:rPr>
                <w:rFonts w:hint="eastAsia" w:ascii="宋体" w:hAnsi="宋体" w:cs="宋体"/>
                <w:color w:val="000000" w:themeColor="text1"/>
                <w:sz w:val="24"/>
                <w:szCs w:val="24"/>
                <w:highlight w:val="none"/>
                <w:lang w:val="zh-CN" w:eastAsia="zh-CN"/>
                <w14:textFill>
                  <w14:solidFill>
                    <w14:schemeClr w14:val="tx1"/>
                  </w14:solidFill>
                </w14:textFill>
              </w:rPr>
              <w:t>“政采云”</w:t>
            </w:r>
            <w:r>
              <w:rPr>
                <w:rFonts w:hint="eastAsia" w:ascii="宋体" w:hAnsi="宋体" w:cs="宋体"/>
                <w:color w:val="000000" w:themeColor="text1"/>
                <w:sz w:val="24"/>
                <w:szCs w:val="24"/>
                <w:highlight w:val="none"/>
                <w:lang w:val="zh-CN"/>
                <w14:textFill>
                  <w14:solidFill>
                    <w14:schemeClr w14:val="tx1"/>
                  </w14:solidFill>
                </w14:textFill>
              </w:rPr>
              <w:t>平台交易系统上传电子投标文件内容一致）</w:t>
            </w:r>
            <w:r>
              <w:rPr>
                <w:rFonts w:hint="eastAsia" w:ascii="宋体" w:hAnsi="宋体" w:cs="宋体"/>
                <w:color w:val="000000" w:themeColor="text1"/>
                <w:sz w:val="24"/>
                <w:szCs w:val="24"/>
                <w:highlight w:val="none"/>
                <w14:textFill>
                  <w14:solidFill>
                    <w14:schemeClr w14:val="tx1"/>
                  </w14:solidFill>
                </w14:textFill>
              </w:rPr>
              <w:t>。</w:t>
            </w:r>
          </w:p>
        </w:tc>
      </w:tr>
      <w:tr w14:paraId="7ACFE0B5">
        <w:tblPrEx>
          <w:tblCellMar>
            <w:top w:w="0" w:type="dxa"/>
            <w:left w:w="10" w:type="dxa"/>
            <w:bottom w:w="0" w:type="dxa"/>
            <w:right w:w="10" w:type="dxa"/>
          </w:tblCellMar>
        </w:tblPrEx>
        <w:trPr>
          <w:gridAfter w:val="1"/>
          <w:wAfter w:w="37" w:type="dxa"/>
          <w:trHeight w:val="1089" w:hRule="exact"/>
          <w:jc w:val="center"/>
        </w:trPr>
        <w:tc>
          <w:tcPr>
            <w:tcW w:w="865" w:type="dxa"/>
            <w:tcBorders>
              <w:top w:val="single" w:color="auto" w:sz="4" w:space="0"/>
              <w:left w:val="single" w:color="auto" w:sz="4" w:space="0"/>
              <w:bottom w:val="single" w:color="auto" w:sz="4" w:space="0"/>
            </w:tcBorders>
            <w:shd w:val="clear" w:color="auto" w:fill="FFFFFF"/>
            <w:vAlign w:val="center"/>
          </w:tcPr>
          <w:p w14:paraId="665B50AB">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lang w:eastAsia="en-US"/>
                <w14:textFill>
                  <w14:solidFill>
                    <w14:schemeClr w14:val="tx1"/>
                  </w14:solidFill>
                </w14:textFill>
              </w:rPr>
            </w:pPr>
            <w:r>
              <w:rPr>
                <w:rFonts w:hint="eastAsia" w:ascii="宋体" w:hAnsi="宋体" w:cs="宋体"/>
                <w:color w:val="000000" w:themeColor="text1"/>
                <w:sz w:val="24"/>
                <w:szCs w:val="24"/>
                <w:highlight w:val="none"/>
                <w:lang w:eastAsia="en-US"/>
                <w14:textFill>
                  <w14:solidFill>
                    <w14:schemeClr w14:val="tx1"/>
                  </w14:solidFill>
                </w14:textFill>
              </w:rPr>
              <w:t>4.</w:t>
            </w:r>
            <w:r>
              <w:rPr>
                <w:rFonts w:hint="eastAsia" w:ascii="宋体" w:hAnsi="宋体" w:cs="宋体"/>
                <w:color w:val="000000" w:themeColor="text1"/>
                <w:sz w:val="24"/>
                <w:szCs w:val="24"/>
                <w:highlight w:val="none"/>
                <w:lang w:val="en-US" w:eastAsia="zh-CN"/>
                <w14:textFill>
                  <w14:solidFill>
                    <w14:schemeClr w14:val="tx1"/>
                  </w14:solidFill>
                </w14:textFill>
              </w:rPr>
              <w:t>1</w:t>
            </w:r>
            <w:r>
              <w:rPr>
                <w:rFonts w:hint="eastAsia" w:ascii="宋体" w:hAnsi="宋体" w:cs="宋体"/>
                <w:color w:val="000000" w:themeColor="text1"/>
                <w:sz w:val="24"/>
                <w:szCs w:val="24"/>
                <w:highlight w:val="none"/>
                <w:lang w:eastAsia="en-US"/>
                <w14:textFill>
                  <w14:solidFill>
                    <w14:schemeClr w14:val="tx1"/>
                  </w14:solidFill>
                </w14:textFill>
              </w:rPr>
              <w:t>.</w:t>
            </w:r>
            <w:r>
              <w:rPr>
                <w:rFonts w:hint="eastAsia" w:ascii="宋体" w:hAnsi="宋体" w:cs="宋体"/>
                <w:color w:val="000000" w:themeColor="text1"/>
                <w:sz w:val="24"/>
                <w:szCs w:val="24"/>
                <w:highlight w:val="none"/>
                <w:lang w:val="zh-CN"/>
                <w14:textFill>
                  <w14:solidFill>
                    <w14:schemeClr w14:val="tx1"/>
                  </w14:solidFill>
                </w14:textFill>
              </w:rPr>
              <w:t>1</w:t>
            </w:r>
          </w:p>
        </w:tc>
        <w:tc>
          <w:tcPr>
            <w:tcW w:w="1669" w:type="dxa"/>
            <w:gridSpan w:val="4"/>
            <w:tcBorders>
              <w:top w:val="single" w:color="auto" w:sz="4" w:space="0"/>
              <w:left w:val="single" w:color="auto" w:sz="4" w:space="0"/>
              <w:bottom w:val="single" w:color="auto" w:sz="4" w:space="0"/>
            </w:tcBorders>
            <w:shd w:val="clear" w:color="auto" w:fill="FFFFFF"/>
            <w:vAlign w:val="center"/>
          </w:tcPr>
          <w:p w14:paraId="05009209">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首次响应文件递交截止时间</w:t>
            </w:r>
          </w:p>
        </w:tc>
        <w:tc>
          <w:tcPr>
            <w:tcW w:w="5795" w:type="dxa"/>
            <w:tcBorders>
              <w:top w:val="single" w:color="auto" w:sz="4" w:space="0"/>
              <w:left w:val="single" w:color="auto" w:sz="4" w:space="0"/>
              <w:bottom w:val="single" w:color="auto" w:sz="4" w:space="0"/>
              <w:right w:val="single" w:color="auto" w:sz="4" w:space="0"/>
            </w:tcBorders>
            <w:shd w:val="clear" w:color="auto" w:fill="FFFFFF"/>
            <w:vAlign w:val="center"/>
          </w:tcPr>
          <w:p w14:paraId="452B7B03">
            <w:pPr>
              <w:keepNext w:val="0"/>
              <w:keepLines w:val="0"/>
              <w:pageBreakBefore w:val="0"/>
              <w:widowControl w:val="0"/>
              <w:kinsoku/>
              <w:wordWrap/>
              <w:overflowPunct/>
              <w:topLinePunct w:val="0"/>
              <w:bidi w:val="0"/>
              <w:snapToGrid/>
              <w:spacing w:line="400" w:lineRule="exact"/>
              <w:textAlignment w:val="auto"/>
              <w:rPr>
                <w:rFonts w:hint="eastAsia"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auto"/>
                <w:sz w:val="24"/>
                <w:szCs w:val="24"/>
                <w:highlight w:val="none"/>
                <w:lang w:val="zh-CN" w:eastAsia="zh-CN"/>
              </w:rPr>
              <w:t>2025</w:t>
            </w:r>
            <w:r>
              <w:rPr>
                <w:rFonts w:hint="eastAsia" w:ascii="宋体" w:hAnsi="宋体" w:cs="宋体"/>
                <w:color w:val="auto"/>
                <w:sz w:val="24"/>
                <w:szCs w:val="24"/>
                <w:highlight w:val="none"/>
                <w:lang w:val="en-US" w:eastAsia="zh-CN"/>
              </w:rPr>
              <w:t>年4</w:t>
            </w:r>
            <w:r>
              <w:rPr>
                <w:rFonts w:hint="eastAsia" w:ascii="宋体" w:hAnsi="宋体" w:cs="宋体"/>
                <w:color w:val="auto"/>
                <w:sz w:val="24"/>
                <w:szCs w:val="24"/>
                <w:highlight w:val="none"/>
                <w:lang w:val="zh-CN" w:eastAsia="zh-CN"/>
              </w:rPr>
              <w:t>月</w:t>
            </w:r>
            <w:r>
              <w:rPr>
                <w:rFonts w:hint="eastAsia" w:ascii="宋体" w:hAnsi="宋体" w:cs="宋体"/>
                <w:color w:val="auto"/>
                <w:sz w:val="24"/>
                <w:szCs w:val="24"/>
                <w:highlight w:val="none"/>
                <w:lang w:val="en-US" w:eastAsia="zh-CN"/>
              </w:rPr>
              <w:t>18</w:t>
            </w:r>
            <w:r>
              <w:rPr>
                <w:rFonts w:hint="eastAsia" w:ascii="宋体" w:hAnsi="宋体" w:cs="宋体"/>
                <w:color w:val="auto"/>
                <w:sz w:val="24"/>
                <w:szCs w:val="24"/>
                <w:highlight w:val="none"/>
                <w:lang w:val="zh-CN" w:eastAsia="zh-CN"/>
              </w:rPr>
              <w:t>日，上午09时00分</w:t>
            </w:r>
            <w:r>
              <w:rPr>
                <w:rFonts w:hint="eastAsia" w:ascii="宋体" w:hAnsi="宋体" w:eastAsia="宋体" w:cs="宋体"/>
                <w:color w:val="auto"/>
                <w:sz w:val="24"/>
                <w:szCs w:val="24"/>
                <w:highlight w:val="none"/>
                <w:lang w:val="zh-CN" w:eastAsia="zh-CN"/>
              </w:rPr>
              <w:t>（北京时间）</w:t>
            </w:r>
          </w:p>
        </w:tc>
      </w:tr>
      <w:tr w14:paraId="1963CD3C">
        <w:tblPrEx>
          <w:tblCellMar>
            <w:top w:w="0" w:type="dxa"/>
            <w:left w:w="10" w:type="dxa"/>
            <w:bottom w:w="0" w:type="dxa"/>
            <w:right w:w="10" w:type="dxa"/>
          </w:tblCellMar>
        </w:tblPrEx>
        <w:trPr>
          <w:gridAfter w:val="1"/>
          <w:wAfter w:w="37" w:type="dxa"/>
          <w:trHeight w:val="6229" w:hRule="exact"/>
          <w:jc w:val="center"/>
        </w:trPr>
        <w:tc>
          <w:tcPr>
            <w:tcW w:w="865" w:type="dxa"/>
            <w:tcBorders>
              <w:top w:val="single" w:color="auto" w:sz="4" w:space="0"/>
              <w:left w:val="single" w:color="auto" w:sz="4" w:space="0"/>
              <w:bottom w:val="single" w:color="auto" w:sz="4" w:space="0"/>
            </w:tcBorders>
            <w:shd w:val="clear" w:color="auto" w:fill="FFFFFF"/>
            <w:vAlign w:val="center"/>
          </w:tcPr>
          <w:p w14:paraId="1DCA3C2F">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lang w:eastAsia="en-US"/>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4.</w:t>
            </w:r>
            <w:r>
              <w:rPr>
                <w:rFonts w:hint="eastAsia" w:ascii="宋体" w:hAnsi="宋体" w:cs="宋体"/>
                <w:color w:val="000000" w:themeColor="text1"/>
                <w:sz w:val="24"/>
                <w:szCs w:val="24"/>
                <w:highlight w:val="none"/>
                <w:lang w:val="en-US" w:eastAsia="zh-CN"/>
                <w14:textFill>
                  <w14:solidFill>
                    <w14:schemeClr w14:val="tx1"/>
                  </w14:solidFill>
                </w14:textFill>
              </w:rPr>
              <w:t>1</w:t>
            </w:r>
            <w:r>
              <w:rPr>
                <w:rFonts w:hint="eastAsia" w:ascii="宋体" w:hAnsi="宋体" w:cs="宋体"/>
                <w:color w:val="000000" w:themeColor="text1"/>
                <w:sz w:val="24"/>
                <w:szCs w:val="24"/>
                <w:highlight w:val="none"/>
                <w:lang w:val="zh-CN"/>
                <w14:textFill>
                  <w14:solidFill>
                    <w14:schemeClr w14:val="tx1"/>
                  </w14:solidFill>
                </w14:textFill>
              </w:rPr>
              <w:t>.2</w:t>
            </w:r>
          </w:p>
        </w:tc>
        <w:tc>
          <w:tcPr>
            <w:tcW w:w="1669" w:type="dxa"/>
            <w:gridSpan w:val="4"/>
            <w:tcBorders>
              <w:top w:val="single" w:color="auto" w:sz="4" w:space="0"/>
              <w:left w:val="single" w:color="auto" w:sz="4" w:space="0"/>
              <w:bottom w:val="single" w:color="auto" w:sz="4" w:space="0"/>
            </w:tcBorders>
            <w:shd w:val="clear" w:color="auto" w:fill="FFFFFF"/>
            <w:vAlign w:val="center"/>
          </w:tcPr>
          <w:p w14:paraId="65199396">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首次响应文件递交地点</w:t>
            </w:r>
          </w:p>
        </w:tc>
        <w:tc>
          <w:tcPr>
            <w:tcW w:w="5795" w:type="dxa"/>
            <w:tcBorders>
              <w:top w:val="single" w:color="auto" w:sz="4" w:space="0"/>
              <w:left w:val="single" w:color="auto" w:sz="4" w:space="0"/>
              <w:bottom w:val="single" w:color="auto" w:sz="4" w:space="0"/>
              <w:right w:val="single" w:color="auto" w:sz="4" w:space="0"/>
            </w:tcBorders>
            <w:shd w:val="clear" w:color="auto" w:fill="FFFFFF"/>
            <w:vAlign w:val="center"/>
          </w:tcPr>
          <w:p w14:paraId="506D86B3">
            <w:pPr>
              <w:keepNext w:val="0"/>
              <w:keepLines w:val="0"/>
              <w:pageBreakBefore w:val="0"/>
              <w:kinsoku/>
              <w:wordWrap/>
              <w:overflowPunct/>
              <w:topLinePunct w:val="0"/>
              <w:autoSpaceDE w:val="0"/>
              <w:autoSpaceDN w:val="0"/>
              <w:bidi w:val="0"/>
              <w:adjustRightInd w:val="0"/>
              <w:snapToGrid/>
              <w:spacing w:line="400" w:lineRule="exact"/>
              <w:textAlignment w:val="auto"/>
              <w:rPr>
                <w:rFonts w:hint="eastAsia" w:ascii="宋体" w:hAnsi="宋体" w:eastAsia="宋体" w:cs="宋体"/>
                <w:b w:val="0"/>
                <w:bCs w:val="0"/>
                <w:color w:val="000000" w:themeColor="text1"/>
                <w:kern w:val="15"/>
                <w:sz w:val="24"/>
                <w:szCs w:val="24"/>
                <w:highlight w:val="none"/>
                <w:lang w:val="zh-CN" w:eastAsia="zh-CN"/>
                <w14:textFill>
                  <w14:solidFill>
                    <w14:schemeClr w14:val="tx1"/>
                  </w14:solidFill>
                </w14:textFill>
              </w:rPr>
            </w:pPr>
            <w:r>
              <w:rPr>
                <w:rFonts w:hint="eastAsia" w:ascii="宋体" w:hAnsi="宋体" w:eastAsia="宋体" w:cs="宋体"/>
                <w:b w:val="0"/>
                <w:bCs w:val="0"/>
                <w:color w:val="000000" w:themeColor="text1"/>
                <w:kern w:val="15"/>
                <w:sz w:val="24"/>
                <w:szCs w:val="24"/>
                <w:highlight w:val="none"/>
                <w:lang w:val="zh-CN" w:eastAsia="zh-CN"/>
                <w14:textFill>
                  <w14:solidFill>
                    <w14:schemeClr w14:val="tx1"/>
                  </w14:solidFill>
                </w14:textFill>
              </w:rPr>
              <w:t>提交截止时间：202</w:t>
            </w:r>
            <w:r>
              <w:rPr>
                <w:rFonts w:hint="eastAsia" w:ascii="宋体" w:hAnsi="宋体" w:eastAsia="宋体" w:cs="宋体"/>
                <w:b w:val="0"/>
                <w:bCs w:val="0"/>
                <w:color w:val="000000" w:themeColor="text1"/>
                <w:kern w:val="15"/>
                <w:sz w:val="24"/>
                <w:szCs w:val="24"/>
                <w:highlight w:val="none"/>
                <w:lang w:val="en-US" w:eastAsia="zh-CN"/>
                <w14:textFill>
                  <w14:solidFill>
                    <w14:schemeClr w14:val="tx1"/>
                  </w14:solidFill>
                </w14:textFill>
              </w:rPr>
              <w:t>5</w:t>
            </w:r>
            <w:r>
              <w:rPr>
                <w:rFonts w:hint="eastAsia" w:ascii="宋体" w:hAnsi="宋体" w:eastAsia="宋体" w:cs="宋体"/>
                <w:b w:val="0"/>
                <w:bCs w:val="0"/>
                <w:color w:val="000000" w:themeColor="text1"/>
                <w:kern w:val="15"/>
                <w:sz w:val="24"/>
                <w:szCs w:val="24"/>
                <w:highlight w:val="none"/>
                <w:lang w:val="zh-CN" w:eastAsia="zh-CN"/>
                <w14:textFill>
                  <w14:solidFill>
                    <w14:schemeClr w14:val="tx1"/>
                  </w14:solidFill>
                </w14:textFill>
              </w:rPr>
              <w:t>年</w:t>
            </w:r>
            <w:r>
              <w:rPr>
                <w:rFonts w:hint="eastAsia" w:ascii="宋体" w:hAnsi="宋体" w:cs="宋体"/>
                <w:b w:val="0"/>
                <w:bCs w:val="0"/>
                <w:color w:val="000000" w:themeColor="text1"/>
                <w:kern w:val="15"/>
                <w:sz w:val="24"/>
                <w:szCs w:val="24"/>
                <w:highlight w:val="none"/>
                <w:lang w:val="en-US" w:eastAsia="zh-CN"/>
                <w14:textFill>
                  <w14:solidFill>
                    <w14:schemeClr w14:val="tx1"/>
                  </w14:solidFill>
                </w14:textFill>
              </w:rPr>
              <w:t>4</w:t>
            </w:r>
            <w:r>
              <w:rPr>
                <w:rFonts w:hint="eastAsia" w:ascii="宋体" w:hAnsi="宋体" w:eastAsia="宋体" w:cs="宋体"/>
                <w:b w:val="0"/>
                <w:bCs w:val="0"/>
                <w:color w:val="000000" w:themeColor="text1"/>
                <w:kern w:val="15"/>
                <w:sz w:val="24"/>
                <w:szCs w:val="24"/>
                <w:highlight w:val="none"/>
                <w:lang w:val="zh-CN" w:eastAsia="zh-CN"/>
                <w14:textFill>
                  <w14:solidFill>
                    <w14:schemeClr w14:val="tx1"/>
                  </w14:solidFill>
                </w14:textFill>
              </w:rPr>
              <w:t>月</w:t>
            </w:r>
            <w:r>
              <w:rPr>
                <w:rFonts w:hint="eastAsia" w:ascii="宋体" w:hAnsi="宋体" w:cs="宋体"/>
                <w:b w:val="0"/>
                <w:bCs w:val="0"/>
                <w:color w:val="000000" w:themeColor="text1"/>
                <w:kern w:val="15"/>
                <w:sz w:val="24"/>
                <w:szCs w:val="24"/>
                <w:highlight w:val="none"/>
                <w:lang w:val="en-US" w:eastAsia="zh-CN"/>
                <w14:textFill>
                  <w14:solidFill>
                    <w14:schemeClr w14:val="tx1"/>
                  </w14:solidFill>
                </w14:textFill>
              </w:rPr>
              <w:t>18</w:t>
            </w:r>
            <w:r>
              <w:rPr>
                <w:rFonts w:hint="eastAsia" w:ascii="宋体" w:hAnsi="宋体" w:eastAsia="宋体" w:cs="宋体"/>
                <w:b w:val="0"/>
                <w:bCs w:val="0"/>
                <w:color w:val="000000" w:themeColor="text1"/>
                <w:kern w:val="15"/>
                <w:sz w:val="24"/>
                <w:szCs w:val="24"/>
                <w:highlight w:val="none"/>
                <w:lang w:val="zh-CN" w:eastAsia="zh-CN"/>
                <w14:textFill>
                  <w14:solidFill>
                    <w14:schemeClr w14:val="tx1"/>
                  </w14:solidFill>
                </w14:textFill>
              </w:rPr>
              <w:t>日，上午</w:t>
            </w:r>
            <w:r>
              <w:rPr>
                <w:rFonts w:hint="eastAsia" w:ascii="宋体" w:hAnsi="宋体" w:eastAsia="宋体" w:cs="宋体"/>
                <w:b w:val="0"/>
                <w:bCs w:val="0"/>
                <w:color w:val="000000" w:themeColor="text1"/>
                <w:kern w:val="15"/>
                <w:sz w:val="24"/>
                <w:szCs w:val="24"/>
                <w:highlight w:val="none"/>
                <w:lang w:val="en-US" w:eastAsia="zh-CN"/>
                <w14:textFill>
                  <w14:solidFill>
                    <w14:schemeClr w14:val="tx1"/>
                  </w14:solidFill>
                </w14:textFill>
              </w:rPr>
              <w:t>10</w:t>
            </w:r>
            <w:r>
              <w:rPr>
                <w:rFonts w:hint="eastAsia" w:ascii="宋体" w:hAnsi="宋体" w:eastAsia="宋体" w:cs="宋体"/>
                <w:b w:val="0"/>
                <w:bCs w:val="0"/>
                <w:color w:val="000000" w:themeColor="text1"/>
                <w:kern w:val="15"/>
                <w:sz w:val="24"/>
                <w:szCs w:val="24"/>
                <w:highlight w:val="none"/>
                <w:lang w:val="zh-CN" w:eastAsia="zh-CN"/>
                <w14:textFill>
                  <w14:solidFill>
                    <w14:schemeClr w14:val="tx1"/>
                  </w14:solidFill>
                </w14:textFill>
              </w:rPr>
              <w:t>时</w:t>
            </w:r>
            <w:r>
              <w:rPr>
                <w:rFonts w:hint="eastAsia" w:ascii="宋体" w:hAnsi="宋体" w:eastAsia="宋体" w:cs="宋体"/>
                <w:b w:val="0"/>
                <w:bCs w:val="0"/>
                <w:color w:val="000000" w:themeColor="text1"/>
                <w:kern w:val="15"/>
                <w:sz w:val="24"/>
                <w:szCs w:val="24"/>
                <w:highlight w:val="none"/>
                <w:lang w:val="en-US" w:eastAsia="zh-CN"/>
                <w14:textFill>
                  <w14:solidFill>
                    <w14:schemeClr w14:val="tx1"/>
                  </w14:solidFill>
                </w14:textFill>
              </w:rPr>
              <w:t>00</w:t>
            </w:r>
            <w:r>
              <w:rPr>
                <w:rFonts w:hint="eastAsia" w:ascii="宋体" w:hAnsi="宋体" w:eastAsia="宋体" w:cs="宋体"/>
                <w:b w:val="0"/>
                <w:bCs w:val="0"/>
                <w:color w:val="000000" w:themeColor="text1"/>
                <w:kern w:val="15"/>
                <w:sz w:val="24"/>
                <w:szCs w:val="24"/>
                <w:highlight w:val="none"/>
                <w:lang w:val="zh-CN" w:eastAsia="zh-CN"/>
                <w14:textFill>
                  <w14:solidFill>
                    <w14:schemeClr w14:val="tx1"/>
                  </w14:solidFill>
                </w14:textFill>
              </w:rPr>
              <w:t>分（北京时间）</w:t>
            </w:r>
          </w:p>
          <w:p w14:paraId="62E35A36">
            <w:pPr>
              <w:keepNext w:val="0"/>
              <w:keepLines w:val="0"/>
              <w:pageBreakBefore w:val="0"/>
              <w:kinsoku/>
              <w:wordWrap/>
              <w:overflowPunct/>
              <w:topLinePunct w:val="0"/>
              <w:autoSpaceDE w:val="0"/>
              <w:autoSpaceDN w:val="0"/>
              <w:bidi w:val="0"/>
              <w:adjustRightInd w:val="0"/>
              <w:snapToGrid/>
              <w:spacing w:line="400" w:lineRule="exact"/>
              <w:textAlignment w:val="auto"/>
              <w:rPr>
                <w:rFonts w:hint="eastAsia" w:ascii="宋体" w:hAnsi="宋体" w:eastAsia="宋体" w:cs="宋体"/>
                <w:b w:val="0"/>
                <w:bCs w:val="0"/>
                <w:color w:val="000000" w:themeColor="text1"/>
                <w:kern w:val="15"/>
                <w:sz w:val="24"/>
                <w:szCs w:val="24"/>
                <w:highlight w:val="none"/>
                <w:lang w:val="zh-CN" w:eastAsia="zh-CN"/>
                <w14:textFill>
                  <w14:solidFill>
                    <w14:schemeClr w14:val="tx1"/>
                  </w14:solidFill>
                </w14:textFill>
              </w:rPr>
            </w:pPr>
            <w:r>
              <w:rPr>
                <w:rFonts w:hint="eastAsia" w:ascii="宋体" w:hAnsi="宋体" w:eastAsia="宋体" w:cs="宋体"/>
                <w:b w:val="0"/>
                <w:bCs w:val="0"/>
                <w:color w:val="000000" w:themeColor="text1"/>
                <w:kern w:val="15"/>
                <w:sz w:val="24"/>
                <w:szCs w:val="24"/>
                <w:highlight w:val="none"/>
                <w:lang w:val="zh-CN" w:eastAsia="zh-CN"/>
                <w14:textFill>
                  <w14:solidFill>
                    <w14:schemeClr w14:val="tx1"/>
                  </w14:solidFill>
                </w14:textFill>
              </w:rPr>
              <w:t>本项目为全流程电子化招投标项目，投标人应在投标文件递交截止时间前通过“政采云”平台（http：//www.zcygov.cn）上传电子投标文件；逾期上传的电子投标文件，电子招标投标交易平台将予以拒收。</w:t>
            </w:r>
          </w:p>
          <w:p w14:paraId="2F6879E9">
            <w:pPr>
              <w:keepNext w:val="0"/>
              <w:keepLines w:val="0"/>
              <w:pageBreakBefore w:val="0"/>
              <w:kinsoku/>
              <w:wordWrap/>
              <w:overflowPunct/>
              <w:topLinePunct w:val="0"/>
              <w:autoSpaceDE w:val="0"/>
              <w:autoSpaceDN w:val="0"/>
              <w:bidi w:val="0"/>
              <w:adjustRightInd w:val="0"/>
              <w:snapToGrid/>
              <w:spacing w:line="400" w:lineRule="exact"/>
              <w:textAlignment w:val="auto"/>
              <w:rPr>
                <w:rFonts w:hint="eastAsia"/>
                <w:highlight w:val="none"/>
                <w:lang w:val="zh-CN" w:eastAsia="zh-CN"/>
              </w:rPr>
            </w:pPr>
            <w:r>
              <w:rPr>
                <w:rFonts w:hint="eastAsia" w:ascii="宋体" w:hAnsi="宋体" w:eastAsia="宋体" w:cs="宋体"/>
                <w:b w:val="0"/>
                <w:bCs w:val="0"/>
                <w:color w:val="000000" w:themeColor="text1"/>
                <w:kern w:val="15"/>
                <w:sz w:val="24"/>
                <w:szCs w:val="24"/>
                <w:highlight w:val="none"/>
                <w:lang w:val="en-US" w:eastAsia="zh-CN"/>
                <w14:textFill>
                  <w14:solidFill>
                    <w14:schemeClr w14:val="tx1"/>
                  </w14:solidFill>
                </w14:textFill>
              </w:rPr>
              <w:t>注：1.</w:t>
            </w:r>
            <w:r>
              <w:rPr>
                <w:rFonts w:hint="eastAsia" w:ascii="宋体" w:hAnsi="宋体" w:eastAsia="宋体" w:cs="宋体"/>
                <w:b w:val="0"/>
                <w:bCs w:val="0"/>
                <w:color w:val="000000" w:themeColor="text1"/>
                <w:kern w:val="15"/>
                <w:sz w:val="24"/>
                <w:szCs w:val="24"/>
                <w:highlight w:val="none"/>
                <w:lang w:val="zh-CN" w:eastAsia="zh-CN"/>
                <w14:textFill>
                  <w14:solidFill>
                    <w14:schemeClr w14:val="tx1"/>
                  </w14:solidFill>
                </w14:textFill>
              </w:rPr>
              <w:t>“政采云”平台（http：//www.zcygov.cn）支持投标文件远程解密，解密方式：投标文件递交截止时间后30分钟内完成解密工作，投标人持制作该电子投标文件的同一数字证书（CA企业锁）登录，进入“开标远程解密”菜单选择对应的项目的投标文件进行远程解密（各投标人开标前及网上开评标系统公布投标人名单前，不要提前进行远程解密）。投标人由于数字证书遗失、损坏、更换、续期等自身原因未能成功解密的，视为逾期未提交投标文件，其投标无效。</w:t>
            </w:r>
          </w:p>
        </w:tc>
      </w:tr>
      <w:tr w14:paraId="38CB1BFA">
        <w:tblPrEx>
          <w:tblCellMar>
            <w:top w:w="0" w:type="dxa"/>
            <w:left w:w="10" w:type="dxa"/>
            <w:bottom w:w="0" w:type="dxa"/>
            <w:right w:w="10" w:type="dxa"/>
          </w:tblCellMar>
        </w:tblPrEx>
        <w:trPr>
          <w:trHeight w:val="906" w:hRule="exact"/>
          <w:jc w:val="center"/>
        </w:trPr>
        <w:tc>
          <w:tcPr>
            <w:tcW w:w="878" w:type="dxa"/>
            <w:gridSpan w:val="2"/>
            <w:tcBorders>
              <w:top w:val="single" w:color="auto" w:sz="4" w:space="0"/>
              <w:left w:val="single" w:color="auto" w:sz="4" w:space="0"/>
              <w:bottom w:val="single" w:color="auto" w:sz="4" w:space="0"/>
            </w:tcBorders>
            <w:shd w:val="clear" w:color="auto" w:fill="FFFFFF"/>
            <w:vAlign w:val="center"/>
          </w:tcPr>
          <w:p w14:paraId="1905DAA2">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lang w:eastAsia="en-US"/>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4.</w:t>
            </w:r>
            <w:r>
              <w:rPr>
                <w:rFonts w:hint="eastAsia" w:ascii="宋体" w:hAnsi="宋体" w:cs="宋体"/>
                <w:color w:val="000000" w:themeColor="text1"/>
                <w:sz w:val="24"/>
                <w:szCs w:val="24"/>
                <w:highlight w:val="none"/>
                <w:lang w:val="en-US" w:eastAsia="zh-CN"/>
                <w14:textFill>
                  <w14:solidFill>
                    <w14:schemeClr w14:val="tx1"/>
                  </w14:solidFill>
                </w14:textFill>
              </w:rPr>
              <w:t>1</w:t>
            </w:r>
            <w:r>
              <w:rPr>
                <w:rFonts w:hint="eastAsia" w:ascii="宋体" w:hAnsi="宋体" w:cs="宋体"/>
                <w:color w:val="000000" w:themeColor="text1"/>
                <w:sz w:val="24"/>
                <w:szCs w:val="24"/>
                <w:highlight w:val="none"/>
                <w:lang w:val="zh-CN"/>
                <w14:textFill>
                  <w14:solidFill>
                    <w14:schemeClr w14:val="tx1"/>
                  </w14:solidFill>
                </w14:textFill>
              </w:rPr>
              <w:t>.3</w:t>
            </w:r>
          </w:p>
        </w:tc>
        <w:tc>
          <w:tcPr>
            <w:tcW w:w="1655" w:type="dxa"/>
            <w:gridSpan w:val="2"/>
            <w:tcBorders>
              <w:top w:val="single" w:color="auto" w:sz="4" w:space="0"/>
              <w:left w:val="single" w:color="auto" w:sz="4" w:space="0"/>
              <w:bottom w:val="single" w:color="auto" w:sz="4" w:space="0"/>
            </w:tcBorders>
            <w:shd w:val="clear" w:color="auto" w:fill="FFFFFF"/>
            <w:vAlign w:val="center"/>
          </w:tcPr>
          <w:p w14:paraId="3B7257BE">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是否退还响应文件</w:t>
            </w:r>
          </w:p>
        </w:tc>
        <w:tc>
          <w:tcPr>
            <w:tcW w:w="5833"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14:paraId="32AABD68">
            <w:pPr>
              <w:keepNext w:val="0"/>
              <w:keepLines w:val="0"/>
              <w:pageBreakBefore w:val="0"/>
              <w:widowControl w:val="0"/>
              <w:kinsoku/>
              <w:wordWrap/>
              <w:overflowPunct/>
              <w:topLinePunct w:val="0"/>
              <w:bidi w:val="0"/>
              <w:snapToGrid/>
              <w:spacing w:line="400" w:lineRule="exact"/>
              <w:jc w:val="both"/>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 否</w:t>
            </w:r>
          </w:p>
          <w:p w14:paraId="0B387CDD">
            <w:pPr>
              <w:keepNext w:val="0"/>
              <w:keepLines w:val="0"/>
              <w:pageBreakBefore w:val="0"/>
              <w:widowControl w:val="0"/>
              <w:kinsoku/>
              <w:wordWrap/>
              <w:overflowPunct/>
              <w:topLinePunct w:val="0"/>
              <w:bidi w:val="0"/>
              <w:snapToGrid/>
              <w:spacing w:line="400" w:lineRule="exact"/>
              <w:jc w:val="both"/>
              <w:textAlignment w:val="auto"/>
              <w:rPr>
                <w:rFonts w:hint="eastAsia" w:ascii="宋体" w:hAnsi="宋体" w:eastAsia="宋体" w:cs="宋体"/>
                <w:color w:val="000000" w:themeColor="text1"/>
                <w:sz w:val="24"/>
                <w:szCs w:val="24"/>
                <w:highlight w:val="lightGray"/>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 是</w:t>
            </w:r>
          </w:p>
        </w:tc>
      </w:tr>
      <w:tr w14:paraId="7D0F4937">
        <w:tblPrEx>
          <w:tblCellMar>
            <w:top w:w="0" w:type="dxa"/>
            <w:left w:w="10" w:type="dxa"/>
            <w:bottom w:w="0" w:type="dxa"/>
            <w:right w:w="10" w:type="dxa"/>
          </w:tblCellMar>
        </w:tblPrEx>
        <w:trPr>
          <w:trHeight w:val="1056" w:hRule="exact"/>
          <w:jc w:val="center"/>
        </w:trPr>
        <w:tc>
          <w:tcPr>
            <w:tcW w:w="878" w:type="dxa"/>
            <w:gridSpan w:val="2"/>
            <w:tcBorders>
              <w:top w:val="single" w:color="auto" w:sz="4" w:space="0"/>
              <w:left w:val="single" w:color="auto" w:sz="4" w:space="0"/>
              <w:bottom w:val="single" w:color="auto" w:sz="4" w:space="0"/>
            </w:tcBorders>
            <w:shd w:val="clear" w:color="auto" w:fill="FFFFFF"/>
            <w:vAlign w:val="center"/>
          </w:tcPr>
          <w:p w14:paraId="12C9AD6E">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5.2</w:t>
            </w:r>
          </w:p>
        </w:tc>
        <w:tc>
          <w:tcPr>
            <w:tcW w:w="1655" w:type="dxa"/>
            <w:gridSpan w:val="2"/>
            <w:tcBorders>
              <w:top w:val="single" w:color="auto" w:sz="4" w:space="0"/>
              <w:left w:val="single" w:color="auto" w:sz="4" w:space="0"/>
              <w:bottom w:val="single" w:color="auto" w:sz="4" w:space="0"/>
            </w:tcBorders>
            <w:shd w:val="clear" w:color="auto" w:fill="FFFFFF"/>
            <w:vAlign w:val="center"/>
          </w:tcPr>
          <w:p w14:paraId="08B077A6">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磋商程序</w:t>
            </w:r>
          </w:p>
        </w:tc>
        <w:tc>
          <w:tcPr>
            <w:tcW w:w="5833"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14:paraId="1F746290">
            <w:pPr>
              <w:keepNext w:val="0"/>
              <w:keepLines w:val="0"/>
              <w:pageBreakBefore w:val="0"/>
              <w:widowControl w:val="0"/>
              <w:kinsoku/>
              <w:wordWrap/>
              <w:overflowPunct/>
              <w:topLinePunct w:val="0"/>
              <w:bidi w:val="0"/>
              <w:snapToGrid/>
              <w:spacing w:line="400" w:lineRule="exact"/>
              <w:jc w:val="both"/>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以“政采云”平台（http：//www.zcygov.cn）系统排列顺序开标。</w:t>
            </w:r>
          </w:p>
        </w:tc>
      </w:tr>
      <w:tr w14:paraId="08323C4A">
        <w:tblPrEx>
          <w:tblCellMar>
            <w:top w:w="0" w:type="dxa"/>
            <w:left w:w="10" w:type="dxa"/>
            <w:bottom w:w="0" w:type="dxa"/>
            <w:right w:w="10" w:type="dxa"/>
          </w:tblCellMar>
        </w:tblPrEx>
        <w:trPr>
          <w:trHeight w:val="1416" w:hRule="exact"/>
          <w:jc w:val="center"/>
        </w:trPr>
        <w:tc>
          <w:tcPr>
            <w:tcW w:w="878" w:type="dxa"/>
            <w:gridSpan w:val="2"/>
            <w:tcBorders>
              <w:top w:val="single" w:color="auto" w:sz="4" w:space="0"/>
              <w:left w:val="single" w:color="auto" w:sz="4" w:space="0"/>
              <w:bottom w:val="single" w:color="auto" w:sz="4" w:space="0"/>
            </w:tcBorders>
            <w:shd w:val="clear" w:color="auto" w:fill="FFFFFF"/>
            <w:vAlign w:val="center"/>
          </w:tcPr>
          <w:p w14:paraId="41F22EC2">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eastAsia="en-US"/>
                <w14:textFill>
                  <w14:solidFill>
                    <w14:schemeClr w14:val="tx1"/>
                  </w14:solidFill>
                </w14:textFill>
              </w:rPr>
              <w:t>6.1.1</w:t>
            </w:r>
          </w:p>
        </w:tc>
        <w:tc>
          <w:tcPr>
            <w:tcW w:w="1655" w:type="dxa"/>
            <w:gridSpan w:val="2"/>
            <w:tcBorders>
              <w:top w:val="single" w:color="auto" w:sz="4" w:space="0"/>
              <w:left w:val="single" w:color="auto" w:sz="4" w:space="0"/>
              <w:bottom w:val="single" w:color="auto" w:sz="4" w:space="0"/>
            </w:tcBorders>
            <w:shd w:val="clear" w:color="auto" w:fill="FFFFFF"/>
            <w:vAlign w:val="center"/>
          </w:tcPr>
          <w:p w14:paraId="53EE4CB4">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磋商小组的组建</w:t>
            </w:r>
          </w:p>
        </w:tc>
        <w:tc>
          <w:tcPr>
            <w:tcW w:w="5833"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14:paraId="1889EDEC">
            <w:pPr>
              <w:keepNext w:val="0"/>
              <w:keepLines w:val="0"/>
              <w:pageBreakBefore w:val="0"/>
              <w:widowControl w:val="0"/>
              <w:kinsoku/>
              <w:wordWrap/>
              <w:overflowPunct/>
              <w:topLinePunct w:val="0"/>
              <w:bidi w:val="0"/>
              <w:snapToGrid/>
              <w:spacing w:line="400" w:lineRule="exact"/>
              <w:jc w:val="both"/>
              <w:textAlignment w:val="auto"/>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磋商小组成员构成：3人，采购人代表</w:t>
            </w:r>
            <w:r>
              <w:rPr>
                <w:rFonts w:hint="eastAsia" w:ascii="宋体" w:hAnsi="宋体" w:cs="宋体"/>
                <w:color w:val="000000" w:themeColor="text1"/>
                <w:sz w:val="24"/>
                <w:szCs w:val="24"/>
                <w:highlight w:val="none"/>
                <w:lang w:val="en-US" w:eastAsia="zh-CN"/>
                <w14:textFill>
                  <w14:solidFill>
                    <w14:schemeClr w14:val="tx1"/>
                  </w14:solidFill>
                </w14:textFill>
              </w:rPr>
              <w:t>0</w:t>
            </w:r>
            <w:r>
              <w:rPr>
                <w:rFonts w:hint="eastAsia" w:ascii="宋体" w:hAnsi="宋体" w:cs="宋体"/>
                <w:color w:val="000000" w:themeColor="text1"/>
                <w:sz w:val="24"/>
                <w:szCs w:val="24"/>
                <w:highlight w:val="none"/>
                <w14:textFill>
                  <w14:solidFill>
                    <w14:schemeClr w14:val="tx1"/>
                  </w14:solidFill>
                </w14:textFill>
              </w:rPr>
              <w:t>人，外聘专家</w:t>
            </w: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cs="宋体"/>
                <w:color w:val="000000" w:themeColor="text1"/>
                <w:sz w:val="24"/>
                <w:szCs w:val="24"/>
                <w:highlight w:val="none"/>
                <w14:textFill>
                  <w14:solidFill>
                    <w14:schemeClr w14:val="tx1"/>
                  </w14:solidFill>
                </w14:textFill>
              </w:rPr>
              <w:t>人</w:t>
            </w:r>
            <w:bookmarkStart w:id="313" w:name="_GoBack"/>
            <w:bookmarkEnd w:id="313"/>
            <w:r>
              <w:rPr>
                <w:rFonts w:hint="eastAsia" w:ascii="宋体" w:hAnsi="宋体" w:cs="宋体"/>
                <w:color w:val="000000" w:themeColor="text1"/>
                <w:sz w:val="24"/>
                <w:szCs w:val="24"/>
                <w:highlight w:val="none"/>
                <w14:textFill>
                  <w14:solidFill>
                    <w14:schemeClr w14:val="tx1"/>
                  </w14:solidFill>
                </w14:textFill>
              </w:rPr>
              <w:t>；磋商专家确定方式：外聘专家依法从评审专家库中随机抽聘。</w:t>
            </w:r>
          </w:p>
        </w:tc>
      </w:tr>
      <w:tr w14:paraId="79622D14">
        <w:tblPrEx>
          <w:tblCellMar>
            <w:top w:w="0" w:type="dxa"/>
            <w:left w:w="10" w:type="dxa"/>
            <w:bottom w:w="0" w:type="dxa"/>
            <w:right w:w="10" w:type="dxa"/>
          </w:tblCellMar>
        </w:tblPrEx>
        <w:trPr>
          <w:trHeight w:val="1266" w:hRule="exact"/>
          <w:jc w:val="center"/>
        </w:trPr>
        <w:tc>
          <w:tcPr>
            <w:tcW w:w="878" w:type="dxa"/>
            <w:gridSpan w:val="2"/>
            <w:tcBorders>
              <w:top w:val="single" w:color="auto" w:sz="4" w:space="0"/>
              <w:left w:val="single" w:color="auto" w:sz="4" w:space="0"/>
              <w:bottom w:val="single" w:color="auto" w:sz="4" w:space="0"/>
            </w:tcBorders>
            <w:shd w:val="clear" w:color="auto" w:fill="FFFFFF"/>
            <w:vAlign w:val="center"/>
          </w:tcPr>
          <w:p w14:paraId="018F61CD">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lang w:eastAsia="en-US"/>
                <w14:textFill>
                  <w14:solidFill>
                    <w14:schemeClr w14:val="tx1"/>
                  </w14:solidFill>
                </w14:textFill>
              </w:rPr>
            </w:pPr>
            <w:r>
              <w:rPr>
                <w:rFonts w:hint="eastAsia" w:ascii="宋体" w:hAnsi="宋体" w:cs="宋体"/>
                <w:color w:val="000000" w:themeColor="text1"/>
                <w:sz w:val="24"/>
                <w:szCs w:val="24"/>
                <w:highlight w:val="none"/>
                <w:lang w:eastAsia="en-US"/>
                <w14:textFill>
                  <w14:solidFill>
                    <w14:schemeClr w14:val="tx1"/>
                  </w14:solidFill>
                </w14:textFill>
              </w:rPr>
              <w:t>7.</w:t>
            </w:r>
            <w:r>
              <w:rPr>
                <w:rFonts w:hint="eastAsia" w:ascii="宋体" w:hAnsi="宋体" w:cs="宋体"/>
                <w:color w:val="000000" w:themeColor="text1"/>
                <w:sz w:val="24"/>
                <w:szCs w:val="24"/>
                <w:highlight w:val="none"/>
                <w14:textFill>
                  <w14:solidFill>
                    <w14:schemeClr w14:val="tx1"/>
                  </w14:solidFill>
                </w14:textFill>
              </w:rPr>
              <w:t>1</w:t>
            </w:r>
          </w:p>
        </w:tc>
        <w:tc>
          <w:tcPr>
            <w:tcW w:w="1655" w:type="dxa"/>
            <w:gridSpan w:val="2"/>
            <w:tcBorders>
              <w:top w:val="single" w:color="auto" w:sz="4" w:space="0"/>
              <w:left w:val="single" w:color="auto" w:sz="4" w:space="0"/>
              <w:bottom w:val="single" w:color="auto" w:sz="4" w:space="0"/>
            </w:tcBorders>
            <w:shd w:val="clear" w:color="auto" w:fill="FFFFFF"/>
            <w:vAlign w:val="center"/>
          </w:tcPr>
          <w:p w14:paraId="73D8648D">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是否授权磋商小组确定成交供应商</w:t>
            </w:r>
          </w:p>
        </w:tc>
        <w:tc>
          <w:tcPr>
            <w:tcW w:w="5833"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14:paraId="2F307E6A">
            <w:pPr>
              <w:keepNext w:val="0"/>
              <w:keepLines w:val="0"/>
              <w:pageBreakBefore w:val="0"/>
              <w:widowControl w:val="0"/>
              <w:kinsoku/>
              <w:wordWrap/>
              <w:overflowPunct/>
              <w:topLinePunct w:val="0"/>
              <w:bidi w:val="0"/>
              <w:snapToGrid/>
              <w:spacing w:line="400" w:lineRule="exact"/>
              <w:jc w:val="both"/>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 是</w:t>
            </w:r>
          </w:p>
          <w:p w14:paraId="179D13CE">
            <w:pPr>
              <w:keepNext w:val="0"/>
              <w:keepLines w:val="0"/>
              <w:pageBreakBefore w:val="0"/>
              <w:widowControl w:val="0"/>
              <w:kinsoku/>
              <w:wordWrap/>
              <w:overflowPunct/>
              <w:topLinePunct w:val="0"/>
              <w:bidi w:val="0"/>
              <w:snapToGrid/>
              <w:spacing w:line="400" w:lineRule="exact"/>
              <w:jc w:val="both"/>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 否,推荐的成交候选供应商数：</w:t>
            </w:r>
          </w:p>
        </w:tc>
      </w:tr>
      <w:tr w14:paraId="2E286F52">
        <w:tblPrEx>
          <w:tblCellMar>
            <w:top w:w="0" w:type="dxa"/>
            <w:left w:w="10" w:type="dxa"/>
            <w:bottom w:w="0" w:type="dxa"/>
            <w:right w:w="10" w:type="dxa"/>
          </w:tblCellMar>
        </w:tblPrEx>
        <w:trPr>
          <w:trHeight w:val="1101" w:hRule="exact"/>
          <w:jc w:val="center"/>
        </w:trPr>
        <w:tc>
          <w:tcPr>
            <w:tcW w:w="878" w:type="dxa"/>
            <w:gridSpan w:val="2"/>
            <w:tcBorders>
              <w:top w:val="single" w:color="auto" w:sz="4" w:space="0"/>
              <w:left w:val="single" w:color="auto" w:sz="4" w:space="0"/>
              <w:bottom w:val="single" w:color="auto" w:sz="4" w:space="0"/>
            </w:tcBorders>
            <w:shd w:val="clear" w:color="auto" w:fill="FFFFFF"/>
            <w:vAlign w:val="center"/>
          </w:tcPr>
          <w:p w14:paraId="13A46409">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lang w:eastAsia="en-US"/>
                <w14:textFill>
                  <w14:solidFill>
                    <w14:schemeClr w14:val="tx1"/>
                  </w14:solidFill>
                </w14:textFill>
              </w:rPr>
            </w:pPr>
            <w:r>
              <w:rPr>
                <w:rFonts w:hint="eastAsia" w:ascii="宋体" w:hAnsi="宋体" w:cs="宋体"/>
                <w:color w:val="000000" w:themeColor="text1"/>
                <w:sz w:val="24"/>
                <w:szCs w:val="24"/>
                <w:highlight w:val="none"/>
                <w:lang w:eastAsia="en-US"/>
                <w14:textFill>
                  <w14:solidFill>
                    <w14:schemeClr w14:val="tx1"/>
                  </w14:solidFill>
                </w14:textFill>
              </w:rPr>
              <w:t>7.3.1</w:t>
            </w:r>
          </w:p>
        </w:tc>
        <w:tc>
          <w:tcPr>
            <w:tcW w:w="1655" w:type="dxa"/>
            <w:gridSpan w:val="2"/>
            <w:tcBorders>
              <w:top w:val="single" w:color="auto" w:sz="4" w:space="0"/>
              <w:left w:val="single" w:color="auto" w:sz="4" w:space="0"/>
              <w:bottom w:val="single" w:color="auto" w:sz="4" w:space="0"/>
            </w:tcBorders>
            <w:shd w:val="clear" w:color="auto" w:fill="FFFFFF"/>
            <w:vAlign w:val="center"/>
          </w:tcPr>
          <w:p w14:paraId="6F8F1017">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履约担保</w:t>
            </w:r>
          </w:p>
        </w:tc>
        <w:tc>
          <w:tcPr>
            <w:tcW w:w="5833"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14:paraId="791D4BD0">
            <w:pPr>
              <w:keepNext w:val="0"/>
              <w:keepLines w:val="0"/>
              <w:pageBreakBefore w:val="0"/>
              <w:widowControl w:val="0"/>
              <w:kinsoku/>
              <w:wordWrap/>
              <w:overflowPunct/>
              <w:topLinePunct w:val="0"/>
              <w:bidi w:val="0"/>
              <w:snapToGrid/>
              <w:spacing w:line="400" w:lineRule="exact"/>
              <w:jc w:val="both"/>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履约担保的形式：/</w:t>
            </w:r>
          </w:p>
          <w:p w14:paraId="2278AA37">
            <w:pPr>
              <w:keepNext w:val="0"/>
              <w:keepLines w:val="0"/>
              <w:pageBreakBefore w:val="0"/>
              <w:widowControl w:val="0"/>
              <w:kinsoku/>
              <w:wordWrap/>
              <w:overflowPunct/>
              <w:topLinePunct w:val="0"/>
              <w:bidi w:val="0"/>
              <w:snapToGrid/>
              <w:spacing w:line="400" w:lineRule="exact"/>
              <w:jc w:val="both"/>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履约担保的金额：/</w:t>
            </w:r>
          </w:p>
        </w:tc>
      </w:tr>
      <w:tr w14:paraId="7C82E6D4">
        <w:tblPrEx>
          <w:tblCellMar>
            <w:top w:w="0" w:type="dxa"/>
            <w:left w:w="10" w:type="dxa"/>
            <w:bottom w:w="0" w:type="dxa"/>
            <w:right w:w="10" w:type="dxa"/>
          </w:tblCellMar>
        </w:tblPrEx>
        <w:trPr>
          <w:trHeight w:val="781" w:hRule="exact"/>
          <w:jc w:val="center"/>
        </w:trPr>
        <w:tc>
          <w:tcPr>
            <w:tcW w:w="878" w:type="dxa"/>
            <w:gridSpan w:val="2"/>
            <w:tcBorders>
              <w:top w:val="single" w:color="auto" w:sz="4" w:space="0"/>
              <w:left w:val="single" w:color="auto" w:sz="4" w:space="0"/>
              <w:bottom w:val="single" w:color="auto" w:sz="4" w:space="0"/>
            </w:tcBorders>
            <w:shd w:val="clear" w:color="auto" w:fill="FFFFFF"/>
            <w:vAlign w:val="center"/>
          </w:tcPr>
          <w:p w14:paraId="48136DCA">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lang w:eastAsia="en-US"/>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10</w:t>
            </w:r>
          </w:p>
        </w:tc>
        <w:tc>
          <w:tcPr>
            <w:tcW w:w="7488"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14:paraId="38293921">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需要补充的其他内容</w:t>
            </w:r>
          </w:p>
        </w:tc>
      </w:tr>
      <w:tr w14:paraId="63C9B40D">
        <w:tblPrEx>
          <w:tblCellMar>
            <w:top w:w="0" w:type="dxa"/>
            <w:left w:w="10" w:type="dxa"/>
            <w:bottom w:w="0" w:type="dxa"/>
            <w:right w:w="10" w:type="dxa"/>
          </w:tblCellMar>
        </w:tblPrEx>
        <w:trPr>
          <w:trHeight w:val="1301" w:hRule="exact"/>
          <w:jc w:val="center"/>
        </w:trPr>
        <w:tc>
          <w:tcPr>
            <w:tcW w:w="878" w:type="dxa"/>
            <w:gridSpan w:val="2"/>
            <w:tcBorders>
              <w:top w:val="single" w:color="auto" w:sz="4" w:space="0"/>
              <w:left w:val="single" w:color="auto" w:sz="4" w:space="0"/>
              <w:bottom w:val="single" w:color="auto" w:sz="4" w:space="0"/>
            </w:tcBorders>
            <w:shd w:val="clear" w:color="auto" w:fill="FFFFFF"/>
            <w:vAlign w:val="center"/>
          </w:tcPr>
          <w:p w14:paraId="4F9281F5">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lang w:eastAsia="en-US"/>
                <w14:textFill>
                  <w14:solidFill>
                    <w14:schemeClr w14:val="tx1"/>
                  </w14:solidFill>
                </w14:textFill>
              </w:rPr>
            </w:pPr>
            <w:r>
              <w:rPr>
                <w:rFonts w:hint="eastAsia" w:ascii="宋体" w:hAnsi="宋体" w:cs="宋体"/>
                <w:color w:val="000000" w:themeColor="text1"/>
                <w:sz w:val="24"/>
                <w:szCs w:val="24"/>
                <w:highlight w:val="none"/>
                <w:lang w:eastAsia="en-US"/>
                <w14:textFill>
                  <w14:solidFill>
                    <w14:schemeClr w14:val="tx1"/>
                  </w14:solidFill>
                </w14:textFill>
              </w:rPr>
              <w:t>10.1</w:t>
            </w:r>
          </w:p>
        </w:tc>
        <w:tc>
          <w:tcPr>
            <w:tcW w:w="1636" w:type="dxa"/>
            <w:tcBorders>
              <w:top w:val="single" w:color="auto" w:sz="4" w:space="0"/>
              <w:left w:val="single" w:color="auto" w:sz="4" w:space="0"/>
              <w:bottom w:val="single" w:color="auto" w:sz="4" w:space="0"/>
              <w:right w:val="single" w:color="auto" w:sz="4" w:space="0"/>
            </w:tcBorders>
            <w:shd w:val="clear" w:color="auto" w:fill="FFFFFF"/>
            <w:vAlign w:val="center"/>
          </w:tcPr>
          <w:p w14:paraId="5D0D72EC">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最高限价</w:t>
            </w:r>
          </w:p>
          <w:p w14:paraId="40551973">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（人民币）</w:t>
            </w:r>
          </w:p>
        </w:tc>
        <w:tc>
          <w:tcPr>
            <w:tcW w:w="5852"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14:paraId="2171711D">
            <w:pPr>
              <w:keepNext w:val="0"/>
              <w:keepLines w:val="0"/>
              <w:pageBreakBefore w:val="0"/>
              <w:widowControl w:val="0"/>
              <w:kinsoku/>
              <w:wordWrap/>
              <w:overflowPunct/>
              <w:topLinePunct w:val="0"/>
              <w:bidi w:val="0"/>
              <w:snapToGrid/>
              <w:spacing w:line="400" w:lineRule="exact"/>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人民币900,000.00元</w:t>
            </w:r>
            <w:r>
              <w:rPr>
                <w:rFonts w:hint="eastAsia" w:ascii="宋体" w:hAnsi="宋体" w:cs="宋体"/>
                <w:color w:val="000000" w:themeColor="text1"/>
                <w:sz w:val="24"/>
                <w:szCs w:val="24"/>
                <w:highlight w:val="none"/>
                <w14:textFill>
                  <w14:solidFill>
                    <w14:schemeClr w14:val="tx1"/>
                  </w14:solidFill>
                </w14:textFill>
              </w:rPr>
              <w:t>。磋商报价不得超过本</w:t>
            </w:r>
            <w:r>
              <w:rPr>
                <w:rFonts w:hint="eastAsia" w:ascii="宋体" w:hAnsi="宋体" w:cs="宋体"/>
                <w:color w:val="000000" w:themeColor="text1"/>
                <w:sz w:val="24"/>
                <w:szCs w:val="24"/>
                <w:highlight w:val="none"/>
                <w:lang w:eastAsia="zh-CN"/>
                <w14:textFill>
                  <w14:solidFill>
                    <w14:schemeClr w14:val="tx1"/>
                  </w14:solidFill>
                </w14:textFill>
              </w:rPr>
              <w:t>最高限价</w:t>
            </w:r>
            <w:r>
              <w:rPr>
                <w:rFonts w:hint="eastAsia" w:ascii="宋体" w:hAnsi="宋体" w:cs="宋体"/>
                <w:color w:val="000000" w:themeColor="text1"/>
                <w:sz w:val="24"/>
                <w:szCs w:val="24"/>
                <w:highlight w:val="none"/>
                <w14:textFill>
                  <w14:solidFill>
                    <w14:schemeClr w14:val="tx1"/>
                  </w14:solidFill>
                </w14:textFill>
              </w:rPr>
              <w:t>（含首轮报价及二次报价）</w:t>
            </w:r>
          </w:p>
        </w:tc>
      </w:tr>
      <w:tr w14:paraId="4CDF7B3E">
        <w:tblPrEx>
          <w:tblCellMar>
            <w:top w:w="0" w:type="dxa"/>
            <w:left w:w="10" w:type="dxa"/>
            <w:bottom w:w="0" w:type="dxa"/>
            <w:right w:w="10" w:type="dxa"/>
          </w:tblCellMar>
        </w:tblPrEx>
        <w:trPr>
          <w:trHeight w:val="981" w:hRule="exact"/>
          <w:jc w:val="center"/>
        </w:trPr>
        <w:tc>
          <w:tcPr>
            <w:tcW w:w="878" w:type="dxa"/>
            <w:gridSpan w:val="2"/>
            <w:tcBorders>
              <w:top w:val="single" w:color="auto" w:sz="4" w:space="0"/>
              <w:left w:val="single" w:color="auto" w:sz="4" w:space="0"/>
              <w:bottom w:val="single" w:color="auto" w:sz="4" w:space="0"/>
            </w:tcBorders>
            <w:shd w:val="clear" w:color="auto" w:fill="FFFFFF"/>
            <w:vAlign w:val="center"/>
          </w:tcPr>
          <w:p w14:paraId="51E4115E">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lang w:eastAsia="en-US"/>
                <w14:textFill>
                  <w14:solidFill>
                    <w14:schemeClr w14:val="tx1"/>
                  </w14:solidFill>
                </w14:textFill>
              </w:rPr>
            </w:pPr>
            <w:r>
              <w:rPr>
                <w:rFonts w:hint="eastAsia" w:ascii="宋体" w:hAnsi="宋体" w:cs="宋体"/>
                <w:color w:val="000000" w:themeColor="text1"/>
                <w:sz w:val="24"/>
                <w:szCs w:val="24"/>
                <w:highlight w:val="none"/>
                <w:lang w:eastAsia="en-US"/>
                <w14:textFill>
                  <w14:solidFill>
                    <w14:schemeClr w14:val="tx1"/>
                  </w14:solidFill>
                </w14:textFill>
              </w:rPr>
              <w:t>10.2</w:t>
            </w:r>
          </w:p>
        </w:tc>
        <w:tc>
          <w:tcPr>
            <w:tcW w:w="1655"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14:paraId="4B6E8B48">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报价轮次</w:t>
            </w:r>
          </w:p>
        </w:tc>
        <w:tc>
          <w:tcPr>
            <w:tcW w:w="5833"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14:paraId="123D211F">
            <w:pPr>
              <w:keepNext w:val="0"/>
              <w:keepLines w:val="0"/>
              <w:pageBreakBefore w:val="0"/>
              <w:widowControl w:val="0"/>
              <w:kinsoku/>
              <w:wordWrap/>
              <w:overflowPunct/>
              <w:topLinePunct w:val="0"/>
              <w:bidi w:val="0"/>
              <w:snapToGrid/>
              <w:spacing w:line="400" w:lineRule="exact"/>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本次磋商共2轮报价（含首轮报价）</w:t>
            </w:r>
          </w:p>
        </w:tc>
      </w:tr>
      <w:tr w14:paraId="02528BE5">
        <w:tblPrEx>
          <w:tblCellMar>
            <w:top w:w="0" w:type="dxa"/>
            <w:left w:w="10" w:type="dxa"/>
            <w:bottom w:w="0" w:type="dxa"/>
            <w:right w:w="10" w:type="dxa"/>
          </w:tblCellMar>
        </w:tblPrEx>
        <w:trPr>
          <w:trHeight w:val="1496" w:hRule="exact"/>
          <w:jc w:val="center"/>
        </w:trPr>
        <w:tc>
          <w:tcPr>
            <w:tcW w:w="878" w:type="dxa"/>
            <w:gridSpan w:val="2"/>
            <w:tcBorders>
              <w:top w:val="single" w:color="auto" w:sz="4" w:space="0"/>
              <w:left w:val="single" w:color="auto" w:sz="4" w:space="0"/>
              <w:bottom w:val="single" w:color="auto" w:sz="4" w:space="0"/>
            </w:tcBorders>
            <w:shd w:val="clear" w:color="auto" w:fill="FFFFFF"/>
            <w:vAlign w:val="center"/>
          </w:tcPr>
          <w:p w14:paraId="1C37C39C">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lang w:eastAsia="en-US"/>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10.3</w:t>
            </w:r>
          </w:p>
        </w:tc>
        <w:tc>
          <w:tcPr>
            <w:tcW w:w="1655"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14:paraId="26D2F4D5">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第二轮报价</w:t>
            </w:r>
          </w:p>
        </w:tc>
        <w:tc>
          <w:tcPr>
            <w:tcW w:w="5833"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14:paraId="5FDA8E7A">
            <w:pPr>
              <w:keepNext w:val="0"/>
              <w:keepLines w:val="0"/>
              <w:pageBreakBefore w:val="0"/>
              <w:widowControl w:val="0"/>
              <w:kinsoku/>
              <w:wordWrap/>
              <w:overflowPunct/>
              <w:topLinePunct w:val="0"/>
              <w:bidi w:val="0"/>
              <w:snapToGrid/>
              <w:spacing w:line="400" w:lineRule="exact"/>
              <w:jc w:val="both"/>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b w:val="0"/>
                <w:bCs/>
                <w:color w:val="000000" w:themeColor="text1"/>
                <w:sz w:val="24"/>
                <w:szCs w:val="24"/>
                <w:highlight w:val="none"/>
                <w14:textFill>
                  <w14:solidFill>
                    <w14:schemeClr w14:val="tx1"/>
                  </w14:solidFill>
                </w14:textFill>
              </w:rPr>
              <w:t>第二轮磋商报价（最终报价表</w:t>
            </w:r>
            <w:r>
              <w:rPr>
                <w:rFonts w:hint="eastAsia" w:ascii="宋体" w:hAnsi="宋体"/>
                <w:b w:val="0"/>
                <w:bCs/>
                <w:color w:val="000000" w:themeColor="text1"/>
                <w:sz w:val="24"/>
                <w:szCs w:val="24"/>
                <w:highlight w:val="none"/>
                <w:lang w:val="en-US" w:eastAsia="zh-CN"/>
                <w14:textFill>
                  <w14:solidFill>
                    <w14:schemeClr w14:val="tx1"/>
                  </w14:solidFill>
                </w14:textFill>
              </w:rPr>
              <w:t>,</w:t>
            </w:r>
            <w:r>
              <w:rPr>
                <w:rFonts w:hint="eastAsia" w:ascii="宋体" w:hAnsi="宋体"/>
                <w:b w:val="0"/>
                <w:bCs/>
                <w:color w:val="000000" w:themeColor="text1"/>
                <w:sz w:val="24"/>
                <w:szCs w:val="24"/>
                <w:highlight w:val="none"/>
                <w14:textFill>
                  <w14:solidFill>
                    <w14:schemeClr w14:val="tx1"/>
                  </w14:solidFill>
                </w14:textFill>
              </w:rPr>
              <w:t>格式同第一轮报价），不附在首次响应文件内，单独手持，并在指定位置应事先签字加盖公章</w:t>
            </w:r>
            <w:r>
              <w:rPr>
                <w:rFonts w:hint="eastAsia" w:ascii="宋体" w:hAnsi="宋体"/>
                <w:b w:val="0"/>
                <w:bCs/>
                <w:color w:val="000000" w:themeColor="text1"/>
                <w:sz w:val="24"/>
                <w:szCs w:val="24"/>
                <w:highlight w:val="none"/>
                <w:lang w:eastAsia="zh-CN"/>
                <w14:textFill>
                  <w14:solidFill>
                    <w14:schemeClr w14:val="tx1"/>
                  </w14:solidFill>
                </w14:textFill>
              </w:rPr>
              <w:t>到现场填写。</w:t>
            </w:r>
          </w:p>
        </w:tc>
      </w:tr>
      <w:tr w14:paraId="2B99CC9C">
        <w:tblPrEx>
          <w:tblCellMar>
            <w:top w:w="0" w:type="dxa"/>
            <w:left w:w="10" w:type="dxa"/>
            <w:bottom w:w="0" w:type="dxa"/>
            <w:right w:w="10" w:type="dxa"/>
          </w:tblCellMar>
        </w:tblPrEx>
        <w:trPr>
          <w:trHeight w:val="1466" w:hRule="exact"/>
          <w:jc w:val="center"/>
        </w:trPr>
        <w:tc>
          <w:tcPr>
            <w:tcW w:w="878" w:type="dxa"/>
            <w:gridSpan w:val="2"/>
            <w:tcBorders>
              <w:top w:val="single" w:color="auto" w:sz="4" w:space="0"/>
              <w:left w:val="single" w:color="auto" w:sz="4" w:space="0"/>
              <w:bottom w:val="single" w:color="auto" w:sz="4" w:space="0"/>
            </w:tcBorders>
            <w:shd w:val="clear" w:color="auto" w:fill="FFFFFF"/>
            <w:vAlign w:val="center"/>
          </w:tcPr>
          <w:p w14:paraId="396CCBB1">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lang w:eastAsia="en-US"/>
                <w14:textFill>
                  <w14:solidFill>
                    <w14:schemeClr w14:val="tx1"/>
                  </w14:solidFill>
                </w14:textFill>
              </w:rPr>
            </w:pPr>
            <w:r>
              <w:rPr>
                <w:rFonts w:hint="eastAsia" w:ascii="宋体" w:hAnsi="宋体" w:cs="宋体"/>
                <w:color w:val="000000" w:themeColor="text1"/>
                <w:sz w:val="24"/>
                <w:szCs w:val="24"/>
                <w:highlight w:val="none"/>
                <w:lang w:eastAsia="en-US"/>
                <w14:textFill>
                  <w14:solidFill>
                    <w14:schemeClr w14:val="tx1"/>
                  </w14:solidFill>
                </w14:textFill>
              </w:rPr>
              <w:t>10.4</w:t>
            </w:r>
          </w:p>
        </w:tc>
        <w:tc>
          <w:tcPr>
            <w:tcW w:w="1655"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14:paraId="006BE164">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采购代理服务费</w:t>
            </w:r>
          </w:p>
        </w:tc>
        <w:tc>
          <w:tcPr>
            <w:tcW w:w="5833"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14:paraId="56DE829C">
            <w:pPr>
              <w:keepNext w:val="0"/>
              <w:keepLines w:val="0"/>
              <w:pageBreakBefore w:val="0"/>
              <w:widowControl w:val="0"/>
              <w:kinsoku/>
              <w:wordWrap/>
              <w:overflowPunct/>
              <w:topLinePunct w:val="0"/>
              <w:bidi w:val="0"/>
              <w:snapToGrid/>
              <w:spacing w:line="400" w:lineRule="exact"/>
              <w:jc w:val="both"/>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由成交供应商支付，成交供应商应在成交通知书发出时将本项目采购代理服务费一次性支付给采购代理机构。</w:t>
            </w:r>
            <w:r>
              <w:rPr>
                <w:rFonts w:hint="eastAsia" w:ascii="宋体" w:hAnsi="宋体" w:cs="宋体"/>
                <w:b/>
                <w:bCs/>
                <w:color w:val="000000" w:themeColor="text1"/>
                <w:sz w:val="24"/>
                <w:szCs w:val="24"/>
                <w:highlight w:val="none"/>
                <w14:textFill>
                  <w14:solidFill>
                    <w14:schemeClr w14:val="tx1"/>
                  </w14:solidFill>
                </w14:textFill>
              </w:rPr>
              <w:t>依据有关法律法规规定收取采购代理服务费</w:t>
            </w:r>
            <w:r>
              <w:rPr>
                <w:rFonts w:hint="eastAsia" w:ascii="宋体" w:hAnsi="宋体" w:cs="宋体"/>
                <w:color w:val="000000" w:themeColor="text1"/>
                <w:sz w:val="24"/>
                <w:szCs w:val="24"/>
                <w:highlight w:val="none"/>
                <w14:textFill>
                  <w14:solidFill>
                    <w14:schemeClr w14:val="tx1"/>
                  </w14:solidFill>
                </w14:textFill>
              </w:rPr>
              <w:t>。</w:t>
            </w:r>
          </w:p>
        </w:tc>
      </w:tr>
      <w:tr w14:paraId="4F5DBB85">
        <w:tblPrEx>
          <w:tblCellMar>
            <w:top w:w="0" w:type="dxa"/>
            <w:left w:w="10" w:type="dxa"/>
            <w:bottom w:w="0" w:type="dxa"/>
            <w:right w:w="10" w:type="dxa"/>
          </w:tblCellMar>
        </w:tblPrEx>
        <w:trPr>
          <w:trHeight w:val="1756" w:hRule="exact"/>
          <w:jc w:val="center"/>
        </w:trPr>
        <w:tc>
          <w:tcPr>
            <w:tcW w:w="878" w:type="dxa"/>
            <w:gridSpan w:val="2"/>
            <w:tcBorders>
              <w:top w:val="single" w:color="auto" w:sz="4" w:space="0"/>
              <w:left w:val="single" w:color="auto" w:sz="4" w:space="0"/>
              <w:bottom w:val="single" w:color="auto" w:sz="4" w:space="0"/>
            </w:tcBorders>
            <w:shd w:val="clear" w:color="auto" w:fill="FFFFFF"/>
            <w:vAlign w:val="center"/>
          </w:tcPr>
          <w:p w14:paraId="6FC0DF6F">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lang w:eastAsia="en-US"/>
                <w14:textFill>
                  <w14:solidFill>
                    <w14:schemeClr w14:val="tx1"/>
                  </w14:solidFill>
                </w14:textFill>
              </w:rPr>
            </w:pPr>
            <w:r>
              <w:rPr>
                <w:rFonts w:hint="eastAsia" w:ascii="宋体" w:hAnsi="宋体" w:cs="宋体"/>
                <w:color w:val="000000" w:themeColor="text1"/>
                <w:sz w:val="24"/>
                <w:szCs w:val="24"/>
                <w:highlight w:val="none"/>
                <w:lang w:eastAsia="en-US"/>
                <w14:textFill>
                  <w14:solidFill>
                    <w14:schemeClr w14:val="tx1"/>
                  </w14:solidFill>
                </w14:textFill>
              </w:rPr>
              <w:t>10.5</w:t>
            </w:r>
          </w:p>
        </w:tc>
        <w:tc>
          <w:tcPr>
            <w:tcW w:w="1655"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14:paraId="32A40932">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供应商联系方式</w:t>
            </w:r>
          </w:p>
        </w:tc>
        <w:tc>
          <w:tcPr>
            <w:tcW w:w="5833"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14:paraId="6672ACC4">
            <w:pPr>
              <w:keepNext w:val="0"/>
              <w:keepLines w:val="0"/>
              <w:pageBreakBefore w:val="0"/>
              <w:widowControl w:val="0"/>
              <w:kinsoku/>
              <w:wordWrap/>
              <w:overflowPunct/>
              <w:topLinePunct w:val="0"/>
              <w:bidi w:val="0"/>
              <w:snapToGrid/>
              <w:spacing w:line="400" w:lineRule="exact"/>
              <w:jc w:val="both"/>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自购买竞争性磋商文件之日起，供应商应保证其提供的联系方式 （电话、传真、电子邮箱）一直有效，以确保往来函件能及时通知供应商，并能及时反馈信息，否则采购人不承担由此引发的一切后果。</w:t>
            </w:r>
          </w:p>
        </w:tc>
      </w:tr>
      <w:tr w14:paraId="1CE4A19D">
        <w:tblPrEx>
          <w:tblCellMar>
            <w:top w:w="0" w:type="dxa"/>
            <w:left w:w="10" w:type="dxa"/>
            <w:bottom w:w="0" w:type="dxa"/>
            <w:right w:w="10" w:type="dxa"/>
          </w:tblCellMar>
        </w:tblPrEx>
        <w:trPr>
          <w:trHeight w:val="884" w:hRule="exact"/>
          <w:jc w:val="center"/>
        </w:trPr>
        <w:tc>
          <w:tcPr>
            <w:tcW w:w="878" w:type="dxa"/>
            <w:gridSpan w:val="2"/>
            <w:tcBorders>
              <w:top w:val="single" w:color="auto" w:sz="4" w:space="0"/>
              <w:left w:val="single" w:color="auto" w:sz="4" w:space="0"/>
              <w:bottom w:val="single" w:color="auto" w:sz="4" w:space="0"/>
            </w:tcBorders>
            <w:shd w:val="clear" w:color="auto" w:fill="FFFFFF"/>
            <w:vAlign w:val="center"/>
          </w:tcPr>
          <w:p w14:paraId="69F7D186">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eastAsia="en-US"/>
                <w14:textFill>
                  <w14:solidFill>
                    <w14:schemeClr w14:val="tx1"/>
                  </w14:solidFill>
                </w14:textFill>
              </w:rPr>
              <w:t>10.6</w:t>
            </w:r>
          </w:p>
        </w:tc>
        <w:tc>
          <w:tcPr>
            <w:tcW w:w="1655"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14:paraId="4CC39979">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特殊情况处置程序</w:t>
            </w:r>
          </w:p>
        </w:tc>
        <w:tc>
          <w:tcPr>
            <w:tcW w:w="5833"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14:paraId="206D0914">
            <w:pPr>
              <w:keepNext w:val="0"/>
              <w:keepLines w:val="0"/>
              <w:pageBreakBefore w:val="0"/>
              <w:widowControl w:val="0"/>
              <w:kinsoku/>
              <w:wordWrap/>
              <w:overflowPunct/>
              <w:topLinePunct w:val="0"/>
              <w:bidi w:val="0"/>
              <w:snapToGrid/>
              <w:spacing w:line="400" w:lineRule="exact"/>
              <w:jc w:val="both"/>
              <w:textAlignment w:val="auto"/>
              <w:rPr>
                <w:rFonts w:hint="eastAsia" w:ascii="宋体" w:hAnsi="宋体"/>
                <w:b w:val="0"/>
                <w:bCs/>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详见供应商须知正文10.</w:t>
            </w:r>
            <w:r>
              <w:rPr>
                <w:rFonts w:hint="eastAsia" w:ascii="宋体" w:hAnsi="宋体" w:cs="宋体"/>
                <w:color w:val="000000" w:themeColor="text1"/>
                <w:sz w:val="24"/>
                <w:szCs w:val="24"/>
                <w:highlight w:val="none"/>
                <w:lang w:val="en-US" w:eastAsia="zh-CN"/>
                <w14:textFill>
                  <w14:solidFill>
                    <w14:schemeClr w14:val="tx1"/>
                  </w14:solidFill>
                </w14:textFill>
              </w:rPr>
              <w:t>6</w:t>
            </w:r>
            <w:r>
              <w:rPr>
                <w:rFonts w:hint="eastAsia" w:ascii="宋体" w:hAnsi="宋体" w:cs="宋体"/>
                <w:color w:val="000000" w:themeColor="text1"/>
                <w:sz w:val="24"/>
                <w:szCs w:val="24"/>
                <w:highlight w:val="none"/>
                <w14:textFill>
                  <w14:solidFill>
                    <w14:schemeClr w14:val="tx1"/>
                  </w14:solidFill>
                </w14:textFill>
              </w:rPr>
              <w:t>款</w:t>
            </w:r>
          </w:p>
        </w:tc>
      </w:tr>
      <w:tr w14:paraId="2022F3CE">
        <w:tblPrEx>
          <w:tblCellMar>
            <w:top w:w="0" w:type="dxa"/>
            <w:left w:w="10" w:type="dxa"/>
            <w:bottom w:w="0" w:type="dxa"/>
            <w:right w:w="10" w:type="dxa"/>
          </w:tblCellMar>
        </w:tblPrEx>
        <w:trPr>
          <w:trHeight w:val="1059" w:hRule="exact"/>
          <w:jc w:val="center"/>
        </w:trPr>
        <w:tc>
          <w:tcPr>
            <w:tcW w:w="878" w:type="dxa"/>
            <w:gridSpan w:val="2"/>
            <w:tcBorders>
              <w:top w:val="single" w:color="auto" w:sz="4" w:space="0"/>
              <w:left w:val="single" w:color="auto" w:sz="4" w:space="0"/>
              <w:bottom w:val="single" w:color="auto" w:sz="4" w:space="0"/>
            </w:tcBorders>
            <w:shd w:val="clear" w:color="auto" w:fill="FFFFFF"/>
            <w:vAlign w:val="center"/>
          </w:tcPr>
          <w:p w14:paraId="05D1FBBF">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10.7</w:t>
            </w:r>
          </w:p>
        </w:tc>
        <w:tc>
          <w:tcPr>
            <w:tcW w:w="1655"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14:paraId="7D4C4B6F">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违法违规情形</w:t>
            </w:r>
          </w:p>
        </w:tc>
        <w:tc>
          <w:tcPr>
            <w:tcW w:w="5833"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14:paraId="2886FDB3">
            <w:pPr>
              <w:keepNext w:val="0"/>
              <w:keepLines w:val="0"/>
              <w:pageBreakBefore w:val="0"/>
              <w:widowControl w:val="0"/>
              <w:kinsoku/>
              <w:wordWrap/>
              <w:overflowPunct/>
              <w:topLinePunct w:val="0"/>
              <w:bidi w:val="0"/>
              <w:snapToGrid/>
              <w:spacing w:line="400" w:lineRule="exact"/>
              <w:jc w:val="both"/>
              <w:textAlignment w:val="auto"/>
              <w:rPr>
                <w:rFonts w:hint="eastAsia" w:ascii="宋体" w:hAnsi="宋体"/>
                <w:b w:val="0"/>
                <w:bCs/>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详见供应商须知正文10.</w:t>
            </w:r>
            <w:r>
              <w:rPr>
                <w:rFonts w:hint="eastAsia" w:ascii="宋体" w:hAnsi="宋体" w:cs="宋体"/>
                <w:color w:val="000000" w:themeColor="text1"/>
                <w:sz w:val="24"/>
                <w:szCs w:val="24"/>
                <w:highlight w:val="none"/>
                <w:lang w:val="en-US" w:eastAsia="zh-CN"/>
                <w14:textFill>
                  <w14:solidFill>
                    <w14:schemeClr w14:val="tx1"/>
                  </w14:solidFill>
                </w14:textFill>
              </w:rPr>
              <w:t>7</w:t>
            </w:r>
            <w:r>
              <w:rPr>
                <w:rFonts w:hint="eastAsia" w:ascii="宋体" w:hAnsi="宋体" w:cs="宋体"/>
                <w:color w:val="000000" w:themeColor="text1"/>
                <w:sz w:val="24"/>
                <w:szCs w:val="24"/>
                <w:highlight w:val="none"/>
                <w14:textFill>
                  <w14:solidFill>
                    <w14:schemeClr w14:val="tx1"/>
                  </w14:solidFill>
                </w14:textFill>
              </w:rPr>
              <w:t>款</w:t>
            </w:r>
          </w:p>
        </w:tc>
      </w:tr>
      <w:tr w14:paraId="6DC9D473">
        <w:tblPrEx>
          <w:tblCellMar>
            <w:top w:w="0" w:type="dxa"/>
            <w:left w:w="10" w:type="dxa"/>
            <w:bottom w:w="0" w:type="dxa"/>
            <w:right w:w="10" w:type="dxa"/>
          </w:tblCellMar>
        </w:tblPrEx>
        <w:trPr>
          <w:trHeight w:val="1304" w:hRule="exact"/>
          <w:jc w:val="center"/>
        </w:trPr>
        <w:tc>
          <w:tcPr>
            <w:tcW w:w="878" w:type="dxa"/>
            <w:gridSpan w:val="2"/>
            <w:tcBorders>
              <w:top w:val="single" w:color="auto" w:sz="4" w:space="0"/>
              <w:left w:val="single" w:color="auto" w:sz="4" w:space="0"/>
              <w:bottom w:val="single" w:color="auto" w:sz="4" w:space="0"/>
            </w:tcBorders>
            <w:shd w:val="clear" w:color="auto" w:fill="FFFFFF"/>
            <w:vAlign w:val="center"/>
          </w:tcPr>
          <w:p w14:paraId="0A4DCCAF">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eastAsia="en-US"/>
                <w14:textFill>
                  <w14:solidFill>
                    <w14:schemeClr w14:val="tx1"/>
                  </w14:solidFill>
                </w14:textFill>
              </w:rPr>
              <w:t>10.8</w:t>
            </w:r>
          </w:p>
        </w:tc>
        <w:tc>
          <w:tcPr>
            <w:tcW w:w="1655"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14:paraId="72D034C2">
            <w:pPr>
              <w:keepNext w:val="0"/>
              <w:keepLines w:val="0"/>
              <w:pageBreakBefore w:val="0"/>
              <w:widowControl w:val="0"/>
              <w:kinsoku/>
              <w:wordWrap/>
              <w:overflowPunct/>
              <w:topLinePunct w:val="0"/>
              <w:bidi w:val="0"/>
              <w:snapToGrid/>
              <w:spacing w:line="400" w:lineRule="exact"/>
              <w:jc w:val="center"/>
              <w:textAlignment w:val="auto"/>
              <w:rPr>
                <w:rFonts w:hint="eastAsia" w:ascii="宋体" w:hAnsi="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关于成交供应商瑕疵滞后发现的处理规则</w:t>
            </w:r>
          </w:p>
        </w:tc>
        <w:tc>
          <w:tcPr>
            <w:tcW w:w="5833"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14:paraId="25F0FFB4">
            <w:pPr>
              <w:keepNext w:val="0"/>
              <w:keepLines w:val="0"/>
              <w:pageBreakBefore w:val="0"/>
              <w:widowControl w:val="0"/>
              <w:kinsoku/>
              <w:wordWrap/>
              <w:overflowPunct/>
              <w:topLinePunct w:val="0"/>
              <w:bidi w:val="0"/>
              <w:snapToGrid/>
              <w:spacing w:line="400" w:lineRule="exact"/>
              <w:jc w:val="both"/>
              <w:textAlignment w:val="auto"/>
              <w:rPr>
                <w:rFonts w:hint="eastAsia" w:ascii="宋体" w:hAnsi="宋体"/>
                <w:b w:val="0"/>
                <w:bCs/>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详见供应商须知正文10.</w:t>
            </w:r>
            <w:r>
              <w:rPr>
                <w:rFonts w:hint="eastAsia" w:ascii="宋体" w:hAnsi="宋体" w:cs="宋体"/>
                <w:color w:val="000000" w:themeColor="text1"/>
                <w:sz w:val="24"/>
                <w:szCs w:val="24"/>
                <w:highlight w:val="none"/>
                <w:lang w:val="en-US" w:eastAsia="zh-CN"/>
                <w14:textFill>
                  <w14:solidFill>
                    <w14:schemeClr w14:val="tx1"/>
                  </w14:solidFill>
                </w14:textFill>
              </w:rPr>
              <w:t>8</w:t>
            </w:r>
            <w:r>
              <w:rPr>
                <w:rFonts w:hint="eastAsia" w:ascii="宋体" w:hAnsi="宋体" w:cs="宋体"/>
                <w:color w:val="000000" w:themeColor="text1"/>
                <w:sz w:val="24"/>
                <w:szCs w:val="24"/>
                <w:highlight w:val="none"/>
                <w14:textFill>
                  <w14:solidFill>
                    <w14:schemeClr w14:val="tx1"/>
                  </w14:solidFill>
                </w14:textFill>
              </w:rPr>
              <w:t>款</w:t>
            </w:r>
          </w:p>
        </w:tc>
      </w:tr>
    </w:tbl>
    <w:p w14:paraId="4C54D920">
      <w:pPr>
        <w:keepNext w:val="0"/>
        <w:keepLines w:val="0"/>
        <w:pageBreakBefore w:val="0"/>
        <w:widowControl w:val="0"/>
        <w:kinsoku/>
        <w:wordWrap/>
        <w:overflowPunct/>
        <w:topLinePunct w:val="0"/>
        <w:bidi w:val="0"/>
        <w:snapToGrid/>
        <w:spacing w:line="400" w:lineRule="exact"/>
        <w:textAlignment w:val="auto"/>
        <w:rPr>
          <w:color w:val="000000" w:themeColor="text1"/>
          <w:sz w:val="2"/>
          <w:szCs w:val="2"/>
          <w:highlight w:val="none"/>
          <w14:textFill>
            <w14:solidFill>
              <w14:schemeClr w14:val="tx1"/>
            </w14:solidFill>
          </w14:textFill>
        </w:rPr>
      </w:pPr>
      <w:r>
        <w:rPr>
          <w:b/>
          <w:bCs/>
          <w:color w:val="000000" w:themeColor="text1"/>
          <w:highlight w:val="none"/>
          <w14:textFill>
            <w14:solidFill>
              <w14:schemeClr w14:val="tx1"/>
            </w14:solidFill>
          </w14:textFill>
        </w:rPr>
        <w:t>注：竞争性磋商公告与竞争性磋商文件不符之处以本竞争性磋商文件为准。</w:t>
      </w:r>
    </w:p>
    <w:p w14:paraId="7F4F4A42">
      <w:pPr>
        <w:pStyle w:val="76"/>
        <w:keepNext w:val="0"/>
        <w:keepLines w:val="0"/>
        <w:pageBreakBefore w:val="0"/>
        <w:widowControl w:val="0"/>
        <w:kinsoku/>
        <w:wordWrap/>
        <w:overflowPunct/>
        <w:topLinePunct w:val="0"/>
        <w:bidi w:val="0"/>
        <w:snapToGrid/>
        <w:spacing w:line="400" w:lineRule="exact"/>
        <w:ind w:firstLine="400" w:firstLineChars="200"/>
        <w:jc w:val="left"/>
        <w:textAlignment w:val="auto"/>
        <w:rPr>
          <w:color w:val="000000" w:themeColor="text1"/>
          <w:highlight w:val="none"/>
          <w14:textFill>
            <w14:solidFill>
              <w14:schemeClr w14:val="tx1"/>
            </w14:solidFill>
          </w14:textFill>
        </w:rPr>
        <w:sectPr>
          <w:footerReference r:id="rId9" w:type="first"/>
          <w:headerReference r:id="rId7" w:type="default"/>
          <w:footerReference r:id="rId8" w:type="default"/>
          <w:pgSz w:w="11905" w:h="16838"/>
          <w:pgMar w:top="1440" w:right="1803" w:bottom="1440" w:left="1803" w:header="1140" w:footer="720" w:gutter="0"/>
          <w:pgNumType w:fmt="decimal" w:start="1"/>
          <w:cols w:space="0" w:num="1"/>
          <w:docGrid w:type="lines" w:linePitch="317" w:charSpace="0"/>
        </w:sectPr>
      </w:pPr>
    </w:p>
    <w:bookmarkEnd w:id="29"/>
    <w:p w14:paraId="4F58BE07">
      <w:pPr>
        <w:rPr>
          <w:rFonts w:hint="eastAsia" w:ascii="宋体" w:hAnsi="宋体" w:cs="宋体"/>
          <w:b/>
          <w:bCs/>
          <w:color w:val="000000" w:themeColor="text1"/>
          <w:highlight w:val="none"/>
          <w14:textFill>
            <w14:solidFill>
              <w14:schemeClr w14:val="tx1"/>
            </w14:solidFill>
          </w14:textFill>
        </w:rPr>
      </w:pPr>
      <w:bookmarkStart w:id="34" w:name="_Toc6730"/>
      <w:bookmarkStart w:id="35" w:name="_Toc16390"/>
      <w:bookmarkStart w:id="36" w:name="_Toc7416"/>
    </w:p>
    <w:bookmarkEnd w:id="11"/>
    <w:bookmarkEnd w:id="12"/>
    <w:bookmarkEnd w:id="13"/>
    <w:bookmarkEnd w:id="34"/>
    <w:bookmarkEnd w:id="35"/>
    <w:bookmarkEnd w:id="36"/>
    <w:p w14:paraId="55F732E4">
      <w:pPr>
        <w:pStyle w:val="77"/>
        <w:keepNext/>
        <w:keepLines/>
        <w:spacing w:after="220" w:line="500" w:lineRule="exact"/>
        <w:outlineLvl w:val="1"/>
        <w:rPr>
          <w:color w:val="000000" w:themeColor="text1"/>
          <w:sz w:val="32"/>
          <w:szCs w:val="32"/>
          <w:highlight w:val="none"/>
          <w14:textFill>
            <w14:solidFill>
              <w14:schemeClr w14:val="tx1"/>
            </w14:solidFill>
          </w14:textFill>
        </w:rPr>
      </w:pPr>
      <w:bookmarkStart w:id="37" w:name="bookmark63"/>
      <w:bookmarkStart w:id="38" w:name="_Toc20204"/>
      <w:bookmarkStart w:id="39" w:name="_Toc4576"/>
      <w:bookmarkStart w:id="40" w:name="bookmark64"/>
      <w:bookmarkStart w:id="41" w:name="bookmark65"/>
      <w:r>
        <w:rPr>
          <w:rFonts w:hint="eastAsia"/>
          <w:color w:val="000000" w:themeColor="text1"/>
          <w:sz w:val="32"/>
          <w:szCs w:val="32"/>
          <w:highlight w:val="none"/>
          <w:lang w:eastAsia="zh-CN"/>
          <w14:textFill>
            <w14:solidFill>
              <w14:schemeClr w14:val="tx1"/>
            </w14:solidFill>
          </w14:textFill>
        </w:rPr>
        <w:t>二、</w:t>
      </w:r>
      <w:r>
        <w:rPr>
          <w:rFonts w:hint="eastAsia"/>
          <w:color w:val="000000" w:themeColor="text1"/>
          <w:sz w:val="32"/>
          <w:szCs w:val="32"/>
          <w:highlight w:val="none"/>
          <w14:textFill>
            <w14:solidFill>
              <w14:schemeClr w14:val="tx1"/>
            </w14:solidFill>
          </w14:textFill>
        </w:rPr>
        <w:t>供应商须知正文部分</w:t>
      </w:r>
      <w:bookmarkEnd w:id="37"/>
      <w:bookmarkEnd w:id="38"/>
      <w:bookmarkEnd w:id="39"/>
      <w:bookmarkEnd w:id="40"/>
      <w:bookmarkEnd w:id="41"/>
    </w:p>
    <w:p w14:paraId="6B08C352">
      <w:pPr>
        <w:pStyle w:val="76"/>
        <w:spacing w:after="160" w:line="500" w:lineRule="exact"/>
        <w:ind w:firstLine="440"/>
        <w:jc w:val="center"/>
        <w:rPr>
          <w:rFonts w:hint="eastAsia"/>
          <w:b/>
          <w:bCs/>
          <w:color w:val="000000" w:themeColor="text1"/>
          <w:sz w:val="30"/>
          <w:szCs w:val="30"/>
          <w:highlight w:val="none"/>
          <w14:textFill>
            <w14:solidFill>
              <w14:schemeClr w14:val="tx1"/>
            </w14:solidFill>
          </w14:textFill>
        </w:rPr>
      </w:pPr>
      <w:r>
        <w:rPr>
          <w:rFonts w:hint="eastAsia"/>
          <w:b/>
          <w:bCs/>
          <w:color w:val="000000" w:themeColor="text1"/>
          <w:sz w:val="30"/>
          <w:szCs w:val="30"/>
          <w:highlight w:val="none"/>
          <w14:textFill>
            <w14:solidFill>
              <w14:schemeClr w14:val="tx1"/>
            </w14:solidFill>
          </w14:textFill>
        </w:rPr>
        <w:t>总则</w:t>
      </w:r>
    </w:p>
    <w:p w14:paraId="6A7DC120">
      <w:pPr>
        <w:pStyle w:val="76"/>
        <w:spacing w:after="160"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供应商应仔细阅读本磋商文件的所有内容(包括答疑、补充、澄清以及修改等)，按照磋商文 件要求以及格式编制响应文件，并保证其真实性，否则一切后果自负。</w:t>
      </w:r>
    </w:p>
    <w:p w14:paraId="5E3AFE54">
      <w:pPr>
        <w:pStyle w:val="76"/>
        <w:spacing w:line="500" w:lineRule="exact"/>
        <w:ind w:firstLine="241" w:firstLineChars="1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1.</w:t>
      </w:r>
      <w:r>
        <w:rPr>
          <w:rFonts w:hint="eastAsia"/>
          <w:b/>
          <w:bCs/>
          <w:color w:val="000000" w:themeColor="text1"/>
          <w:sz w:val="24"/>
          <w:szCs w:val="24"/>
          <w:highlight w:val="none"/>
          <w14:textFill>
            <w14:solidFill>
              <w14:schemeClr w14:val="tx1"/>
            </w14:solidFill>
          </w14:textFill>
        </w:rPr>
        <w:t>项目概况</w:t>
      </w:r>
    </w:p>
    <w:p w14:paraId="1651CDCF">
      <w:pPr>
        <w:pStyle w:val="76"/>
        <w:spacing w:line="500" w:lineRule="exact"/>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1.1</w:t>
      </w:r>
      <w:r>
        <w:rPr>
          <w:rFonts w:hint="eastAsia"/>
          <w:color w:val="000000" w:themeColor="text1"/>
          <w:sz w:val="24"/>
          <w:szCs w:val="24"/>
          <w:highlight w:val="none"/>
          <w14:textFill>
            <w14:solidFill>
              <w14:schemeClr w14:val="tx1"/>
            </w14:solidFill>
          </w14:textFill>
        </w:rPr>
        <w:t>根据《中华人民共和国政府采购法》、《中华人民共和国政府采购法实施条例》、《财政部关于印发政府采购竞争性磋商采购方式管理暂行办法的通知》等有关法律、法规和规章的规定，本采购项目已具备采购条件，现以竞争性磋商方式对本项目进行采购。</w:t>
      </w:r>
    </w:p>
    <w:p w14:paraId="391EFD0B">
      <w:pPr>
        <w:pStyle w:val="76"/>
        <w:spacing w:line="500" w:lineRule="exact"/>
        <w:ind w:firstLine="720" w:firstLineChars="30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1.1.1</w:t>
      </w:r>
      <w:r>
        <w:rPr>
          <w:rFonts w:hint="eastAsia"/>
          <w:color w:val="000000" w:themeColor="text1"/>
          <w:sz w:val="24"/>
          <w:szCs w:val="24"/>
          <w:highlight w:val="none"/>
          <w14:textFill>
            <w14:solidFill>
              <w14:schemeClr w14:val="tx1"/>
            </w14:solidFill>
          </w14:textFill>
        </w:rPr>
        <w:t>本采购项目采购人：见供应商须知前附表。</w:t>
      </w:r>
    </w:p>
    <w:p w14:paraId="2FCC0FF7">
      <w:pPr>
        <w:pStyle w:val="76"/>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1.1.2</w:t>
      </w:r>
      <w:r>
        <w:rPr>
          <w:rFonts w:hint="eastAsia"/>
          <w:color w:val="000000" w:themeColor="text1"/>
          <w:sz w:val="24"/>
          <w:szCs w:val="24"/>
          <w:highlight w:val="none"/>
          <w14:textFill>
            <w14:solidFill>
              <w14:schemeClr w14:val="tx1"/>
            </w14:solidFill>
          </w14:textFill>
        </w:rPr>
        <w:t>本采购项目采购代理机构：见供应商须知前附表。</w:t>
      </w:r>
    </w:p>
    <w:p w14:paraId="14A2F0D2">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1.1.3</w:t>
      </w:r>
      <w:r>
        <w:rPr>
          <w:rFonts w:hint="eastAsia"/>
          <w:color w:val="000000" w:themeColor="text1"/>
          <w:sz w:val="24"/>
          <w:szCs w:val="24"/>
          <w:highlight w:val="none"/>
          <w14:textFill>
            <w14:solidFill>
              <w14:schemeClr w14:val="tx1"/>
            </w14:solidFill>
          </w14:textFill>
        </w:rPr>
        <w:t>供应商：系指响应采购要求且符合磋商文件规定的资格条件和参加磋商报价竞争的法人、其他组织或者自然人。</w:t>
      </w:r>
    </w:p>
    <w:p w14:paraId="27FD5D62">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1.1.4</w:t>
      </w:r>
      <w:r>
        <w:rPr>
          <w:rFonts w:hint="eastAsia"/>
          <w:color w:val="000000" w:themeColor="text1"/>
          <w:sz w:val="24"/>
          <w:szCs w:val="24"/>
          <w:highlight w:val="none"/>
          <w14:textFill>
            <w14:solidFill>
              <w14:schemeClr w14:val="tx1"/>
            </w14:solidFill>
          </w14:textFill>
        </w:rPr>
        <w:t>磋商小组：系指根据法律法规规定，由采购人代表和有关专家组成以确定成交供应商的临时组织。</w:t>
      </w:r>
    </w:p>
    <w:p w14:paraId="58CE92C9">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1.1.5</w:t>
      </w:r>
      <w:r>
        <w:rPr>
          <w:rFonts w:hint="eastAsia"/>
          <w:color w:val="000000" w:themeColor="text1"/>
          <w:sz w:val="24"/>
          <w:szCs w:val="24"/>
          <w:highlight w:val="none"/>
          <w14:textFill>
            <w14:solidFill>
              <w14:schemeClr w14:val="tx1"/>
            </w14:solidFill>
          </w14:textFill>
        </w:rPr>
        <w:t>成交供应商：系指经磋商确定的满足磋商文件实质性响应要求且经评审综合得分最高的</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取得与采购人签订合同资格的供应商。</w:t>
      </w:r>
    </w:p>
    <w:p w14:paraId="7182DFE4">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1.1.6</w:t>
      </w:r>
      <w:r>
        <w:rPr>
          <w:rFonts w:hint="eastAsia"/>
          <w:color w:val="000000" w:themeColor="text1"/>
          <w:sz w:val="24"/>
          <w:szCs w:val="24"/>
          <w:highlight w:val="none"/>
          <w14:textFill>
            <w14:solidFill>
              <w14:schemeClr w14:val="tx1"/>
            </w14:solidFill>
          </w14:textFill>
        </w:rPr>
        <w:t>本采购项目名称：见供应商须知前附表。</w:t>
      </w:r>
    </w:p>
    <w:p w14:paraId="16CC5AC2">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1.1.7</w:t>
      </w:r>
      <w:r>
        <w:rPr>
          <w:rFonts w:hint="eastAsia"/>
          <w:color w:val="000000" w:themeColor="text1"/>
          <w:sz w:val="24"/>
          <w:szCs w:val="24"/>
          <w:highlight w:val="none"/>
          <w14:textFill>
            <w14:solidFill>
              <w14:schemeClr w14:val="tx1"/>
            </w14:solidFill>
          </w14:textFill>
        </w:rPr>
        <w:t>本采购项目</w:t>
      </w:r>
      <w:r>
        <w:rPr>
          <w:rFonts w:hint="eastAsia"/>
          <w:color w:val="000000" w:themeColor="text1"/>
          <w:sz w:val="24"/>
          <w:szCs w:val="24"/>
          <w:highlight w:val="none"/>
          <w:lang w:eastAsia="zh-CN"/>
          <w14:textFill>
            <w14:solidFill>
              <w14:schemeClr w14:val="tx1"/>
            </w14:solidFill>
          </w14:textFill>
        </w:rPr>
        <w:t>地点、合同履行期限</w:t>
      </w:r>
      <w:r>
        <w:rPr>
          <w:rFonts w:hint="eastAsia"/>
          <w:color w:val="000000" w:themeColor="text1"/>
          <w:sz w:val="24"/>
          <w:szCs w:val="24"/>
          <w:highlight w:val="none"/>
          <w14:textFill>
            <w14:solidFill>
              <w14:schemeClr w14:val="tx1"/>
            </w14:solidFill>
          </w14:textFill>
        </w:rPr>
        <w:t>：见供应商须知前附表。</w:t>
      </w:r>
    </w:p>
    <w:p w14:paraId="31C085ED">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1.1.8</w:t>
      </w:r>
      <w:r>
        <w:rPr>
          <w:rFonts w:hint="eastAsia"/>
          <w:color w:val="000000" w:themeColor="text1"/>
          <w:sz w:val="24"/>
          <w:szCs w:val="24"/>
          <w:highlight w:val="none"/>
          <w14:textFill>
            <w14:solidFill>
              <w14:schemeClr w14:val="tx1"/>
            </w14:solidFill>
          </w14:textFill>
        </w:rPr>
        <w:t>本采购项目预算</w:t>
      </w:r>
      <w:r>
        <w:rPr>
          <w:rFonts w:hint="eastAsia"/>
          <w:color w:val="000000" w:themeColor="text1"/>
          <w:sz w:val="24"/>
          <w:szCs w:val="24"/>
          <w:highlight w:val="none"/>
          <w:lang w:eastAsia="zh-CN"/>
          <w14:textFill>
            <w14:solidFill>
              <w14:schemeClr w14:val="tx1"/>
            </w14:solidFill>
          </w14:textFill>
        </w:rPr>
        <w:t>金额</w:t>
      </w:r>
      <w:r>
        <w:rPr>
          <w:rFonts w:hint="eastAsia"/>
          <w:color w:val="000000" w:themeColor="text1"/>
          <w:sz w:val="24"/>
          <w:szCs w:val="24"/>
          <w:highlight w:val="none"/>
          <w14:textFill>
            <w14:solidFill>
              <w14:schemeClr w14:val="tx1"/>
            </w14:solidFill>
          </w14:textFill>
        </w:rPr>
        <w:t>：见供应商须知前附表。</w:t>
      </w:r>
    </w:p>
    <w:p w14:paraId="0E8ED80F">
      <w:pPr>
        <w:pStyle w:val="76"/>
        <w:spacing w:after="160"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1.1.9</w:t>
      </w:r>
      <w:r>
        <w:rPr>
          <w:rFonts w:hint="eastAsia"/>
          <w:color w:val="000000" w:themeColor="text1"/>
          <w:sz w:val="24"/>
          <w:szCs w:val="24"/>
          <w:highlight w:val="none"/>
          <w14:textFill>
            <w14:solidFill>
              <w14:schemeClr w14:val="tx1"/>
            </w14:solidFill>
          </w14:textFill>
        </w:rPr>
        <w:t>本采购项目</w:t>
      </w:r>
      <w:r>
        <w:rPr>
          <w:rFonts w:hint="eastAsia"/>
          <w:color w:val="000000" w:themeColor="text1"/>
          <w:sz w:val="24"/>
          <w:szCs w:val="24"/>
          <w:highlight w:val="none"/>
          <w:lang w:eastAsia="zh-CN"/>
          <w14:textFill>
            <w14:solidFill>
              <w14:schemeClr w14:val="tx1"/>
            </w14:solidFill>
          </w14:textFill>
        </w:rPr>
        <w:t>品目名称及</w:t>
      </w:r>
      <w:r>
        <w:rPr>
          <w:rFonts w:hint="eastAsia"/>
          <w:color w:val="000000" w:themeColor="text1"/>
          <w:sz w:val="24"/>
          <w:szCs w:val="24"/>
          <w:highlight w:val="none"/>
          <w14:textFill>
            <w14:solidFill>
              <w14:schemeClr w14:val="tx1"/>
            </w14:solidFill>
          </w14:textFill>
        </w:rPr>
        <w:t>标段划分：见供应商须知前附表</w:t>
      </w:r>
    </w:p>
    <w:p w14:paraId="18D6D23E">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1.</w:t>
      </w:r>
      <w:r>
        <w:rPr>
          <w:rFonts w:hint="eastAsia"/>
          <w:b/>
          <w:bCs/>
          <w:color w:val="000000" w:themeColor="text1"/>
          <w:sz w:val="24"/>
          <w:szCs w:val="24"/>
          <w:highlight w:val="none"/>
          <w14:textFill>
            <w14:solidFill>
              <w14:schemeClr w14:val="tx1"/>
            </w14:solidFill>
          </w14:textFill>
        </w:rPr>
        <w:t>2资金来源</w:t>
      </w:r>
      <w:r>
        <w:rPr>
          <w:rFonts w:hint="eastAsia"/>
          <w:b/>
          <w:bCs/>
          <w:color w:val="000000" w:themeColor="text1"/>
          <w:sz w:val="24"/>
          <w:szCs w:val="24"/>
          <w:highlight w:val="none"/>
          <w:lang w:eastAsia="zh-CN"/>
          <w14:textFill>
            <w14:solidFill>
              <w14:schemeClr w14:val="tx1"/>
            </w14:solidFill>
          </w14:textFill>
        </w:rPr>
        <w:t>、出资比例和</w:t>
      </w:r>
      <w:r>
        <w:rPr>
          <w:rFonts w:hint="eastAsia"/>
          <w:b/>
          <w:bCs/>
          <w:color w:val="000000" w:themeColor="text1"/>
          <w:sz w:val="24"/>
          <w:szCs w:val="24"/>
          <w:highlight w:val="none"/>
          <w14:textFill>
            <w14:solidFill>
              <w14:schemeClr w14:val="tx1"/>
            </w14:solidFill>
          </w14:textFill>
        </w:rPr>
        <w:t>落实情况</w:t>
      </w:r>
    </w:p>
    <w:p w14:paraId="4BF2826B">
      <w:pPr>
        <w:pStyle w:val="76"/>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1.2.1</w:t>
      </w:r>
      <w:r>
        <w:rPr>
          <w:rFonts w:hint="eastAsia"/>
          <w:color w:val="000000" w:themeColor="text1"/>
          <w:sz w:val="24"/>
          <w:szCs w:val="24"/>
          <w:highlight w:val="none"/>
          <w14:textFill>
            <w14:solidFill>
              <w14:schemeClr w14:val="tx1"/>
            </w14:solidFill>
          </w14:textFill>
        </w:rPr>
        <w:t>本采购项目的资金来源：见供应商须知前附表。</w:t>
      </w:r>
    </w:p>
    <w:p w14:paraId="1F87567E">
      <w:pPr>
        <w:pStyle w:val="76"/>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1.2.2</w:t>
      </w:r>
      <w:r>
        <w:rPr>
          <w:rFonts w:hint="eastAsia"/>
          <w:color w:val="000000" w:themeColor="text1"/>
          <w:sz w:val="24"/>
          <w:szCs w:val="24"/>
          <w:highlight w:val="none"/>
          <w14:textFill>
            <w14:solidFill>
              <w14:schemeClr w14:val="tx1"/>
            </w14:solidFill>
          </w14:textFill>
        </w:rPr>
        <w:t>本采购项目的岀资比例：见供应商须知前附表。</w:t>
      </w:r>
    </w:p>
    <w:p w14:paraId="3F4F9876">
      <w:pPr>
        <w:pStyle w:val="76"/>
        <w:spacing w:after="160"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1.2.3</w:t>
      </w:r>
      <w:r>
        <w:rPr>
          <w:rFonts w:hint="eastAsia"/>
          <w:color w:val="000000" w:themeColor="text1"/>
          <w:sz w:val="24"/>
          <w:szCs w:val="24"/>
          <w:highlight w:val="none"/>
          <w14:textFill>
            <w14:solidFill>
              <w14:schemeClr w14:val="tx1"/>
            </w14:solidFill>
          </w14:textFill>
        </w:rPr>
        <w:t>本采购项目的资金落实情况：见供应商须知前附表。</w:t>
      </w:r>
    </w:p>
    <w:p w14:paraId="6E269FEE">
      <w:pPr>
        <w:pStyle w:val="76"/>
        <w:spacing w:line="500" w:lineRule="exact"/>
        <w:ind w:firstLine="482" w:firstLineChars="200"/>
        <w:jc w:val="left"/>
        <w:rPr>
          <w:rFonts w:hint="eastAsia" w:eastAsia="宋体"/>
          <w:color w:val="000000" w:themeColor="text1"/>
          <w:sz w:val="24"/>
          <w:szCs w:val="24"/>
          <w:highlight w:val="none"/>
          <w:lang w:eastAsia="zh-CN"/>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1.</w:t>
      </w:r>
      <w:r>
        <w:rPr>
          <w:rFonts w:hint="eastAsia"/>
          <w:b/>
          <w:bCs/>
          <w:color w:val="000000" w:themeColor="text1"/>
          <w:sz w:val="24"/>
          <w:szCs w:val="24"/>
          <w:highlight w:val="none"/>
          <w14:textFill>
            <w14:solidFill>
              <w14:schemeClr w14:val="tx1"/>
            </w14:solidFill>
          </w14:textFill>
        </w:rPr>
        <w:t>3釆购范围和</w:t>
      </w:r>
      <w:r>
        <w:rPr>
          <w:rFonts w:hint="eastAsia"/>
          <w:b/>
          <w:bCs/>
          <w:color w:val="000000" w:themeColor="text1"/>
          <w:sz w:val="24"/>
          <w:szCs w:val="24"/>
          <w:highlight w:val="none"/>
          <w:lang w:eastAsia="zh-CN"/>
          <w14:textFill>
            <w14:solidFill>
              <w14:schemeClr w14:val="tx1"/>
            </w14:solidFill>
          </w14:textFill>
        </w:rPr>
        <w:t>服务要求</w:t>
      </w:r>
    </w:p>
    <w:p w14:paraId="56D1A589">
      <w:pPr>
        <w:pStyle w:val="76"/>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1.3.1</w:t>
      </w:r>
      <w:r>
        <w:rPr>
          <w:rFonts w:hint="eastAsia"/>
          <w:color w:val="000000" w:themeColor="text1"/>
          <w:sz w:val="24"/>
          <w:szCs w:val="24"/>
          <w:highlight w:val="none"/>
          <w14:textFill>
            <w14:solidFill>
              <w14:schemeClr w14:val="tx1"/>
            </w14:solidFill>
          </w14:textFill>
        </w:rPr>
        <w:t>本次采购范围：见供应商须知前附表。</w:t>
      </w:r>
    </w:p>
    <w:p w14:paraId="5B2102DD">
      <w:pPr>
        <w:pStyle w:val="76"/>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1.3.2</w:t>
      </w:r>
      <w:r>
        <w:rPr>
          <w:rFonts w:hint="eastAsia"/>
          <w:color w:val="000000" w:themeColor="text1"/>
          <w:sz w:val="24"/>
          <w:szCs w:val="24"/>
          <w:highlight w:val="none"/>
          <w14:textFill>
            <w14:solidFill>
              <w14:schemeClr w14:val="tx1"/>
            </w14:solidFill>
          </w14:textFill>
        </w:rPr>
        <w:t>本采购项目的</w:t>
      </w:r>
      <w:r>
        <w:rPr>
          <w:rFonts w:hint="eastAsia"/>
          <w:color w:val="000000" w:themeColor="text1"/>
          <w:sz w:val="24"/>
          <w:szCs w:val="24"/>
          <w:highlight w:val="none"/>
          <w:lang w:eastAsia="zh-CN"/>
          <w14:textFill>
            <w14:solidFill>
              <w14:schemeClr w14:val="tx1"/>
            </w14:solidFill>
          </w14:textFill>
        </w:rPr>
        <w:t>服务要求</w:t>
      </w:r>
      <w:r>
        <w:rPr>
          <w:rFonts w:hint="eastAsia"/>
          <w:color w:val="000000" w:themeColor="text1"/>
          <w:sz w:val="24"/>
          <w:szCs w:val="24"/>
          <w:highlight w:val="none"/>
          <w14:textFill>
            <w14:solidFill>
              <w14:schemeClr w14:val="tx1"/>
            </w14:solidFill>
          </w14:textFill>
        </w:rPr>
        <w:t>：见供应商须知前附表。</w:t>
      </w:r>
    </w:p>
    <w:p w14:paraId="51F5011C">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1.4</w:t>
      </w:r>
      <w:r>
        <w:rPr>
          <w:rFonts w:hint="eastAsia"/>
          <w:b/>
          <w:bCs/>
          <w:color w:val="000000" w:themeColor="text1"/>
          <w:sz w:val="24"/>
          <w:szCs w:val="24"/>
          <w:highlight w:val="none"/>
          <w14:textFill>
            <w14:solidFill>
              <w14:schemeClr w14:val="tx1"/>
            </w14:solidFill>
          </w14:textFill>
        </w:rPr>
        <w:t>供应商资格要求</w:t>
      </w:r>
    </w:p>
    <w:p w14:paraId="443982E5">
      <w:pPr>
        <w:pStyle w:val="76"/>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1.4.1</w:t>
      </w:r>
      <w:r>
        <w:rPr>
          <w:rFonts w:hint="eastAsia"/>
          <w:color w:val="000000" w:themeColor="text1"/>
          <w:sz w:val="24"/>
          <w:szCs w:val="24"/>
          <w:highlight w:val="none"/>
          <w14:textFill>
            <w14:solidFill>
              <w14:schemeClr w14:val="tx1"/>
            </w14:solidFill>
          </w14:textFill>
        </w:rPr>
        <w:t>供应商应具备承担本标段施工的资质条件、能力和信誉。</w:t>
      </w:r>
    </w:p>
    <w:p w14:paraId="7D089273">
      <w:pPr>
        <w:spacing w:line="500" w:lineRule="atLeast"/>
        <w:ind w:firstLine="720" w:firstLineChars="300"/>
        <w:rPr>
          <w:rFonts w:hint="eastAsia" w:ascii="宋体" w:hAnsi="宋体" w:eastAsia="宋体" w:cs="宋体"/>
          <w:color w:val="000000" w:themeColor="text1"/>
          <w:sz w:val="24"/>
          <w:szCs w:val="24"/>
          <w:highlight w:val="none"/>
          <w14:textFill>
            <w14:solidFill>
              <w14:schemeClr w14:val="tx1"/>
            </w14:solidFill>
          </w14:textFill>
        </w:rPr>
      </w:pPr>
      <w:bookmarkStart w:id="42" w:name="bookmark66"/>
      <w:bookmarkEnd w:id="42"/>
      <w:r>
        <w:rPr>
          <w:rFonts w:hint="eastAsia"/>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1）资质条件：见供应商须知前附表；</w:t>
      </w:r>
    </w:p>
    <w:p w14:paraId="628FFF0F">
      <w:pPr>
        <w:spacing w:line="500" w:lineRule="atLeast"/>
        <w:ind w:firstLine="720" w:firstLineChars="300"/>
        <w:rPr>
          <w:rFonts w:hint="eastAsia" w:ascii="宋体" w:hAnsi="宋体" w:eastAsia="宋体" w:cs="宋体"/>
          <w:color w:val="000000" w:themeColor="text1"/>
          <w:sz w:val="24"/>
          <w:szCs w:val="24"/>
          <w:highlight w:val="none"/>
          <w14:textFill>
            <w14:solidFill>
              <w14:schemeClr w14:val="tx1"/>
            </w14:solidFill>
          </w14:textFill>
        </w:rPr>
      </w:pPr>
      <w:bookmarkStart w:id="43" w:name="bookmark67"/>
      <w:bookmarkEnd w:id="43"/>
      <w:r>
        <w:rPr>
          <w:rFonts w:hint="eastAsia" w:ascii="宋体" w:hAnsi="宋体" w:eastAsia="宋体" w:cs="宋体"/>
          <w:color w:val="000000" w:themeColor="text1"/>
          <w:sz w:val="24"/>
          <w:szCs w:val="24"/>
          <w:highlight w:val="none"/>
          <w14:textFill>
            <w14:solidFill>
              <w14:schemeClr w14:val="tx1"/>
            </w14:solidFill>
          </w14:textFill>
        </w:rPr>
        <w:t>（2）财务要求：见供应商须知前附表；</w:t>
      </w:r>
    </w:p>
    <w:p w14:paraId="6C93F100">
      <w:pPr>
        <w:spacing w:line="500" w:lineRule="atLeast"/>
        <w:ind w:firstLine="720" w:firstLineChars="300"/>
        <w:rPr>
          <w:rFonts w:hint="eastAsia" w:ascii="宋体" w:hAnsi="宋体" w:eastAsia="宋体" w:cs="宋体"/>
          <w:color w:val="000000" w:themeColor="text1"/>
          <w:sz w:val="24"/>
          <w:szCs w:val="24"/>
          <w:highlight w:val="none"/>
          <w14:textFill>
            <w14:solidFill>
              <w14:schemeClr w14:val="tx1"/>
            </w14:solidFill>
          </w14:textFill>
        </w:rPr>
      </w:pPr>
      <w:bookmarkStart w:id="44" w:name="bookmark68"/>
      <w:bookmarkEnd w:id="44"/>
      <w:r>
        <w:rPr>
          <w:rFonts w:hint="eastAsia" w:ascii="宋体" w:hAnsi="宋体" w:eastAsia="宋体" w:cs="宋体"/>
          <w:color w:val="000000" w:themeColor="text1"/>
          <w:sz w:val="24"/>
          <w:szCs w:val="24"/>
          <w:highlight w:val="none"/>
          <w14:textFill>
            <w14:solidFill>
              <w14:schemeClr w14:val="tx1"/>
            </w14:solidFill>
          </w14:textFill>
        </w:rPr>
        <w:t>（3）业绩要求：见供应商须知前附表；</w:t>
      </w:r>
    </w:p>
    <w:p w14:paraId="7729EF4C">
      <w:pPr>
        <w:spacing w:line="500" w:lineRule="atLeast"/>
        <w:ind w:firstLine="720" w:firstLineChars="300"/>
        <w:rPr>
          <w:rFonts w:hint="eastAsia" w:ascii="宋体" w:hAnsi="宋体" w:eastAsia="宋体" w:cs="宋体"/>
          <w:color w:val="000000" w:themeColor="text1"/>
          <w:sz w:val="24"/>
          <w:szCs w:val="24"/>
          <w:highlight w:val="none"/>
          <w14:textFill>
            <w14:solidFill>
              <w14:schemeClr w14:val="tx1"/>
            </w14:solidFill>
          </w14:textFill>
        </w:rPr>
      </w:pPr>
      <w:bookmarkStart w:id="45" w:name="bookmark69"/>
      <w:bookmarkEnd w:id="45"/>
      <w:r>
        <w:rPr>
          <w:rFonts w:hint="eastAsia" w:ascii="宋体" w:hAnsi="宋体" w:eastAsia="宋体" w:cs="宋体"/>
          <w:color w:val="000000" w:themeColor="text1"/>
          <w:sz w:val="24"/>
          <w:szCs w:val="24"/>
          <w:highlight w:val="none"/>
          <w14:textFill>
            <w14:solidFill>
              <w14:schemeClr w14:val="tx1"/>
            </w14:solidFill>
          </w14:textFill>
        </w:rPr>
        <w:t>（4）信誉要求：见供应商须知前附表；</w:t>
      </w:r>
    </w:p>
    <w:p w14:paraId="58670B9F">
      <w:pPr>
        <w:spacing w:line="500" w:lineRule="atLeast"/>
        <w:ind w:firstLine="720" w:firstLineChars="300"/>
        <w:rPr>
          <w:rFonts w:hint="eastAsia" w:ascii="宋体" w:hAnsi="宋体" w:eastAsia="宋体" w:cs="宋体"/>
          <w:color w:val="000000" w:themeColor="text1"/>
          <w:sz w:val="24"/>
          <w:szCs w:val="24"/>
          <w:highlight w:val="none"/>
          <w14:textFill>
            <w14:solidFill>
              <w14:schemeClr w14:val="tx1"/>
            </w14:solidFill>
          </w14:textFill>
        </w:rPr>
      </w:pPr>
      <w:bookmarkStart w:id="46" w:name="bookmark70"/>
      <w:bookmarkEnd w:id="46"/>
      <w:r>
        <w:rPr>
          <w:rFonts w:hint="eastAsia" w:ascii="宋体" w:hAnsi="宋体" w:eastAsia="宋体" w:cs="宋体"/>
          <w:color w:val="000000" w:themeColor="text1"/>
          <w:sz w:val="24"/>
          <w:szCs w:val="24"/>
          <w:highlight w:val="none"/>
          <w14:textFill>
            <w14:solidFill>
              <w14:schemeClr w14:val="tx1"/>
            </w14:solidFill>
          </w14:textFill>
        </w:rPr>
        <w:t>（5）项目</w:t>
      </w:r>
      <w:r>
        <w:rPr>
          <w:rFonts w:hint="eastAsia" w:ascii="宋体" w:hAnsi="宋体" w:eastAsia="宋体" w:cs="宋体"/>
          <w:color w:val="000000" w:themeColor="text1"/>
          <w:sz w:val="24"/>
          <w:szCs w:val="24"/>
          <w:highlight w:val="none"/>
          <w:lang w:eastAsia="zh-CN"/>
          <w14:textFill>
            <w14:solidFill>
              <w14:schemeClr w14:val="tx1"/>
            </w14:solidFill>
          </w14:textFill>
        </w:rPr>
        <w:t>负责人</w:t>
      </w:r>
      <w:r>
        <w:rPr>
          <w:rFonts w:hint="eastAsia" w:ascii="宋体" w:hAnsi="宋体" w:eastAsia="宋体" w:cs="宋体"/>
          <w:color w:val="000000" w:themeColor="text1"/>
          <w:sz w:val="24"/>
          <w:szCs w:val="24"/>
          <w:highlight w:val="none"/>
          <w14:textFill>
            <w14:solidFill>
              <w14:schemeClr w14:val="tx1"/>
            </w14:solidFill>
          </w14:textFill>
        </w:rPr>
        <w:t>资格：见供应商须知前附表；</w:t>
      </w:r>
    </w:p>
    <w:p w14:paraId="618CF9A9">
      <w:pPr>
        <w:spacing w:line="500" w:lineRule="atLeast"/>
        <w:ind w:firstLine="720" w:firstLineChars="300"/>
        <w:rPr>
          <w:rFonts w:hint="eastAsia" w:ascii="宋体" w:hAnsi="宋体" w:eastAsia="宋体" w:cs="宋体"/>
          <w:color w:val="000000" w:themeColor="text1"/>
          <w:sz w:val="24"/>
          <w:szCs w:val="24"/>
          <w:highlight w:val="none"/>
          <w14:textFill>
            <w14:solidFill>
              <w14:schemeClr w14:val="tx1"/>
            </w14:solidFill>
          </w14:textFill>
        </w:rPr>
      </w:pPr>
      <w:bookmarkStart w:id="47" w:name="bookmark71"/>
      <w:bookmarkEnd w:id="47"/>
      <w:r>
        <w:rPr>
          <w:rFonts w:hint="eastAsia" w:ascii="宋体" w:hAnsi="宋体" w:eastAsia="宋体" w:cs="宋体"/>
          <w:color w:val="000000" w:themeColor="text1"/>
          <w:sz w:val="24"/>
          <w:szCs w:val="24"/>
          <w:highlight w:val="none"/>
          <w14:textFill>
            <w14:solidFill>
              <w14:schemeClr w14:val="tx1"/>
            </w14:solidFill>
          </w14:textFill>
        </w:rPr>
        <w:t>（6）其他要求：见供应商须知前附表。</w:t>
      </w:r>
    </w:p>
    <w:p w14:paraId="060B6BF0">
      <w:pPr>
        <w:pStyle w:val="76"/>
        <w:spacing w:line="500" w:lineRule="exact"/>
        <w:ind w:firstLine="720" w:firstLineChars="3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1.4.</w:t>
      </w:r>
      <w:r>
        <w:rPr>
          <w:rFonts w:hint="eastAsia" w:ascii="宋体" w:hAnsi="宋体" w:eastAsia="宋体" w:cs="宋体"/>
          <w:color w:val="000000" w:themeColor="text1"/>
          <w:sz w:val="24"/>
          <w:szCs w:val="24"/>
          <w:highlight w:val="none"/>
          <w14:textFill>
            <w14:solidFill>
              <w14:schemeClr w14:val="tx1"/>
            </w14:solidFill>
          </w14:textFill>
        </w:rPr>
        <w:t>2供应商须知前附表规定接受联合体投标的，联合体除应符合本章第</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1.4.</w:t>
      </w:r>
      <w:r>
        <w:rPr>
          <w:rFonts w:hint="eastAsia" w:ascii="宋体" w:hAnsi="宋体" w:eastAsia="宋体" w:cs="宋体"/>
          <w:color w:val="000000" w:themeColor="text1"/>
          <w:sz w:val="24"/>
          <w:szCs w:val="24"/>
          <w:highlight w:val="none"/>
          <w14:textFill>
            <w14:solidFill>
              <w14:schemeClr w14:val="tx1"/>
            </w14:solidFill>
          </w14:textFill>
        </w:rPr>
        <w:t>1项和供应商须知前附表的要求外，还应遵守以下规定：</w:t>
      </w:r>
    </w:p>
    <w:p w14:paraId="5B8F791C">
      <w:pPr>
        <w:pStyle w:val="76"/>
        <w:tabs>
          <w:tab w:val="left" w:pos="1016"/>
        </w:tabs>
        <w:spacing w:line="500" w:lineRule="exact"/>
        <w:ind w:firstLine="720" w:firstLineChars="300"/>
        <w:jc w:val="left"/>
        <w:rPr>
          <w:color w:val="000000" w:themeColor="text1"/>
          <w:sz w:val="24"/>
          <w:szCs w:val="24"/>
          <w:highlight w:val="none"/>
          <w14:textFill>
            <w14:solidFill>
              <w14:schemeClr w14:val="tx1"/>
            </w14:solidFill>
          </w14:textFill>
        </w:rPr>
      </w:pPr>
      <w:bookmarkStart w:id="48" w:name="bookmark72"/>
      <w:bookmarkEnd w:id="48"/>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联合体各方应按竞争性磋商文件提供的格式签订联合体协议书，明确联合体牵头人和各方权利义</w:t>
      </w:r>
      <w:r>
        <w:rPr>
          <w:rFonts w:hint="eastAsia"/>
          <w:color w:val="000000" w:themeColor="text1"/>
          <w:sz w:val="24"/>
          <w:szCs w:val="24"/>
          <w:highlight w:val="none"/>
          <w14:textFill>
            <w14:solidFill>
              <w14:schemeClr w14:val="tx1"/>
            </w14:solidFill>
          </w14:textFill>
        </w:rPr>
        <w:t>务，并承诺就中标项目向采购人承担连带责任；</w:t>
      </w:r>
    </w:p>
    <w:p w14:paraId="12425572">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49" w:name="bookmark73"/>
      <w:bookmarkEnd w:id="49"/>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由同一专业的单位组成的联合体，按照资质等级较低的单位确定资质等级；</w:t>
      </w:r>
    </w:p>
    <w:p w14:paraId="0EAD084E">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50" w:name="bookmark74"/>
      <w:bookmarkEnd w:id="50"/>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3</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联合体各方不得再以自己名义单独或参加其他联合体在同一标段中磋商；</w:t>
      </w:r>
    </w:p>
    <w:p w14:paraId="15559C58">
      <w:pPr>
        <w:pStyle w:val="76"/>
        <w:tabs>
          <w:tab w:val="left" w:pos="1016"/>
        </w:tabs>
        <w:spacing w:line="500" w:lineRule="exact"/>
        <w:ind w:firstLine="720" w:firstLineChars="300"/>
        <w:jc w:val="left"/>
        <w:rPr>
          <w:color w:val="000000" w:themeColor="text1"/>
          <w:sz w:val="24"/>
          <w:szCs w:val="24"/>
          <w:highlight w:val="none"/>
          <w14:textFill>
            <w14:solidFill>
              <w14:schemeClr w14:val="tx1"/>
            </w14:solidFill>
          </w14:textFill>
        </w:rPr>
      </w:pPr>
      <w:bookmarkStart w:id="51" w:name="bookmark75"/>
      <w:bookmarkEnd w:id="51"/>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4</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联合体各方应分别按照本竞争性磋商文件的要求，填写竞争性磋商响应文件中的相应表格, 并由联合体牵头人负责对联合体各成员的资料进行统一汇总后一并提交给采购人；联合体牵头人所提交的竞争性磋商响应文件应认为已代表了联合体各成员的真实情况；</w:t>
      </w:r>
    </w:p>
    <w:p w14:paraId="54AB9EEB">
      <w:pPr>
        <w:pStyle w:val="76"/>
        <w:tabs>
          <w:tab w:val="left" w:pos="1016"/>
        </w:tabs>
        <w:spacing w:line="500" w:lineRule="exact"/>
        <w:ind w:firstLine="720" w:firstLineChars="300"/>
        <w:jc w:val="left"/>
        <w:rPr>
          <w:color w:val="000000" w:themeColor="text1"/>
          <w:sz w:val="24"/>
          <w:szCs w:val="24"/>
          <w:highlight w:val="none"/>
          <w14:textFill>
            <w14:solidFill>
              <w14:schemeClr w14:val="tx1"/>
            </w14:solidFill>
          </w14:textFill>
        </w:rPr>
      </w:pPr>
      <w:bookmarkStart w:id="52" w:name="bookmark76"/>
      <w:bookmarkEnd w:id="52"/>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5</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尽管委任了联合体牵头人，但联合体各成员在投标、签订合同与履行合同过程中，仍负有连带的和各自的法律责任。</w:t>
      </w:r>
    </w:p>
    <w:p w14:paraId="08C2B3DC">
      <w:pPr>
        <w:pStyle w:val="76"/>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1.4.3</w:t>
      </w:r>
      <w:r>
        <w:rPr>
          <w:rFonts w:hint="eastAsia"/>
          <w:color w:val="000000" w:themeColor="text1"/>
          <w:sz w:val="24"/>
          <w:szCs w:val="24"/>
          <w:highlight w:val="none"/>
          <w14:textFill>
            <w14:solidFill>
              <w14:schemeClr w14:val="tx1"/>
            </w14:solidFill>
          </w14:textFill>
        </w:rPr>
        <w:t>供应商(包括联合体各成员)不得与本标段相关单位存在下列关联关系：</w:t>
      </w:r>
    </w:p>
    <w:p w14:paraId="53724A2B">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53" w:name="bookmark77"/>
      <w:bookmarkEnd w:id="53"/>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为采购人不具有独立法人资格的附属机构(单位)；</w:t>
      </w:r>
    </w:p>
    <w:p w14:paraId="1ABB3E0B">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54" w:name="bookmark78"/>
      <w:bookmarkEnd w:id="54"/>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与采购人存在利害关系且可能影响磋商公正性；</w:t>
      </w:r>
    </w:p>
    <w:p w14:paraId="0F24BA33">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55" w:name="bookmark79"/>
      <w:bookmarkEnd w:id="55"/>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3</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与本标段的其他供应商同为一个单位负责人；</w:t>
      </w:r>
    </w:p>
    <w:p w14:paraId="275263E1">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56" w:name="bookmark80"/>
      <w:bookmarkEnd w:id="56"/>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4</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与本标段的其他供应商存在控股、管理关系；</w:t>
      </w:r>
    </w:p>
    <w:p w14:paraId="4CA24C73">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57" w:name="bookmark81"/>
      <w:bookmarkEnd w:id="57"/>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5</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为本标段前期准备提供设计或咨询服务的法人或其任何附属机构(单位)；</w:t>
      </w:r>
    </w:p>
    <w:p w14:paraId="0585544D">
      <w:pPr>
        <w:pStyle w:val="76"/>
        <w:tabs>
          <w:tab w:val="left" w:pos="923"/>
        </w:tabs>
        <w:spacing w:line="500" w:lineRule="exact"/>
        <w:ind w:firstLine="1200" w:firstLineChars="500"/>
        <w:jc w:val="left"/>
        <w:rPr>
          <w:color w:val="000000" w:themeColor="text1"/>
          <w:sz w:val="24"/>
          <w:szCs w:val="24"/>
          <w:highlight w:val="none"/>
          <w14:textFill>
            <w14:solidFill>
              <w14:schemeClr w14:val="tx1"/>
            </w14:solidFill>
          </w14:textFill>
        </w:rPr>
      </w:pPr>
      <w:bookmarkStart w:id="58" w:name="bookmark82"/>
      <w:bookmarkEnd w:id="58"/>
      <w:r>
        <w:rPr>
          <w:rFonts w:hint="eastAsia"/>
          <w:color w:val="000000" w:themeColor="text1"/>
          <w:sz w:val="24"/>
          <w:szCs w:val="24"/>
          <w:highlight w:val="none"/>
          <w:lang w:eastAsia="zh-CN"/>
          <w14:textFill>
            <w14:solidFill>
              <w14:schemeClr w14:val="tx1"/>
            </w14:solidFill>
          </w14:textFill>
        </w:rPr>
        <w:t>①</w:t>
      </w:r>
      <w:r>
        <w:rPr>
          <w:rFonts w:hint="eastAsia"/>
          <w:color w:val="000000" w:themeColor="text1"/>
          <w:sz w:val="24"/>
          <w:szCs w:val="24"/>
          <w:highlight w:val="none"/>
          <w14:textFill>
            <w14:solidFill>
              <w14:schemeClr w14:val="tx1"/>
            </w14:solidFill>
          </w14:textFill>
        </w:rPr>
        <w:t>为本标段的监理人；</w:t>
      </w:r>
    </w:p>
    <w:p w14:paraId="7CA972F3">
      <w:pPr>
        <w:pStyle w:val="76"/>
        <w:tabs>
          <w:tab w:val="left" w:pos="923"/>
        </w:tabs>
        <w:spacing w:line="500" w:lineRule="exact"/>
        <w:ind w:firstLine="1200" w:firstLineChars="500"/>
        <w:jc w:val="left"/>
        <w:rPr>
          <w:color w:val="000000" w:themeColor="text1"/>
          <w:sz w:val="24"/>
          <w:szCs w:val="24"/>
          <w:highlight w:val="none"/>
          <w14:textFill>
            <w14:solidFill>
              <w14:schemeClr w14:val="tx1"/>
            </w14:solidFill>
          </w14:textFill>
        </w:rPr>
      </w:pPr>
      <w:bookmarkStart w:id="59" w:name="bookmark83"/>
      <w:bookmarkEnd w:id="59"/>
      <w:r>
        <w:rPr>
          <w:rFonts w:hint="eastAsia"/>
          <w:color w:val="000000" w:themeColor="text1"/>
          <w:sz w:val="24"/>
          <w:szCs w:val="24"/>
          <w:highlight w:val="none"/>
          <w:lang w:eastAsia="zh-CN"/>
          <w14:textFill>
            <w14:solidFill>
              <w14:schemeClr w14:val="tx1"/>
            </w14:solidFill>
          </w14:textFill>
        </w:rPr>
        <w:t>②</w:t>
      </w:r>
      <w:r>
        <w:rPr>
          <w:rFonts w:hint="eastAsia"/>
          <w:color w:val="000000" w:themeColor="text1"/>
          <w:sz w:val="24"/>
          <w:szCs w:val="24"/>
          <w:highlight w:val="none"/>
          <w14:textFill>
            <w14:solidFill>
              <w14:schemeClr w14:val="tx1"/>
            </w14:solidFill>
          </w14:textFill>
        </w:rPr>
        <w:t>为本标段的代建人；</w:t>
      </w:r>
    </w:p>
    <w:p w14:paraId="11F7705C">
      <w:pPr>
        <w:pStyle w:val="76"/>
        <w:tabs>
          <w:tab w:val="left" w:pos="923"/>
        </w:tabs>
        <w:spacing w:line="500" w:lineRule="exact"/>
        <w:ind w:firstLine="1200" w:firstLineChars="500"/>
        <w:jc w:val="left"/>
        <w:rPr>
          <w:color w:val="000000" w:themeColor="text1"/>
          <w:sz w:val="24"/>
          <w:szCs w:val="24"/>
          <w:highlight w:val="none"/>
          <w14:textFill>
            <w14:solidFill>
              <w14:schemeClr w14:val="tx1"/>
            </w14:solidFill>
          </w14:textFill>
        </w:rPr>
      </w:pPr>
      <w:bookmarkStart w:id="60" w:name="bookmark84"/>
      <w:bookmarkEnd w:id="60"/>
      <w:r>
        <w:rPr>
          <w:rFonts w:hint="eastAsia"/>
          <w:color w:val="000000" w:themeColor="text1"/>
          <w:sz w:val="24"/>
          <w:szCs w:val="24"/>
          <w:highlight w:val="none"/>
          <w:lang w:eastAsia="zh-CN"/>
          <w14:textFill>
            <w14:solidFill>
              <w14:schemeClr w14:val="tx1"/>
            </w14:solidFill>
          </w14:textFill>
        </w:rPr>
        <w:t>③</w:t>
      </w:r>
      <w:r>
        <w:rPr>
          <w:rFonts w:hint="eastAsia"/>
          <w:color w:val="000000" w:themeColor="text1"/>
          <w:sz w:val="24"/>
          <w:szCs w:val="24"/>
          <w:highlight w:val="none"/>
          <w14:textFill>
            <w14:solidFill>
              <w14:schemeClr w14:val="tx1"/>
            </w14:solidFill>
          </w14:textFill>
        </w:rPr>
        <w:t>为本标段的磋商代理机构；</w:t>
      </w:r>
    </w:p>
    <w:p w14:paraId="71C390CD">
      <w:pPr>
        <w:pStyle w:val="76"/>
        <w:tabs>
          <w:tab w:val="left" w:pos="923"/>
        </w:tabs>
        <w:spacing w:line="500" w:lineRule="exact"/>
        <w:ind w:firstLine="1200" w:firstLineChars="500"/>
        <w:jc w:val="left"/>
        <w:rPr>
          <w:color w:val="000000" w:themeColor="text1"/>
          <w:sz w:val="24"/>
          <w:szCs w:val="24"/>
          <w:highlight w:val="none"/>
          <w14:textFill>
            <w14:solidFill>
              <w14:schemeClr w14:val="tx1"/>
            </w14:solidFill>
          </w14:textFill>
        </w:rPr>
      </w:pPr>
      <w:bookmarkStart w:id="61" w:name="bookmark85"/>
      <w:bookmarkEnd w:id="61"/>
      <w:r>
        <w:rPr>
          <w:rFonts w:hint="eastAsia"/>
          <w:color w:val="000000" w:themeColor="text1"/>
          <w:sz w:val="24"/>
          <w:szCs w:val="24"/>
          <w:highlight w:val="none"/>
          <w:lang w:eastAsia="zh-CN"/>
          <w14:textFill>
            <w14:solidFill>
              <w14:schemeClr w14:val="tx1"/>
            </w14:solidFill>
          </w14:textFill>
        </w:rPr>
        <w:t>④</w:t>
      </w:r>
      <w:r>
        <w:rPr>
          <w:rFonts w:hint="eastAsia"/>
          <w:color w:val="000000" w:themeColor="text1"/>
          <w:sz w:val="24"/>
          <w:szCs w:val="24"/>
          <w:highlight w:val="none"/>
          <w14:textFill>
            <w14:solidFill>
              <w14:schemeClr w14:val="tx1"/>
            </w14:solidFill>
          </w14:textFill>
        </w:rPr>
        <w:t>与本标段的监理人或代建人或磋商代理机构同为一个法定代表人；</w:t>
      </w:r>
    </w:p>
    <w:p w14:paraId="162D9A09">
      <w:pPr>
        <w:pStyle w:val="76"/>
        <w:tabs>
          <w:tab w:val="left" w:pos="1029"/>
        </w:tabs>
        <w:spacing w:line="500" w:lineRule="exact"/>
        <w:ind w:firstLine="1200" w:firstLineChars="500"/>
        <w:jc w:val="left"/>
        <w:rPr>
          <w:color w:val="000000" w:themeColor="text1"/>
          <w:sz w:val="24"/>
          <w:szCs w:val="24"/>
          <w:highlight w:val="none"/>
          <w14:textFill>
            <w14:solidFill>
              <w14:schemeClr w14:val="tx1"/>
            </w14:solidFill>
          </w14:textFill>
        </w:rPr>
      </w:pPr>
      <w:bookmarkStart w:id="62" w:name="bookmark86"/>
      <w:bookmarkEnd w:id="62"/>
      <w:r>
        <w:rPr>
          <w:rFonts w:hint="eastAsia"/>
          <w:color w:val="000000" w:themeColor="text1"/>
          <w:sz w:val="24"/>
          <w:szCs w:val="24"/>
          <w:highlight w:val="none"/>
          <w:lang w:eastAsia="zh-CN"/>
          <w14:textFill>
            <w14:solidFill>
              <w14:schemeClr w14:val="tx1"/>
            </w14:solidFill>
          </w14:textFill>
        </w:rPr>
        <w:t>⑤</w:t>
      </w:r>
      <w:r>
        <w:rPr>
          <w:rFonts w:hint="eastAsia"/>
          <w:color w:val="000000" w:themeColor="text1"/>
          <w:sz w:val="24"/>
          <w:szCs w:val="24"/>
          <w:highlight w:val="none"/>
          <w14:textFill>
            <w14:solidFill>
              <w14:schemeClr w14:val="tx1"/>
            </w14:solidFill>
          </w14:textFill>
        </w:rPr>
        <w:t>与本标段的监理人或代建人或磋商代理机构存在控股或参股关系；</w:t>
      </w:r>
    </w:p>
    <w:p w14:paraId="67584147">
      <w:pPr>
        <w:pStyle w:val="76"/>
        <w:tabs>
          <w:tab w:val="left" w:pos="1029"/>
        </w:tabs>
        <w:spacing w:line="500" w:lineRule="exact"/>
        <w:ind w:firstLine="1200" w:firstLineChars="500"/>
        <w:jc w:val="left"/>
        <w:rPr>
          <w:color w:val="000000" w:themeColor="text1"/>
          <w:sz w:val="24"/>
          <w:szCs w:val="24"/>
          <w:highlight w:val="none"/>
          <w14:textFill>
            <w14:solidFill>
              <w14:schemeClr w14:val="tx1"/>
            </w14:solidFill>
          </w14:textFill>
        </w:rPr>
      </w:pPr>
      <w:bookmarkStart w:id="63" w:name="bookmark87"/>
      <w:bookmarkEnd w:id="63"/>
      <w:r>
        <w:rPr>
          <w:rFonts w:hint="eastAsia"/>
          <w:color w:val="000000" w:themeColor="text1"/>
          <w:sz w:val="24"/>
          <w:szCs w:val="24"/>
          <w:highlight w:val="none"/>
          <w:lang w:eastAsia="zh-CN"/>
          <w14:textFill>
            <w14:solidFill>
              <w14:schemeClr w14:val="tx1"/>
            </w14:solidFill>
          </w14:textFill>
        </w:rPr>
        <w:t>⑥</w:t>
      </w:r>
      <w:r>
        <w:rPr>
          <w:rFonts w:hint="eastAsia"/>
          <w:color w:val="000000" w:themeColor="text1"/>
          <w:sz w:val="24"/>
          <w:szCs w:val="24"/>
          <w:highlight w:val="none"/>
          <w14:textFill>
            <w14:solidFill>
              <w14:schemeClr w14:val="tx1"/>
            </w14:solidFill>
          </w14:textFill>
        </w:rPr>
        <w:t>法律法规或供应商须知前附表规定的其他情形。</w:t>
      </w:r>
    </w:p>
    <w:p w14:paraId="1C274D21">
      <w:pPr>
        <w:pStyle w:val="76"/>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1.4.4</w:t>
      </w:r>
      <w:r>
        <w:rPr>
          <w:rFonts w:hint="eastAsia"/>
          <w:color w:val="000000" w:themeColor="text1"/>
          <w:sz w:val="24"/>
          <w:szCs w:val="24"/>
          <w:highlight w:val="none"/>
          <w14:textFill>
            <w14:solidFill>
              <w14:schemeClr w14:val="tx1"/>
            </w14:solidFill>
          </w14:textFill>
        </w:rPr>
        <w:t>供应商(包括联合体各成员)不得存在下列不良状况或不良信用记录：</w:t>
      </w:r>
    </w:p>
    <w:p w14:paraId="487CED40">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64" w:name="bookmark88"/>
      <w:bookmarkEnd w:id="64"/>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被省级及以上主管部门取消磋商项目所在地的投标资格且处于有效期内；</w:t>
      </w:r>
    </w:p>
    <w:p w14:paraId="54C69277">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65" w:name="bookmark89"/>
      <w:bookmarkEnd w:id="65"/>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被责令停业，暂扣或吊销执照，或吊销资质证书；</w:t>
      </w:r>
    </w:p>
    <w:p w14:paraId="5D9DB1B6">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66" w:name="bookmark90"/>
      <w:bookmarkEnd w:id="66"/>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3</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进入清算程序，或被宣告破产，或其他丧失履约能力的情形；</w:t>
      </w:r>
    </w:p>
    <w:p w14:paraId="1051AB0D">
      <w:pPr>
        <w:keepNext w:val="0"/>
        <w:keepLines w:val="0"/>
        <w:pageBreakBefore w:val="0"/>
        <w:widowControl w:val="0"/>
        <w:kinsoku/>
        <w:wordWrap/>
        <w:overflowPunct/>
        <w:topLinePunct w:val="0"/>
        <w:autoSpaceDE/>
        <w:autoSpaceDN/>
        <w:bidi w:val="0"/>
        <w:adjustRightInd/>
        <w:snapToGrid/>
        <w:spacing w:line="500" w:lineRule="exact"/>
        <w:ind w:firstLine="720" w:firstLineChars="300"/>
        <w:textAlignment w:val="auto"/>
        <w:rPr>
          <w:rFonts w:hint="eastAsia" w:ascii="宋体" w:hAnsi="宋体" w:eastAsia="宋体" w:cs="宋体"/>
          <w:sz w:val="24"/>
          <w:szCs w:val="24"/>
          <w:highlight w:val="none"/>
        </w:rPr>
      </w:pPr>
      <w:bookmarkStart w:id="67" w:name="bookmark91"/>
      <w:bookmarkEnd w:id="67"/>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被工商行政管理机关在全国企业信用信息公示系统</w:t>
      </w:r>
    </w:p>
    <w:p w14:paraId="092C7D7F">
      <w:pPr>
        <w:keepNext w:val="0"/>
        <w:keepLines w:val="0"/>
        <w:pageBreakBefore w:val="0"/>
        <w:widowControl w:val="0"/>
        <w:kinsoku/>
        <w:wordWrap/>
        <w:overflowPunct/>
        <w:topLinePunct w:val="0"/>
        <w:autoSpaceDE/>
        <w:autoSpaceDN/>
        <w:bidi w:val="0"/>
        <w:adjustRightInd/>
        <w:snapToGrid/>
        <w:spacing w:line="500" w:lineRule="exact"/>
        <w:ind w:firstLine="720" w:firstLineChars="3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（http://www.gsxt.gov.cn/）中列入严重违法失信企业名单；</w:t>
      </w:r>
    </w:p>
    <w:p w14:paraId="74116599">
      <w:pPr>
        <w:keepNext w:val="0"/>
        <w:keepLines w:val="0"/>
        <w:pageBreakBefore w:val="0"/>
        <w:widowControl w:val="0"/>
        <w:kinsoku/>
        <w:wordWrap/>
        <w:overflowPunct/>
        <w:topLinePunct w:val="0"/>
        <w:autoSpaceDE/>
        <w:autoSpaceDN/>
        <w:bidi w:val="0"/>
        <w:adjustRightInd/>
        <w:snapToGrid/>
        <w:spacing w:line="500" w:lineRule="exact"/>
        <w:ind w:firstLine="720" w:firstLineChars="3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）被列入</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信用</w:t>
      </w:r>
      <w:r>
        <w:rPr>
          <w:rFonts w:hint="eastAsia" w:ascii="宋体" w:hAnsi="宋体" w:eastAsia="宋体" w:cs="宋体"/>
          <w:sz w:val="24"/>
          <w:szCs w:val="24"/>
          <w:highlight w:val="none"/>
          <w:lang w:val="zh-CN"/>
        </w:rPr>
        <w:t>中国”</w:t>
      </w:r>
      <w:r>
        <w:rPr>
          <w:rFonts w:hint="eastAsia" w:ascii="宋体" w:hAnsi="宋体" w:eastAsia="宋体" w:cs="宋体"/>
          <w:sz w:val="24"/>
          <w:szCs w:val="24"/>
          <w:highlight w:val="none"/>
        </w:rPr>
        <w:t>网站（www.creditchina.gov.cn）、中国政府采购网（www.ccgp.gov.cn）等渠道信用记录失信被执行人、</w:t>
      </w:r>
      <w:r>
        <w:rPr>
          <w:rFonts w:hint="eastAsia" w:ascii="宋体" w:hAnsi="宋体" w:eastAsia="宋体" w:cs="宋体"/>
          <w:sz w:val="24"/>
          <w:szCs w:val="24"/>
          <w:highlight w:val="none"/>
          <w:lang w:eastAsia="zh-CN"/>
        </w:rPr>
        <w:t>重大税收违法失信主体</w:t>
      </w:r>
      <w:r>
        <w:rPr>
          <w:rFonts w:hint="eastAsia" w:ascii="宋体" w:hAnsi="宋体" w:eastAsia="宋体" w:cs="宋体"/>
          <w:sz w:val="24"/>
          <w:szCs w:val="24"/>
          <w:highlight w:val="none"/>
        </w:rPr>
        <w:t>、政府采购严重违法失信行为记录名单；</w:t>
      </w:r>
    </w:p>
    <w:p w14:paraId="15396CFC">
      <w:pPr>
        <w:keepNext w:val="0"/>
        <w:keepLines w:val="0"/>
        <w:pageBreakBefore w:val="0"/>
        <w:widowControl w:val="0"/>
        <w:kinsoku/>
        <w:wordWrap/>
        <w:overflowPunct/>
        <w:topLinePunct w:val="0"/>
        <w:autoSpaceDE/>
        <w:autoSpaceDN/>
        <w:bidi w:val="0"/>
        <w:adjustRightInd/>
        <w:snapToGrid/>
        <w:spacing w:line="500" w:lineRule="exact"/>
        <w:ind w:firstLine="720" w:firstLineChars="3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）在近三年内</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或其法定代表人、拟委任的项目负责人有行贿犯罪行为的；</w:t>
      </w:r>
    </w:p>
    <w:p w14:paraId="2B63D01D">
      <w:pPr>
        <w:pStyle w:val="76"/>
        <w:tabs>
          <w:tab w:val="left" w:pos="923"/>
        </w:tabs>
        <w:spacing w:after="160" w:line="500" w:lineRule="exact"/>
        <w:ind w:firstLine="720" w:firstLineChars="300"/>
        <w:jc w:val="left"/>
        <w:rPr>
          <w:color w:val="000000" w:themeColor="text1"/>
          <w:sz w:val="24"/>
          <w:szCs w:val="24"/>
          <w:highlight w:val="none"/>
          <w14:textFill>
            <w14:solidFill>
              <w14:schemeClr w14:val="tx1"/>
            </w14:solidFill>
          </w14:textFill>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）法律法规或</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须知前附表规定的其他情形。</w:t>
      </w:r>
    </w:p>
    <w:p w14:paraId="66D15AD3">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1.</w:t>
      </w:r>
      <w:r>
        <w:rPr>
          <w:rFonts w:hint="eastAsia"/>
          <w:b/>
          <w:bCs/>
          <w:color w:val="000000" w:themeColor="text1"/>
          <w:sz w:val="24"/>
          <w:szCs w:val="24"/>
          <w:highlight w:val="none"/>
          <w14:textFill>
            <w14:solidFill>
              <w14:schemeClr w14:val="tx1"/>
            </w14:solidFill>
          </w14:textFill>
        </w:rPr>
        <w:t>5费用承担</w:t>
      </w:r>
    </w:p>
    <w:p w14:paraId="0BB2C071">
      <w:pPr>
        <w:pStyle w:val="76"/>
        <w:spacing w:after="160"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供应商准备和参加投标活动发生的费用自理。</w:t>
      </w:r>
    </w:p>
    <w:p w14:paraId="73A5D6A1">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1.6</w:t>
      </w:r>
      <w:r>
        <w:rPr>
          <w:rFonts w:hint="eastAsia"/>
          <w:b/>
          <w:bCs/>
          <w:color w:val="000000" w:themeColor="text1"/>
          <w:sz w:val="24"/>
          <w:szCs w:val="24"/>
          <w:highlight w:val="none"/>
          <w14:textFill>
            <w14:solidFill>
              <w14:schemeClr w14:val="tx1"/>
            </w14:solidFill>
          </w14:textFill>
        </w:rPr>
        <w:t>保密</w:t>
      </w:r>
    </w:p>
    <w:p w14:paraId="402CD04A">
      <w:pPr>
        <w:pStyle w:val="76"/>
        <w:spacing w:after="160" w:line="500" w:lineRule="exact"/>
        <w:ind w:firstLine="44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参与磋商活动的各方应对竞争性磋商文件和响应文件中的商业和技术等秘密保密，违者应对由此造成的后果承担法律责任。</w:t>
      </w:r>
    </w:p>
    <w:p w14:paraId="0954050C">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1.7</w:t>
      </w:r>
      <w:r>
        <w:rPr>
          <w:rFonts w:hint="eastAsia"/>
          <w:b/>
          <w:bCs/>
          <w:color w:val="000000" w:themeColor="text1"/>
          <w:sz w:val="24"/>
          <w:szCs w:val="24"/>
          <w:highlight w:val="none"/>
          <w14:textFill>
            <w14:solidFill>
              <w14:schemeClr w14:val="tx1"/>
            </w14:solidFill>
          </w14:textFill>
        </w:rPr>
        <w:t>语言文字</w:t>
      </w:r>
    </w:p>
    <w:p w14:paraId="6663B845">
      <w:pPr>
        <w:pStyle w:val="76"/>
        <w:spacing w:after="160"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除专用术语外，与磋商有关的语言均使用中文。必要时专用术语应附有中文注释。</w:t>
      </w:r>
    </w:p>
    <w:p w14:paraId="7EB8FEAF">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1.</w:t>
      </w:r>
      <w:r>
        <w:rPr>
          <w:rFonts w:hint="eastAsia"/>
          <w:b/>
          <w:bCs/>
          <w:color w:val="000000" w:themeColor="text1"/>
          <w:sz w:val="24"/>
          <w:szCs w:val="24"/>
          <w:highlight w:val="none"/>
          <w14:textFill>
            <w14:solidFill>
              <w14:schemeClr w14:val="tx1"/>
            </w14:solidFill>
          </w14:textFill>
        </w:rPr>
        <w:t>8计量单位</w:t>
      </w:r>
    </w:p>
    <w:p w14:paraId="72B012EF">
      <w:pPr>
        <w:pStyle w:val="76"/>
        <w:spacing w:after="160"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所有计量均采用中华人民共和国法定计量单位。</w:t>
      </w:r>
    </w:p>
    <w:p w14:paraId="3FF49EC8">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1.</w:t>
      </w:r>
      <w:r>
        <w:rPr>
          <w:rFonts w:hint="eastAsia"/>
          <w:b/>
          <w:bCs/>
          <w:color w:val="000000" w:themeColor="text1"/>
          <w:sz w:val="24"/>
          <w:szCs w:val="24"/>
          <w:highlight w:val="none"/>
          <w14:textFill>
            <w14:solidFill>
              <w14:schemeClr w14:val="tx1"/>
            </w14:solidFill>
          </w14:textFill>
        </w:rPr>
        <w:t>9踏勘现场</w:t>
      </w:r>
    </w:p>
    <w:p w14:paraId="1413C010">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1.9.1</w:t>
      </w:r>
      <w:r>
        <w:rPr>
          <w:rFonts w:hint="eastAsia"/>
          <w:color w:val="000000" w:themeColor="text1"/>
          <w:sz w:val="24"/>
          <w:szCs w:val="24"/>
          <w:highlight w:val="none"/>
          <w14:textFill>
            <w14:solidFill>
              <w14:schemeClr w14:val="tx1"/>
            </w14:solidFill>
          </w14:textFill>
        </w:rPr>
        <w:t>供应商须知前附表规定组织踏勘现场的，采购人按供应商须知前附表规定的时间、地点组织供应商踏勘项目现场。</w:t>
      </w:r>
    </w:p>
    <w:p w14:paraId="5E80630F">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1.9.2</w:t>
      </w:r>
      <w:r>
        <w:rPr>
          <w:rFonts w:hint="eastAsia"/>
          <w:color w:val="000000" w:themeColor="text1"/>
          <w:sz w:val="24"/>
          <w:szCs w:val="24"/>
          <w:highlight w:val="none"/>
          <w14:textFill>
            <w14:solidFill>
              <w14:schemeClr w14:val="tx1"/>
            </w14:solidFill>
          </w14:textFill>
        </w:rPr>
        <w:t>供应商踏勘现场发生的费用自理。</w:t>
      </w:r>
    </w:p>
    <w:p w14:paraId="32C34DEA">
      <w:pPr>
        <w:pStyle w:val="76"/>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1.9.3</w:t>
      </w:r>
      <w:r>
        <w:rPr>
          <w:rFonts w:hint="eastAsia"/>
          <w:color w:val="000000" w:themeColor="text1"/>
          <w:sz w:val="24"/>
          <w:szCs w:val="24"/>
          <w:highlight w:val="none"/>
          <w14:textFill>
            <w14:solidFill>
              <w14:schemeClr w14:val="tx1"/>
            </w14:solidFill>
          </w14:textFill>
        </w:rPr>
        <w:t>除采购人的原因外，供应商自行负责在踏勘现场中所发生的人员伤亡和财产损失。</w:t>
      </w:r>
    </w:p>
    <w:p w14:paraId="6D7DC37B">
      <w:pPr>
        <w:pStyle w:val="76"/>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1.9.4</w:t>
      </w:r>
      <w:r>
        <w:rPr>
          <w:rFonts w:hint="eastAsia"/>
          <w:color w:val="000000" w:themeColor="text1"/>
          <w:sz w:val="24"/>
          <w:szCs w:val="24"/>
          <w:highlight w:val="none"/>
          <w14:textFill>
            <w14:solidFill>
              <w14:schemeClr w14:val="tx1"/>
            </w14:solidFill>
          </w14:textFill>
        </w:rPr>
        <w:t>采购人在踏勘现场中介绍的工程场地和相关的周边环境情况，仅供供应商在编制响应文件时参考，采购人不对供应商据此作岀的判断和决策负责。</w:t>
      </w:r>
    </w:p>
    <w:p w14:paraId="23F071FC">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1.</w:t>
      </w:r>
      <w:r>
        <w:rPr>
          <w:rFonts w:hint="eastAsia"/>
          <w:b/>
          <w:bCs/>
          <w:color w:val="000000" w:themeColor="text1"/>
          <w:sz w:val="24"/>
          <w:szCs w:val="24"/>
          <w:highlight w:val="none"/>
          <w14:textFill>
            <w14:solidFill>
              <w14:schemeClr w14:val="tx1"/>
            </w14:solidFill>
          </w14:textFill>
        </w:rPr>
        <w:t>10磋商答疑会</w:t>
      </w:r>
    </w:p>
    <w:p w14:paraId="5211F56E">
      <w:pPr>
        <w:pStyle w:val="76"/>
        <w:spacing w:line="500" w:lineRule="exact"/>
        <w:ind w:firstLine="720" w:firstLineChars="30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1.10.1</w:t>
      </w:r>
      <w:r>
        <w:rPr>
          <w:rFonts w:hint="eastAsia"/>
          <w:color w:val="000000" w:themeColor="text1"/>
          <w:sz w:val="24"/>
          <w:szCs w:val="24"/>
          <w:highlight w:val="none"/>
          <w14:textFill>
            <w14:solidFill>
              <w14:schemeClr w14:val="tx1"/>
            </w14:solidFill>
          </w14:textFill>
        </w:rPr>
        <w:t>供应商须知前附表规定召开磋商答疑会的，采购人按供应商须知前附表规定的时间和地点召开磋商答疑会，澄清供应商提岀的问题。</w:t>
      </w:r>
    </w:p>
    <w:p w14:paraId="51DAD592">
      <w:pPr>
        <w:pStyle w:val="76"/>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1.10.2</w:t>
      </w:r>
      <w:r>
        <w:rPr>
          <w:rFonts w:hint="eastAsia"/>
          <w:color w:val="000000" w:themeColor="text1"/>
          <w:sz w:val="24"/>
          <w:szCs w:val="24"/>
          <w:highlight w:val="none"/>
          <w14:textFill>
            <w14:solidFill>
              <w14:schemeClr w14:val="tx1"/>
            </w14:solidFill>
          </w14:textFill>
        </w:rPr>
        <w:t>供应商应在供应商须知前附表规定的时间前，以书面形式将提岀的问题送达采购人，以便采购人澄清。</w:t>
      </w:r>
    </w:p>
    <w:p w14:paraId="7E9AB18B">
      <w:pPr>
        <w:pStyle w:val="76"/>
        <w:spacing w:after="160"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1.10.3</w:t>
      </w:r>
      <w:r>
        <w:rPr>
          <w:rFonts w:hint="eastAsia"/>
          <w:color w:val="000000" w:themeColor="text1"/>
          <w:sz w:val="24"/>
          <w:szCs w:val="24"/>
          <w:highlight w:val="none"/>
          <w14:textFill>
            <w14:solidFill>
              <w14:schemeClr w14:val="tx1"/>
            </w14:solidFill>
          </w14:textFill>
        </w:rPr>
        <w:t>磋商答疑会后，采购人在供应商须知前附表规定的时间内，对供应商所提问题的澄清，将以书面形式通知所有潜在供应商。该澄清内容为竞争性磋商文件的组成部分。</w:t>
      </w:r>
    </w:p>
    <w:p w14:paraId="6651CCC0">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1.</w:t>
      </w:r>
      <w:r>
        <w:rPr>
          <w:rFonts w:hint="eastAsia"/>
          <w:b/>
          <w:bCs/>
          <w:color w:val="000000" w:themeColor="text1"/>
          <w:sz w:val="24"/>
          <w:szCs w:val="24"/>
          <w:highlight w:val="none"/>
          <w14:textFill>
            <w14:solidFill>
              <w14:schemeClr w14:val="tx1"/>
            </w14:solidFill>
          </w14:textFill>
        </w:rPr>
        <w:t>11分包</w:t>
      </w:r>
    </w:p>
    <w:p w14:paraId="4E352444">
      <w:pPr>
        <w:pStyle w:val="76"/>
        <w:spacing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供应商拟在成交后将成交项目的部分非主体、非关键性工作进行分包的，应符合供应商须知前附表规定的分包内容、分包金额和接受分包的第三人资质要求等限制性条件。</w:t>
      </w:r>
    </w:p>
    <w:p w14:paraId="3424F88B">
      <w:pPr>
        <w:pStyle w:val="76"/>
        <w:spacing w:after="160"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供应商成交后直至验收止，成交供应商不得以任何形式和理由转包或者分包，如岀现上述情形,采购人向财政部门提岀申请并经批准后，可取消其成交资格，并与其解除合同</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由此引起的经济损 失全部由成交供应商承担。</w:t>
      </w:r>
      <w:bookmarkStart w:id="68" w:name="bookmark94"/>
      <w:bookmarkEnd w:id="68"/>
    </w:p>
    <w:p w14:paraId="3A97E7F6">
      <w:pPr>
        <w:pStyle w:val="76"/>
        <w:spacing w:after="160" w:line="500" w:lineRule="exact"/>
        <w:ind w:firstLine="482" w:firstLineChars="200"/>
        <w:jc w:val="left"/>
        <w:rPr>
          <w:b/>
          <w:bCs/>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14:textFill>
            <w14:solidFill>
              <w14:schemeClr w14:val="tx1"/>
            </w14:solidFill>
          </w14:textFill>
        </w:rPr>
        <w:t>1.</w:t>
      </w:r>
      <w:r>
        <w:rPr>
          <w:rFonts w:hint="eastAsia"/>
          <w:b/>
          <w:bCs/>
          <w:color w:val="000000" w:themeColor="text1"/>
          <w:sz w:val="24"/>
          <w:szCs w:val="24"/>
          <w:highlight w:val="none"/>
          <w:lang w:val="zh-CN" w:eastAsia="zh-CN" w:bidi="zh-CN"/>
          <w14:textFill>
            <w14:solidFill>
              <w14:schemeClr w14:val="tx1"/>
            </w14:solidFill>
          </w14:textFill>
        </w:rPr>
        <w:t>12</w:t>
      </w:r>
      <w:r>
        <w:rPr>
          <w:rFonts w:hint="eastAsia"/>
          <w:b/>
          <w:bCs/>
          <w:color w:val="000000" w:themeColor="text1"/>
          <w:sz w:val="24"/>
          <w:szCs w:val="24"/>
          <w:highlight w:val="none"/>
          <w14:textFill>
            <w14:solidFill>
              <w14:schemeClr w14:val="tx1"/>
            </w14:solidFill>
          </w14:textFill>
        </w:rPr>
        <w:t>偏离</w:t>
      </w:r>
    </w:p>
    <w:p w14:paraId="362CE9EB">
      <w:pPr>
        <w:pStyle w:val="76"/>
        <w:spacing w:after="160" w:line="500" w:lineRule="exact"/>
        <w:ind w:firstLine="44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供应商须知前附表允许响应文件偏离竞争性磋商文件某些要求的，偏离应当符合竞争性磋商文件规定的偏离范围和幅度。</w:t>
      </w:r>
    </w:p>
    <w:p w14:paraId="6F0BDCBE">
      <w:pPr>
        <w:pStyle w:val="76"/>
        <w:tabs>
          <w:tab w:val="left" w:pos="363"/>
        </w:tabs>
        <w:spacing w:after="160" w:line="500" w:lineRule="exact"/>
        <w:ind w:firstLine="241" w:firstLineChars="100"/>
        <w:jc w:val="left"/>
        <w:rPr>
          <w:color w:val="000000" w:themeColor="text1"/>
          <w:sz w:val="24"/>
          <w:szCs w:val="24"/>
          <w:highlight w:val="none"/>
          <w14:textFill>
            <w14:solidFill>
              <w14:schemeClr w14:val="tx1"/>
            </w14:solidFill>
          </w14:textFill>
        </w:rPr>
      </w:pPr>
      <w:bookmarkStart w:id="69" w:name="bookmark95"/>
      <w:bookmarkEnd w:id="69"/>
      <w:r>
        <w:rPr>
          <w:rFonts w:hint="eastAsia"/>
          <w:b/>
          <w:bCs/>
          <w:color w:val="000000" w:themeColor="text1"/>
          <w:sz w:val="24"/>
          <w:szCs w:val="24"/>
          <w:highlight w:val="none"/>
          <w:lang w:val="en-US" w:eastAsia="zh-CN"/>
          <w14:textFill>
            <w14:solidFill>
              <w14:schemeClr w14:val="tx1"/>
            </w14:solidFill>
          </w14:textFill>
        </w:rPr>
        <w:t>2.</w:t>
      </w:r>
      <w:r>
        <w:rPr>
          <w:rFonts w:hint="eastAsia"/>
          <w:b/>
          <w:bCs/>
          <w:color w:val="000000" w:themeColor="text1"/>
          <w:sz w:val="24"/>
          <w:szCs w:val="24"/>
          <w:highlight w:val="none"/>
          <w14:textFill>
            <w14:solidFill>
              <w14:schemeClr w14:val="tx1"/>
            </w14:solidFill>
          </w14:textFill>
        </w:rPr>
        <w:t>竞争性磋商文件</w:t>
      </w:r>
    </w:p>
    <w:p w14:paraId="1D093061">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2.1</w:t>
      </w:r>
      <w:r>
        <w:rPr>
          <w:rFonts w:hint="eastAsia"/>
          <w:b/>
          <w:bCs/>
          <w:color w:val="000000" w:themeColor="text1"/>
          <w:sz w:val="24"/>
          <w:szCs w:val="24"/>
          <w:highlight w:val="none"/>
          <w14:textFill>
            <w14:solidFill>
              <w14:schemeClr w14:val="tx1"/>
            </w14:solidFill>
          </w14:textFill>
        </w:rPr>
        <w:t>竞争性磋商文件的组成</w:t>
      </w:r>
    </w:p>
    <w:p w14:paraId="111E7107">
      <w:pPr>
        <w:pStyle w:val="76"/>
        <w:spacing w:line="500" w:lineRule="exact"/>
        <w:ind w:firstLine="44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本竞争性磋商文件包括：</w:t>
      </w:r>
    </w:p>
    <w:p w14:paraId="57012AB2">
      <w:pPr>
        <w:pStyle w:val="76"/>
        <w:tabs>
          <w:tab w:val="left" w:pos="894"/>
        </w:tabs>
        <w:spacing w:line="500" w:lineRule="exact"/>
        <w:ind w:firstLine="480" w:firstLineChars="200"/>
        <w:rPr>
          <w:color w:val="000000" w:themeColor="text1"/>
          <w:sz w:val="24"/>
          <w:szCs w:val="24"/>
          <w:highlight w:val="none"/>
          <w14:textFill>
            <w14:solidFill>
              <w14:schemeClr w14:val="tx1"/>
            </w14:solidFill>
          </w14:textFill>
        </w:rPr>
      </w:pPr>
      <w:bookmarkStart w:id="70" w:name="bookmark96"/>
      <w:bookmarkEnd w:id="70"/>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竞争性磋商公告；</w:t>
      </w:r>
    </w:p>
    <w:p w14:paraId="1628A7F5">
      <w:pPr>
        <w:pStyle w:val="76"/>
        <w:tabs>
          <w:tab w:val="left" w:pos="894"/>
        </w:tabs>
        <w:spacing w:line="500" w:lineRule="exact"/>
        <w:ind w:firstLine="480" w:firstLineChars="200"/>
        <w:rPr>
          <w:color w:val="000000" w:themeColor="text1"/>
          <w:sz w:val="24"/>
          <w:szCs w:val="24"/>
          <w:highlight w:val="none"/>
          <w14:textFill>
            <w14:solidFill>
              <w14:schemeClr w14:val="tx1"/>
            </w14:solidFill>
          </w14:textFill>
        </w:rPr>
      </w:pPr>
      <w:bookmarkStart w:id="71" w:name="bookmark97"/>
      <w:bookmarkEnd w:id="71"/>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供应商须知；</w:t>
      </w:r>
    </w:p>
    <w:p w14:paraId="5155B412">
      <w:pPr>
        <w:pStyle w:val="76"/>
        <w:tabs>
          <w:tab w:val="left" w:pos="894"/>
        </w:tabs>
        <w:spacing w:line="500" w:lineRule="exact"/>
        <w:ind w:firstLine="480" w:firstLineChars="200"/>
        <w:rPr>
          <w:color w:val="000000" w:themeColor="text1"/>
          <w:sz w:val="24"/>
          <w:szCs w:val="24"/>
          <w:highlight w:val="none"/>
          <w14:textFill>
            <w14:solidFill>
              <w14:schemeClr w14:val="tx1"/>
            </w14:solidFill>
          </w14:textFill>
        </w:rPr>
      </w:pPr>
      <w:bookmarkStart w:id="72" w:name="bookmark98"/>
      <w:bookmarkEnd w:id="72"/>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3</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竞争性磋商评标</w:t>
      </w:r>
      <w:r>
        <w:rPr>
          <w:rFonts w:hint="eastAsia"/>
          <w:color w:val="000000" w:themeColor="text1"/>
          <w:sz w:val="24"/>
          <w:szCs w:val="24"/>
          <w:highlight w:val="none"/>
          <w14:textFill>
            <w14:solidFill>
              <w14:schemeClr w14:val="tx1"/>
            </w14:solidFill>
          </w14:textFill>
        </w:rPr>
        <w:t>办法(综合评分法)；</w:t>
      </w:r>
    </w:p>
    <w:p w14:paraId="2A8753A1">
      <w:pPr>
        <w:pStyle w:val="76"/>
        <w:tabs>
          <w:tab w:val="left" w:pos="894"/>
        </w:tabs>
        <w:spacing w:line="500" w:lineRule="exact"/>
        <w:ind w:firstLine="480" w:firstLineChars="200"/>
        <w:rPr>
          <w:color w:val="000000" w:themeColor="text1"/>
          <w:sz w:val="24"/>
          <w:szCs w:val="24"/>
          <w:highlight w:val="none"/>
          <w14:textFill>
            <w14:solidFill>
              <w14:schemeClr w14:val="tx1"/>
            </w14:solidFill>
          </w14:textFill>
        </w:rPr>
      </w:pPr>
      <w:bookmarkStart w:id="73" w:name="bookmark99"/>
      <w:bookmarkEnd w:id="73"/>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4</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政府采购合同书格式</w:t>
      </w:r>
      <w:r>
        <w:rPr>
          <w:rFonts w:hint="eastAsia"/>
          <w:color w:val="000000" w:themeColor="text1"/>
          <w:sz w:val="24"/>
          <w:szCs w:val="24"/>
          <w:highlight w:val="none"/>
          <w14:textFill>
            <w14:solidFill>
              <w14:schemeClr w14:val="tx1"/>
            </w14:solidFill>
          </w14:textFill>
        </w:rPr>
        <w:t>及条款；</w:t>
      </w:r>
    </w:p>
    <w:p w14:paraId="71FF51F1">
      <w:pPr>
        <w:pStyle w:val="76"/>
        <w:tabs>
          <w:tab w:val="left" w:pos="894"/>
        </w:tabs>
        <w:spacing w:line="500" w:lineRule="exact"/>
        <w:ind w:firstLine="480" w:firstLineChars="200"/>
        <w:rPr>
          <w:color w:val="000000" w:themeColor="text1"/>
          <w:sz w:val="24"/>
          <w:szCs w:val="24"/>
          <w:highlight w:val="none"/>
          <w14:textFill>
            <w14:solidFill>
              <w14:schemeClr w14:val="tx1"/>
            </w14:solidFill>
          </w14:textFill>
        </w:rPr>
      </w:pPr>
      <w:bookmarkStart w:id="74" w:name="bookmark100"/>
      <w:bookmarkEnd w:id="74"/>
      <w:bookmarkStart w:id="75" w:name="bookmark101"/>
      <w:bookmarkEnd w:id="75"/>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5</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服务内容</w:t>
      </w:r>
      <w:r>
        <w:rPr>
          <w:rFonts w:hint="eastAsia"/>
          <w:color w:val="000000" w:themeColor="text1"/>
          <w:sz w:val="24"/>
          <w:szCs w:val="24"/>
          <w:highlight w:val="none"/>
          <w14:textFill>
            <w14:solidFill>
              <w14:schemeClr w14:val="tx1"/>
            </w14:solidFill>
          </w14:textFill>
        </w:rPr>
        <w:t>和要求；</w:t>
      </w:r>
    </w:p>
    <w:p w14:paraId="445B5E67">
      <w:pPr>
        <w:pStyle w:val="76"/>
        <w:tabs>
          <w:tab w:val="left" w:pos="894"/>
        </w:tabs>
        <w:spacing w:line="500" w:lineRule="exact"/>
        <w:ind w:firstLine="480" w:firstLineChars="200"/>
        <w:rPr>
          <w:color w:val="000000" w:themeColor="text1"/>
          <w:sz w:val="24"/>
          <w:szCs w:val="24"/>
          <w:highlight w:val="none"/>
          <w14:textFill>
            <w14:solidFill>
              <w14:schemeClr w14:val="tx1"/>
            </w14:solidFill>
          </w14:textFill>
        </w:rPr>
      </w:pPr>
      <w:bookmarkStart w:id="76" w:name="bookmark102"/>
      <w:bookmarkEnd w:id="76"/>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6</w:t>
      </w:r>
      <w:r>
        <w:rPr>
          <w:rFonts w:hint="eastAsia"/>
          <w:color w:val="000000" w:themeColor="text1"/>
          <w:sz w:val="24"/>
          <w:szCs w:val="24"/>
          <w:highlight w:val="none"/>
          <w:lang w:eastAsia="zh-CN"/>
          <w14:textFill>
            <w14:solidFill>
              <w14:schemeClr w14:val="tx1"/>
            </w14:solidFill>
          </w14:textFill>
        </w:rPr>
        <w:t>）竞争性磋商</w:t>
      </w:r>
      <w:r>
        <w:rPr>
          <w:rFonts w:hint="eastAsia"/>
          <w:color w:val="000000" w:themeColor="text1"/>
          <w:sz w:val="24"/>
          <w:szCs w:val="24"/>
          <w:highlight w:val="none"/>
          <w14:textFill>
            <w14:solidFill>
              <w14:schemeClr w14:val="tx1"/>
            </w14:solidFill>
          </w14:textFill>
        </w:rPr>
        <w:t>响应文件格式；</w:t>
      </w:r>
    </w:p>
    <w:p w14:paraId="79C660E7">
      <w:pPr>
        <w:pStyle w:val="76"/>
        <w:spacing w:after="160" w:line="500" w:lineRule="exact"/>
        <w:ind w:firstLine="440"/>
        <w:rPr>
          <w:color w:val="000000" w:themeColor="text1"/>
          <w:sz w:val="24"/>
          <w:szCs w:val="24"/>
          <w:highlight w:val="none"/>
          <w14:textFill>
            <w14:solidFill>
              <w14:schemeClr w14:val="tx1"/>
            </w14:solidFill>
          </w14:textFill>
        </w:rPr>
      </w:pPr>
      <w:bookmarkStart w:id="77" w:name="bookmark103"/>
      <w:bookmarkEnd w:id="77"/>
      <w:r>
        <w:rPr>
          <w:rFonts w:hint="eastAsia"/>
          <w:color w:val="000000" w:themeColor="text1"/>
          <w:sz w:val="24"/>
          <w:szCs w:val="24"/>
          <w:highlight w:val="none"/>
          <w14:textFill>
            <w14:solidFill>
              <w14:schemeClr w14:val="tx1"/>
            </w14:solidFill>
          </w14:textFill>
        </w:rPr>
        <w:t>根据本章第</w:t>
      </w:r>
      <w:r>
        <w:rPr>
          <w:rFonts w:hint="eastAsia"/>
          <w:color w:val="000000" w:themeColor="text1"/>
          <w:sz w:val="24"/>
          <w:szCs w:val="24"/>
          <w:highlight w:val="none"/>
          <w:lang w:val="en-US" w:eastAsia="zh-CN" w:bidi="en-US"/>
          <w14:textFill>
            <w14:solidFill>
              <w14:schemeClr w14:val="tx1"/>
            </w14:solidFill>
          </w14:textFill>
        </w:rPr>
        <w:t>1.10</w:t>
      </w:r>
      <w:r>
        <w:rPr>
          <w:rFonts w:hint="eastAsia"/>
          <w:color w:val="000000" w:themeColor="text1"/>
          <w:sz w:val="24"/>
          <w:szCs w:val="24"/>
          <w:highlight w:val="none"/>
          <w14:textFill>
            <w14:solidFill>
              <w14:schemeClr w14:val="tx1"/>
            </w14:solidFill>
          </w14:textFill>
        </w:rPr>
        <w:t>款、第</w:t>
      </w:r>
      <w:r>
        <w:rPr>
          <w:rFonts w:hint="eastAsia"/>
          <w:color w:val="000000" w:themeColor="text1"/>
          <w:sz w:val="24"/>
          <w:szCs w:val="24"/>
          <w:highlight w:val="none"/>
          <w:lang w:val="en-US" w:eastAsia="zh-CN" w:bidi="en-US"/>
          <w14:textFill>
            <w14:solidFill>
              <w14:schemeClr w14:val="tx1"/>
            </w14:solidFill>
          </w14:textFill>
        </w:rPr>
        <w:t>2.2</w:t>
      </w:r>
      <w:r>
        <w:rPr>
          <w:rFonts w:hint="eastAsia"/>
          <w:color w:val="000000" w:themeColor="text1"/>
          <w:sz w:val="24"/>
          <w:szCs w:val="24"/>
          <w:highlight w:val="none"/>
          <w14:textFill>
            <w14:solidFill>
              <w14:schemeClr w14:val="tx1"/>
            </w14:solidFill>
          </w14:textFill>
        </w:rPr>
        <w:t>款和第</w:t>
      </w:r>
      <w:r>
        <w:rPr>
          <w:rFonts w:hint="eastAsia"/>
          <w:color w:val="000000" w:themeColor="text1"/>
          <w:sz w:val="24"/>
          <w:szCs w:val="24"/>
          <w:highlight w:val="none"/>
          <w:lang w:val="en-US" w:eastAsia="zh-CN" w:bidi="en-US"/>
          <w14:textFill>
            <w14:solidFill>
              <w14:schemeClr w14:val="tx1"/>
            </w14:solidFill>
          </w14:textFill>
        </w:rPr>
        <w:t>2.3</w:t>
      </w:r>
      <w:r>
        <w:rPr>
          <w:rFonts w:hint="eastAsia"/>
          <w:color w:val="000000" w:themeColor="text1"/>
          <w:sz w:val="24"/>
          <w:szCs w:val="24"/>
          <w:highlight w:val="none"/>
          <w14:textFill>
            <w14:solidFill>
              <w14:schemeClr w14:val="tx1"/>
            </w14:solidFill>
          </w14:textFill>
        </w:rPr>
        <w:t>款对竞争性磋商文件所作的澄清、修改，构成竞争性磋商文件的组成部分。</w:t>
      </w:r>
    </w:p>
    <w:p w14:paraId="2274DF79">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2.2</w:t>
      </w:r>
      <w:r>
        <w:rPr>
          <w:rFonts w:hint="eastAsia"/>
          <w:b/>
          <w:bCs/>
          <w:color w:val="000000" w:themeColor="text1"/>
          <w:sz w:val="24"/>
          <w:szCs w:val="24"/>
          <w:highlight w:val="none"/>
          <w14:textFill>
            <w14:solidFill>
              <w14:schemeClr w14:val="tx1"/>
            </w14:solidFill>
          </w14:textFill>
        </w:rPr>
        <w:t>竞争性磋商文件的澄清</w:t>
      </w:r>
    </w:p>
    <w:p w14:paraId="13454020">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2.2.1</w:t>
      </w:r>
      <w:r>
        <w:rPr>
          <w:rFonts w:hint="eastAsia"/>
          <w:color w:val="000000" w:themeColor="text1"/>
          <w:sz w:val="24"/>
          <w:szCs w:val="24"/>
          <w:highlight w:val="none"/>
          <w14:textFill>
            <w14:solidFill>
              <w14:schemeClr w14:val="tx1"/>
            </w14:solidFill>
          </w14:textFill>
        </w:rPr>
        <w:t>供应商应仔细阅读和检查竞争性磋商文件的全部内容。如发现缺页或附件不全，应及时向采购人提岀，以便补齐。如有疑问，应在供应商须知前附表规定的时间前</w:t>
      </w:r>
      <w:r>
        <w:rPr>
          <w:rFonts w:hint="eastAsia"/>
          <w:color w:val="000000" w:themeColor="text1"/>
          <w:sz w:val="24"/>
          <w:szCs w:val="24"/>
          <w:highlight w:val="none"/>
          <w:lang w:val="en-US" w:eastAsia="zh-CN"/>
          <w14:textFill>
            <w14:solidFill>
              <w14:schemeClr w14:val="tx1"/>
            </w14:solidFill>
          </w14:textFill>
        </w:rPr>
        <w:t>在“政采云”平台（网址http：//www.zcygov.cn) 上提交</w:t>
      </w:r>
      <w:r>
        <w:rPr>
          <w:rFonts w:hint="eastAsia"/>
          <w:color w:val="000000" w:themeColor="text1"/>
          <w:sz w:val="24"/>
          <w:szCs w:val="24"/>
          <w:highlight w:val="none"/>
          <w14:textFill>
            <w14:solidFill>
              <w14:schemeClr w14:val="tx1"/>
            </w14:solidFill>
          </w14:textFill>
        </w:rPr>
        <w:t>，要求采购人对竞争性磋商文件予以澄清。</w:t>
      </w:r>
    </w:p>
    <w:p w14:paraId="0997891E">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2.2.</w:t>
      </w:r>
      <w:r>
        <w:rPr>
          <w:rFonts w:hint="eastAsia"/>
          <w:color w:val="000000" w:themeColor="text1"/>
          <w:sz w:val="24"/>
          <w:szCs w:val="24"/>
          <w:highlight w:val="none"/>
          <w14:textFill>
            <w14:solidFill>
              <w14:schemeClr w14:val="tx1"/>
            </w14:solidFill>
          </w14:textFill>
        </w:rPr>
        <w:t>2竞争性磋商文件的澄清将在供应商须知前附表规定的时间前以</w:t>
      </w:r>
      <w:r>
        <w:rPr>
          <w:rFonts w:hint="eastAsia"/>
          <w:color w:val="000000" w:themeColor="text1"/>
          <w:sz w:val="24"/>
          <w:szCs w:val="24"/>
          <w:highlight w:val="none"/>
          <w:lang w:eastAsia="zh-CN"/>
          <w14:textFill>
            <w14:solidFill>
              <w14:schemeClr w14:val="tx1"/>
            </w14:solidFill>
          </w14:textFill>
        </w:rPr>
        <w:t>电子文档</w:t>
      </w:r>
      <w:r>
        <w:rPr>
          <w:rFonts w:hint="eastAsia"/>
          <w:color w:val="000000" w:themeColor="text1"/>
          <w:sz w:val="24"/>
          <w:szCs w:val="24"/>
          <w:highlight w:val="none"/>
          <w14:textFill>
            <w14:solidFill>
              <w14:schemeClr w14:val="tx1"/>
            </w14:solidFill>
          </w14:textFill>
        </w:rPr>
        <w:t>通知所有潜在供应商。</w:t>
      </w:r>
    </w:p>
    <w:p w14:paraId="5AEEB91C">
      <w:pPr>
        <w:pStyle w:val="76"/>
        <w:spacing w:after="160"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2.2.3</w:t>
      </w:r>
      <w:r>
        <w:rPr>
          <w:rFonts w:hint="eastAsia"/>
          <w:color w:val="000000" w:themeColor="text1"/>
          <w:sz w:val="24"/>
          <w:szCs w:val="24"/>
          <w:highlight w:val="none"/>
          <w14:textFill>
            <w14:solidFill>
              <w14:schemeClr w14:val="tx1"/>
            </w14:solidFill>
          </w14:textFill>
        </w:rPr>
        <w:t>供应商在收到澄清后，应在供应商须知前附表规定的时间内以</w:t>
      </w:r>
      <w:r>
        <w:rPr>
          <w:rFonts w:hint="eastAsia"/>
          <w:color w:val="000000" w:themeColor="text1"/>
          <w:sz w:val="24"/>
          <w:szCs w:val="24"/>
          <w:highlight w:val="none"/>
          <w:lang w:eastAsia="zh-CN"/>
          <w14:textFill>
            <w14:solidFill>
              <w14:schemeClr w14:val="tx1"/>
            </w14:solidFill>
          </w14:textFill>
        </w:rPr>
        <w:t>电子文档</w:t>
      </w:r>
      <w:r>
        <w:rPr>
          <w:rFonts w:hint="eastAsia"/>
          <w:color w:val="000000" w:themeColor="text1"/>
          <w:sz w:val="24"/>
          <w:szCs w:val="24"/>
          <w:highlight w:val="none"/>
          <w14:textFill>
            <w14:solidFill>
              <w14:schemeClr w14:val="tx1"/>
            </w14:solidFill>
          </w14:textFill>
        </w:rPr>
        <w:t>通知采购人，确认己收到该澄清。</w:t>
      </w:r>
    </w:p>
    <w:p w14:paraId="05A2230B">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2.3</w:t>
      </w:r>
      <w:r>
        <w:rPr>
          <w:rFonts w:hint="eastAsia"/>
          <w:b/>
          <w:bCs/>
          <w:color w:val="000000" w:themeColor="text1"/>
          <w:sz w:val="24"/>
          <w:szCs w:val="24"/>
          <w:highlight w:val="none"/>
          <w14:textFill>
            <w14:solidFill>
              <w14:schemeClr w14:val="tx1"/>
            </w14:solidFill>
          </w14:textFill>
        </w:rPr>
        <w:t>竞争性磋商文件的修改</w:t>
      </w:r>
    </w:p>
    <w:p w14:paraId="2A6CE35F">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2.3.</w:t>
      </w:r>
      <w:r>
        <w:rPr>
          <w:rFonts w:hint="eastAsia"/>
          <w:color w:val="000000" w:themeColor="text1"/>
          <w:sz w:val="24"/>
          <w:szCs w:val="24"/>
          <w:highlight w:val="none"/>
          <w14:textFill>
            <w14:solidFill>
              <w14:schemeClr w14:val="tx1"/>
            </w14:solidFill>
          </w14:textFill>
        </w:rPr>
        <w:t>1供应商须知前附表规定的时间前，采购人可以修改竞争性磋商文件，并将修改的内容以书面形式通知所有潜在供应商。</w:t>
      </w:r>
    </w:p>
    <w:p w14:paraId="1ED1F03F">
      <w:pPr>
        <w:pStyle w:val="76"/>
        <w:spacing w:after="160"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2.3.2</w:t>
      </w:r>
      <w:r>
        <w:rPr>
          <w:rFonts w:hint="eastAsia"/>
          <w:color w:val="000000" w:themeColor="text1"/>
          <w:sz w:val="24"/>
          <w:szCs w:val="24"/>
          <w:highlight w:val="none"/>
          <w14:textFill>
            <w14:solidFill>
              <w14:schemeClr w14:val="tx1"/>
            </w14:solidFill>
          </w14:textFill>
        </w:rPr>
        <w:t>供应商收到修改内容后，应在供应商须知前附表规定的时间内</w:t>
      </w:r>
      <w:r>
        <w:rPr>
          <w:rFonts w:hint="eastAsia"/>
          <w:color w:val="000000" w:themeColor="text1"/>
          <w:sz w:val="24"/>
          <w:szCs w:val="24"/>
          <w:highlight w:val="none"/>
          <w:lang w:val="en-US" w:eastAsia="zh-CN"/>
          <w14:textFill>
            <w14:solidFill>
              <w14:schemeClr w14:val="tx1"/>
            </w14:solidFill>
          </w14:textFill>
        </w:rPr>
        <w:t>在政采云”平台（网址http：//www.zcygov.cn)  上提交</w:t>
      </w:r>
      <w:r>
        <w:rPr>
          <w:rFonts w:hint="eastAsia"/>
          <w:color w:val="000000" w:themeColor="text1"/>
          <w:sz w:val="24"/>
          <w:szCs w:val="24"/>
          <w:highlight w:val="none"/>
          <w14:textFill>
            <w14:solidFill>
              <w14:schemeClr w14:val="tx1"/>
            </w14:solidFill>
          </w14:textFill>
        </w:rPr>
        <w:t>，确认己收到该修改。</w:t>
      </w:r>
    </w:p>
    <w:p w14:paraId="73AA56C3">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2.4</w:t>
      </w:r>
      <w:r>
        <w:rPr>
          <w:rFonts w:hint="eastAsia"/>
          <w:b/>
          <w:bCs/>
          <w:color w:val="000000" w:themeColor="text1"/>
          <w:sz w:val="24"/>
          <w:szCs w:val="24"/>
          <w:highlight w:val="none"/>
          <w14:textFill>
            <w14:solidFill>
              <w14:schemeClr w14:val="tx1"/>
            </w14:solidFill>
          </w14:textFill>
        </w:rPr>
        <w:t>延长首次响应文件递交截止时间和二次报价时间</w:t>
      </w:r>
    </w:p>
    <w:p w14:paraId="0AC12F01">
      <w:pPr>
        <w:pStyle w:val="76"/>
        <w:spacing w:after="160"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2.4.1</w:t>
      </w:r>
      <w:r>
        <w:rPr>
          <w:rFonts w:hint="eastAsia"/>
          <w:color w:val="000000" w:themeColor="text1"/>
          <w:sz w:val="24"/>
          <w:szCs w:val="24"/>
          <w:highlight w:val="none"/>
          <w14:textFill>
            <w14:solidFill>
              <w14:schemeClr w14:val="tx1"/>
            </w14:solidFill>
          </w14:textFill>
        </w:rPr>
        <w:t>采购人可以视采购具体情况，延长首次响应文件递交截止时间和二次报价时间，但至少应当在竞争性磋商文件要求递交首次响应文件截止之日5日前，在发布竞争性磋商公告的网站发布变更或者更正公告，并书面通知所有已获取磋商文件的供应商，不足5日的，应当顺延递交首次响应文件截止之日。</w:t>
      </w:r>
    </w:p>
    <w:p w14:paraId="7ECFB1AF">
      <w:pPr>
        <w:pStyle w:val="76"/>
        <w:spacing w:after="160"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2.4.2</w:t>
      </w:r>
      <w:r>
        <w:rPr>
          <w:rFonts w:hint="eastAsia"/>
          <w:color w:val="000000" w:themeColor="text1"/>
          <w:sz w:val="24"/>
          <w:szCs w:val="24"/>
          <w:highlight w:val="none"/>
          <w14:textFill>
            <w14:solidFill>
              <w14:schemeClr w14:val="tx1"/>
            </w14:solidFill>
          </w14:textFill>
        </w:rPr>
        <w:t>竞争性磋商文件的答疑、澄清或者修改内容较多时，采购人应重新组织竞争性磋商或者延长递交首次响应文件截止时间和二次报价时间，采购人延长递交首次响应文件截止时间和二次报价时间的，至少应当在竞争性磋商文件要求递交首次响应文件的截止之日5日前，在发布竞争性磋商公告的网站发布变更或者更正公告，并书面通知所有已获取磋商文件的供应商，不足5日的，应当顺延递交首次响应文件截止之日，以给予供应商充足的时间编制响应文件。</w:t>
      </w:r>
    </w:p>
    <w:p w14:paraId="5987B03D">
      <w:pPr>
        <w:pStyle w:val="76"/>
        <w:spacing w:after="160" w:line="500" w:lineRule="exact"/>
        <w:ind w:firstLine="241" w:firstLineChars="1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3.</w:t>
      </w:r>
      <w:r>
        <w:rPr>
          <w:rFonts w:hint="eastAsia"/>
          <w:b/>
          <w:bCs/>
          <w:color w:val="000000" w:themeColor="text1"/>
          <w:sz w:val="24"/>
          <w:szCs w:val="24"/>
          <w:highlight w:val="none"/>
          <w14:textFill>
            <w14:solidFill>
              <w14:schemeClr w14:val="tx1"/>
            </w14:solidFill>
          </w14:textFill>
        </w:rPr>
        <w:t>响应文件编制</w:t>
      </w:r>
    </w:p>
    <w:p w14:paraId="49BF4331">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3.</w:t>
      </w:r>
      <w:r>
        <w:rPr>
          <w:rFonts w:hint="eastAsia"/>
          <w:b/>
          <w:bCs/>
          <w:color w:val="000000" w:themeColor="text1"/>
          <w:sz w:val="24"/>
          <w:szCs w:val="24"/>
          <w:highlight w:val="none"/>
          <w14:textFill>
            <w14:solidFill>
              <w14:schemeClr w14:val="tx1"/>
            </w14:solidFill>
          </w14:textFill>
        </w:rPr>
        <w:t>1响应文件的组成</w:t>
      </w:r>
    </w:p>
    <w:p w14:paraId="2B3A2225">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3.1.1</w:t>
      </w:r>
      <w:r>
        <w:rPr>
          <w:rFonts w:hint="eastAsia"/>
          <w:color w:val="000000" w:themeColor="text1"/>
          <w:sz w:val="24"/>
          <w:szCs w:val="24"/>
          <w:highlight w:val="none"/>
          <w14:textFill>
            <w14:solidFill>
              <w14:schemeClr w14:val="tx1"/>
            </w14:solidFill>
          </w14:textFill>
        </w:rPr>
        <w:t>包括下列内容：</w:t>
      </w:r>
    </w:p>
    <w:p w14:paraId="5B487A3E">
      <w:pPr>
        <w:spacing w:line="360" w:lineRule="auto"/>
        <w:ind w:firstLine="720" w:firstLineChars="300"/>
        <w:rPr>
          <w:rFonts w:ascii="宋体" w:hAnsi="宋体"/>
          <w:color w:val="000000" w:themeColor="text1"/>
          <w:sz w:val="24"/>
          <w:szCs w:val="24"/>
          <w:highlight w:val="none"/>
          <w14:textFill>
            <w14:solidFill>
              <w14:schemeClr w14:val="tx1"/>
            </w14:solidFill>
          </w14:textFill>
        </w:rPr>
      </w:pPr>
      <w:bookmarkStart w:id="78" w:name="bookmark105"/>
      <w:bookmarkEnd w:id="78"/>
      <w:r>
        <w:rPr>
          <w:rFonts w:hint="eastAsia" w:ascii="宋体" w:hAnsi="宋体"/>
          <w:color w:val="000000" w:themeColor="text1"/>
          <w:sz w:val="24"/>
          <w:szCs w:val="24"/>
          <w:highlight w:val="none"/>
          <w14:textFill>
            <w14:solidFill>
              <w14:schemeClr w14:val="tx1"/>
            </w14:solidFill>
          </w14:textFill>
        </w:rPr>
        <w:t>（1）磋商函</w:t>
      </w:r>
    </w:p>
    <w:p w14:paraId="6385CE90">
      <w:pPr>
        <w:spacing w:line="360" w:lineRule="auto"/>
        <w:ind w:firstLine="720" w:firstLineChars="3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（2）法定代表人（负责人）身份证明及授权委托书</w:t>
      </w:r>
    </w:p>
    <w:p w14:paraId="4CB2CE3E">
      <w:pPr>
        <w:spacing w:line="360" w:lineRule="auto"/>
        <w:ind w:firstLine="720" w:firstLineChars="3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（3）磋商保证金</w:t>
      </w:r>
    </w:p>
    <w:p w14:paraId="74BBA58D">
      <w:pPr>
        <w:spacing w:line="360" w:lineRule="auto"/>
        <w:ind w:firstLine="720" w:firstLineChars="300"/>
        <w:rPr>
          <w:rFonts w:hint="eastAsia" w:ascii="宋体" w:hAnsi="宋体" w:eastAsia="宋体"/>
          <w:color w:val="000000" w:themeColor="text1"/>
          <w:sz w:val="24"/>
          <w:szCs w:val="24"/>
          <w:highlight w:val="none"/>
          <w:lang w:eastAsia="zh-CN"/>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（4）磋商报价</w:t>
      </w:r>
      <w:r>
        <w:rPr>
          <w:rFonts w:hint="eastAsia" w:ascii="宋体" w:hAnsi="宋体"/>
          <w:color w:val="000000" w:themeColor="text1"/>
          <w:sz w:val="24"/>
          <w:szCs w:val="24"/>
          <w:highlight w:val="none"/>
          <w:lang w:eastAsia="zh-CN"/>
          <w14:textFill>
            <w14:solidFill>
              <w14:schemeClr w14:val="tx1"/>
            </w14:solidFill>
          </w14:textFill>
        </w:rPr>
        <w:t>表</w:t>
      </w:r>
    </w:p>
    <w:p w14:paraId="0929E846">
      <w:pPr>
        <w:spacing w:line="360" w:lineRule="auto"/>
        <w:ind w:firstLine="720" w:firstLineChars="3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（5）服务内容及标准偏离表</w:t>
      </w:r>
    </w:p>
    <w:p w14:paraId="6F0E3CF3">
      <w:pPr>
        <w:spacing w:line="360" w:lineRule="auto"/>
        <w:ind w:firstLine="720" w:firstLineChars="3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（6）供应商符合供应商资格条件的证明文件</w:t>
      </w:r>
    </w:p>
    <w:p w14:paraId="4B5E0253">
      <w:pPr>
        <w:spacing w:line="360" w:lineRule="auto"/>
        <w:ind w:firstLine="720" w:firstLineChars="3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（7）技术方案</w:t>
      </w:r>
    </w:p>
    <w:p w14:paraId="4A7ED7F6">
      <w:pPr>
        <w:spacing w:line="360" w:lineRule="auto"/>
        <w:ind w:firstLine="720" w:firstLineChars="300"/>
        <w:rPr>
          <w:rFonts w:hint="eastAsia"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（8）供应商认为需提供的其他资料</w:t>
      </w:r>
    </w:p>
    <w:p w14:paraId="1325CCF6">
      <w:pPr>
        <w:spacing w:line="360" w:lineRule="auto"/>
        <w:ind w:firstLine="723" w:firstLineChars="300"/>
        <w:rPr>
          <w:rFonts w:hint="eastAsia" w:ascii="宋体" w:hAnsi="宋体"/>
          <w:color w:val="000000" w:themeColor="text1"/>
          <w:sz w:val="24"/>
          <w:szCs w:val="24"/>
          <w:highlight w:val="none"/>
          <w:lang w:val="en-US" w:eastAsia="zh-CN"/>
          <w14:textFill>
            <w14:solidFill>
              <w14:schemeClr w14:val="tx1"/>
            </w14:solidFill>
          </w14:textFill>
        </w:rPr>
      </w:pPr>
      <w:r>
        <w:rPr>
          <w:rFonts w:hint="eastAsia" w:ascii="宋体" w:hAnsi="宋体"/>
          <w:b/>
          <w:bCs/>
          <w:color w:val="000000" w:themeColor="text1"/>
          <w:sz w:val="24"/>
          <w:szCs w:val="24"/>
          <w:highlight w:val="none"/>
          <w:lang w:val="en-US" w:eastAsia="zh-CN"/>
          <w14:textFill>
            <w14:solidFill>
              <w14:schemeClr w14:val="tx1"/>
            </w14:solidFill>
          </w14:textFill>
        </w:rPr>
        <w:t>注：</w:t>
      </w:r>
      <w:r>
        <w:rPr>
          <w:rFonts w:hint="eastAsia" w:ascii="宋体" w:hAnsi="宋体"/>
          <w:color w:val="000000" w:themeColor="text1"/>
          <w:sz w:val="24"/>
          <w:szCs w:val="24"/>
          <w:highlight w:val="none"/>
          <w:lang w:val="en-US" w:eastAsia="zh-CN"/>
          <w14:textFill>
            <w14:solidFill>
              <w14:schemeClr w14:val="tx1"/>
            </w14:solidFill>
          </w14:textFill>
        </w:rPr>
        <w:t>本项目所有证件资料以上传至“政采云”平台加盖电子公章的证件为准，评标时由评审委员会现场核验，如所提供的资料为虚假材料，投标文件将被否决。</w:t>
      </w:r>
    </w:p>
    <w:p w14:paraId="71F06483">
      <w:pPr>
        <w:pStyle w:val="76"/>
        <w:spacing w:line="500" w:lineRule="exact"/>
        <w:ind w:firstLine="482" w:firstLineChars="200"/>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3.</w:t>
      </w:r>
      <w:r>
        <w:rPr>
          <w:rFonts w:hint="eastAsia"/>
          <w:b/>
          <w:bCs/>
          <w:color w:val="000000" w:themeColor="text1"/>
          <w:sz w:val="24"/>
          <w:szCs w:val="24"/>
          <w:highlight w:val="none"/>
          <w14:textFill>
            <w14:solidFill>
              <w14:schemeClr w14:val="tx1"/>
            </w14:solidFill>
          </w14:textFill>
        </w:rPr>
        <w:t>2磋商报价</w:t>
      </w:r>
    </w:p>
    <w:p w14:paraId="692AD150">
      <w:pPr>
        <w:spacing w:line="500" w:lineRule="exact"/>
        <w:ind w:firstLine="720" w:firstLineChars="3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3.2.1供应商应按</w:t>
      </w:r>
      <w:r>
        <w:rPr>
          <w:rFonts w:hint="eastAsia" w:ascii="宋体" w:hAnsi="宋体" w:cs="宋体"/>
          <w:color w:val="000000" w:themeColor="text1"/>
          <w:sz w:val="24"/>
          <w:szCs w:val="24"/>
          <w:highlight w:val="none"/>
          <w:lang w:eastAsia="zh-CN"/>
          <w14:textFill>
            <w14:solidFill>
              <w14:schemeClr w14:val="tx1"/>
            </w14:solidFill>
          </w14:textFill>
        </w:rPr>
        <w:t>第六章</w:t>
      </w:r>
      <w:r>
        <w:rPr>
          <w:rFonts w:hint="eastAsia" w:ascii="宋体" w:hAnsi="宋体" w:cs="宋体"/>
          <w:color w:val="000000" w:themeColor="text1"/>
          <w:sz w:val="24"/>
          <w:szCs w:val="24"/>
          <w:highlight w:val="none"/>
          <w14:textFill>
            <w14:solidFill>
              <w14:schemeClr w14:val="tx1"/>
            </w14:solidFill>
          </w14:textFill>
        </w:rPr>
        <w:t>响应文件要求格式填写相应表格。</w:t>
      </w:r>
    </w:p>
    <w:p w14:paraId="7E00A84A">
      <w:pPr>
        <w:spacing w:line="500" w:lineRule="exact"/>
        <w:ind w:firstLine="720" w:firstLineChars="3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3.2.</w:t>
      </w: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cs="宋体"/>
          <w:color w:val="000000" w:themeColor="text1"/>
          <w:sz w:val="24"/>
          <w:szCs w:val="24"/>
          <w:highlight w:val="none"/>
          <w14:textFill>
            <w14:solidFill>
              <w14:schemeClr w14:val="tx1"/>
            </w14:solidFill>
          </w14:textFill>
        </w:rPr>
        <w:t>供应商应充分了解本项目的总体情况以及影响磋商报价的其他要素。</w:t>
      </w:r>
    </w:p>
    <w:p w14:paraId="26575521">
      <w:pPr>
        <w:spacing w:line="500" w:lineRule="exact"/>
        <w:ind w:firstLine="720" w:firstLineChars="3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3.2.</w:t>
      </w: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cs="宋体"/>
          <w:color w:val="000000" w:themeColor="text1"/>
          <w:sz w:val="24"/>
          <w:szCs w:val="24"/>
          <w:highlight w:val="none"/>
          <w14:textFill>
            <w14:solidFill>
              <w14:schemeClr w14:val="tx1"/>
            </w14:solidFill>
          </w14:textFill>
        </w:rPr>
        <w:t>本项目的报价方式见供应商须知前附表。供应商在投标截止时间前修改磋商函中的投标总报价，应同时修改竞争性磋商响应文件“磋商报价表”中的相应报价。此修改须符合本章第4.3款的有关要求。</w:t>
      </w:r>
    </w:p>
    <w:p w14:paraId="268D2DCD">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3.</w:t>
      </w:r>
      <w:r>
        <w:rPr>
          <w:rFonts w:hint="eastAsia"/>
          <w:b/>
          <w:bCs/>
          <w:color w:val="000000" w:themeColor="text1"/>
          <w:sz w:val="24"/>
          <w:szCs w:val="24"/>
          <w:highlight w:val="none"/>
          <w14:textFill>
            <w14:solidFill>
              <w14:schemeClr w14:val="tx1"/>
            </w14:solidFill>
          </w14:textFill>
        </w:rPr>
        <w:t>3磋商有效期</w:t>
      </w:r>
    </w:p>
    <w:p w14:paraId="6BF8A38E">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3.3.1</w:t>
      </w:r>
      <w:r>
        <w:rPr>
          <w:rFonts w:hint="eastAsia"/>
          <w:color w:val="000000" w:themeColor="text1"/>
          <w:sz w:val="24"/>
          <w:szCs w:val="24"/>
          <w:highlight w:val="none"/>
          <w14:textFill>
            <w14:solidFill>
              <w14:schemeClr w14:val="tx1"/>
            </w14:solidFill>
          </w14:textFill>
        </w:rPr>
        <w:t>在供应商须知前附表规定的磋商有效期内，供应商不得要求撤销或修改其响应文件。</w:t>
      </w:r>
    </w:p>
    <w:p w14:paraId="68F438F7">
      <w:pPr>
        <w:pStyle w:val="76"/>
        <w:spacing w:after="160"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3.3.2</w:t>
      </w:r>
      <w:r>
        <w:rPr>
          <w:rFonts w:hint="eastAsia"/>
          <w:color w:val="000000" w:themeColor="text1"/>
          <w:sz w:val="24"/>
          <w:szCs w:val="24"/>
          <w:highlight w:val="none"/>
          <w14:textFill>
            <w14:solidFill>
              <w14:schemeClr w14:val="tx1"/>
            </w14:solidFill>
          </w14:textFill>
        </w:rPr>
        <w:t>岀现特殊情况需要延长磋商有效期的，采购人将以书面形式发岀通知。通知供应商延长磋商有效期。供应商同意延长的，应相应延长其磋商保证金的有效期，但不得要求或被允许修改或撤销其响应文件；供应商拒绝延长的，其投标失效，但供应商有权收回其磋商保证金。</w:t>
      </w:r>
    </w:p>
    <w:p w14:paraId="5C53FF93">
      <w:pPr>
        <w:pStyle w:val="76"/>
        <w:spacing w:after="140" w:line="500" w:lineRule="exact"/>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3.4</w:t>
      </w:r>
      <w:r>
        <w:rPr>
          <w:rFonts w:hint="eastAsia"/>
          <w:b/>
          <w:bCs/>
          <w:color w:val="000000" w:themeColor="text1"/>
          <w:sz w:val="24"/>
          <w:szCs w:val="24"/>
          <w:highlight w:val="none"/>
          <w14:textFill>
            <w14:solidFill>
              <w14:schemeClr w14:val="tx1"/>
            </w14:solidFill>
          </w14:textFill>
        </w:rPr>
        <w:t>磋商保证金</w:t>
      </w:r>
    </w:p>
    <w:p w14:paraId="637D8588">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3.4.</w:t>
      </w:r>
      <w:r>
        <w:rPr>
          <w:rFonts w:hint="eastAsia"/>
          <w:color w:val="000000" w:themeColor="text1"/>
          <w:sz w:val="24"/>
          <w:szCs w:val="24"/>
          <w:highlight w:val="none"/>
          <w:lang w:val="zh-CN" w:eastAsia="zh-CN" w:bidi="zh-CN"/>
          <w14:textFill>
            <w14:solidFill>
              <w14:schemeClr w14:val="tx1"/>
            </w14:solidFill>
          </w14:textFill>
        </w:rPr>
        <w:t>1</w:t>
      </w:r>
      <w:r>
        <w:rPr>
          <w:rFonts w:hint="eastAsia"/>
          <w:color w:val="000000" w:themeColor="text1"/>
          <w:sz w:val="24"/>
          <w:szCs w:val="24"/>
          <w:highlight w:val="none"/>
          <w14:textFill>
            <w14:solidFill>
              <w14:schemeClr w14:val="tx1"/>
            </w14:solidFill>
          </w14:textFill>
        </w:rPr>
        <w:t>供应商在递交首次响应文件截止时间前，应按供应商须知前附表规定的金额、担保形式和</w:t>
      </w:r>
      <w:r>
        <w:rPr>
          <w:rFonts w:hint="eastAsia"/>
          <w:color w:val="000000" w:themeColor="text1"/>
          <w:sz w:val="24"/>
          <w:szCs w:val="24"/>
          <w:highlight w:val="none"/>
          <w:lang w:eastAsia="zh-CN"/>
          <w14:textFill>
            <w14:solidFill>
              <w14:schemeClr w14:val="tx1"/>
            </w14:solidFill>
          </w14:textFill>
        </w:rPr>
        <w:t>第六章</w:t>
      </w:r>
      <w:r>
        <w:rPr>
          <w:rFonts w:hint="eastAsia"/>
          <w:color w:val="000000" w:themeColor="text1"/>
          <w:sz w:val="24"/>
          <w:szCs w:val="24"/>
          <w:highlight w:val="none"/>
          <w:lang w:val="zh-CN" w:eastAsia="zh-CN" w:bidi="zh-CN"/>
          <w14:textFill>
            <w14:solidFill>
              <w14:schemeClr w14:val="tx1"/>
            </w14:solidFill>
          </w14:textFill>
        </w:rPr>
        <w:t>“响</w:t>
      </w:r>
      <w:r>
        <w:rPr>
          <w:rFonts w:hint="eastAsia"/>
          <w:color w:val="000000" w:themeColor="text1"/>
          <w:sz w:val="24"/>
          <w:szCs w:val="24"/>
          <w:highlight w:val="none"/>
          <w14:textFill>
            <w14:solidFill>
              <w14:schemeClr w14:val="tx1"/>
            </w14:solidFill>
          </w14:textFill>
        </w:rPr>
        <w:t>应文件格式”规定的磋商保证金格式递交磋商保证金，并作为其响应文件的组成部分。联合体磋商的，其磋商保证金由牵头人递交，并应符合供应商须知前附表的规定。</w:t>
      </w:r>
    </w:p>
    <w:p w14:paraId="24091912">
      <w:pPr>
        <w:pStyle w:val="76"/>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3.4.2</w:t>
      </w:r>
      <w:r>
        <w:rPr>
          <w:rFonts w:hint="eastAsia"/>
          <w:color w:val="000000" w:themeColor="text1"/>
          <w:sz w:val="24"/>
          <w:szCs w:val="24"/>
          <w:highlight w:val="none"/>
          <w14:textFill>
            <w14:solidFill>
              <w14:schemeClr w14:val="tx1"/>
            </w14:solidFill>
          </w14:textFill>
        </w:rPr>
        <w:t>供应商不按本章第</w:t>
      </w:r>
      <w:r>
        <w:rPr>
          <w:rFonts w:hint="eastAsia"/>
          <w:color w:val="000000" w:themeColor="text1"/>
          <w:sz w:val="24"/>
          <w:szCs w:val="24"/>
          <w:highlight w:val="none"/>
          <w:lang w:val="en-US" w:eastAsia="zh-CN" w:bidi="en-US"/>
          <w14:textFill>
            <w14:solidFill>
              <w14:schemeClr w14:val="tx1"/>
            </w14:solidFill>
          </w14:textFill>
        </w:rPr>
        <w:t>3.4.1</w:t>
      </w:r>
      <w:r>
        <w:rPr>
          <w:rFonts w:hint="eastAsia"/>
          <w:color w:val="000000" w:themeColor="text1"/>
          <w:sz w:val="24"/>
          <w:szCs w:val="24"/>
          <w:highlight w:val="none"/>
          <w14:textFill>
            <w14:solidFill>
              <w14:schemeClr w14:val="tx1"/>
            </w14:solidFill>
          </w14:textFill>
        </w:rPr>
        <w:t>项要求递交磋商保证金的，其响应文件作废标处理。</w:t>
      </w:r>
    </w:p>
    <w:p w14:paraId="3C7D5E98">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3.4.</w:t>
      </w:r>
      <w:r>
        <w:rPr>
          <w:rFonts w:hint="eastAsia"/>
          <w:color w:val="000000" w:themeColor="text1"/>
          <w:sz w:val="24"/>
          <w:szCs w:val="24"/>
          <w:highlight w:val="none"/>
          <w14:textFill>
            <w14:solidFill>
              <w14:schemeClr w14:val="tx1"/>
            </w14:solidFill>
          </w14:textFill>
        </w:rPr>
        <w:t>3成交供应商的磋商保证金，在成交供应商按本须知第</w:t>
      </w:r>
      <w:r>
        <w:rPr>
          <w:rFonts w:hint="eastAsia"/>
          <w:color w:val="000000" w:themeColor="text1"/>
          <w:sz w:val="24"/>
          <w:szCs w:val="24"/>
          <w:highlight w:val="none"/>
          <w:lang w:val="en-US" w:eastAsia="zh-CN" w:bidi="en-US"/>
          <w14:textFill>
            <w14:solidFill>
              <w14:schemeClr w14:val="tx1"/>
            </w14:solidFill>
          </w14:textFill>
        </w:rPr>
        <w:t>7.4</w:t>
      </w:r>
      <w:r>
        <w:rPr>
          <w:rFonts w:hint="eastAsia"/>
          <w:color w:val="000000" w:themeColor="text1"/>
          <w:sz w:val="24"/>
          <w:szCs w:val="24"/>
          <w:highlight w:val="none"/>
          <w14:textFill>
            <w14:solidFill>
              <w14:schemeClr w14:val="tx1"/>
            </w14:solidFill>
          </w14:textFill>
        </w:rPr>
        <w:t>条规定签订合同后5日内予以退还（不计利息）。</w:t>
      </w:r>
    </w:p>
    <w:p w14:paraId="0C34571C">
      <w:pPr>
        <w:pStyle w:val="76"/>
        <w:spacing w:line="500" w:lineRule="exact"/>
        <w:ind w:firstLine="720" w:firstLineChars="30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3.4.4</w:t>
      </w:r>
      <w:r>
        <w:rPr>
          <w:rFonts w:hint="eastAsia"/>
          <w:color w:val="000000" w:themeColor="text1"/>
          <w:sz w:val="24"/>
          <w:szCs w:val="24"/>
          <w:highlight w:val="none"/>
          <w14:textFill>
            <w14:solidFill>
              <w14:schemeClr w14:val="tx1"/>
            </w14:solidFill>
          </w14:textFill>
        </w:rPr>
        <w:t>有下列情形之一的，磋商保证金将不予退还：</w:t>
      </w:r>
    </w:p>
    <w:p w14:paraId="25BADD8B">
      <w:pPr>
        <w:pStyle w:val="76"/>
        <w:tabs>
          <w:tab w:val="left" w:pos="894"/>
        </w:tabs>
        <w:spacing w:line="500" w:lineRule="exact"/>
        <w:ind w:firstLine="720" w:firstLineChars="30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供应商在规定的磋商有效期内撤销或修改其响应文件；</w:t>
      </w:r>
    </w:p>
    <w:p w14:paraId="5288A48C">
      <w:pPr>
        <w:pStyle w:val="76"/>
        <w:tabs>
          <w:tab w:val="left" w:pos="894"/>
        </w:tabs>
        <w:spacing w:after="160" w:line="500" w:lineRule="exact"/>
        <w:ind w:firstLine="720" w:firstLineChars="30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成交供应商在收到成交通知书后，无正当理由拒签合同协议书。</w:t>
      </w:r>
    </w:p>
    <w:p w14:paraId="5534B337">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3.</w:t>
      </w:r>
      <w:r>
        <w:rPr>
          <w:rFonts w:hint="eastAsia"/>
          <w:b/>
          <w:bCs/>
          <w:color w:val="000000" w:themeColor="text1"/>
          <w:sz w:val="24"/>
          <w:szCs w:val="24"/>
          <w:highlight w:val="none"/>
          <w14:textFill>
            <w14:solidFill>
              <w14:schemeClr w14:val="tx1"/>
            </w14:solidFill>
          </w14:textFill>
        </w:rPr>
        <w:t>5资格审査资料</w:t>
      </w:r>
    </w:p>
    <w:p w14:paraId="1029964E">
      <w:pPr>
        <w:pStyle w:val="76"/>
        <w:tabs>
          <w:tab w:val="left" w:pos="1141"/>
        </w:tabs>
        <w:spacing w:line="500" w:lineRule="exact"/>
        <w:ind w:firstLine="720" w:firstLineChars="300"/>
        <w:rPr>
          <w:color w:val="000000" w:themeColor="text1"/>
          <w:sz w:val="24"/>
          <w:szCs w:val="24"/>
          <w:highlight w:val="none"/>
          <w14:textFill>
            <w14:solidFill>
              <w14:schemeClr w14:val="tx1"/>
            </w14:solidFill>
          </w14:textFill>
        </w:rPr>
      </w:pPr>
      <w:bookmarkStart w:id="79" w:name="bookmark116"/>
      <w:bookmarkEnd w:id="79"/>
      <w:r>
        <w:rPr>
          <w:rFonts w:hint="eastAsia"/>
          <w:color w:val="000000" w:themeColor="text1"/>
          <w:sz w:val="24"/>
          <w:szCs w:val="24"/>
          <w:highlight w:val="none"/>
          <w:lang w:val="en-US" w:eastAsia="zh-CN" w:bidi="zh-CN"/>
          <w14:textFill>
            <w14:solidFill>
              <w14:schemeClr w14:val="tx1"/>
            </w14:solidFill>
          </w14:textFill>
        </w:rPr>
        <w:t>3.5.1</w:t>
      </w:r>
      <w:r>
        <w:rPr>
          <w:rFonts w:hint="eastAsia"/>
          <w:color w:val="000000" w:themeColor="text1"/>
          <w:sz w:val="24"/>
          <w:szCs w:val="24"/>
          <w:highlight w:val="none"/>
          <w:lang w:val="zh-CN" w:eastAsia="zh-CN" w:bidi="zh-CN"/>
          <w14:textFill>
            <w14:solidFill>
              <w14:schemeClr w14:val="tx1"/>
            </w14:solidFill>
          </w14:textFill>
        </w:rPr>
        <w:t>“供应</w:t>
      </w:r>
      <w:r>
        <w:rPr>
          <w:rFonts w:hint="eastAsia"/>
          <w:color w:val="000000" w:themeColor="text1"/>
          <w:sz w:val="24"/>
          <w:szCs w:val="24"/>
          <w:highlight w:val="none"/>
          <w14:textFill>
            <w14:solidFill>
              <w14:schemeClr w14:val="tx1"/>
            </w14:solidFill>
          </w14:textFill>
        </w:rPr>
        <w:t>商基本情况表</w:t>
      </w:r>
      <w:r>
        <w:rPr>
          <w:rFonts w:hint="eastAsia"/>
          <w:color w:val="000000" w:themeColor="text1"/>
          <w:sz w:val="24"/>
          <w:szCs w:val="24"/>
          <w:highlight w:val="none"/>
          <w:lang w:val="zh-CN" w:eastAsia="zh-CN" w:bidi="zh-CN"/>
          <w14:textFill>
            <w14:solidFill>
              <w14:schemeClr w14:val="tx1"/>
            </w14:solidFill>
          </w14:textFill>
        </w:rPr>
        <w:t>”应</w:t>
      </w:r>
      <w:r>
        <w:rPr>
          <w:rFonts w:hint="eastAsia"/>
          <w:color w:val="000000" w:themeColor="text1"/>
          <w:sz w:val="24"/>
          <w:szCs w:val="24"/>
          <w:highlight w:val="none"/>
          <w14:textFill>
            <w14:solidFill>
              <w14:schemeClr w14:val="tx1"/>
            </w14:solidFill>
          </w14:textFill>
        </w:rPr>
        <w:t>附供应商营业执照副本</w:t>
      </w:r>
      <w:r>
        <w:rPr>
          <w:rFonts w:hint="eastAsia"/>
          <w:color w:val="000000" w:themeColor="text1"/>
          <w:sz w:val="24"/>
          <w:szCs w:val="24"/>
          <w:highlight w:val="none"/>
          <w:lang w:val="en-US" w:eastAsia="zh-CN"/>
          <w14:textFill>
            <w14:solidFill>
              <w14:schemeClr w14:val="tx1"/>
            </w14:solidFill>
          </w14:textFill>
        </w:rPr>
        <w:t>扫描件</w:t>
      </w:r>
      <w:r>
        <w:rPr>
          <w:rFonts w:hint="eastAsia"/>
          <w:color w:val="000000" w:themeColor="text1"/>
          <w:sz w:val="24"/>
          <w:szCs w:val="24"/>
          <w:highlight w:val="none"/>
          <w14:textFill>
            <w14:solidFill>
              <w14:schemeClr w14:val="tx1"/>
            </w14:solidFill>
          </w14:textFill>
        </w:rPr>
        <w:t>。</w:t>
      </w:r>
    </w:p>
    <w:p w14:paraId="2EE5DF25">
      <w:pPr>
        <w:pStyle w:val="76"/>
        <w:tabs>
          <w:tab w:val="left" w:pos="1141"/>
        </w:tabs>
        <w:spacing w:line="500" w:lineRule="exact"/>
        <w:ind w:firstLine="720" w:firstLineChars="300"/>
        <w:rPr>
          <w:color w:val="000000" w:themeColor="text1"/>
          <w:sz w:val="24"/>
          <w:szCs w:val="24"/>
          <w:highlight w:val="none"/>
          <w14:textFill>
            <w14:solidFill>
              <w14:schemeClr w14:val="tx1"/>
            </w14:solidFill>
          </w14:textFill>
        </w:rPr>
      </w:pPr>
      <w:bookmarkStart w:id="80" w:name="bookmark117"/>
      <w:bookmarkEnd w:id="80"/>
      <w:r>
        <w:rPr>
          <w:rFonts w:hint="eastAsia"/>
          <w:color w:val="000000" w:themeColor="text1"/>
          <w:sz w:val="24"/>
          <w:szCs w:val="24"/>
          <w:highlight w:val="none"/>
          <w:lang w:val="en-US" w:eastAsia="zh-CN" w:bidi="zh-CN"/>
          <w14:textFill>
            <w14:solidFill>
              <w14:schemeClr w14:val="tx1"/>
            </w14:solidFill>
          </w14:textFill>
        </w:rPr>
        <w:t>3.5.2</w:t>
      </w:r>
      <w:r>
        <w:rPr>
          <w:rFonts w:hint="eastAsia"/>
          <w:color w:val="000000" w:themeColor="text1"/>
          <w:sz w:val="24"/>
          <w:szCs w:val="24"/>
          <w:highlight w:val="none"/>
          <w:lang w:val="zh-CN" w:eastAsia="zh-CN" w:bidi="zh-CN"/>
          <w14:textFill>
            <w14:solidFill>
              <w14:schemeClr w14:val="tx1"/>
            </w14:solidFill>
          </w14:textFill>
        </w:rPr>
        <w:t>“近</w:t>
      </w:r>
      <w:r>
        <w:rPr>
          <w:rFonts w:hint="eastAsia"/>
          <w:color w:val="000000" w:themeColor="text1"/>
          <w:sz w:val="24"/>
          <w:szCs w:val="24"/>
          <w:highlight w:val="none"/>
          <w14:textFill>
            <w14:solidFill>
              <w14:schemeClr w14:val="tx1"/>
            </w14:solidFill>
          </w14:textFill>
        </w:rPr>
        <w:t>年财务状况表</w:t>
      </w:r>
      <w:r>
        <w:rPr>
          <w:rFonts w:hint="eastAsia"/>
          <w:color w:val="000000" w:themeColor="text1"/>
          <w:sz w:val="24"/>
          <w:szCs w:val="24"/>
          <w:highlight w:val="none"/>
          <w:lang w:val="zh-CN" w:eastAsia="zh-CN" w:bidi="zh-CN"/>
          <w14:textFill>
            <w14:solidFill>
              <w14:schemeClr w14:val="tx1"/>
            </w14:solidFill>
          </w14:textFill>
        </w:rPr>
        <w:t>”</w:t>
      </w:r>
      <w:r>
        <w:rPr>
          <w:rFonts w:hint="eastAsia" w:ascii="宋体" w:hAnsi="宋体" w:eastAsia="宋体" w:cs="宋体"/>
          <w:color w:val="000000" w:themeColor="text1"/>
          <w:spacing w:val="0"/>
          <w:w w:val="100"/>
          <w:position w:val="0"/>
          <w:sz w:val="24"/>
          <w:szCs w:val="24"/>
          <w:highlight w:val="none"/>
          <w:lang w:val="zh-CN" w:eastAsia="zh-CN" w:bidi="zh-CN"/>
          <w14:textFill>
            <w14:solidFill>
              <w14:schemeClr w14:val="tx1"/>
            </w14:solidFill>
          </w14:textFill>
        </w:rPr>
        <w:t>应附近年（2023年度）财务审计报告或财务报表（含资产负债表、现金流量表、利润表），新成立企业提供当年验资报告或银行出具的公司资信证明</w:t>
      </w:r>
      <w:r>
        <w:rPr>
          <w:rFonts w:hint="eastAsia"/>
          <w:color w:val="000000" w:themeColor="text1"/>
          <w:sz w:val="24"/>
          <w:szCs w:val="24"/>
          <w:highlight w:val="none"/>
          <w14:textFill>
            <w14:solidFill>
              <w14:schemeClr w14:val="tx1"/>
            </w14:solidFill>
          </w14:textFill>
        </w:rPr>
        <w:t>。</w:t>
      </w:r>
    </w:p>
    <w:p w14:paraId="2D9CB3E6">
      <w:pPr>
        <w:pStyle w:val="76"/>
        <w:tabs>
          <w:tab w:val="left" w:pos="1141"/>
        </w:tabs>
        <w:spacing w:line="500" w:lineRule="exact"/>
        <w:ind w:firstLine="720" w:firstLineChars="300"/>
        <w:rPr>
          <w:color w:val="000000" w:themeColor="text1"/>
          <w:sz w:val="24"/>
          <w:szCs w:val="24"/>
          <w:highlight w:val="none"/>
          <w14:textFill>
            <w14:solidFill>
              <w14:schemeClr w14:val="tx1"/>
            </w14:solidFill>
          </w14:textFill>
        </w:rPr>
      </w:pPr>
      <w:bookmarkStart w:id="81" w:name="bookmark118"/>
      <w:bookmarkEnd w:id="81"/>
      <w:r>
        <w:rPr>
          <w:rFonts w:hint="eastAsia"/>
          <w:color w:val="000000" w:themeColor="text1"/>
          <w:sz w:val="24"/>
          <w:szCs w:val="24"/>
          <w:highlight w:val="none"/>
          <w:lang w:val="en-US" w:eastAsia="zh-CN" w:bidi="zh-CN"/>
          <w14:textFill>
            <w14:solidFill>
              <w14:schemeClr w14:val="tx1"/>
            </w14:solidFill>
          </w14:textFill>
        </w:rPr>
        <w:t>3.5.3</w:t>
      </w:r>
      <w:r>
        <w:rPr>
          <w:rFonts w:hint="eastAsia"/>
          <w:color w:val="000000" w:themeColor="text1"/>
          <w:sz w:val="24"/>
          <w:szCs w:val="24"/>
          <w:highlight w:val="none"/>
          <w:lang w:val="zh-CN" w:eastAsia="zh-CN" w:bidi="zh-CN"/>
          <w14:textFill>
            <w14:solidFill>
              <w14:schemeClr w14:val="tx1"/>
            </w14:solidFill>
          </w14:textFill>
        </w:rPr>
        <w:t>“近年</w:t>
      </w:r>
      <w:r>
        <w:rPr>
          <w:rFonts w:hint="eastAsia"/>
          <w:color w:val="000000" w:themeColor="text1"/>
          <w:sz w:val="24"/>
          <w:szCs w:val="24"/>
          <w:highlight w:val="none"/>
          <w14:textFill>
            <w14:solidFill>
              <w14:schemeClr w14:val="tx1"/>
            </w14:solidFill>
          </w14:textFill>
        </w:rPr>
        <w:t>完成的类似项目情况表</w:t>
      </w:r>
      <w:r>
        <w:rPr>
          <w:rFonts w:hint="eastAsia"/>
          <w:color w:val="000000" w:themeColor="text1"/>
          <w:sz w:val="24"/>
          <w:szCs w:val="24"/>
          <w:highlight w:val="none"/>
          <w:lang w:eastAsia="zh-CN"/>
          <w14:textFill>
            <w14:solidFill>
              <w14:schemeClr w14:val="tx1"/>
            </w14:solidFill>
          </w14:textFill>
        </w:rPr>
        <w:t>或年份要求</w:t>
      </w:r>
      <w:r>
        <w:rPr>
          <w:rFonts w:hint="eastAsia"/>
          <w:color w:val="000000" w:themeColor="text1"/>
          <w:sz w:val="24"/>
          <w:szCs w:val="24"/>
          <w:highlight w:val="none"/>
          <w14:textFill>
            <w14:solidFill>
              <w14:schemeClr w14:val="tx1"/>
            </w14:solidFill>
          </w14:textFill>
        </w:rPr>
        <w:t>”应附中标通知书</w:t>
      </w:r>
      <w:r>
        <w:rPr>
          <w:rFonts w:hint="eastAsia"/>
          <w:color w:val="000000" w:themeColor="text1"/>
          <w:sz w:val="24"/>
          <w:szCs w:val="24"/>
          <w:highlight w:val="none"/>
          <w:lang w:eastAsia="zh-CN"/>
          <w14:textFill>
            <w14:solidFill>
              <w14:schemeClr w14:val="tx1"/>
            </w14:solidFill>
          </w14:textFill>
        </w:rPr>
        <w:t>或</w:t>
      </w:r>
      <w:r>
        <w:rPr>
          <w:rFonts w:hint="eastAsia"/>
          <w:color w:val="000000" w:themeColor="text1"/>
          <w:sz w:val="24"/>
          <w:szCs w:val="24"/>
          <w:highlight w:val="none"/>
          <w14:textFill>
            <w14:solidFill>
              <w14:schemeClr w14:val="tx1"/>
            </w14:solidFill>
          </w14:textFill>
        </w:rPr>
        <w:t>合同协议书。</w:t>
      </w:r>
    </w:p>
    <w:p w14:paraId="25C868FC">
      <w:pPr>
        <w:pStyle w:val="76"/>
        <w:tabs>
          <w:tab w:val="left" w:pos="1141"/>
        </w:tabs>
        <w:spacing w:line="500" w:lineRule="exact"/>
        <w:ind w:firstLine="720" w:firstLineChars="300"/>
        <w:rPr>
          <w:color w:val="000000" w:themeColor="text1"/>
          <w:sz w:val="24"/>
          <w:szCs w:val="24"/>
          <w:highlight w:val="none"/>
          <w14:textFill>
            <w14:solidFill>
              <w14:schemeClr w14:val="tx1"/>
            </w14:solidFill>
          </w14:textFill>
        </w:rPr>
      </w:pPr>
      <w:bookmarkStart w:id="82" w:name="bookmark119"/>
      <w:bookmarkEnd w:id="82"/>
      <w:r>
        <w:rPr>
          <w:rFonts w:hint="eastAsia"/>
          <w:color w:val="000000" w:themeColor="text1"/>
          <w:sz w:val="24"/>
          <w:szCs w:val="24"/>
          <w:highlight w:val="none"/>
          <w:lang w:val="en-US" w:eastAsia="zh-CN" w:bidi="zh-CN"/>
          <w14:textFill>
            <w14:solidFill>
              <w14:schemeClr w14:val="tx1"/>
            </w14:solidFill>
          </w14:textFill>
        </w:rPr>
        <w:t>3.5.4</w:t>
      </w:r>
      <w:r>
        <w:rPr>
          <w:rFonts w:hint="eastAsia"/>
          <w:color w:val="000000" w:themeColor="text1"/>
          <w:sz w:val="24"/>
          <w:szCs w:val="24"/>
          <w:highlight w:val="none"/>
          <w:lang w:val="zh-CN" w:eastAsia="zh-CN" w:bidi="zh-CN"/>
          <w14:textFill>
            <w14:solidFill>
              <w14:schemeClr w14:val="tx1"/>
            </w14:solidFill>
          </w14:textFill>
        </w:rPr>
        <w:t>“正在</w:t>
      </w:r>
      <w:r>
        <w:rPr>
          <w:rFonts w:hint="eastAsia"/>
          <w:color w:val="000000" w:themeColor="text1"/>
          <w:sz w:val="24"/>
          <w:szCs w:val="24"/>
          <w:highlight w:val="none"/>
          <w14:textFill>
            <w14:solidFill>
              <w14:schemeClr w14:val="tx1"/>
            </w14:solidFill>
          </w14:textFill>
        </w:rPr>
        <w:t>施工和新承接的项目情况表</w:t>
      </w:r>
      <w:r>
        <w:rPr>
          <w:rFonts w:hint="eastAsia"/>
          <w:color w:val="000000" w:themeColor="text1"/>
          <w:sz w:val="24"/>
          <w:szCs w:val="24"/>
          <w:highlight w:val="none"/>
          <w:lang w:val="zh-CN" w:eastAsia="zh-CN" w:bidi="zh-CN"/>
          <w14:textFill>
            <w14:solidFill>
              <w14:schemeClr w14:val="tx1"/>
            </w14:solidFill>
          </w14:textFill>
        </w:rPr>
        <w:t>”应</w:t>
      </w:r>
      <w:r>
        <w:rPr>
          <w:rFonts w:hint="eastAsia"/>
          <w:color w:val="000000" w:themeColor="text1"/>
          <w:sz w:val="24"/>
          <w:szCs w:val="24"/>
          <w:highlight w:val="none"/>
          <w14:textFill>
            <w14:solidFill>
              <w14:schemeClr w14:val="tx1"/>
            </w14:solidFill>
          </w14:textFill>
        </w:rPr>
        <w:t>附成交（中标）通知书</w:t>
      </w:r>
      <w:r>
        <w:rPr>
          <w:rFonts w:hint="eastAsia"/>
          <w:color w:val="000000" w:themeColor="text1"/>
          <w:sz w:val="24"/>
          <w:szCs w:val="24"/>
          <w:highlight w:val="none"/>
          <w:lang w:eastAsia="zh-CN"/>
          <w14:textFill>
            <w14:solidFill>
              <w14:schemeClr w14:val="tx1"/>
            </w14:solidFill>
          </w14:textFill>
        </w:rPr>
        <w:t>或</w:t>
      </w:r>
      <w:r>
        <w:rPr>
          <w:rFonts w:hint="eastAsia"/>
          <w:color w:val="000000" w:themeColor="text1"/>
          <w:sz w:val="24"/>
          <w:szCs w:val="24"/>
          <w:highlight w:val="none"/>
          <w14:textFill>
            <w14:solidFill>
              <w14:schemeClr w14:val="tx1"/>
            </w14:solidFill>
          </w14:textFill>
        </w:rPr>
        <w:t>合同协议书复印件。每张表格只填写一个项目，并标明序号。</w:t>
      </w:r>
    </w:p>
    <w:p w14:paraId="07DBBD52">
      <w:pPr>
        <w:pStyle w:val="76"/>
        <w:tabs>
          <w:tab w:val="left" w:pos="1141"/>
        </w:tabs>
        <w:spacing w:line="500" w:lineRule="exact"/>
        <w:ind w:firstLine="720" w:firstLineChars="300"/>
        <w:rPr>
          <w:color w:val="000000" w:themeColor="text1"/>
          <w:sz w:val="24"/>
          <w:szCs w:val="24"/>
          <w:highlight w:val="none"/>
          <w14:textFill>
            <w14:solidFill>
              <w14:schemeClr w14:val="tx1"/>
            </w14:solidFill>
          </w14:textFill>
        </w:rPr>
      </w:pPr>
      <w:bookmarkStart w:id="83" w:name="bookmark120"/>
      <w:bookmarkEnd w:id="83"/>
      <w:r>
        <w:rPr>
          <w:rFonts w:hint="eastAsia"/>
          <w:color w:val="000000" w:themeColor="text1"/>
          <w:sz w:val="24"/>
          <w:szCs w:val="24"/>
          <w:highlight w:val="none"/>
          <w:lang w:val="en-US" w:eastAsia="zh-CN" w:bidi="zh-CN"/>
          <w14:textFill>
            <w14:solidFill>
              <w14:schemeClr w14:val="tx1"/>
            </w14:solidFill>
          </w14:textFill>
        </w:rPr>
        <w:t>3.5.5</w:t>
      </w:r>
      <w:r>
        <w:rPr>
          <w:rFonts w:hint="eastAsia"/>
          <w:color w:val="000000" w:themeColor="text1"/>
          <w:sz w:val="24"/>
          <w:szCs w:val="24"/>
          <w:highlight w:val="none"/>
          <w:lang w:val="zh-CN" w:eastAsia="zh-CN" w:bidi="zh-CN"/>
          <w14:textFill>
            <w14:solidFill>
              <w14:schemeClr w14:val="tx1"/>
            </w14:solidFill>
          </w14:textFill>
        </w:rPr>
        <w:t>“近年</w:t>
      </w:r>
      <w:r>
        <w:rPr>
          <w:rFonts w:hint="eastAsia"/>
          <w:color w:val="000000" w:themeColor="text1"/>
          <w:sz w:val="24"/>
          <w:szCs w:val="24"/>
          <w:highlight w:val="none"/>
          <w14:textFill>
            <w14:solidFill>
              <w14:schemeClr w14:val="tx1"/>
            </w14:solidFill>
          </w14:textFill>
        </w:rPr>
        <w:t>发生的诉讼及仲裁情况</w:t>
      </w:r>
      <w:r>
        <w:rPr>
          <w:rFonts w:hint="eastAsia"/>
          <w:color w:val="000000" w:themeColor="text1"/>
          <w:sz w:val="24"/>
          <w:szCs w:val="24"/>
          <w:highlight w:val="none"/>
          <w:lang w:eastAsia="zh-CN"/>
          <w14:textFill>
            <w14:solidFill>
              <w14:schemeClr w14:val="tx1"/>
            </w14:solidFill>
          </w14:textFill>
        </w:rPr>
        <w:t>或年份要求</w:t>
      </w:r>
      <w:r>
        <w:rPr>
          <w:rFonts w:hint="eastAsia"/>
          <w:color w:val="000000" w:themeColor="text1"/>
          <w:sz w:val="24"/>
          <w:szCs w:val="24"/>
          <w:highlight w:val="none"/>
          <w14:textFill>
            <w14:solidFill>
              <w14:schemeClr w14:val="tx1"/>
            </w14:solidFill>
          </w14:textFill>
        </w:rPr>
        <w:t>”应说明相关情况，并附法院或仲裁机构作岀的判决、裁决等有关法律文书复印件，具体年份要求见供应商须知前附表。</w:t>
      </w:r>
    </w:p>
    <w:p w14:paraId="7127C57E">
      <w:pPr>
        <w:pStyle w:val="76"/>
        <w:spacing w:after="160" w:line="500" w:lineRule="exact"/>
        <w:ind w:firstLine="720" w:firstLineChars="3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3.5.6</w:t>
      </w:r>
      <w:r>
        <w:rPr>
          <w:rFonts w:hint="eastAsia"/>
          <w:color w:val="000000" w:themeColor="text1"/>
          <w:sz w:val="24"/>
          <w:szCs w:val="24"/>
          <w:highlight w:val="none"/>
          <w14:textFill>
            <w14:solidFill>
              <w14:schemeClr w14:val="tx1"/>
            </w14:solidFill>
          </w14:textFill>
        </w:rPr>
        <w:t>供应商须知前附表规定接受联合体投标的，本章第</w:t>
      </w:r>
      <w:r>
        <w:rPr>
          <w:rFonts w:hint="eastAsia"/>
          <w:color w:val="000000" w:themeColor="text1"/>
          <w:sz w:val="24"/>
          <w:szCs w:val="24"/>
          <w:highlight w:val="none"/>
          <w:lang w:val="en-US" w:eastAsia="zh-CN" w:bidi="en-US"/>
          <w14:textFill>
            <w14:solidFill>
              <w14:schemeClr w14:val="tx1"/>
            </w14:solidFill>
          </w14:textFill>
        </w:rPr>
        <w:t>3.5.1</w:t>
      </w:r>
      <w:r>
        <w:rPr>
          <w:rFonts w:hint="eastAsia"/>
          <w:color w:val="000000" w:themeColor="text1"/>
          <w:sz w:val="24"/>
          <w:szCs w:val="24"/>
          <w:highlight w:val="none"/>
          <w14:textFill>
            <w14:solidFill>
              <w14:schemeClr w14:val="tx1"/>
            </w14:solidFill>
          </w14:textFill>
        </w:rPr>
        <w:t>项至第</w:t>
      </w:r>
      <w:r>
        <w:rPr>
          <w:rFonts w:hint="eastAsia"/>
          <w:color w:val="000000" w:themeColor="text1"/>
          <w:sz w:val="24"/>
          <w:szCs w:val="24"/>
          <w:highlight w:val="none"/>
          <w:lang w:val="en-US" w:eastAsia="zh-CN" w:bidi="en-US"/>
          <w14:textFill>
            <w14:solidFill>
              <w14:schemeClr w14:val="tx1"/>
            </w14:solidFill>
          </w14:textFill>
        </w:rPr>
        <w:t>3. 5.</w:t>
      </w:r>
      <w:r>
        <w:rPr>
          <w:rFonts w:hint="eastAsia"/>
          <w:color w:val="000000" w:themeColor="text1"/>
          <w:sz w:val="24"/>
          <w:szCs w:val="24"/>
          <w:highlight w:val="none"/>
          <w14:textFill>
            <w14:solidFill>
              <w14:schemeClr w14:val="tx1"/>
            </w14:solidFill>
          </w14:textFill>
        </w:rPr>
        <w:t>5项规定的表格和资料应包括联合体各方相关情况。</w:t>
      </w:r>
    </w:p>
    <w:p w14:paraId="310D8427">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3.</w:t>
      </w:r>
      <w:r>
        <w:rPr>
          <w:rFonts w:hint="eastAsia"/>
          <w:b/>
          <w:bCs/>
          <w:color w:val="000000" w:themeColor="text1"/>
          <w:sz w:val="24"/>
          <w:szCs w:val="24"/>
          <w:highlight w:val="none"/>
          <w14:textFill>
            <w14:solidFill>
              <w14:schemeClr w14:val="tx1"/>
            </w14:solidFill>
          </w14:textFill>
        </w:rPr>
        <w:t>6备选磋商方案</w:t>
      </w:r>
    </w:p>
    <w:p w14:paraId="27864AE7">
      <w:pPr>
        <w:pStyle w:val="76"/>
        <w:spacing w:after="160" w:line="500" w:lineRule="exact"/>
        <w:ind w:firstLine="44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除供应商须知前附表另有规定外，供应商不得递交备选磋商方案。允许供应商递交备选磋商方案的，只有成交供应商所递交的备选磋商方案方可予以考虑。磋商小组认为成交供应商的各选磋商方案优于其按照竞争性磋商文件要求编制的磋商方案的，采购人可以接受该备选磋商方案。</w:t>
      </w:r>
    </w:p>
    <w:p w14:paraId="031CF99F">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3.</w:t>
      </w:r>
      <w:r>
        <w:rPr>
          <w:rFonts w:hint="eastAsia"/>
          <w:b/>
          <w:bCs/>
          <w:color w:val="000000" w:themeColor="text1"/>
          <w:sz w:val="24"/>
          <w:szCs w:val="24"/>
          <w:highlight w:val="none"/>
          <w14:textFill>
            <w14:solidFill>
              <w14:schemeClr w14:val="tx1"/>
            </w14:solidFill>
          </w14:textFill>
        </w:rPr>
        <w:t>7响应文件的编制</w:t>
      </w:r>
    </w:p>
    <w:p w14:paraId="77717D80">
      <w:pPr>
        <w:pStyle w:val="76"/>
        <w:spacing w:after="160"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3.7.1</w:t>
      </w:r>
      <w:r>
        <w:rPr>
          <w:rFonts w:hint="eastAsia"/>
          <w:color w:val="000000" w:themeColor="text1"/>
          <w:sz w:val="24"/>
          <w:szCs w:val="24"/>
          <w:highlight w:val="none"/>
          <w14:textFill>
            <w14:solidFill>
              <w14:schemeClr w14:val="tx1"/>
            </w14:solidFill>
          </w14:textFill>
        </w:rPr>
        <w:t>响应文件应按第</w:t>
      </w:r>
      <w:r>
        <w:rPr>
          <w:rFonts w:hint="eastAsia"/>
          <w:color w:val="000000" w:themeColor="text1"/>
          <w:sz w:val="24"/>
          <w:szCs w:val="24"/>
          <w:highlight w:val="none"/>
          <w:lang w:val="en-US" w:eastAsia="zh-CN"/>
          <w14:textFill>
            <w14:solidFill>
              <w14:schemeClr w14:val="tx1"/>
            </w14:solidFill>
          </w14:textFill>
        </w:rPr>
        <w:t>六</w:t>
      </w:r>
      <w:r>
        <w:rPr>
          <w:rFonts w:hint="eastAsia"/>
          <w:color w:val="000000" w:themeColor="text1"/>
          <w:sz w:val="24"/>
          <w:szCs w:val="24"/>
          <w:highlight w:val="none"/>
          <w14:textFill>
            <w14:solidFill>
              <w14:schemeClr w14:val="tx1"/>
            </w14:solidFill>
          </w14:textFill>
        </w:rPr>
        <w:t>章</w:t>
      </w:r>
      <w:r>
        <w:rPr>
          <w:rFonts w:hint="eastAsia"/>
          <w:color w:val="000000" w:themeColor="text1"/>
          <w:sz w:val="24"/>
          <w:szCs w:val="24"/>
          <w:highlight w:val="none"/>
          <w:lang w:val="zh-CN" w:eastAsia="zh-CN" w:bidi="zh-CN"/>
          <w14:textFill>
            <w14:solidFill>
              <w14:schemeClr w14:val="tx1"/>
            </w14:solidFill>
          </w14:textFill>
        </w:rPr>
        <w:t>“竞争</w:t>
      </w:r>
      <w:r>
        <w:rPr>
          <w:rFonts w:hint="eastAsia"/>
          <w:color w:val="000000" w:themeColor="text1"/>
          <w:sz w:val="24"/>
          <w:szCs w:val="24"/>
          <w:highlight w:val="none"/>
          <w14:textFill>
            <w14:solidFill>
              <w14:schemeClr w14:val="tx1"/>
            </w14:solidFill>
          </w14:textFill>
        </w:rPr>
        <w:t>性磋商响应文件格式</w:t>
      </w:r>
      <w:r>
        <w:rPr>
          <w:rFonts w:hint="eastAsia"/>
          <w:color w:val="000000" w:themeColor="text1"/>
          <w:sz w:val="24"/>
          <w:szCs w:val="24"/>
          <w:highlight w:val="none"/>
          <w:lang w:val="zh-CN" w:eastAsia="zh-CN" w:bidi="zh-CN"/>
          <w14:textFill>
            <w14:solidFill>
              <w14:schemeClr w14:val="tx1"/>
            </w14:solidFill>
          </w14:textFill>
        </w:rPr>
        <w:t>”进行</w:t>
      </w:r>
      <w:r>
        <w:rPr>
          <w:rFonts w:hint="eastAsia"/>
          <w:color w:val="000000" w:themeColor="text1"/>
          <w:sz w:val="24"/>
          <w:szCs w:val="24"/>
          <w:highlight w:val="none"/>
          <w14:textFill>
            <w14:solidFill>
              <w14:schemeClr w14:val="tx1"/>
            </w14:solidFill>
          </w14:textFill>
        </w:rPr>
        <w:t>编写，如有必要，可以增加附页,作为响应文件的组成部分。其中，磋商函附录在满足竞争性磋商文件实质性要求的基础上，可以提岀比竞争性磋商文件要求更有利于采购人的承诺。</w:t>
      </w:r>
    </w:p>
    <w:p w14:paraId="7CFD4BE7">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3.7.2</w:t>
      </w:r>
      <w:r>
        <w:rPr>
          <w:rFonts w:hint="eastAsia"/>
          <w:color w:val="000000" w:themeColor="text1"/>
          <w:sz w:val="24"/>
          <w:szCs w:val="24"/>
          <w:highlight w:val="none"/>
          <w14:textFill>
            <w14:solidFill>
              <w14:schemeClr w14:val="tx1"/>
            </w14:solidFill>
          </w14:textFill>
        </w:rPr>
        <w:t>响应文件应当对竞争性磋商文件有关</w:t>
      </w:r>
      <w:r>
        <w:rPr>
          <w:rFonts w:hint="eastAsia"/>
          <w:color w:val="000000" w:themeColor="text1"/>
          <w:sz w:val="24"/>
          <w:szCs w:val="24"/>
          <w:highlight w:val="none"/>
          <w:lang w:val="zh-CN" w:eastAsia="zh-CN"/>
          <w14:textFill>
            <w14:solidFill>
              <w14:schemeClr w14:val="tx1"/>
            </w14:solidFill>
          </w14:textFill>
        </w:rPr>
        <w:t>合同履行期限</w:t>
      </w:r>
      <w:r>
        <w:rPr>
          <w:rFonts w:hint="eastAsia"/>
          <w:color w:val="000000" w:themeColor="text1"/>
          <w:sz w:val="24"/>
          <w:szCs w:val="24"/>
          <w:highlight w:val="none"/>
          <w14:textFill>
            <w14:solidFill>
              <w14:schemeClr w14:val="tx1"/>
            </w14:solidFill>
          </w14:textFill>
        </w:rPr>
        <w:t>、磋商有效期、</w:t>
      </w:r>
      <w:r>
        <w:rPr>
          <w:rFonts w:hint="eastAsia"/>
          <w:color w:val="000000" w:themeColor="text1"/>
          <w:sz w:val="24"/>
          <w:szCs w:val="24"/>
          <w:highlight w:val="none"/>
          <w:lang w:eastAsia="zh-CN"/>
          <w14:textFill>
            <w14:solidFill>
              <w14:schemeClr w14:val="tx1"/>
            </w14:solidFill>
          </w14:textFill>
        </w:rPr>
        <w:t>服务要求</w:t>
      </w:r>
      <w:r>
        <w:rPr>
          <w:rFonts w:hint="eastAsia"/>
          <w:color w:val="000000" w:themeColor="text1"/>
          <w:sz w:val="24"/>
          <w:szCs w:val="24"/>
          <w:highlight w:val="none"/>
          <w14:textFill>
            <w14:solidFill>
              <w14:schemeClr w14:val="tx1"/>
            </w14:solidFill>
          </w14:textFill>
        </w:rPr>
        <w:t>、技术标准和要求、采购范围等实质性内容作岀响应。</w:t>
      </w:r>
    </w:p>
    <w:p w14:paraId="7AEE9826">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3.7.3</w:t>
      </w:r>
      <w:r>
        <w:rPr>
          <w:rFonts w:hint="eastAsia"/>
          <w:color w:val="000000" w:themeColor="text1"/>
          <w:sz w:val="24"/>
          <w:szCs w:val="24"/>
          <w:highlight w:val="none"/>
          <w14:textFill>
            <w14:solidFill>
              <w14:schemeClr w14:val="tx1"/>
            </w14:solidFill>
          </w14:textFill>
        </w:rPr>
        <w:t>签字或盖章的具体要求见供应商须知前附表。</w:t>
      </w:r>
    </w:p>
    <w:p w14:paraId="3BC2B0C3">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3.7.4投标单位在中标后，应按招标人要求的形式（纸质版、电子版）和份数提供投标文件（纸质版投标文件及普通电子版投标文件应与“政采云”平台交易系统上传电子投标文件内容一致）</w:t>
      </w:r>
      <w:r>
        <w:rPr>
          <w:rFonts w:hint="eastAsia"/>
          <w:color w:val="000000" w:themeColor="text1"/>
          <w:sz w:val="24"/>
          <w:szCs w:val="24"/>
          <w:highlight w:val="none"/>
          <w14:textFill>
            <w14:solidFill>
              <w14:schemeClr w14:val="tx1"/>
            </w14:solidFill>
          </w14:textFill>
        </w:rPr>
        <w:t>。</w:t>
      </w:r>
    </w:p>
    <w:p w14:paraId="2239C705">
      <w:pPr>
        <w:pStyle w:val="76"/>
        <w:tabs>
          <w:tab w:val="left" w:pos="363"/>
        </w:tabs>
        <w:spacing w:after="160" w:line="500" w:lineRule="exact"/>
        <w:ind w:firstLine="241" w:firstLineChars="100"/>
        <w:jc w:val="left"/>
        <w:rPr>
          <w:color w:val="000000" w:themeColor="text1"/>
          <w:sz w:val="24"/>
          <w:szCs w:val="24"/>
          <w:highlight w:val="none"/>
          <w14:textFill>
            <w14:solidFill>
              <w14:schemeClr w14:val="tx1"/>
            </w14:solidFill>
          </w14:textFill>
        </w:rPr>
      </w:pPr>
      <w:bookmarkStart w:id="84" w:name="bookmark121"/>
      <w:bookmarkEnd w:id="84"/>
      <w:r>
        <w:rPr>
          <w:rFonts w:hint="eastAsia"/>
          <w:b/>
          <w:bCs/>
          <w:color w:val="000000" w:themeColor="text1"/>
          <w:sz w:val="24"/>
          <w:szCs w:val="24"/>
          <w:highlight w:val="none"/>
          <w:lang w:val="en-US" w:eastAsia="zh-CN"/>
          <w14:textFill>
            <w14:solidFill>
              <w14:schemeClr w14:val="tx1"/>
            </w14:solidFill>
          </w14:textFill>
        </w:rPr>
        <w:t>4.</w:t>
      </w:r>
      <w:r>
        <w:rPr>
          <w:rFonts w:hint="eastAsia"/>
          <w:b/>
          <w:bCs/>
          <w:color w:val="000000" w:themeColor="text1"/>
          <w:sz w:val="24"/>
          <w:szCs w:val="24"/>
          <w:highlight w:val="none"/>
          <w14:textFill>
            <w14:solidFill>
              <w14:schemeClr w14:val="tx1"/>
            </w14:solidFill>
          </w14:textFill>
        </w:rPr>
        <w:t>首次响应文件递交</w:t>
      </w:r>
    </w:p>
    <w:p w14:paraId="6286AEFB">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4.1</w:t>
      </w:r>
      <w:r>
        <w:rPr>
          <w:rFonts w:hint="eastAsia"/>
          <w:b/>
          <w:bCs/>
          <w:color w:val="000000" w:themeColor="text1"/>
          <w:sz w:val="24"/>
          <w:szCs w:val="24"/>
          <w:highlight w:val="none"/>
          <w14:textFill>
            <w14:solidFill>
              <w14:schemeClr w14:val="tx1"/>
            </w14:solidFill>
          </w14:textFill>
        </w:rPr>
        <w:t>响应文件的递交</w:t>
      </w:r>
    </w:p>
    <w:p w14:paraId="7F5A5D9A">
      <w:pPr>
        <w:pStyle w:val="76"/>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4.1.1</w:t>
      </w:r>
      <w:r>
        <w:rPr>
          <w:rFonts w:hint="eastAsia"/>
          <w:color w:val="000000" w:themeColor="text1"/>
          <w:sz w:val="24"/>
          <w:szCs w:val="24"/>
          <w:highlight w:val="none"/>
          <w14:textFill>
            <w14:solidFill>
              <w14:schemeClr w14:val="tx1"/>
            </w14:solidFill>
          </w14:textFill>
        </w:rPr>
        <w:t>供应商递交首次响应文件截止时间：见供应商须知前附表。</w:t>
      </w:r>
    </w:p>
    <w:p w14:paraId="3B12D85C">
      <w:pPr>
        <w:pStyle w:val="76"/>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4.1.2</w:t>
      </w:r>
      <w:r>
        <w:rPr>
          <w:rFonts w:hint="eastAsia"/>
          <w:color w:val="000000" w:themeColor="text1"/>
          <w:sz w:val="24"/>
          <w:szCs w:val="24"/>
          <w:highlight w:val="none"/>
          <w14:textFill>
            <w14:solidFill>
              <w14:schemeClr w14:val="tx1"/>
            </w14:solidFill>
          </w14:textFill>
        </w:rPr>
        <w:t>供应商递交首次响应文件的地点：见供应商须知前附表。</w:t>
      </w:r>
    </w:p>
    <w:p w14:paraId="7F908C8E">
      <w:pPr>
        <w:pStyle w:val="76"/>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4.1.3</w:t>
      </w:r>
      <w:r>
        <w:rPr>
          <w:rFonts w:hint="eastAsia"/>
          <w:color w:val="000000" w:themeColor="text1"/>
          <w:sz w:val="24"/>
          <w:szCs w:val="24"/>
          <w:highlight w:val="none"/>
          <w14:textFill>
            <w14:solidFill>
              <w14:schemeClr w14:val="tx1"/>
            </w14:solidFill>
          </w14:textFill>
        </w:rPr>
        <w:t>除供应商须知前附表另有规定外，供应商所递交的响应文件不予退还。</w:t>
      </w:r>
    </w:p>
    <w:p w14:paraId="4613623B">
      <w:pPr>
        <w:pStyle w:val="76"/>
        <w:spacing w:after="160"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4.1.4未在首次响应文件截止时间前上传投标文件解密的，将予以废标</w:t>
      </w:r>
      <w:r>
        <w:rPr>
          <w:rFonts w:hint="eastAsia"/>
          <w:color w:val="000000" w:themeColor="text1"/>
          <w:sz w:val="24"/>
          <w:szCs w:val="24"/>
          <w:highlight w:val="none"/>
          <w14:textFill>
            <w14:solidFill>
              <w14:schemeClr w14:val="tx1"/>
            </w14:solidFill>
          </w14:textFill>
        </w:rPr>
        <w:t>。</w:t>
      </w:r>
    </w:p>
    <w:p w14:paraId="292F936E">
      <w:pPr>
        <w:pStyle w:val="76"/>
        <w:tabs>
          <w:tab w:val="left" w:pos="363"/>
        </w:tabs>
        <w:spacing w:after="160" w:line="500" w:lineRule="exact"/>
        <w:ind w:firstLine="241" w:firstLineChars="100"/>
        <w:jc w:val="left"/>
        <w:rPr>
          <w:color w:val="000000" w:themeColor="text1"/>
          <w:sz w:val="24"/>
          <w:szCs w:val="24"/>
          <w:highlight w:val="none"/>
          <w14:textFill>
            <w14:solidFill>
              <w14:schemeClr w14:val="tx1"/>
            </w14:solidFill>
          </w14:textFill>
        </w:rPr>
      </w:pPr>
      <w:bookmarkStart w:id="85" w:name="bookmark122"/>
      <w:bookmarkEnd w:id="85"/>
      <w:r>
        <w:rPr>
          <w:rFonts w:hint="eastAsia"/>
          <w:b/>
          <w:bCs/>
          <w:color w:val="000000" w:themeColor="text1"/>
          <w:sz w:val="24"/>
          <w:szCs w:val="24"/>
          <w:highlight w:val="none"/>
          <w:lang w:val="en-US" w:eastAsia="zh-CN"/>
          <w14:textFill>
            <w14:solidFill>
              <w14:schemeClr w14:val="tx1"/>
            </w14:solidFill>
          </w14:textFill>
        </w:rPr>
        <w:t>5.</w:t>
      </w:r>
      <w:r>
        <w:rPr>
          <w:rFonts w:hint="eastAsia"/>
          <w:b/>
          <w:bCs/>
          <w:color w:val="000000" w:themeColor="text1"/>
          <w:sz w:val="24"/>
          <w:szCs w:val="24"/>
          <w:highlight w:val="none"/>
          <w14:textFill>
            <w14:solidFill>
              <w14:schemeClr w14:val="tx1"/>
            </w14:solidFill>
          </w14:textFill>
        </w:rPr>
        <w:t>磋商</w:t>
      </w:r>
    </w:p>
    <w:p w14:paraId="2D5A0CA1">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5.</w:t>
      </w:r>
      <w:r>
        <w:rPr>
          <w:rFonts w:hint="eastAsia"/>
          <w:b/>
          <w:bCs/>
          <w:color w:val="000000" w:themeColor="text1"/>
          <w:sz w:val="24"/>
          <w:szCs w:val="24"/>
          <w:highlight w:val="none"/>
          <w14:textFill>
            <w14:solidFill>
              <w14:schemeClr w14:val="tx1"/>
            </w14:solidFill>
          </w14:textFill>
        </w:rPr>
        <w:t>1磋商时间和地点</w:t>
      </w:r>
    </w:p>
    <w:p w14:paraId="57C3399C">
      <w:pPr>
        <w:pStyle w:val="76"/>
        <w:spacing w:after="160" w:line="500" w:lineRule="exact"/>
        <w:ind w:firstLine="44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14:textFill>
            <w14:solidFill>
              <w14:schemeClr w14:val="tx1"/>
            </w14:solidFill>
          </w14:textFill>
        </w:rPr>
        <w:t>投标人应</w:t>
      </w:r>
      <w:r>
        <w:rPr>
          <w:rFonts w:hint="eastAsia"/>
          <w:color w:val="000000" w:themeColor="text1"/>
          <w:sz w:val="24"/>
          <w:szCs w:val="24"/>
          <w:highlight w:val="none"/>
          <w14:textFill>
            <w14:solidFill>
              <w14:schemeClr w14:val="tx1"/>
            </w14:solidFill>
          </w14:textFill>
        </w:rPr>
        <w:t>在本章第</w:t>
      </w:r>
      <w:r>
        <w:rPr>
          <w:rFonts w:hint="eastAsia"/>
          <w:color w:val="000000" w:themeColor="text1"/>
          <w:sz w:val="24"/>
          <w:szCs w:val="24"/>
          <w:highlight w:val="none"/>
          <w:lang w:val="en-US" w:eastAsia="zh-CN"/>
          <w14:textFill>
            <w14:solidFill>
              <w14:schemeClr w14:val="tx1"/>
            </w14:solidFill>
          </w14:textFill>
        </w:rPr>
        <w:t>4.1.1和</w:t>
      </w:r>
      <w:r>
        <w:rPr>
          <w:rFonts w:hint="eastAsia"/>
          <w:color w:val="000000" w:themeColor="text1"/>
          <w:sz w:val="24"/>
          <w:szCs w:val="24"/>
          <w:highlight w:val="none"/>
          <w:lang w:val="en-US" w:eastAsia="zh-CN" w:bidi="en-US"/>
          <w14:textFill>
            <w14:solidFill>
              <w14:schemeClr w14:val="tx1"/>
            </w14:solidFill>
          </w14:textFill>
        </w:rPr>
        <w:t>4.1.</w:t>
      </w:r>
      <w:r>
        <w:rPr>
          <w:rFonts w:hint="eastAsia"/>
          <w:color w:val="000000" w:themeColor="text1"/>
          <w:sz w:val="24"/>
          <w:szCs w:val="24"/>
          <w:highlight w:val="none"/>
          <w:lang w:val="en-US" w:eastAsia="zh-CN"/>
          <w14:textFill>
            <w14:solidFill>
              <w14:schemeClr w14:val="tx1"/>
            </w14:solidFill>
          </w14:textFill>
        </w:rPr>
        <w:t>2</w:t>
      </w:r>
      <w:r>
        <w:rPr>
          <w:rFonts w:hint="eastAsia"/>
          <w:color w:val="000000" w:themeColor="text1"/>
          <w:sz w:val="24"/>
          <w:szCs w:val="24"/>
          <w:highlight w:val="none"/>
          <w14:textFill>
            <w14:solidFill>
              <w14:schemeClr w14:val="tx1"/>
            </w14:solidFill>
          </w14:textFill>
        </w:rPr>
        <w:t>项规定的递交首次响应文件截止时间（磋商时间）和供应商递交首次响应文件的地点磋商，并要求法人或授权委托人准时参加</w:t>
      </w:r>
      <w:r>
        <w:rPr>
          <w:rFonts w:hint="eastAsia"/>
          <w:color w:val="000000" w:themeColor="text1"/>
          <w:sz w:val="24"/>
          <w:szCs w:val="24"/>
          <w:highlight w:val="none"/>
          <w:lang w:val="en-US" w:eastAsia="zh-CN"/>
          <w14:textFill>
            <w14:solidFill>
              <w14:schemeClr w14:val="tx1"/>
            </w14:solidFill>
          </w14:textFill>
        </w:rPr>
        <w:t>线上腾讯会议直播，腾讯会议现场核验身份详见供应商须知前附表4.1.2</w:t>
      </w:r>
      <w:r>
        <w:rPr>
          <w:rFonts w:hint="eastAsia"/>
          <w:color w:val="000000" w:themeColor="text1"/>
          <w:sz w:val="24"/>
          <w:szCs w:val="24"/>
          <w:highlight w:val="none"/>
          <w14:textFill>
            <w14:solidFill>
              <w14:schemeClr w14:val="tx1"/>
            </w14:solidFill>
          </w14:textFill>
        </w:rPr>
        <w:t>。</w:t>
      </w:r>
    </w:p>
    <w:p w14:paraId="5224A6B4">
      <w:pPr>
        <w:pStyle w:val="76"/>
        <w:spacing w:after="160"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5.</w:t>
      </w:r>
      <w:r>
        <w:rPr>
          <w:rFonts w:hint="eastAsia"/>
          <w:b/>
          <w:bCs/>
          <w:color w:val="000000" w:themeColor="text1"/>
          <w:sz w:val="24"/>
          <w:szCs w:val="24"/>
          <w:highlight w:val="none"/>
          <w14:textFill>
            <w14:solidFill>
              <w14:schemeClr w14:val="tx1"/>
            </w14:solidFill>
          </w14:textFill>
        </w:rPr>
        <w:t>2磋商程序</w:t>
      </w:r>
    </w:p>
    <w:p w14:paraId="65BA8199">
      <w:pPr>
        <w:pStyle w:val="76"/>
        <w:tabs>
          <w:tab w:val="left" w:pos="913"/>
        </w:tabs>
        <w:spacing w:after="160" w:line="500" w:lineRule="exact"/>
        <w:ind w:firstLine="480" w:firstLineChars="20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14:textFill>
            <w14:solidFill>
              <w14:schemeClr w14:val="tx1"/>
            </w14:solidFill>
          </w14:textFill>
        </w:rPr>
        <w:t>以“政采云”平台（http：//www.zcygov.cn）系统排列顺序开标</w:t>
      </w:r>
      <w:r>
        <w:rPr>
          <w:rFonts w:hint="eastAsia"/>
          <w:color w:val="000000" w:themeColor="text1"/>
          <w:sz w:val="24"/>
          <w:szCs w:val="24"/>
          <w:highlight w:val="none"/>
          <w14:textFill>
            <w14:solidFill>
              <w14:schemeClr w14:val="tx1"/>
            </w14:solidFill>
          </w14:textFill>
        </w:rPr>
        <w:t>。</w:t>
      </w:r>
    </w:p>
    <w:p w14:paraId="0EA4A770">
      <w:pPr>
        <w:pStyle w:val="76"/>
        <w:tabs>
          <w:tab w:val="left" w:pos="329"/>
        </w:tabs>
        <w:spacing w:line="500" w:lineRule="exact"/>
        <w:ind w:firstLine="482" w:firstLineChars="200"/>
        <w:jc w:val="left"/>
        <w:rPr>
          <w:color w:val="000000" w:themeColor="text1"/>
          <w:sz w:val="24"/>
          <w:szCs w:val="24"/>
          <w:highlight w:val="none"/>
          <w14:textFill>
            <w14:solidFill>
              <w14:schemeClr w14:val="tx1"/>
            </w14:solidFill>
          </w14:textFill>
        </w:rPr>
      </w:pPr>
      <w:bookmarkStart w:id="86" w:name="bookmark127"/>
      <w:bookmarkEnd w:id="86"/>
      <w:r>
        <w:rPr>
          <w:rFonts w:hint="eastAsia"/>
          <w:b/>
          <w:bCs/>
          <w:color w:val="000000" w:themeColor="text1"/>
          <w:sz w:val="24"/>
          <w:szCs w:val="24"/>
          <w:highlight w:val="none"/>
          <w:lang w:val="en-US" w:eastAsia="zh-CN"/>
          <w14:textFill>
            <w14:solidFill>
              <w14:schemeClr w14:val="tx1"/>
            </w14:solidFill>
          </w14:textFill>
        </w:rPr>
        <w:t>5.</w:t>
      </w:r>
      <w:r>
        <w:rPr>
          <w:rFonts w:hint="eastAsia"/>
          <w:b/>
          <w:bCs/>
          <w:color w:val="000000" w:themeColor="text1"/>
          <w:sz w:val="24"/>
          <w:szCs w:val="24"/>
          <w:highlight w:val="none"/>
          <w14:textFill>
            <w14:solidFill>
              <w14:schemeClr w14:val="tx1"/>
            </w14:solidFill>
          </w14:textFill>
        </w:rPr>
        <w:t>3磋商其他事项</w:t>
      </w:r>
    </w:p>
    <w:p w14:paraId="5A6E894D">
      <w:pPr>
        <w:pStyle w:val="76"/>
        <w:tabs>
          <w:tab w:val="left" w:pos="1006"/>
        </w:tabs>
        <w:spacing w:line="500" w:lineRule="exact"/>
        <w:ind w:firstLine="480" w:firstLineChars="200"/>
        <w:rPr>
          <w:color w:val="000000" w:themeColor="text1"/>
          <w:sz w:val="24"/>
          <w:szCs w:val="24"/>
          <w:highlight w:val="none"/>
          <w14:textFill>
            <w14:solidFill>
              <w14:schemeClr w14:val="tx1"/>
            </w14:solidFill>
          </w14:textFill>
        </w:rPr>
      </w:pPr>
      <w:bookmarkStart w:id="87" w:name="bookmark128"/>
      <w:bookmarkEnd w:id="87"/>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通过初步评审的供应商少于三家的，采购人或者采购代理机构依法重新组织采购，且不承担任何费用和责任。</w:t>
      </w:r>
    </w:p>
    <w:p w14:paraId="23A349E5">
      <w:pPr>
        <w:pStyle w:val="76"/>
        <w:spacing w:line="500" w:lineRule="exact"/>
        <w:ind w:firstLine="480" w:firstLineChars="200"/>
        <w:rPr>
          <w:rFonts w:hint="eastAsia"/>
          <w:color w:val="000000" w:themeColor="text1"/>
          <w:sz w:val="24"/>
          <w:szCs w:val="24"/>
          <w:highlight w:val="none"/>
          <w14:textFill>
            <w14:solidFill>
              <w14:schemeClr w14:val="tx1"/>
            </w14:solidFill>
          </w14:textFill>
        </w:rPr>
      </w:pPr>
      <w:bookmarkStart w:id="88" w:name="bookmark129"/>
      <w:bookmarkEnd w:id="88"/>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w:t>
      </w:r>
      <w:r>
        <w:rPr>
          <w:rFonts w:hint="eastAsia"/>
          <w:color w:val="000000" w:themeColor="text1"/>
          <w:sz w:val="24"/>
          <w:szCs w:val="24"/>
          <w:highlight w:val="none"/>
          <w:lang w:eastAsia="zh-CN"/>
          <w14:textFill>
            <w14:solidFill>
              <w14:schemeClr w14:val="tx1"/>
            </w14:solidFill>
          </w14:textFill>
        </w:rPr>
        <w:t>）</w:t>
      </w:r>
      <w:bookmarkStart w:id="89" w:name="bookmark131"/>
      <w:bookmarkEnd w:id="89"/>
      <w:r>
        <w:rPr>
          <w:rFonts w:hint="eastAsia"/>
          <w:color w:val="000000" w:themeColor="text1"/>
          <w:sz w:val="24"/>
          <w:szCs w:val="24"/>
          <w:highlight w:val="none"/>
          <w14:textFill>
            <w14:solidFill>
              <w14:schemeClr w14:val="tx1"/>
            </w14:solidFill>
          </w14:textFill>
        </w:rPr>
        <w:t>供应商对第二轮报价有异议的，应当在</w:t>
      </w:r>
      <w:r>
        <w:rPr>
          <w:rFonts w:hint="eastAsia"/>
          <w:color w:val="000000" w:themeColor="text1"/>
          <w:sz w:val="24"/>
          <w:szCs w:val="24"/>
          <w:highlight w:val="none"/>
          <w:lang w:val="en-US" w:eastAsia="zh-CN"/>
          <w14:textFill>
            <w14:solidFill>
              <w14:schemeClr w14:val="tx1"/>
            </w14:solidFill>
          </w14:textFill>
        </w:rPr>
        <w:t>政采云线上</w:t>
      </w:r>
      <w:r>
        <w:rPr>
          <w:rFonts w:hint="eastAsia"/>
          <w:color w:val="000000" w:themeColor="text1"/>
          <w:sz w:val="24"/>
          <w:szCs w:val="24"/>
          <w:highlight w:val="none"/>
          <w14:textFill>
            <w14:solidFill>
              <w14:schemeClr w14:val="tx1"/>
            </w14:solidFill>
          </w14:textFill>
        </w:rPr>
        <w:t>提岀，采购人或者采购代理机构应当场给予答复，并制作记录，供应商法定代表人或其授权代表、采购人代表、采购代理机构相关人员签字确认。</w:t>
      </w:r>
    </w:p>
    <w:p w14:paraId="1CAE2A94">
      <w:pPr>
        <w:pStyle w:val="76"/>
        <w:spacing w:line="500" w:lineRule="exact"/>
        <w:ind w:firstLine="480" w:firstLineChars="200"/>
        <w:rPr>
          <w:rFonts w:hint="default" w:eastAsia="宋体"/>
          <w:color w:val="000000" w:themeColor="text1"/>
          <w:sz w:val="24"/>
          <w:szCs w:val="24"/>
          <w:highlight w:val="none"/>
          <w:lang w:val="en-US" w:eastAsia="zh-CN"/>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3</w:t>
      </w:r>
      <w:r>
        <w:rPr>
          <w:rFonts w:hint="eastAsia"/>
          <w:color w:val="000000" w:themeColor="text1"/>
          <w:sz w:val="24"/>
          <w:szCs w:val="24"/>
          <w:highlight w:val="none"/>
          <w:lang w:eastAsia="zh-CN"/>
          <w14:textFill>
            <w14:solidFill>
              <w14:schemeClr w14:val="tx1"/>
            </w14:solidFill>
          </w14:textFill>
        </w:rPr>
        <w:t>）对</w:t>
      </w:r>
      <w:r>
        <w:rPr>
          <w:rFonts w:hint="eastAsia"/>
          <w:color w:val="000000" w:themeColor="text1"/>
          <w:sz w:val="24"/>
          <w:szCs w:val="24"/>
          <w:highlight w:val="none"/>
          <w:lang w:val="en-US" w:eastAsia="zh-CN"/>
          <w14:textFill>
            <w14:solidFill>
              <w14:schemeClr w14:val="tx1"/>
            </w14:solidFill>
          </w14:textFill>
        </w:rPr>
        <w:t>未按要求及时间上传</w:t>
      </w:r>
      <w:r>
        <w:rPr>
          <w:rFonts w:hint="eastAsia"/>
          <w:color w:val="000000" w:themeColor="text1"/>
          <w:sz w:val="24"/>
          <w:szCs w:val="24"/>
          <w:highlight w:val="none"/>
          <w:lang w:eastAsia="zh-CN"/>
          <w14:textFill>
            <w14:solidFill>
              <w14:schemeClr w14:val="tx1"/>
            </w14:solidFill>
          </w14:textFill>
        </w:rPr>
        <w:t>第二轮报价</w:t>
      </w:r>
      <w:r>
        <w:rPr>
          <w:rFonts w:hint="eastAsia"/>
          <w:color w:val="000000" w:themeColor="text1"/>
          <w:sz w:val="24"/>
          <w:szCs w:val="24"/>
          <w:highlight w:val="none"/>
          <w:lang w:val="en-US" w:eastAsia="zh-CN"/>
          <w14:textFill>
            <w14:solidFill>
              <w14:schemeClr w14:val="tx1"/>
            </w14:solidFill>
          </w14:textFill>
        </w:rPr>
        <w:t>的</w:t>
      </w:r>
      <w:r>
        <w:rPr>
          <w:rFonts w:hint="eastAsia"/>
          <w:color w:val="000000" w:themeColor="text1"/>
          <w:sz w:val="24"/>
          <w:szCs w:val="24"/>
          <w:highlight w:val="none"/>
          <w:lang w:eastAsia="zh-CN"/>
          <w14:textFill>
            <w14:solidFill>
              <w14:schemeClr w14:val="tx1"/>
            </w14:solidFill>
          </w14:textFill>
        </w:rPr>
        <w:t>供应商</w:t>
      </w:r>
      <w:r>
        <w:rPr>
          <w:rFonts w:hint="eastAsia"/>
          <w:color w:val="000000" w:themeColor="text1"/>
          <w:sz w:val="24"/>
          <w:szCs w:val="24"/>
          <w:highlight w:val="none"/>
          <w:lang w:val="en-US" w:eastAsia="zh-CN"/>
          <w14:textFill>
            <w14:solidFill>
              <w14:schemeClr w14:val="tx1"/>
            </w14:solidFill>
          </w14:textFill>
        </w:rPr>
        <w:t>予以废标处理。</w:t>
      </w:r>
    </w:p>
    <w:p w14:paraId="1EDD957E">
      <w:pPr>
        <w:pStyle w:val="76"/>
        <w:tabs>
          <w:tab w:val="left" w:pos="353"/>
        </w:tabs>
        <w:spacing w:after="160" w:line="500" w:lineRule="exact"/>
        <w:ind w:firstLine="241" w:firstLineChars="100"/>
        <w:jc w:val="left"/>
        <w:rPr>
          <w:color w:val="000000" w:themeColor="text1"/>
          <w:sz w:val="24"/>
          <w:szCs w:val="24"/>
          <w:highlight w:val="none"/>
          <w14:textFill>
            <w14:solidFill>
              <w14:schemeClr w14:val="tx1"/>
            </w14:solidFill>
          </w14:textFill>
        </w:rPr>
      </w:pPr>
      <w:bookmarkStart w:id="90" w:name="bookmark132"/>
      <w:bookmarkEnd w:id="90"/>
      <w:r>
        <w:rPr>
          <w:rFonts w:hint="eastAsia"/>
          <w:b/>
          <w:bCs/>
          <w:color w:val="000000" w:themeColor="text1"/>
          <w:sz w:val="24"/>
          <w:szCs w:val="24"/>
          <w:highlight w:val="none"/>
          <w:lang w:val="en-US" w:eastAsia="zh-CN"/>
          <w14:textFill>
            <w14:solidFill>
              <w14:schemeClr w14:val="tx1"/>
            </w14:solidFill>
          </w14:textFill>
        </w:rPr>
        <w:t>6.</w:t>
      </w:r>
      <w:r>
        <w:rPr>
          <w:rFonts w:hint="eastAsia"/>
          <w:b/>
          <w:bCs/>
          <w:color w:val="000000" w:themeColor="text1"/>
          <w:sz w:val="24"/>
          <w:szCs w:val="24"/>
          <w:highlight w:val="none"/>
          <w14:textFill>
            <w14:solidFill>
              <w14:schemeClr w14:val="tx1"/>
            </w14:solidFill>
          </w14:textFill>
        </w:rPr>
        <w:t>评审</w:t>
      </w:r>
    </w:p>
    <w:p w14:paraId="28240E02">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6.</w:t>
      </w:r>
      <w:r>
        <w:rPr>
          <w:rFonts w:hint="eastAsia"/>
          <w:b/>
          <w:bCs/>
          <w:color w:val="000000" w:themeColor="text1"/>
          <w:sz w:val="24"/>
          <w:szCs w:val="24"/>
          <w:highlight w:val="none"/>
          <w14:textFill>
            <w14:solidFill>
              <w14:schemeClr w14:val="tx1"/>
            </w14:solidFill>
          </w14:textFill>
        </w:rPr>
        <w:t>1磋商小组</w:t>
      </w:r>
    </w:p>
    <w:p w14:paraId="0DDE26E7">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6.1.1</w:t>
      </w:r>
      <w:r>
        <w:rPr>
          <w:rFonts w:hint="eastAsia"/>
          <w:color w:val="000000" w:themeColor="text1"/>
          <w:sz w:val="24"/>
          <w:szCs w:val="24"/>
          <w:highlight w:val="none"/>
          <w14:textFill>
            <w14:solidFill>
              <w14:schemeClr w14:val="tx1"/>
            </w14:solidFill>
          </w14:textFill>
        </w:rPr>
        <w:t>采购人按照《中华人民共和国政府采购法》、《政府采购非招标采购方式管理办法》以及有关规定组建磋商小组。评审由采购人依法组建的磋商小组负责。磋商小组由采购人代表和评审专家共三人以上单数组成，其中技术、经济等方面的专家不得少于磋商小组成员总数的三分之二。磋商小组成员人数以及技术、经济等方面专家的确定方式见供应商须知前附表。</w:t>
      </w:r>
    </w:p>
    <w:p w14:paraId="26BE2378">
      <w:pPr>
        <w:pStyle w:val="76"/>
        <w:spacing w:after="80"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参加评审专家抽取的有关人员对被抽取的专家的姓名、单位和联系方式等内容负有保密的义务。</w:t>
      </w:r>
    </w:p>
    <w:p w14:paraId="6A15EED9">
      <w:pPr>
        <w:pStyle w:val="76"/>
        <w:spacing w:line="500" w:lineRule="exact"/>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磋商小组成员的名单在成交结果确定前必须严格保密。</w:t>
      </w:r>
    </w:p>
    <w:p w14:paraId="32493716">
      <w:pPr>
        <w:pStyle w:val="76"/>
        <w:tabs>
          <w:tab w:val="left" w:pos="733"/>
        </w:tabs>
        <w:spacing w:line="500" w:lineRule="exact"/>
        <w:ind w:firstLine="720" w:firstLineChars="300"/>
        <w:rPr>
          <w:color w:val="000000" w:themeColor="text1"/>
          <w:sz w:val="24"/>
          <w:szCs w:val="24"/>
          <w:highlight w:val="none"/>
          <w14:textFill>
            <w14:solidFill>
              <w14:schemeClr w14:val="tx1"/>
            </w14:solidFill>
          </w14:textFill>
        </w:rPr>
      </w:pPr>
      <w:bookmarkStart w:id="91" w:name="bookmark133"/>
      <w:bookmarkEnd w:id="91"/>
      <w:r>
        <w:rPr>
          <w:rFonts w:hint="eastAsia"/>
          <w:color w:val="000000" w:themeColor="text1"/>
          <w:sz w:val="24"/>
          <w:szCs w:val="24"/>
          <w:highlight w:val="none"/>
          <w:lang w:val="en-US" w:eastAsia="zh-CN" w:bidi="en-US"/>
          <w14:textFill>
            <w14:solidFill>
              <w14:schemeClr w14:val="tx1"/>
            </w14:solidFill>
          </w14:textFill>
        </w:rPr>
        <w:t>6.1.2</w:t>
      </w:r>
      <w:r>
        <w:rPr>
          <w:rFonts w:hint="eastAsia"/>
          <w:color w:val="000000" w:themeColor="text1"/>
          <w:sz w:val="24"/>
          <w:szCs w:val="24"/>
          <w:highlight w:val="none"/>
          <w14:textFill>
            <w14:solidFill>
              <w14:schemeClr w14:val="tx1"/>
            </w14:solidFill>
          </w14:textFill>
        </w:rPr>
        <w:t>磋商小组成员不得参加与自己有利害关系的评审活动，与自己有利害关系的应当回避， 已经进入的必须更换。</w:t>
      </w:r>
    </w:p>
    <w:p w14:paraId="27E07C17">
      <w:pPr>
        <w:pStyle w:val="76"/>
        <w:spacing w:line="500" w:lineRule="exact"/>
        <w:ind w:firstLine="720" w:firstLineChars="3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6.1.3</w:t>
      </w:r>
      <w:r>
        <w:rPr>
          <w:rFonts w:hint="eastAsia"/>
          <w:color w:val="000000" w:themeColor="text1"/>
          <w:sz w:val="24"/>
          <w:szCs w:val="24"/>
          <w:highlight w:val="none"/>
          <w14:textFill>
            <w14:solidFill>
              <w14:schemeClr w14:val="tx1"/>
            </w14:solidFill>
          </w14:textFill>
        </w:rPr>
        <w:t>磋商小组负责对各响应文件进行评审、比较、评定，并按本磋商文件的规定确定成交供应商。</w:t>
      </w:r>
    </w:p>
    <w:p w14:paraId="10BF18B9">
      <w:pPr>
        <w:pStyle w:val="76"/>
        <w:spacing w:line="500" w:lineRule="exact"/>
        <w:ind w:firstLine="720" w:firstLineChars="3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6.1.4</w:t>
      </w:r>
      <w:r>
        <w:rPr>
          <w:rFonts w:hint="eastAsia"/>
          <w:color w:val="000000" w:themeColor="text1"/>
          <w:sz w:val="24"/>
          <w:szCs w:val="24"/>
          <w:highlight w:val="none"/>
          <w14:textFill>
            <w14:solidFill>
              <w14:schemeClr w14:val="tx1"/>
            </w14:solidFill>
          </w14:textFill>
        </w:rPr>
        <w:t>磋商小组具有依据磋商文件进行独立评审的权力，且不受外界任何因素的干扰。磋商小组成员必须独立、负责地提岀评审意见，并对自己的评审意见承担责任。对磋商结果有不同意见的磋商小组成员应当以书面形式说明其不同意见和理由，评审报告应当注明不同意见。磋商小组成员拒绝评审或者拒绝在评审报告上签字且不书面说明其不同意见和理由的，视为同意评审结果。磋商小组应当对此作岀书面说明并记录在案。</w:t>
      </w:r>
    </w:p>
    <w:p w14:paraId="12401232">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6.1.5</w:t>
      </w:r>
      <w:r>
        <w:rPr>
          <w:rFonts w:hint="eastAsia"/>
          <w:color w:val="000000" w:themeColor="text1"/>
          <w:sz w:val="24"/>
          <w:szCs w:val="24"/>
          <w:highlight w:val="none"/>
          <w14:textFill>
            <w14:solidFill>
              <w14:schemeClr w14:val="tx1"/>
            </w14:solidFill>
          </w14:textFill>
        </w:rPr>
        <w:t>磋商小组的职责：</w:t>
      </w:r>
    </w:p>
    <w:p w14:paraId="309816C2">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92" w:name="bookmark134"/>
      <w:bookmarkEnd w:id="92"/>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审查响应文件是否符合磋商文件要求，进行资格性审查和符合性审查，并作岀评价；</w:t>
      </w:r>
    </w:p>
    <w:p w14:paraId="6B3D1B96">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93" w:name="bookmark135"/>
      <w:bookmarkEnd w:id="93"/>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要求供应商解释或澄清其响应文件；</w:t>
      </w:r>
    </w:p>
    <w:p w14:paraId="39F48DD1">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94" w:name="bookmark136"/>
      <w:bookmarkEnd w:id="94"/>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3</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编写评审报告，受采购人委托按照事先确定的办法直接确定成交供应商；</w:t>
      </w:r>
    </w:p>
    <w:p w14:paraId="7B900D4F">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95" w:name="bookmark137"/>
      <w:bookmarkEnd w:id="95"/>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4</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告知采购人、采购代理机构在评审过程中发现的供应商的违法违规行为。</w:t>
      </w:r>
    </w:p>
    <w:p w14:paraId="1BB09A62">
      <w:pPr>
        <w:pStyle w:val="76"/>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6.1.6</w:t>
      </w:r>
      <w:r>
        <w:rPr>
          <w:rFonts w:hint="eastAsia"/>
          <w:color w:val="000000" w:themeColor="text1"/>
          <w:sz w:val="24"/>
          <w:szCs w:val="24"/>
          <w:highlight w:val="none"/>
          <w14:textFill>
            <w14:solidFill>
              <w14:schemeClr w14:val="tx1"/>
            </w14:solidFill>
          </w14:textFill>
        </w:rPr>
        <w:t>磋商小组的义务：</w:t>
      </w:r>
    </w:p>
    <w:p w14:paraId="7DC50D06">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96" w:name="bookmark138"/>
      <w:bookmarkEnd w:id="96"/>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遵纪守法，客观、公正、廉洁地履行职责；</w:t>
      </w:r>
    </w:p>
    <w:p w14:paraId="540908A1">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97" w:name="bookmark139"/>
      <w:bookmarkEnd w:id="97"/>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提岀真实、可靠的评审意见；</w:t>
      </w:r>
    </w:p>
    <w:p w14:paraId="6FB7063F">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98" w:name="bookmark140"/>
      <w:bookmarkEnd w:id="98"/>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3</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严格遵守评审纪律，不得向外界泄露评审情况；</w:t>
      </w:r>
    </w:p>
    <w:p w14:paraId="2E416A4D">
      <w:pPr>
        <w:pStyle w:val="76"/>
        <w:tabs>
          <w:tab w:val="left" w:pos="1011"/>
        </w:tabs>
        <w:spacing w:line="500" w:lineRule="exact"/>
        <w:ind w:firstLine="720" w:firstLineChars="300"/>
        <w:jc w:val="left"/>
        <w:rPr>
          <w:color w:val="000000" w:themeColor="text1"/>
          <w:sz w:val="24"/>
          <w:szCs w:val="24"/>
          <w:highlight w:val="none"/>
          <w14:textFill>
            <w14:solidFill>
              <w14:schemeClr w14:val="tx1"/>
            </w14:solidFill>
          </w14:textFill>
        </w:rPr>
      </w:pPr>
      <w:bookmarkStart w:id="99" w:name="bookmark141"/>
      <w:bookmarkEnd w:id="99"/>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4</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发现供应商在磋商活动中有不正当竞争或者恶意串通等违规行为，应及时向政府采购监督管理部门报告并加以制止；</w:t>
      </w:r>
    </w:p>
    <w:p w14:paraId="58CADB8F">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100" w:name="bookmark142"/>
      <w:bookmarkEnd w:id="100"/>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5</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按照磋商文件的规定进行独立评审，对个人的评审意见承担法律责任；</w:t>
      </w:r>
    </w:p>
    <w:p w14:paraId="53AFBACE">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101" w:name="bookmark143"/>
      <w:bookmarkEnd w:id="101"/>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6</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编写并审定评审报告；</w:t>
      </w:r>
    </w:p>
    <w:p w14:paraId="3ED863A3">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102" w:name="bookmark144"/>
      <w:bookmarkEnd w:id="102"/>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7</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配合采购人或者采购代理机构答复供应商提岀的质疑；</w:t>
      </w:r>
    </w:p>
    <w:p w14:paraId="3F27D3AB">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103" w:name="bookmark145"/>
      <w:bookmarkEnd w:id="103"/>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8</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对评审过程和结果，以及采购人、供应商的商业秘密保密；</w:t>
      </w:r>
    </w:p>
    <w:p w14:paraId="24E9605C">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104" w:name="bookmark146"/>
      <w:bookmarkEnd w:id="104"/>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9</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配合财政部门的投诉处理和监督检查工作。</w:t>
      </w:r>
    </w:p>
    <w:p w14:paraId="4FBA0318">
      <w:pPr>
        <w:pStyle w:val="76"/>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6.1.</w:t>
      </w:r>
      <w:r>
        <w:rPr>
          <w:rFonts w:hint="eastAsia"/>
          <w:color w:val="000000" w:themeColor="text1"/>
          <w:sz w:val="24"/>
          <w:szCs w:val="24"/>
          <w:highlight w:val="none"/>
          <w14:textFill>
            <w14:solidFill>
              <w14:schemeClr w14:val="tx1"/>
            </w14:solidFill>
          </w14:textFill>
        </w:rPr>
        <w:t>7磋商小组成员有下列情形之一的，应当回避：</w:t>
      </w:r>
    </w:p>
    <w:p w14:paraId="6B3091EA">
      <w:pPr>
        <w:pStyle w:val="76"/>
        <w:tabs>
          <w:tab w:val="left" w:pos="894"/>
        </w:tabs>
        <w:spacing w:line="500" w:lineRule="exact"/>
        <w:ind w:firstLine="720" w:firstLineChars="300"/>
        <w:jc w:val="left"/>
        <w:rPr>
          <w:color w:val="000000" w:themeColor="text1"/>
          <w:sz w:val="24"/>
          <w:szCs w:val="24"/>
          <w:highlight w:val="none"/>
          <w14:textFill>
            <w14:solidFill>
              <w14:schemeClr w14:val="tx1"/>
            </w14:solidFill>
          </w14:textFill>
        </w:rPr>
      </w:pPr>
      <w:bookmarkStart w:id="105" w:name="bookmark147"/>
      <w:bookmarkEnd w:id="105"/>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采购人或供应商的主要负责人的近亲属；</w:t>
      </w:r>
    </w:p>
    <w:p w14:paraId="5BAB23A0">
      <w:pPr>
        <w:pStyle w:val="76"/>
        <w:tabs>
          <w:tab w:val="left" w:pos="894"/>
        </w:tabs>
        <w:spacing w:line="500" w:lineRule="exact"/>
        <w:ind w:firstLine="720" w:firstLineChars="300"/>
        <w:jc w:val="left"/>
        <w:rPr>
          <w:color w:val="000000" w:themeColor="text1"/>
          <w:sz w:val="24"/>
          <w:szCs w:val="24"/>
          <w:highlight w:val="none"/>
          <w14:textFill>
            <w14:solidFill>
              <w14:schemeClr w14:val="tx1"/>
            </w14:solidFill>
          </w14:textFill>
        </w:rPr>
      </w:pPr>
      <w:bookmarkStart w:id="106" w:name="bookmark148"/>
      <w:bookmarkEnd w:id="106"/>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项目主管部门或者行政监督部门的人员；</w:t>
      </w:r>
    </w:p>
    <w:p w14:paraId="34E1183B">
      <w:pPr>
        <w:pStyle w:val="76"/>
        <w:tabs>
          <w:tab w:val="left" w:pos="894"/>
        </w:tabs>
        <w:spacing w:line="500" w:lineRule="exact"/>
        <w:jc w:val="left"/>
        <w:rPr>
          <w:color w:val="000000" w:themeColor="text1"/>
          <w:sz w:val="24"/>
          <w:szCs w:val="24"/>
          <w:highlight w:val="none"/>
          <w14:textFill>
            <w14:solidFill>
              <w14:schemeClr w14:val="tx1"/>
            </w14:solidFill>
          </w14:textFill>
        </w:rPr>
      </w:pPr>
      <w:bookmarkStart w:id="107" w:name="bookmark149"/>
      <w:bookmarkEnd w:id="107"/>
      <w:r>
        <w:rPr>
          <w:rFonts w:hint="eastAsia"/>
          <w:color w:val="000000" w:themeColor="text1"/>
          <w:sz w:val="24"/>
          <w:szCs w:val="24"/>
          <w:highlight w:val="none"/>
          <w:lang w:val="en-US" w:eastAsia="zh-CN"/>
          <w14:textFill>
            <w14:solidFill>
              <w14:schemeClr w14:val="tx1"/>
            </w14:solidFill>
          </w14:textFill>
        </w:rPr>
        <w:t xml:space="preserve">      （3）</w:t>
      </w:r>
      <w:r>
        <w:rPr>
          <w:rFonts w:hint="eastAsia"/>
          <w:color w:val="000000" w:themeColor="text1"/>
          <w:sz w:val="24"/>
          <w:szCs w:val="24"/>
          <w:highlight w:val="none"/>
          <w14:textFill>
            <w14:solidFill>
              <w14:schemeClr w14:val="tx1"/>
            </w14:solidFill>
          </w14:textFill>
        </w:rPr>
        <w:t>与供应商有经济利益关系，可能影响对投标公正评审的；</w:t>
      </w:r>
    </w:p>
    <w:p w14:paraId="02FCCF72">
      <w:pPr>
        <w:pStyle w:val="76"/>
        <w:tabs>
          <w:tab w:val="left" w:pos="894"/>
        </w:tabs>
        <w:spacing w:after="160" w:line="500" w:lineRule="exact"/>
        <w:ind w:firstLine="720" w:firstLineChars="300"/>
        <w:jc w:val="left"/>
        <w:rPr>
          <w:color w:val="000000" w:themeColor="text1"/>
          <w:sz w:val="24"/>
          <w:szCs w:val="24"/>
          <w:highlight w:val="none"/>
          <w14:textFill>
            <w14:solidFill>
              <w14:schemeClr w14:val="tx1"/>
            </w14:solidFill>
          </w14:textFill>
        </w:rPr>
      </w:pPr>
      <w:bookmarkStart w:id="108" w:name="bookmark150"/>
      <w:bookmarkEnd w:id="108"/>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4</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曾因在采购、评审以及其他与采购有关活动中从事违法行为而受过行政处罚或刑事处罚的。</w:t>
      </w:r>
    </w:p>
    <w:p w14:paraId="52D407C4">
      <w:pPr>
        <w:pStyle w:val="76"/>
        <w:spacing w:line="500" w:lineRule="exact"/>
        <w:ind w:firstLine="482" w:firstLineChars="200"/>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6.</w:t>
      </w:r>
      <w:r>
        <w:rPr>
          <w:rFonts w:hint="eastAsia"/>
          <w:b/>
          <w:bCs/>
          <w:color w:val="000000" w:themeColor="text1"/>
          <w:sz w:val="24"/>
          <w:szCs w:val="24"/>
          <w:highlight w:val="none"/>
          <w14:textFill>
            <w14:solidFill>
              <w14:schemeClr w14:val="tx1"/>
            </w14:solidFill>
          </w14:textFill>
        </w:rPr>
        <w:t>2评审原则</w:t>
      </w:r>
    </w:p>
    <w:p w14:paraId="1946669D">
      <w:pPr>
        <w:pStyle w:val="76"/>
        <w:spacing w:after="160"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评审活动遵循公平、公正、科学和择优的原则。</w:t>
      </w:r>
    </w:p>
    <w:p w14:paraId="7C3A4D4D">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6.3</w:t>
      </w:r>
      <w:r>
        <w:rPr>
          <w:rFonts w:hint="eastAsia"/>
          <w:b/>
          <w:bCs/>
          <w:color w:val="000000" w:themeColor="text1"/>
          <w:sz w:val="24"/>
          <w:szCs w:val="24"/>
          <w:highlight w:val="none"/>
          <w14:textFill>
            <w14:solidFill>
              <w14:schemeClr w14:val="tx1"/>
            </w14:solidFill>
          </w14:textFill>
        </w:rPr>
        <w:t>评审</w:t>
      </w:r>
    </w:p>
    <w:p w14:paraId="7F0274DE">
      <w:pPr>
        <w:pStyle w:val="76"/>
        <w:spacing w:line="500" w:lineRule="exact"/>
        <w:ind w:firstLine="44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磋商小组按照第三章</w:t>
      </w:r>
      <w:r>
        <w:rPr>
          <w:rFonts w:hint="eastAsia"/>
          <w:color w:val="000000" w:themeColor="text1"/>
          <w:sz w:val="24"/>
          <w:szCs w:val="24"/>
          <w:highlight w:val="none"/>
          <w:lang w:val="zh-CN" w:eastAsia="zh-CN" w:bidi="zh-CN"/>
          <w14:textFill>
            <w14:solidFill>
              <w14:schemeClr w14:val="tx1"/>
            </w14:solidFill>
          </w14:textFill>
        </w:rPr>
        <w:t>“评</w:t>
      </w:r>
      <w:r>
        <w:rPr>
          <w:rFonts w:hint="eastAsia"/>
          <w:color w:val="000000" w:themeColor="text1"/>
          <w:sz w:val="24"/>
          <w:szCs w:val="24"/>
          <w:highlight w:val="none"/>
          <w14:textFill>
            <w14:solidFill>
              <w14:schemeClr w14:val="tx1"/>
            </w14:solidFill>
          </w14:textFill>
        </w:rPr>
        <w:t>审办法</w:t>
      </w:r>
      <w:r>
        <w:rPr>
          <w:rFonts w:hint="eastAsia"/>
          <w:color w:val="000000" w:themeColor="text1"/>
          <w:sz w:val="24"/>
          <w:szCs w:val="24"/>
          <w:highlight w:val="none"/>
          <w:lang w:val="zh-CN" w:eastAsia="zh-CN" w:bidi="zh-CN"/>
          <w14:textFill>
            <w14:solidFill>
              <w14:schemeClr w14:val="tx1"/>
            </w14:solidFill>
          </w14:textFill>
        </w:rPr>
        <w:t>”规定</w:t>
      </w:r>
      <w:r>
        <w:rPr>
          <w:rFonts w:hint="eastAsia"/>
          <w:color w:val="000000" w:themeColor="text1"/>
          <w:sz w:val="24"/>
          <w:szCs w:val="24"/>
          <w:highlight w:val="none"/>
          <w14:textFill>
            <w14:solidFill>
              <w14:schemeClr w14:val="tx1"/>
            </w14:solidFill>
          </w14:textFill>
        </w:rPr>
        <w:t>的方法、评审因素、标准和程序对响应文件进行评审。第三章</w:t>
      </w:r>
      <w:r>
        <w:rPr>
          <w:rFonts w:hint="eastAsia"/>
          <w:color w:val="000000" w:themeColor="text1"/>
          <w:sz w:val="24"/>
          <w:szCs w:val="24"/>
          <w:highlight w:val="none"/>
          <w:lang w:val="zh-CN" w:eastAsia="zh-CN" w:bidi="zh-CN"/>
          <w14:textFill>
            <w14:solidFill>
              <w14:schemeClr w14:val="tx1"/>
            </w14:solidFill>
          </w14:textFill>
        </w:rPr>
        <w:t>“评</w:t>
      </w:r>
      <w:r>
        <w:rPr>
          <w:rFonts w:hint="eastAsia"/>
          <w:color w:val="000000" w:themeColor="text1"/>
          <w:sz w:val="24"/>
          <w:szCs w:val="24"/>
          <w:highlight w:val="none"/>
          <w14:textFill>
            <w14:solidFill>
              <w14:schemeClr w14:val="tx1"/>
            </w14:solidFill>
          </w14:textFill>
        </w:rPr>
        <w:t>审办法</w:t>
      </w:r>
      <w:r>
        <w:rPr>
          <w:rFonts w:hint="eastAsia"/>
          <w:color w:val="000000" w:themeColor="text1"/>
          <w:sz w:val="24"/>
          <w:szCs w:val="24"/>
          <w:highlight w:val="none"/>
          <w:lang w:val="zh-CN" w:eastAsia="zh-CN" w:bidi="zh-CN"/>
          <w14:textFill>
            <w14:solidFill>
              <w14:schemeClr w14:val="tx1"/>
            </w14:solidFill>
          </w14:textFill>
        </w:rPr>
        <w:t>”没</w:t>
      </w:r>
      <w:r>
        <w:rPr>
          <w:rFonts w:hint="eastAsia"/>
          <w:color w:val="000000" w:themeColor="text1"/>
          <w:sz w:val="24"/>
          <w:szCs w:val="24"/>
          <w:highlight w:val="none"/>
          <w14:textFill>
            <w14:solidFill>
              <w14:schemeClr w14:val="tx1"/>
            </w14:solidFill>
          </w14:textFill>
        </w:rPr>
        <w:t>有规定的方法、评审因素和标准，不作为评审依据。</w:t>
      </w:r>
    </w:p>
    <w:p w14:paraId="7CF720B4">
      <w:pPr>
        <w:pStyle w:val="76"/>
        <w:spacing w:after="160"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评审完成后，磋商小组向采购人提岀评审报告，评审报告由磋商小组全体成员签字确认。</w:t>
      </w:r>
    </w:p>
    <w:p w14:paraId="0AA5EEAD">
      <w:pPr>
        <w:pStyle w:val="76"/>
        <w:spacing w:after="160" w:line="500" w:lineRule="exact"/>
        <w:ind w:firstLine="241" w:firstLineChars="1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7.</w:t>
      </w:r>
      <w:r>
        <w:rPr>
          <w:rFonts w:hint="eastAsia"/>
          <w:b/>
          <w:bCs/>
          <w:color w:val="000000" w:themeColor="text1"/>
          <w:sz w:val="24"/>
          <w:szCs w:val="24"/>
          <w:highlight w:val="none"/>
          <w14:textFill>
            <w14:solidFill>
              <w14:schemeClr w14:val="tx1"/>
            </w14:solidFill>
          </w14:textFill>
        </w:rPr>
        <w:t>合同授予</w:t>
      </w:r>
    </w:p>
    <w:p w14:paraId="4F9A2B72">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7.</w:t>
      </w:r>
      <w:r>
        <w:rPr>
          <w:rFonts w:hint="eastAsia"/>
          <w:b/>
          <w:bCs/>
          <w:color w:val="000000" w:themeColor="text1"/>
          <w:sz w:val="24"/>
          <w:szCs w:val="24"/>
          <w:highlight w:val="none"/>
          <w14:textFill>
            <w14:solidFill>
              <w14:schemeClr w14:val="tx1"/>
            </w14:solidFill>
          </w14:textFill>
        </w:rPr>
        <w:t>1确定成交供应商方式</w:t>
      </w:r>
    </w:p>
    <w:p w14:paraId="705DEDEA">
      <w:pPr>
        <w:pStyle w:val="76"/>
        <w:spacing w:after="160" w:line="500" w:lineRule="exact"/>
        <w:ind w:firstLine="44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除供应商须知前附表规定磋商小组直接确定成交供应商外，采购人依据磋商小组推荐的成交候选供应商确定成交供应商，磋商小组推荐成交候选供应商的人数见供应商须知前附表。</w:t>
      </w:r>
    </w:p>
    <w:p w14:paraId="1997AF2D">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7.</w:t>
      </w:r>
      <w:r>
        <w:rPr>
          <w:rFonts w:hint="eastAsia"/>
          <w:b/>
          <w:bCs/>
          <w:color w:val="000000" w:themeColor="text1"/>
          <w:sz w:val="24"/>
          <w:szCs w:val="24"/>
          <w:highlight w:val="none"/>
          <w14:textFill>
            <w14:solidFill>
              <w14:schemeClr w14:val="tx1"/>
            </w14:solidFill>
          </w14:textFill>
        </w:rPr>
        <w:t>2成交通知</w:t>
      </w:r>
    </w:p>
    <w:p w14:paraId="43EF5435">
      <w:pPr>
        <w:pStyle w:val="76"/>
        <w:spacing w:after="160" w:line="500" w:lineRule="exact"/>
        <w:ind w:firstLine="44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在本章第</w:t>
      </w:r>
      <w:r>
        <w:rPr>
          <w:rFonts w:hint="eastAsia"/>
          <w:color w:val="000000" w:themeColor="text1"/>
          <w:sz w:val="24"/>
          <w:szCs w:val="24"/>
          <w:highlight w:val="none"/>
          <w:lang w:val="en-US" w:eastAsia="zh-CN" w:bidi="en-US"/>
          <w14:textFill>
            <w14:solidFill>
              <w14:schemeClr w14:val="tx1"/>
            </w14:solidFill>
          </w14:textFill>
        </w:rPr>
        <w:t>3.3</w:t>
      </w:r>
      <w:r>
        <w:rPr>
          <w:rFonts w:hint="eastAsia"/>
          <w:color w:val="000000" w:themeColor="text1"/>
          <w:sz w:val="24"/>
          <w:szCs w:val="24"/>
          <w:highlight w:val="none"/>
          <w14:textFill>
            <w14:solidFill>
              <w14:schemeClr w14:val="tx1"/>
            </w14:solidFill>
          </w14:textFill>
        </w:rPr>
        <w:t>款规定的磋商有效期内，采购人以书面形式向成交供应商发岀成交通知书，同时将成交结果通知未成交的供应商。</w:t>
      </w:r>
    </w:p>
    <w:p w14:paraId="725D18DB">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7.3</w:t>
      </w:r>
      <w:r>
        <w:rPr>
          <w:rFonts w:hint="eastAsia"/>
          <w:b/>
          <w:bCs/>
          <w:color w:val="000000" w:themeColor="text1"/>
          <w:sz w:val="24"/>
          <w:szCs w:val="24"/>
          <w:highlight w:val="none"/>
          <w14:textFill>
            <w14:solidFill>
              <w14:schemeClr w14:val="tx1"/>
            </w14:solidFill>
          </w14:textFill>
        </w:rPr>
        <w:t>履约担保</w:t>
      </w:r>
    </w:p>
    <w:p w14:paraId="7EB6E319">
      <w:pPr>
        <w:pStyle w:val="76"/>
        <w:tabs>
          <w:tab w:val="left" w:pos="829"/>
        </w:tabs>
        <w:spacing w:line="500" w:lineRule="exact"/>
        <w:ind w:firstLine="720" w:firstLineChars="300"/>
        <w:rPr>
          <w:color w:val="000000" w:themeColor="text1"/>
          <w:sz w:val="24"/>
          <w:szCs w:val="24"/>
          <w:highlight w:val="none"/>
          <w14:textFill>
            <w14:solidFill>
              <w14:schemeClr w14:val="tx1"/>
            </w14:solidFill>
          </w14:textFill>
        </w:rPr>
      </w:pPr>
      <w:bookmarkStart w:id="109" w:name="bookmark151"/>
      <w:bookmarkEnd w:id="109"/>
      <w:r>
        <w:rPr>
          <w:rFonts w:hint="eastAsia"/>
          <w:color w:val="000000" w:themeColor="text1"/>
          <w:sz w:val="24"/>
          <w:szCs w:val="24"/>
          <w:highlight w:val="none"/>
          <w:lang w:val="en-US" w:eastAsia="zh-CN" w:bidi="en-US"/>
          <w14:textFill>
            <w14:solidFill>
              <w14:schemeClr w14:val="tx1"/>
            </w14:solidFill>
          </w14:textFill>
        </w:rPr>
        <w:t>7.3.</w:t>
      </w:r>
      <w:r>
        <w:rPr>
          <w:rFonts w:hint="eastAsia"/>
          <w:color w:val="000000" w:themeColor="text1"/>
          <w:sz w:val="24"/>
          <w:szCs w:val="24"/>
          <w:highlight w:val="none"/>
          <w14:textFill>
            <w14:solidFill>
              <w14:schemeClr w14:val="tx1"/>
            </w14:solidFill>
          </w14:textFill>
        </w:rPr>
        <w:t>1在签订合同前，成交供应商应按供应商须知前附表规定的金额、担保形式和竞争性磋商文件第四章</w:t>
      </w:r>
      <w:r>
        <w:rPr>
          <w:rFonts w:hint="eastAsia"/>
          <w:color w:val="000000" w:themeColor="text1"/>
          <w:sz w:val="24"/>
          <w:szCs w:val="24"/>
          <w:highlight w:val="none"/>
          <w:lang w:val="zh-CN" w:eastAsia="zh-CN" w:bidi="zh-CN"/>
          <w14:textFill>
            <w14:solidFill>
              <w14:schemeClr w14:val="tx1"/>
            </w14:solidFill>
          </w14:textFill>
        </w:rPr>
        <w:t>“合</w:t>
      </w:r>
      <w:r>
        <w:rPr>
          <w:rFonts w:hint="eastAsia"/>
          <w:color w:val="000000" w:themeColor="text1"/>
          <w:sz w:val="24"/>
          <w:szCs w:val="24"/>
          <w:highlight w:val="none"/>
          <w14:textFill>
            <w14:solidFill>
              <w14:schemeClr w14:val="tx1"/>
            </w14:solidFill>
          </w14:textFill>
        </w:rPr>
        <w:t>同条款及格式</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 xml:space="preserve">规定的履约担保格式向采购人递交履约担保。联合体成交的，其履约担保由牵头人递交，并应符合供应商须知前附表规定的金额、担保形式和竞争性磋商文件第四章 </w:t>
      </w:r>
      <w:r>
        <w:rPr>
          <w:rFonts w:hint="eastAsia"/>
          <w:color w:val="000000" w:themeColor="text1"/>
          <w:sz w:val="24"/>
          <w:szCs w:val="24"/>
          <w:highlight w:val="none"/>
          <w:lang w:val="zh-CN" w:eastAsia="zh-CN" w:bidi="zh-CN"/>
          <w14:textFill>
            <w14:solidFill>
              <w14:schemeClr w14:val="tx1"/>
            </w14:solidFill>
          </w14:textFill>
        </w:rPr>
        <w:t>“合同</w:t>
      </w:r>
      <w:r>
        <w:rPr>
          <w:rFonts w:hint="eastAsia"/>
          <w:color w:val="000000" w:themeColor="text1"/>
          <w:sz w:val="24"/>
          <w:szCs w:val="24"/>
          <w:highlight w:val="none"/>
          <w14:textFill>
            <w14:solidFill>
              <w14:schemeClr w14:val="tx1"/>
            </w14:solidFill>
          </w14:textFill>
        </w:rPr>
        <w:t>条款及格式”规定的履约担保格式要求。</w:t>
      </w:r>
    </w:p>
    <w:p w14:paraId="47FB5E81">
      <w:pPr>
        <w:pStyle w:val="76"/>
        <w:spacing w:after="160"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7.3.2</w:t>
      </w:r>
      <w:r>
        <w:rPr>
          <w:rFonts w:hint="eastAsia"/>
          <w:color w:val="000000" w:themeColor="text1"/>
          <w:sz w:val="24"/>
          <w:szCs w:val="24"/>
          <w:highlight w:val="none"/>
          <w14:textFill>
            <w14:solidFill>
              <w14:schemeClr w14:val="tx1"/>
            </w14:solidFill>
          </w14:textFill>
        </w:rPr>
        <w:t>成交供应商不能按本章第</w:t>
      </w:r>
      <w:r>
        <w:rPr>
          <w:rFonts w:hint="eastAsia"/>
          <w:color w:val="000000" w:themeColor="text1"/>
          <w:sz w:val="24"/>
          <w:szCs w:val="24"/>
          <w:highlight w:val="none"/>
          <w:lang w:val="en-US" w:eastAsia="zh-CN" w:bidi="en-US"/>
          <w14:textFill>
            <w14:solidFill>
              <w14:schemeClr w14:val="tx1"/>
            </w14:solidFill>
          </w14:textFill>
        </w:rPr>
        <w:t>7.3.1</w:t>
      </w:r>
      <w:r>
        <w:rPr>
          <w:rFonts w:hint="eastAsia"/>
          <w:color w:val="000000" w:themeColor="text1"/>
          <w:sz w:val="24"/>
          <w:szCs w:val="24"/>
          <w:highlight w:val="none"/>
          <w14:textFill>
            <w14:solidFill>
              <w14:schemeClr w14:val="tx1"/>
            </w14:solidFill>
          </w14:textFill>
        </w:rPr>
        <w:t>项要求递交履约担保的，视为放弃成交，其磋商保证金不予退还，给采购人造成的损失超过磋商保证金数额的，成交供应商还应当对超过部分予以赔偿。</w:t>
      </w:r>
    </w:p>
    <w:p w14:paraId="5B9B1208">
      <w:pPr>
        <w:pStyle w:val="76"/>
        <w:tabs>
          <w:tab w:val="left" w:pos="339"/>
        </w:tabs>
        <w:spacing w:line="500" w:lineRule="exact"/>
        <w:ind w:firstLine="482" w:firstLineChars="200"/>
        <w:jc w:val="left"/>
        <w:rPr>
          <w:color w:val="000000" w:themeColor="text1"/>
          <w:sz w:val="24"/>
          <w:szCs w:val="24"/>
          <w:highlight w:val="none"/>
          <w14:textFill>
            <w14:solidFill>
              <w14:schemeClr w14:val="tx1"/>
            </w14:solidFill>
          </w14:textFill>
        </w:rPr>
      </w:pPr>
      <w:bookmarkStart w:id="110" w:name="bookmark152"/>
      <w:bookmarkEnd w:id="110"/>
      <w:r>
        <w:rPr>
          <w:rFonts w:hint="eastAsia"/>
          <w:b/>
          <w:bCs/>
          <w:color w:val="000000" w:themeColor="text1"/>
          <w:sz w:val="24"/>
          <w:szCs w:val="24"/>
          <w:highlight w:val="none"/>
          <w:lang w:val="en-US" w:eastAsia="zh-CN"/>
          <w14:textFill>
            <w14:solidFill>
              <w14:schemeClr w14:val="tx1"/>
            </w14:solidFill>
          </w14:textFill>
        </w:rPr>
        <w:t>7.</w:t>
      </w:r>
      <w:r>
        <w:rPr>
          <w:rFonts w:hint="eastAsia"/>
          <w:b/>
          <w:bCs/>
          <w:color w:val="000000" w:themeColor="text1"/>
          <w:sz w:val="24"/>
          <w:szCs w:val="24"/>
          <w:highlight w:val="none"/>
          <w14:textFill>
            <w14:solidFill>
              <w14:schemeClr w14:val="tx1"/>
            </w14:solidFill>
          </w14:textFill>
        </w:rPr>
        <w:t>4签订合同</w:t>
      </w:r>
    </w:p>
    <w:p w14:paraId="59CEB822">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7.4.1</w:t>
      </w:r>
      <w:r>
        <w:rPr>
          <w:rFonts w:hint="eastAsia"/>
          <w:color w:val="000000" w:themeColor="text1"/>
          <w:sz w:val="24"/>
          <w:szCs w:val="24"/>
          <w:highlight w:val="none"/>
          <w14:textFill>
            <w14:solidFill>
              <w14:schemeClr w14:val="tx1"/>
            </w14:solidFill>
          </w14:textFill>
        </w:rPr>
        <w:t>采购人和成交供应商应当自成交通知书发岀之日起30天内，根据竞争性磋商文件和成交供应商的响应文件订立书面合同。成交供应商无正当理由拒签合同的，采购人取消其成交资格，其磋商保证金不予退还；给采购人造成的损失超过磋商保证金数额的，成交供应商还应当对超过部分予以赔偿。</w:t>
      </w:r>
    </w:p>
    <w:p w14:paraId="04B19A73">
      <w:pPr>
        <w:pStyle w:val="76"/>
        <w:spacing w:after="160"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7.4.2</w:t>
      </w:r>
      <w:r>
        <w:rPr>
          <w:rFonts w:hint="eastAsia"/>
          <w:color w:val="000000" w:themeColor="text1"/>
          <w:sz w:val="24"/>
          <w:szCs w:val="24"/>
          <w:highlight w:val="none"/>
          <w14:textFill>
            <w14:solidFill>
              <w14:schemeClr w14:val="tx1"/>
            </w14:solidFill>
          </w14:textFill>
        </w:rPr>
        <w:t>发岀成交通知书后，采购人无正当理由拒签合同的，采购人向成交供应商退还磋商保证金；给成交供应商造成损失的，还应当赔偿损失。</w:t>
      </w:r>
    </w:p>
    <w:p w14:paraId="67077E04">
      <w:pPr>
        <w:pStyle w:val="76"/>
        <w:tabs>
          <w:tab w:val="left" w:pos="363"/>
        </w:tabs>
        <w:spacing w:line="500" w:lineRule="exact"/>
        <w:ind w:firstLine="241" w:firstLineChars="100"/>
        <w:jc w:val="left"/>
        <w:rPr>
          <w:color w:val="000000" w:themeColor="text1"/>
          <w:sz w:val="24"/>
          <w:szCs w:val="24"/>
          <w:highlight w:val="none"/>
          <w14:textFill>
            <w14:solidFill>
              <w14:schemeClr w14:val="tx1"/>
            </w14:solidFill>
          </w14:textFill>
        </w:rPr>
      </w:pPr>
      <w:bookmarkStart w:id="111" w:name="bookmark153"/>
      <w:bookmarkEnd w:id="111"/>
      <w:r>
        <w:rPr>
          <w:rFonts w:hint="eastAsia"/>
          <w:b/>
          <w:bCs/>
          <w:color w:val="000000" w:themeColor="text1"/>
          <w:sz w:val="24"/>
          <w:szCs w:val="24"/>
          <w:highlight w:val="none"/>
          <w:lang w:val="en-US" w:eastAsia="zh-CN"/>
          <w14:textFill>
            <w14:solidFill>
              <w14:schemeClr w14:val="tx1"/>
            </w14:solidFill>
          </w14:textFill>
        </w:rPr>
        <w:t>8.</w:t>
      </w:r>
      <w:r>
        <w:rPr>
          <w:rFonts w:hint="eastAsia"/>
          <w:b/>
          <w:bCs/>
          <w:color w:val="000000" w:themeColor="text1"/>
          <w:sz w:val="24"/>
          <w:szCs w:val="24"/>
          <w:highlight w:val="none"/>
          <w14:textFill>
            <w14:solidFill>
              <w14:schemeClr w14:val="tx1"/>
            </w14:solidFill>
          </w14:textFill>
        </w:rPr>
        <w:t>报价无效及废标</w:t>
      </w:r>
    </w:p>
    <w:p w14:paraId="281C8776">
      <w:pPr>
        <w:pStyle w:val="76"/>
        <w:spacing w:line="500" w:lineRule="exact"/>
        <w:ind w:firstLine="480" w:firstLineChars="20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8.1</w:t>
      </w:r>
      <w:r>
        <w:rPr>
          <w:rFonts w:hint="eastAsia"/>
          <w:color w:val="000000" w:themeColor="text1"/>
          <w:sz w:val="24"/>
          <w:szCs w:val="24"/>
          <w:highlight w:val="none"/>
          <w14:textFill>
            <w14:solidFill>
              <w14:schemeClr w14:val="tx1"/>
            </w14:solidFill>
          </w14:textFill>
        </w:rPr>
        <w:t>岀现下列情形之一的，报价无效：</w:t>
      </w:r>
    </w:p>
    <w:p w14:paraId="08770F87">
      <w:pPr>
        <w:pStyle w:val="76"/>
        <w:tabs>
          <w:tab w:val="left" w:pos="923"/>
        </w:tabs>
        <w:spacing w:line="500" w:lineRule="exact"/>
        <w:ind w:firstLine="480" w:firstLineChars="200"/>
        <w:jc w:val="left"/>
        <w:rPr>
          <w:color w:val="000000" w:themeColor="text1"/>
          <w:sz w:val="24"/>
          <w:szCs w:val="24"/>
          <w:highlight w:val="none"/>
          <w14:textFill>
            <w14:solidFill>
              <w14:schemeClr w14:val="tx1"/>
            </w14:solidFill>
          </w14:textFill>
        </w:rPr>
      </w:pPr>
      <w:bookmarkStart w:id="112" w:name="bookmark154"/>
      <w:bookmarkEnd w:id="112"/>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不具备《中华人民共和国政府采购法》第二十二条规定条件；</w:t>
      </w:r>
    </w:p>
    <w:p w14:paraId="31DFFEDF">
      <w:pPr>
        <w:pStyle w:val="76"/>
        <w:tabs>
          <w:tab w:val="left" w:pos="923"/>
        </w:tabs>
        <w:spacing w:line="500" w:lineRule="exact"/>
        <w:ind w:firstLine="480" w:firstLineChars="200"/>
        <w:jc w:val="left"/>
        <w:rPr>
          <w:rFonts w:hint="eastAsia" w:eastAsia="宋体"/>
          <w:color w:val="000000" w:themeColor="text1"/>
          <w:sz w:val="24"/>
          <w:szCs w:val="24"/>
          <w:highlight w:val="none"/>
          <w:lang w:eastAsia="zh-CN"/>
          <w14:textFill>
            <w14:solidFill>
              <w14:schemeClr w14:val="tx1"/>
            </w14:solidFill>
          </w14:textFill>
        </w:rPr>
      </w:pPr>
      <w:bookmarkStart w:id="113" w:name="bookmark155"/>
      <w:bookmarkEnd w:id="113"/>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列入失信被执行人、</w:t>
      </w:r>
      <w:r>
        <w:rPr>
          <w:rFonts w:hint="eastAsia"/>
          <w:color w:val="000000" w:themeColor="text1"/>
          <w:sz w:val="24"/>
          <w:szCs w:val="24"/>
          <w:highlight w:val="none"/>
          <w:lang w:eastAsia="zh-CN"/>
          <w14:textFill>
            <w14:solidFill>
              <w14:schemeClr w14:val="tx1"/>
            </w14:solidFill>
          </w14:textFill>
        </w:rPr>
        <w:t>重大税收违法失信主体</w:t>
      </w:r>
      <w:r>
        <w:rPr>
          <w:rFonts w:hint="eastAsia"/>
          <w:color w:val="000000" w:themeColor="text1"/>
          <w:sz w:val="24"/>
          <w:szCs w:val="24"/>
          <w:highlight w:val="none"/>
          <w14:textFill>
            <w14:solidFill>
              <w14:schemeClr w14:val="tx1"/>
            </w14:solidFill>
          </w14:textFill>
        </w:rPr>
        <w:t>、政府采购严重违法失信行为记录名单</w:t>
      </w:r>
      <w:r>
        <w:rPr>
          <w:rFonts w:hint="eastAsia"/>
          <w:color w:val="000000" w:themeColor="text1"/>
          <w:sz w:val="24"/>
          <w:szCs w:val="24"/>
          <w:highlight w:val="none"/>
          <w:lang w:eastAsia="zh-CN"/>
          <w14:textFill>
            <w14:solidFill>
              <w14:schemeClr w14:val="tx1"/>
            </w14:solidFill>
          </w14:textFill>
        </w:rPr>
        <w:t>；</w:t>
      </w:r>
    </w:p>
    <w:p w14:paraId="3331F08A">
      <w:pPr>
        <w:pStyle w:val="76"/>
        <w:tabs>
          <w:tab w:val="left" w:pos="923"/>
        </w:tabs>
        <w:spacing w:line="500" w:lineRule="exact"/>
        <w:ind w:firstLine="480" w:firstLineChars="200"/>
        <w:jc w:val="left"/>
        <w:rPr>
          <w:color w:val="000000" w:themeColor="text1"/>
          <w:sz w:val="24"/>
          <w:szCs w:val="24"/>
          <w:highlight w:val="none"/>
          <w14:textFill>
            <w14:solidFill>
              <w14:schemeClr w14:val="tx1"/>
            </w14:solidFill>
          </w14:textFill>
        </w:rPr>
      </w:pPr>
      <w:bookmarkStart w:id="114" w:name="bookmark156"/>
      <w:bookmarkEnd w:id="114"/>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3</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响应文件未按磋商文件规定要求格式表格制作、</w:t>
      </w:r>
      <w:r>
        <w:rPr>
          <w:rFonts w:hint="eastAsia"/>
          <w:color w:val="000000" w:themeColor="text1"/>
          <w:sz w:val="24"/>
          <w:szCs w:val="24"/>
          <w:highlight w:val="none"/>
          <w:lang w:val="en-US" w:eastAsia="zh-CN"/>
          <w14:textFill>
            <w14:solidFill>
              <w14:schemeClr w14:val="tx1"/>
            </w14:solidFill>
          </w14:textFill>
        </w:rPr>
        <w:t>上传</w:t>
      </w:r>
      <w:r>
        <w:rPr>
          <w:rFonts w:hint="eastAsia"/>
          <w:color w:val="000000" w:themeColor="text1"/>
          <w:sz w:val="24"/>
          <w:szCs w:val="24"/>
          <w:highlight w:val="none"/>
          <w14:textFill>
            <w14:solidFill>
              <w14:schemeClr w14:val="tx1"/>
            </w14:solidFill>
          </w14:textFill>
        </w:rPr>
        <w:t>、盖章、</w:t>
      </w:r>
      <w:r>
        <w:rPr>
          <w:rFonts w:hint="eastAsia"/>
          <w:color w:val="000000" w:themeColor="text1"/>
          <w:sz w:val="24"/>
          <w:szCs w:val="24"/>
          <w:highlight w:val="none"/>
          <w:lang w:val="en-US" w:eastAsia="zh-CN"/>
          <w14:textFill>
            <w14:solidFill>
              <w14:schemeClr w14:val="tx1"/>
            </w14:solidFill>
          </w14:textFill>
        </w:rPr>
        <w:t>解密</w:t>
      </w:r>
      <w:r>
        <w:rPr>
          <w:rFonts w:hint="eastAsia"/>
          <w:color w:val="000000" w:themeColor="text1"/>
          <w:sz w:val="24"/>
          <w:szCs w:val="24"/>
          <w:highlight w:val="none"/>
          <w14:textFill>
            <w14:solidFill>
              <w14:schemeClr w14:val="tx1"/>
            </w14:solidFill>
          </w14:textFill>
        </w:rPr>
        <w:t>；</w:t>
      </w:r>
    </w:p>
    <w:p w14:paraId="1C6C76E7">
      <w:pPr>
        <w:pStyle w:val="76"/>
        <w:tabs>
          <w:tab w:val="left" w:pos="923"/>
        </w:tabs>
        <w:spacing w:line="500" w:lineRule="exact"/>
        <w:ind w:firstLine="480" w:firstLineChars="200"/>
        <w:jc w:val="left"/>
        <w:rPr>
          <w:color w:val="000000" w:themeColor="text1"/>
          <w:sz w:val="24"/>
          <w:szCs w:val="24"/>
          <w:highlight w:val="none"/>
          <w14:textFill>
            <w14:solidFill>
              <w14:schemeClr w14:val="tx1"/>
            </w14:solidFill>
          </w14:textFill>
        </w:rPr>
      </w:pPr>
      <w:bookmarkStart w:id="115" w:name="bookmark157"/>
      <w:bookmarkEnd w:id="115"/>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4</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不按磋商小组要求澄清、说明或补正的。</w:t>
      </w:r>
    </w:p>
    <w:p w14:paraId="78FC0833">
      <w:pPr>
        <w:pStyle w:val="76"/>
        <w:tabs>
          <w:tab w:val="left" w:pos="1016"/>
        </w:tabs>
        <w:spacing w:line="500" w:lineRule="exact"/>
        <w:ind w:firstLine="480" w:firstLineChars="200"/>
        <w:rPr>
          <w:color w:val="000000" w:themeColor="text1"/>
          <w:sz w:val="24"/>
          <w:szCs w:val="24"/>
          <w:highlight w:val="none"/>
          <w14:textFill>
            <w14:solidFill>
              <w14:schemeClr w14:val="tx1"/>
            </w14:solidFill>
          </w14:textFill>
        </w:rPr>
      </w:pPr>
      <w:bookmarkStart w:id="116" w:name="bookmark158"/>
      <w:bookmarkEnd w:id="116"/>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5</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未按照磋商文件中报价文件要求的内容填写报价、拒绝报价、报价不确定、有选择性报价和附有条件的报价、报价等于或高于</w:t>
      </w:r>
      <w:r>
        <w:rPr>
          <w:rFonts w:hint="eastAsia"/>
          <w:color w:val="000000" w:themeColor="text1"/>
          <w:sz w:val="24"/>
          <w:szCs w:val="24"/>
          <w:highlight w:val="none"/>
          <w:lang w:eastAsia="zh-CN"/>
          <w14:textFill>
            <w14:solidFill>
              <w14:schemeClr w14:val="tx1"/>
            </w14:solidFill>
          </w14:textFill>
        </w:rPr>
        <w:t>最高限价</w:t>
      </w:r>
      <w:r>
        <w:rPr>
          <w:rFonts w:hint="eastAsia"/>
          <w:color w:val="000000" w:themeColor="text1"/>
          <w:sz w:val="24"/>
          <w:szCs w:val="24"/>
          <w:highlight w:val="none"/>
          <w14:textFill>
            <w14:solidFill>
              <w14:schemeClr w14:val="tx1"/>
            </w14:solidFill>
          </w14:textFill>
        </w:rPr>
        <w:t>；</w:t>
      </w:r>
    </w:p>
    <w:p w14:paraId="585C9177">
      <w:pPr>
        <w:pStyle w:val="76"/>
        <w:tabs>
          <w:tab w:val="left" w:pos="923"/>
        </w:tabs>
        <w:spacing w:line="500" w:lineRule="exact"/>
        <w:ind w:firstLine="480" w:firstLineChars="200"/>
        <w:rPr>
          <w:color w:val="000000" w:themeColor="text1"/>
          <w:sz w:val="24"/>
          <w:szCs w:val="24"/>
          <w:highlight w:val="none"/>
          <w14:textFill>
            <w14:solidFill>
              <w14:schemeClr w14:val="tx1"/>
            </w14:solidFill>
          </w14:textFill>
        </w:rPr>
      </w:pPr>
      <w:bookmarkStart w:id="117" w:name="bookmark159"/>
      <w:bookmarkEnd w:id="117"/>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6</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法定代表人或其授权代表未按</w:t>
      </w:r>
      <w:r>
        <w:rPr>
          <w:rFonts w:hint="eastAsia"/>
          <w:color w:val="000000" w:themeColor="text1"/>
          <w:sz w:val="24"/>
          <w:szCs w:val="24"/>
          <w:highlight w:val="none"/>
          <w:lang w:val="en-US" w:eastAsia="zh-CN"/>
          <w14:textFill>
            <w14:solidFill>
              <w14:schemeClr w14:val="tx1"/>
            </w14:solidFill>
          </w14:textFill>
        </w:rPr>
        <w:t>“政采云”平台要求填报</w:t>
      </w:r>
      <w:r>
        <w:rPr>
          <w:rFonts w:hint="eastAsia"/>
          <w:color w:val="000000" w:themeColor="text1"/>
          <w:sz w:val="24"/>
          <w:szCs w:val="24"/>
          <w:highlight w:val="none"/>
          <w14:textFill>
            <w14:solidFill>
              <w14:schemeClr w14:val="tx1"/>
            </w14:solidFill>
          </w14:textFill>
        </w:rPr>
        <w:t>二次报价</w:t>
      </w:r>
      <w:r>
        <w:rPr>
          <w:rFonts w:hint="eastAsia"/>
          <w:color w:val="000000" w:themeColor="text1"/>
          <w:sz w:val="24"/>
          <w:szCs w:val="24"/>
          <w:highlight w:val="none"/>
          <w:lang w:val="en-US" w:eastAsia="zh-CN"/>
          <w14:textFill>
            <w14:solidFill>
              <w14:schemeClr w14:val="tx1"/>
            </w14:solidFill>
          </w14:textFill>
        </w:rPr>
        <w:t>的</w:t>
      </w:r>
      <w:r>
        <w:rPr>
          <w:rFonts w:hint="eastAsia"/>
          <w:color w:val="000000" w:themeColor="text1"/>
          <w:sz w:val="24"/>
          <w:szCs w:val="24"/>
          <w:highlight w:val="none"/>
          <w14:textFill>
            <w14:solidFill>
              <w14:schemeClr w14:val="tx1"/>
            </w14:solidFill>
          </w14:textFill>
        </w:rPr>
        <w:t>；</w:t>
      </w:r>
    </w:p>
    <w:p w14:paraId="0017F1CE">
      <w:pPr>
        <w:pStyle w:val="76"/>
        <w:tabs>
          <w:tab w:val="left" w:pos="923"/>
        </w:tabs>
        <w:spacing w:after="160" w:line="500" w:lineRule="exact"/>
        <w:ind w:firstLine="480" w:firstLineChars="200"/>
        <w:rPr>
          <w:color w:val="000000" w:themeColor="text1"/>
          <w:sz w:val="24"/>
          <w:szCs w:val="24"/>
          <w:highlight w:val="none"/>
          <w14:textFill>
            <w14:solidFill>
              <w14:schemeClr w14:val="tx1"/>
            </w14:solidFill>
          </w14:textFill>
        </w:rPr>
      </w:pPr>
      <w:bookmarkStart w:id="118" w:name="bookmark160"/>
      <w:bookmarkEnd w:id="118"/>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7</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未按规定缴纳磋商保证金；</w:t>
      </w:r>
    </w:p>
    <w:p w14:paraId="1441675E">
      <w:pPr>
        <w:pStyle w:val="76"/>
        <w:tabs>
          <w:tab w:val="left" w:pos="929"/>
        </w:tabs>
        <w:spacing w:line="500" w:lineRule="exact"/>
        <w:ind w:firstLine="480" w:firstLineChars="20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8</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相关资格资质证明的</w:t>
      </w:r>
      <w:r>
        <w:rPr>
          <w:rFonts w:hint="eastAsia"/>
          <w:color w:val="000000" w:themeColor="text1"/>
          <w:sz w:val="24"/>
          <w:szCs w:val="24"/>
          <w:highlight w:val="none"/>
          <w:lang w:val="en-US" w:eastAsia="zh-CN"/>
          <w14:textFill>
            <w14:solidFill>
              <w14:schemeClr w14:val="tx1"/>
            </w14:solidFill>
          </w14:textFill>
        </w:rPr>
        <w:t>扫描</w:t>
      </w:r>
      <w:r>
        <w:rPr>
          <w:rFonts w:hint="eastAsia"/>
          <w:color w:val="000000" w:themeColor="text1"/>
          <w:sz w:val="24"/>
          <w:szCs w:val="24"/>
          <w:highlight w:val="none"/>
          <w14:textFill>
            <w14:solidFill>
              <w14:schemeClr w14:val="tx1"/>
            </w14:solidFill>
          </w14:textFill>
        </w:rPr>
        <w:t>件未按磋商文件约定提交或提交的</w:t>
      </w:r>
      <w:r>
        <w:rPr>
          <w:rFonts w:hint="eastAsia"/>
          <w:color w:val="000000" w:themeColor="text1"/>
          <w:sz w:val="24"/>
          <w:szCs w:val="24"/>
          <w:highlight w:val="none"/>
          <w:lang w:val="en-US" w:eastAsia="zh-CN"/>
          <w14:textFill>
            <w14:solidFill>
              <w14:schemeClr w14:val="tx1"/>
            </w14:solidFill>
          </w14:textFill>
        </w:rPr>
        <w:t>扫描</w:t>
      </w:r>
      <w:r>
        <w:rPr>
          <w:rFonts w:hint="eastAsia"/>
          <w:color w:val="000000" w:themeColor="text1"/>
          <w:sz w:val="24"/>
          <w:szCs w:val="24"/>
          <w:highlight w:val="none"/>
          <w14:textFill>
            <w14:solidFill>
              <w14:schemeClr w14:val="tx1"/>
            </w14:solidFill>
          </w14:textFill>
        </w:rPr>
        <w:t>件不一致；</w:t>
      </w:r>
    </w:p>
    <w:p w14:paraId="3C1F4A25">
      <w:pPr>
        <w:pStyle w:val="76"/>
        <w:tabs>
          <w:tab w:val="left" w:pos="1011"/>
        </w:tabs>
        <w:spacing w:line="500" w:lineRule="exact"/>
        <w:ind w:firstLine="480" w:firstLineChars="20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9</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在资格性审查、符合性审查、响应性审查中，磋商小组认定供应商的响应文件不符合评审办法中规定的任何一项评审标准。</w:t>
      </w:r>
    </w:p>
    <w:p w14:paraId="5FCFE3E7">
      <w:pPr>
        <w:pStyle w:val="76"/>
        <w:tabs>
          <w:tab w:val="left" w:pos="1029"/>
        </w:tabs>
        <w:spacing w:line="500" w:lineRule="exact"/>
        <w:ind w:firstLine="480" w:firstLineChars="20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10</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磋商有效期不满足磋商文件要求；</w:t>
      </w:r>
    </w:p>
    <w:p w14:paraId="4AB9D801">
      <w:pPr>
        <w:pStyle w:val="76"/>
        <w:tabs>
          <w:tab w:val="left" w:pos="1029"/>
        </w:tabs>
        <w:spacing w:line="500" w:lineRule="exact"/>
        <w:ind w:firstLine="480" w:firstLineChars="20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11</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无供应商法定代表人或其授权代表签字或盖章；</w:t>
      </w:r>
    </w:p>
    <w:p w14:paraId="159BB9AB">
      <w:pPr>
        <w:pStyle w:val="76"/>
        <w:tabs>
          <w:tab w:val="left" w:pos="1029"/>
        </w:tabs>
        <w:spacing w:line="500" w:lineRule="exact"/>
        <w:ind w:firstLine="480" w:firstLineChars="20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12</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联合体未提交联合体协议书（本项目不适用）；</w:t>
      </w:r>
    </w:p>
    <w:p w14:paraId="679AB187">
      <w:pPr>
        <w:pStyle w:val="76"/>
        <w:tabs>
          <w:tab w:val="left" w:pos="1029"/>
        </w:tabs>
        <w:spacing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13</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响应文件未完全满足磋商文件中实质性要求；</w:t>
      </w:r>
    </w:p>
    <w:p w14:paraId="4DB97050">
      <w:pPr>
        <w:pStyle w:val="76"/>
        <w:tabs>
          <w:tab w:val="left" w:pos="1029"/>
        </w:tabs>
        <w:spacing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14</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低于成本价且无法提供相关证明材料；</w:t>
      </w:r>
    </w:p>
    <w:p w14:paraId="1377FF54">
      <w:pPr>
        <w:pStyle w:val="76"/>
        <w:tabs>
          <w:tab w:val="left" w:pos="1029"/>
        </w:tabs>
        <w:spacing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15</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磋商小组认定技术方案不符合磋商文件要求；</w:t>
      </w:r>
    </w:p>
    <w:p w14:paraId="51EA306E">
      <w:pPr>
        <w:pStyle w:val="76"/>
        <w:tabs>
          <w:tab w:val="left" w:pos="1122"/>
        </w:tabs>
        <w:spacing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16</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评审期间，没有按磋商小组要求提交经法定代表人或授权代表签字的澄清、说明、补正或改变了响应文件实质性内容；</w:t>
      </w:r>
    </w:p>
    <w:p w14:paraId="5CD4127F">
      <w:pPr>
        <w:pStyle w:val="76"/>
        <w:tabs>
          <w:tab w:val="left" w:pos="1034"/>
        </w:tabs>
        <w:spacing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17</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供应商未提交最终报价；</w:t>
      </w:r>
    </w:p>
    <w:p w14:paraId="78AD98D4">
      <w:pPr>
        <w:pStyle w:val="76"/>
        <w:spacing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18</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供应商存在弄虚作假的行为；</w:t>
      </w:r>
    </w:p>
    <w:p w14:paraId="0126AA14">
      <w:pPr>
        <w:pStyle w:val="76"/>
        <w:tabs>
          <w:tab w:val="left" w:pos="1029"/>
        </w:tabs>
        <w:spacing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19</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属于采购人与供应商、供应商与供应商相互串通投标情形；</w:t>
      </w:r>
    </w:p>
    <w:p w14:paraId="4517C827">
      <w:pPr>
        <w:pStyle w:val="76"/>
        <w:tabs>
          <w:tab w:val="left" w:pos="1029"/>
        </w:tabs>
        <w:spacing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20</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对采购人、采购代理机构、磋商小组及其他工作人员施加影响，有碍公平、公正；</w:t>
      </w:r>
    </w:p>
    <w:p w14:paraId="1E7AAAA6">
      <w:pPr>
        <w:pStyle w:val="76"/>
        <w:tabs>
          <w:tab w:val="left" w:pos="1029"/>
        </w:tabs>
        <w:spacing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21</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磋商文件规定的其他报价无效情形；</w:t>
      </w:r>
    </w:p>
    <w:p w14:paraId="0DD0CB1C">
      <w:pPr>
        <w:pStyle w:val="76"/>
        <w:tabs>
          <w:tab w:val="left" w:pos="1029"/>
        </w:tabs>
        <w:spacing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22</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法律、法规、规章规定属于报价无效的其他情形。</w:t>
      </w:r>
    </w:p>
    <w:p w14:paraId="3EDC8923">
      <w:pPr>
        <w:pStyle w:val="76"/>
        <w:spacing w:line="500" w:lineRule="exact"/>
        <w:ind w:firstLine="480" w:firstLineChars="20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8.2</w:t>
      </w:r>
      <w:r>
        <w:rPr>
          <w:rFonts w:hint="eastAsia"/>
          <w:color w:val="000000" w:themeColor="text1"/>
          <w:sz w:val="24"/>
          <w:szCs w:val="24"/>
          <w:highlight w:val="none"/>
          <w14:textFill>
            <w14:solidFill>
              <w14:schemeClr w14:val="tx1"/>
            </w14:solidFill>
          </w14:textFill>
        </w:rPr>
        <w:t>有下列情形之一的，应予废标：</w:t>
      </w:r>
    </w:p>
    <w:p w14:paraId="5FE3F88B">
      <w:pPr>
        <w:pStyle w:val="76"/>
        <w:tabs>
          <w:tab w:val="left" w:pos="929"/>
        </w:tabs>
        <w:spacing w:line="500" w:lineRule="exact"/>
        <w:ind w:firstLine="440"/>
        <w:jc w:val="left"/>
        <w:rPr>
          <w:color w:val="000000" w:themeColor="text1"/>
          <w:sz w:val="24"/>
          <w:szCs w:val="24"/>
          <w:highlight w:val="none"/>
          <w14:textFill>
            <w14:solidFill>
              <w14:schemeClr w14:val="tx1"/>
            </w14:solidFill>
          </w14:textFill>
        </w:rPr>
      </w:pPr>
      <w:bookmarkStart w:id="119" w:name="bookmark177"/>
      <w:r>
        <w:rPr>
          <w:rFonts w:hint="eastAsia"/>
          <w:color w:val="000000" w:themeColor="text1"/>
          <w:sz w:val="24"/>
          <w:szCs w:val="24"/>
          <w:highlight w:val="none"/>
          <w14:textFill>
            <w14:solidFill>
              <w14:schemeClr w14:val="tx1"/>
            </w14:solidFill>
          </w14:textFill>
        </w:rPr>
        <w:t>（</w:t>
      </w:r>
      <w:bookmarkEnd w:id="119"/>
      <w:r>
        <w:rPr>
          <w:rFonts w:hint="eastAsia"/>
          <w:color w:val="000000" w:themeColor="text1"/>
          <w:sz w:val="24"/>
          <w:szCs w:val="24"/>
          <w:highlight w:val="none"/>
          <w14:textFill>
            <w14:solidFill>
              <w14:schemeClr w14:val="tx1"/>
            </w14:solidFill>
          </w14:textFill>
        </w:rPr>
        <w:t>1）</w:t>
      </w:r>
      <w:r>
        <w:rPr>
          <w:rFonts w:hint="eastAsia"/>
          <w:color w:val="000000" w:themeColor="text1"/>
          <w:sz w:val="24"/>
          <w:szCs w:val="24"/>
          <w:highlight w:val="none"/>
          <w14:textFill>
            <w14:solidFill>
              <w14:schemeClr w14:val="tx1"/>
            </w14:solidFill>
          </w14:textFill>
        </w:rPr>
        <w:tab/>
      </w:r>
      <w:r>
        <w:rPr>
          <w:rFonts w:hint="eastAsia"/>
          <w:color w:val="000000" w:themeColor="text1"/>
          <w:sz w:val="24"/>
          <w:szCs w:val="24"/>
          <w:highlight w:val="none"/>
          <w14:textFill>
            <w14:solidFill>
              <w14:schemeClr w14:val="tx1"/>
            </w14:solidFill>
          </w14:textFill>
        </w:rPr>
        <w:t>到递交首次响应文件截止时间止，供应商少于3个的；</w:t>
      </w:r>
    </w:p>
    <w:p w14:paraId="1EDDA40B">
      <w:pPr>
        <w:pStyle w:val="76"/>
        <w:tabs>
          <w:tab w:val="left" w:pos="929"/>
        </w:tabs>
        <w:spacing w:line="500" w:lineRule="exact"/>
        <w:ind w:firstLine="440"/>
        <w:jc w:val="left"/>
        <w:rPr>
          <w:color w:val="000000" w:themeColor="text1"/>
          <w:sz w:val="24"/>
          <w:szCs w:val="24"/>
          <w:highlight w:val="none"/>
          <w14:textFill>
            <w14:solidFill>
              <w14:schemeClr w14:val="tx1"/>
            </w14:solidFill>
          </w14:textFill>
        </w:rPr>
      </w:pPr>
      <w:bookmarkStart w:id="120" w:name="bookmark178"/>
      <w:r>
        <w:rPr>
          <w:rFonts w:hint="eastAsia"/>
          <w:color w:val="000000" w:themeColor="text1"/>
          <w:sz w:val="24"/>
          <w:szCs w:val="24"/>
          <w:highlight w:val="none"/>
          <w14:textFill>
            <w14:solidFill>
              <w14:schemeClr w14:val="tx1"/>
            </w14:solidFill>
          </w14:textFill>
        </w:rPr>
        <w:t>（</w:t>
      </w:r>
      <w:bookmarkEnd w:id="120"/>
      <w:r>
        <w:rPr>
          <w:rFonts w:hint="eastAsia"/>
          <w:color w:val="000000" w:themeColor="text1"/>
          <w:sz w:val="24"/>
          <w:szCs w:val="24"/>
          <w:highlight w:val="none"/>
          <w14:textFill>
            <w14:solidFill>
              <w14:schemeClr w14:val="tx1"/>
            </w14:solidFill>
          </w14:textFill>
        </w:rPr>
        <w:t>2）</w:t>
      </w:r>
      <w:r>
        <w:rPr>
          <w:rFonts w:hint="eastAsia"/>
          <w:color w:val="000000" w:themeColor="text1"/>
          <w:sz w:val="24"/>
          <w:szCs w:val="24"/>
          <w:highlight w:val="none"/>
          <w14:textFill>
            <w14:solidFill>
              <w14:schemeClr w14:val="tx1"/>
            </w14:solidFill>
          </w14:textFill>
        </w:rPr>
        <w:tab/>
      </w:r>
      <w:r>
        <w:rPr>
          <w:rFonts w:hint="eastAsia"/>
          <w:color w:val="000000" w:themeColor="text1"/>
          <w:sz w:val="24"/>
          <w:szCs w:val="24"/>
          <w:highlight w:val="none"/>
          <w14:textFill>
            <w14:solidFill>
              <w14:schemeClr w14:val="tx1"/>
            </w14:solidFill>
          </w14:textFill>
        </w:rPr>
        <w:t>符合条件的供应商或者对磋商文件作实质响应的供应商不足三家的；</w:t>
      </w:r>
    </w:p>
    <w:p w14:paraId="570A08A9">
      <w:pPr>
        <w:pStyle w:val="76"/>
        <w:tabs>
          <w:tab w:val="left" w:pos="929"/>
        </w:tabs>
        <w:spacing w:line="500" w:lineRule="exact"/>
        <w:ind w:firstLine="440"/>
        <w:jc w:val="left"/>
        <w:rPr>
          <w:color w:val="000000" w:themeColor="text1"/>
          <w:sz w:val="24"/>
          <w:szCs w:val="24"/>
          <w:highlight w:val="none"/>
          <w14:textFill>
            <w14:solidFill>
              <w14:schemeClr w14:val="tx1"/>
            </w14:solidFill>
          </w14:textFill>
        </w:rPr>
      </w:pPr>
      <w:bookmarkStart w:id="121" w:name="bookmark179"/>
      <w:r>
        <w:rPr>
          <w:rFonts w:hint="eastAsia"/>
          <w:color w:val="000000" w:themeColor="text1"/>
          <w:sz w:val="24"/>
          <w:szCs w:val="24"/>
          <w:highlight w:val="none"/>
          <w14:textFill>
            <w14:solidFill>
              <w14:schemeClr w14:val="tx1"/>
            </w14:solidFill>
          </w14:textFill>
        </w:rPr>
        <w:t>（</w:t>
      </w:r>
      <w:bookmarkEnd w:id="121"/>
      <w:r>
        <w:rPr>
          <w:rFonts w:hint="eastAsia"/>
          <w:color w:val="000000" w:themeColor="text1"/>
          <w:sz w:val="24"/>
          <w:szCs w:val="24"/>
          <w:highlight w:val="none"/>
          <w14:textFill>
            <w14:solidFill>
              <w14:schemeClr w14:val="tx1"/>
            </w14:solidFill>
          </w14:textFill>
        </w:rPr>
        <w:t>3）</w:t>
      </w:r>
      <w:r>
        <w:rPr>
          <w:rFonts w:hint="eastAsia"/>
          <w:color w:val="000000" w:themeColor="text1"/>
          <w:sz w:val="24"/>
          <w:szCs w:val="24"/>
          <w:highlight w:val="none"/>
          <w14:textFill>
            <w14:solidFill>
              <w14:schemeClr w14:val="tx1"/>
            </w14:solidFill>
          </w14:textFill>
        </w:rPr>
        <w:tab/>
      </w:r>
      <w:r>
        <w:rPr>
          <w:rFonts w:hint="eastAsia"/>
          <w:color w:val="000000" w:themeColor="text1"/>
          <w:sz w:val="24"/>
          <w:szCs w:val="24"/>
          <w:highlight w:val="none"/>
          <w14:textFill>
            <w14:solidFill>
              <w14:schemeClr w14:val="tx1"/>
            </w14:solidFill>
          </w14:textFill>
        </w:rPr>
        <w:t>经磋商小组评审后否决所有响应文件的；</w:t>
      </w:r>
    </w:p>
    <w:p w14:paraId="0D61CAE3">
      <w:pPr>
        <w:pStyle w:val="76"/>
        <w:tabs>
          <w:tab w:val="left" w:pos="929"/>
        </w:tabs>
        <w:spacing w:line="500" w:lineRule="exact"/>
        <w:ind w:firstLine="440"/>
        <w:jc w:val="left"/>
        <w:rPr>
          <w:color w:val="000000" w:themeColor="text1"/>
          <w:sz w:val="24"/>
          <w:szCs w:val="24"/>
          <w:highlight w:val="none"/>
          <w14:textFill>
            <w14:solidFill>
              <w14:schemeClr w14:val="tx1"/>
            </w14:solidFill>
          </w14:textFill>
        </w:rPr>
      </w:pPr>
      <w:bookmarkStart w:id="122" w:name="bookmark180"/>
      <w:r>
        <w:rPr>
          <w:rFonts w:hint="eastAsia"/>
          <w:color w:val="000000" w:themeColor="text1"/>
          <w:sz w:val="24"/>
          <w:szCs w:val="24"/>
          <w:highlight w:val="none"/>
          <w14:textFill>
            <w14:solidFill>
              <w14:schemeClr w14:val="tx1"/>
            </w14:solidFill>
          </w14:textFill>
        </w:rPr>
        <w:t>（</w:t>
      </w:r>
      <w:bookmarkEnd w:id="122"/>
      <w:r>
        <w:rPr>
          <w:rFonts w:hint="eastAsia"/>
          <w:color w:val="000000" w:themeColor="text1"/>
          <w:sz w:val="24"/>
          <w:szCs w:val="24"/>
          <w:highlight w:val="none"/>
          <w14:textFill>
            <w14:solidFill>
              <w14:schemeClr w14:val="tx1"/>
            </w14:solidFill>
          </w14:textFill>
        </w:rPr>
        <w:t>4）</w:t>
      </w:r>
      <w:r>
        <w:rPr>
          <w:rFonts w:hint="eastAsia"/>
          <w:color w:val="000000" w:themeColor="text1"/>
          <w:sz w:val="24"/>
          <w:szCs w:val="24"/>
          <w:highlight w:val="none"/>
          <w14:textFill>
            <w14:solidFill>
              <w14:schemeClr w14:val="tx1"/>
            </w14:solidFill>
          </w14:textFill>
        </w:rPr>
        <w:tab/>
      </w:r>
      <w:r>
        <w:rPr>
          <w:rFonts w:hint="eastAsia"/>
          <w:color w:val="000000" w:themeColor="text1"/>
          <w:sz w:val="24"/>
          <w:szCs w:val="24"/>
          <w:highlight w:val="none"/>
          <w14:textFill>
            <w14:solidFill>
              <w14:schemeClr w14:val="tx1"/>
            </w14:solidFill>
          </w14:textFill>
        </w:rPr>
        <w:t>岀现影响采购公正的违法、违规行为；</w:t>
      </w:r>
    </w:p>
    <w:p w14:paraId="6711EC61">
      <w:pPr>
        <w:pStyle w:val="76"/>
        <w:tabs>
          <w:tab w:val="left" w:pos="929"/>
        </w:tabs>
        <w:spacing w:line="500" w:lineRule="exact"/>
        <w:ind w:firstLine="440"/>
        <w:jc w:val="left"/>
        <w:rPr>
          <w:color w:val="000000" w:themeColor="text1"/>
          <w:sz w:val="24"/>
          <w:szCs w:val="24"/>
          <w:highlight w:val="none"/>
          <w14:textFill>
            <w14:solidFill>
              <w14:schemeClr w14:val="tx1"/>
            </w14:solidFill>
          </w14:textFill>
        </w:rPr>
      </w:pPr>
      <w:bookmarkStart w:id="123" w:name="bookmark181"/>
      <w:r>
        <w:rPr>
          <w:rFonts w:hint="eastAsia"/>
          <w:color w:val="000000" w:themeColor="text1"/>
          <w:sz w:val="24"/>
          <w:szCs w:val="24"/>
          <w:highlight w:val="none"/>
          <w14:textFill>
            <w14:solidFill>
              <w14:schemeClr w14:val="tx1"/>
            </w14:solidFill>
          </w14:textFill>
        </w:rPr>
        <w:t>（</w:t>
      </w:r>
      <w:bookmarkEnd w:id="123"/>
      <w:r>
        <w:rPr>
          <w:rFonts w:hint="eastAsia"/>
          <w:color w:val="000000" w:themeColor="text1"/>
          <w:sz w:val="24"/>
          <w:szCs w:val="24"/>
          <w:highlight w:val="none"/>
          <w14:textFill>
            <w14:solidFill>
              <w14:schemeClr w14:val="tx1"/>
            </w14:solidFill>
          </w14:textFill>
        </w:rPr>
        <w:t>5）</w:t>
      </w:r>
      <w:r>
        <w:rPr>
          <w:rFonts w:hint="eastAsia"/>
          <w:color w:val="000000" w:themeColor="text1"/>
          <w:sz w:val="24"/>
          <w:szCs w:val="24"/>
          <w:highlight w:val="none"/>
          <w14:textFill>
            <w14:solidFill>
              <w14:schemeClr w14:val="tx1"/>
            </w14:solidFill>
          </w14:textFill>
        </w:rPr>
        <w:tab/>
      </w:r>
      <w:r>
        <w:rPr>
          <w:rFonts w:hint="eastAsia"/>
          <w:color w:val="000000" w:themeColor="text1"/>
          <w:sz w:val="24"/>
          <w:szCs w:val="24"/>
          <w:highlight w:val="none"/>
          <w14:textFill>
            <w14:solidFill>
              <w14:schemeClr w14:val="tx1"/>
            </w14:solidFill>
          </w14:textFill>
        </w:rPr>
        <w:t>因重大变故，采购任务取消；</w:t>
      </w:r>
    </w:p>
    <w:p w14:paraId="31639E5B">
      <w:pPr>
        <w:pStyle w:val="76"/>
        <w:tabs>
          <w:tab w:val="left" w:pos="929"/>
        </w:tabs>
        <w:spacing w:line="500" w:lineRule="exact"/>
        <w:ind w:firstLine="440"/>
        <w:jc w:val="left"/>
        <w:rPr>
          <w:color w:val="000000" w:themeColor="text1"/>
          <w:sz w:val="24"/>
          <w:szCs w:val="24"/>
          <w:highlight w:val="none"/>
          <w14:textFill>
            <w14:solidFill>
              <w14:schemeClr w14:val="tx1"/>
            </w14:solidFill>
          </w14:textFill>
        </w:rPr>
      </w:pPr>
      <w:bookmarkStart w:id="124" w:name="bookmark182"/>
      <w:r>
        <w:rPr>
          <w:rFonts w:hint="eastAsia"/>
          <w:color w:val="000000" w:themeColor="text1"/>
          <w:sz w:val="24"/>
          <w:szCs w:val="24"/>
          <w:highlight w:val="none"/>
          <w14:textFill>
            <w14:solidFill>
              <w14:schemeClr w14:val="tx1"/>
            </w14:solidFill>
          </w14:textFill>
        </w:rPr>
        <w:t>（</w:t>
      </w:r>
      <w:bookmarkEnd w:id="124"/>
      <w:r>
        <w:rPr>
          <w:rFonts w:hint="eastAsia"/>
          <w:color w:val="000000" w:themeColor="text1"/>
          <w:sz w:val="24"/>
          <w:szCs w:val="24"/>
          <w:highlight w:val="none"/>
          <w14:textFill>
            <w14:solidFill>
              <w14:schemeClr w14:val="tx1"/>
            </w14:solidFill>
          </w14:textFill>
        </w:rPr>
        <w:t>6）</w:t>
      </w:r>
      <w:r>
        <w:rPr>
          <w:rFonts w:hint="eastAsia"/>
          <w:color w:val="000000" w:themeColor="text1"/>
          <w:sz w:val="24"/>
          <w:szCs w:val="24"/>
          <w:highlight w:val="none"/>
          <w14:textFill>
            <w14:solidFill>
              <w14:schemeClr w14:val="tx1"/>
            </w14:solidFill>
          </w14:textFill>
        </w:rPr>
        <w:tab/>
      </w:r>
      <w:r>
        <w:rPr>
          <w:rFonts w:hint="eastAsia"/>
          <w:color w:val="000000" w:themeColor="text1"/>
          <w:sz w:val="24"/>
          <w:szCs w:val="24"/>
          <w:highlight w:val="none"/>
          <w14:textFill>
            <w14:solidFill>
              <w14:schemeClr w14:val="tx1"/>
            </w14:solidFill>
          </w14:textFill>
        </w:rPr>
        <w:t>法律、法规以及磋商文件规定其他情形。</w:t>
      </w:r>
    </w:p>
    <w:p w14:paraId="1065B21E">
      <w:pPr>
        <w:pStyle w:val="76"/>
        <w:spacing w:after="160" w:line="500" w:lineRule="exact"/>
        <w:ind w:firstLine="480" w:firstLineChars="20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废标必须经磋商小组集体作岀决定，经磋商小组全体成员签字确认后生效。废标后，采购人或者采购代理机构应当将废标理由告知所有供应商。</w:t>
      </w:r>
    </w:p>
    <w:p w14:paraId="08A5767A">
      <w:pPr>
        <w:pStyle w:val="76"/>
        <w:spacing w:after="160" w:line="500" w:lineRule="exact"/>
        <w:ind w:firstLine="241" w:firstLineChars="1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9.</w:t>
      </w:r>
      <w:r>
        <w:rPr>
          <w:rFonts w:hint="eastAsia"/>
          <w:b/>
          <w:bCs/>
          <w:color w:val="000000" w:themeColor="text1"/>
          <w:sz w:val="24"/>
          <w:szCs w:val="24"/>
          <w:highlight w:val="none"/>
          <w14:textFill>
            <w14:solidFill>
              <w14:schemeClr w14:val="tx1"/>
            </w14:solidFill>
          </w14:textFill>
        </w:rPr>
        <w:t>纪律和监督</w:t>
      </w:r>
    </w:p>
    <w:p w14:paraId="7A6B0BB8">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9.</w:t>
      </w:r>
      <w:r>
        <w:rPr>
          <w:rFonts w:hint="eastAsia"/>
          <w:b/>
          <w:bCs/>
          <w:color w:val="000000" w:themeColor="text1"/>
          <w:sz w:val="24"/>
          <w:szCs w:val="24"/>
          <w:highlight w:val="none"/>
          <w14:textFill>
            <w14:solidFill>
              <w14:schemeClr w14:val="tx1"/>
            </w14:solidFill>
          </w14:textFill>
        </w:rPr>
        <w:t>1对釆购人的纪律要求</w:t>
      </w:r>
    </w:p>
    <w:p w14:paraId="4010073D">
      <w:pPr>
        <w:pStyle w:val="76"/>
        <w:spacing w:after="160"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采购人不得泄漏采购活动中应当保密的情况和资料，不得与供应商串通损害国家利益、社会公共利益或者他人合法权益。</w:t>
      </w:r>
    </w:p>
    <w:p w14:paraId="0334230E">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9.</w:t>
      </w:r>
      <w:r>
        <w:rPr>
          <w:rFonts w:hint="eastAsia"/>
          <w:b/>
          <w:bCs/>
          <w:color w:val="000000" w:themeColor="text1"/>
          <w:sz w:val="24"/>
          <w:szCs w:val="24"/>
          <w:highlight w:val="none"/>
          <w14:textFill>
            <w14:solidFill>
              <w14:schemeClr w14:val="tx1"/>
            </w14:solidFill>
          </w14:textFill>
        </w:rPr>
        <w:t>2对供应商的纪律要求</w:t>
      </w:r>
    </w:p>
    <w:p w14:paraId="22C4726E">
      <w:pPr>
        <w:pStyle w:val="76"/>
        <w:spacing w:after="160" w:line="500" w:lineRule="exact"/>
        <w:ind w:firstLine="44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供应商不得相互串通投标或者与采购人串通投标，不得向采购人或者磋商小组成员行贿谋取成交，不得以他人名义投标或者以其他方式弄虚作假骗取成交；供应商不得以任何方式干扰、影响评审工作。</w:t>
      </w:r>
    </w:p>
    <w:p w14:paraId="58C01962">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9.3</w:t>
      </w:r>
      <w:r>
        <w:rPr>
          <w:rFonts w:hint="eastAsia"/>
          <w:b/>
          <w:bCs/>
          <w:color w:val="000000" w:themeColor="text1"/>
          <w:sz w:val="24"/>
          <w:szCs w:val="24"/>
          <w:highlight w:val="none"/>
          <w14:textFill>
            <w14:solidFill>
              <w14:schemeClr w14:val="tx1"/>
            </w14:solidFill>
          </w14:textFill>
        </w:rPr>
        <w:t>对磋商小组成员的纪律要求</w:t>
      </w:r>
    </w:p>
    <w:p w14:paraId="09D30773">
      <w:pPr>
        <w:pStyle w:val="76"/>
        <w:spacing w:after="160" w:line="500" w:lineRule="exact"/>
        <w:ind w:firstLine="44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磋商小组成员不得收受他人的财物或者其他好处，不得向他人透漏对响应文件的评审和比较、成交候选供应商的推荐情况以及评审有关的其他情况。在评审活动中，磋商小组成员应当客观、公正地履行职责，遵守职业道德，不得擅离职守，影响评审程序正常进行，不得使用第三章</w:t>
      </w:r>
      <w:r>
        <w:rPr>
          <w:rFonts w:hint="eastAsia"/>
          <w:color w:val="000000" w:themeColor="text1"/>
          <w:sz w:val="24"/>
          <w:szCs w:val="24"/>
          <w:highlight w:val="none"/>
          <w:lang w:val="zh-CN" w:eastAsia="zh-CN" w:bidi="zh-CN"/>
          <w14:textFill>
            <w14:solidFill>
              <w14:schemeClr w14:val="tx1"/>
            </w14:solidFill>
          </w14:textFill>
        </w:rPr>
        <w:t>“评</w:t>
      </w:r>
      <w:r>
        <w:rPr>
          <w:rFonts w:hint="eastAsia"/>
          <w:color w:val="000000" w:themeColor="text1"/>
          <w:sz w:val="24"/>
          <w:szCs w:val="24"/>
          <w:highlight w:val="none"/>
          <w14:textFill>
            <w14:solidFill>
              <w14:schemeClr w14:val="tx1"/>
            </w14:solidFill>
          </w14:textFill>
        </w:rPr>
        <w:t>审办法</w:t>
      </w:r>
      <w:r>
        <w:rPr>
          <w:rFonts w:hint="eastAsia"/>
          <w:color w:val="000000" w:themeColor="text1"/>
          <w:sz w:val="24"/>
          <w:szCs w:val="24"/>
          <w:highlight w:val="none"/>
          <w:lang w:val="zh-CN" w:eastAsia="zh-CN" w:bidi="zh-CN"/>
          <w14:textFill>
            <w14:solidFill>
              <w14:schemeClr w14:val="tx1"/>
            </w14:solidFill>
          </w14:textFill>
        </w:rPr>
        <w:t>”没有</w:t>
      </w:r>
      <w:r>
        <w:rPr>
          <w:rFonts w:hint="eastAsia"/>
          <w:color w:val="000000" w:themeColor="text1"/>
          <w:sz w:val="24"/>
          <w:szCs w:val="24"/>
          <w:highlight w:val="none"/>
          <w14:textFill>
            <w14:solidFill>
              <w14:schemeClr w14:val="tx1"/>
            </w14:solidFill>
          </w14:textFill>
        </w:rPr>
        <w:t>规定的评审因素和标准进行评审。</w:t>
      </w:r>
    </w:p>
    <w:p w14:paraId="7E8567AA">
      <w:pPr>
        <w:pStyle w:val="76"/>
        <w:spacing w:line="500" w:lineRule="exact"/>
        <w:ind w:firstLine="482" w:firstLineChars="200"/>
        <w:jc w:val="left"/>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9.4</w:t>
      </w:r>
      <w:r>
        <w:rPr>
          <w:rFonts w:hint="eastAsia"/>
          <w:b/>
          <w:bCs/>
          <w:color w:val="000000" w:themeColor="text1"/>
          <w:sz w:val="24"/>
          <w:szCs w:val="24"/>
          <w:highlight w:val="none"/>
          <w14:textFill>
            <w14:solidFill>
              <w14:schemeClr w14:val="tx1"/>
            </w14:solidFill>
          </w14:textFill>
        </w:rPr>
        <w:t>对与评审活动有关的工作人员的纪律要求</w:t>
      </w:r>
    </w:p>
    <w:p w14:paraId="306EED35">
      <w:pPr>
        <w:pStyle w:val="76"/>
        <w:spacing w:after="200" w:line="500" w:lineRule="exact"/>
        <w:ind w:firstLine="480" w:firstLineChars="200"/>
        <w:jc w:val="left"/>
        <w:rPr>
          <w:rFonts w:hint="eastAsia" w:eastAsia="宋体"/>
          <w:color w:val="000000" w:themeColor="text1"/>
          <w:sz w:val="24"/>
          <w:szCs w:val="24"/>
          <w:highlight w:val="yellow"/>
          <w:lang w:eastAsia="zh-CN"/>
          <w14:textFill>
            <w14:solidFill>
              <w14:schemeClr w14:val="tx1"/>
            </w14:solidFill>
          </w14:textFill>
        </w:rPr>
      </w:pPr>
      <w:r>
        <w:rPr>
          <w:rFonts w:hint="eastAsia"/>
          <w:color w:val="000000" w:themeColor="text1"/>
          <w:sz w:val="24"/>
          <w:szCs w:val="24"/>
          <w:highlight w:val="none"/>
          <w14:textFill>
            <w14:solidFill>
              <w14:schemeClr w14:val="tx1"/>
            </w14:solidFill>
          </w14:textFill>
        </w:rPr>
        <w:t>与评审活动有关的工作人员不得收受他人的财物或者其他好处，不得向他人透漏对响应文件</w:t>
      </w:r>
      <w:r>
        <w:rPr>
          <w:rFonts w:hint="eastAsia"/>
          <w:color w:val="000000" w:themeColor="text1"/>
          <w:sz w:val="24"/>
          <w:szCs w:val="24"/>
          <w:highlight w:val="none"/>
          <w:lang w:eastAsia="zh-CN"/>
          <w14:textFill>
            <w14:solidFill>
              <w14:schemeClr w14:val="tx1"/>
            </w14:solidFill>
          </w14:textFill>
        </w:rPr>
        <w:t>。</w:t>
      </w:r>
    </w:p>
    <w:p w14:paraId="0AE25655">
      <w:pPr>
        <w:pStyle w:val="76"/>
        <w:spacing w:line="500" w:lineRule="exact"/>
        <w:ind w:firstLine="241" w:firstLineChars="100"/>
        <w:rPr>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lang w:val="en-US" w:eastAsia="zh-CN" w:bidi="en-US"/>
          <w14:textFill>
            <w14:solidFill>
              <w14:schemeClr w14:val="tx1"/>
            </w14:solidFill>
          </w14:textFill>
        </w:rPr>
        <w:t>10.</w:t>
      </w:r>
      <w:r>
        <w:rPr>
          <w:rFonts w:hint="eastAsia"/>
          <w:b/>
          <w:bCs/>
          <w:color w:val="000000" w:themeColor="text1"/>
          <w:sz w:val="24"/>
          <w:szCs w:val="24"/>
          <w:highlight w:val="none"/>
          <w14:textFill>
            <w14:solidFill>
              <w14:schemeClr w14:val="tx1"/>
            </w14:solidFill>
          </w14:textFill>
        </w:rPr>
        <w:t>需要补充的其他内容</w:t>
      </w:r>
    </w:p>
    <w:p w14:paraId="5E47AB15">
      <w:pPr>
        <w:pStyle w:val="76"/>
        <w:spacing w:line="500" w:lineRule="exact"/>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10.1</w:t>
      </w:r>
      <w:r>
        <w:rPr>
          <w:rFonts w:hint="eastAsia"/>
          <w:color w:val="000000" w:themeColor="text1"/>
          <w:sz w:val="24"/>
          <w:szCs w:val="24"/>
          <w:highlight w:val="none"/>
          <w:lang w:eastAsia="zh-CN"/>
          <w14:textFill>
            <w14:solidFill>
              <w14:schemeClr w14:val="tx1"/>
            </w14:solidFill>
          </w14:textFill>
        </w:rPr>
        <w:t>最高限价</w:t>
      </w:r>
      <w:r>
        <w:rPr>
          <w:rFonts w:hint="eastAsia"/>
          <w:color w:val="000000" w:themeColor="text1"/>
          <w:sz w:val="24"/>
          <w:szCs w:val="24"/>
          <w:highlight w:val="none"/>
          <w14:textFill>
            <w14:solidFill>
              <w14:schemeClr w14:val="tx1"/>
            </w14:solidFill>
          </w14:textFill>
        </w:rPr>
        <w:t>：详见供应商须知前附表。</w:t>
      </w:r>
    </w:p>
    <w:p w14:paraId="2AD9954C">
      <w:pPr>
        <w:pStyle w:val="76"/>
        <w:spacing w:line="500" w:lineRule="exact"/>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10.2</w:t>
      </w:r>
      <w:r>
        <w:rPr>
          <w:rFonts w:hint="eastAsia"/>
          <w:color w:val="000000" w:themeColor="text1"/>
          <w:sz w:val="24"/>
          <w:szCs w:val="24"/>
          <w:highlight w:val="none"/>
          <w14:textFill>
            <w14:solidFill>
              <w14:schemeClr w14:val="tx1"/>
            </w14:solidFill>
          </w14:textFill>
        </w:rPr>
        <w:t>报价轮次：详见供应商须知前附表。</w:t>
      </w:r>
    </w:p>
    <w:p w14:paraId="108E4FB4">
      <w:pPr>
        <w:pStyle w:val="76"/>
        <w:spacing w:line="500" w:lineRule="exact"/>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10.3</w:t>
      </w:r>
      <w:r>
        <w:rPr>
          <w:rFonts w:hint="eastAsia"/>
          <w:color w:val="000000" w:themeColor="text1"/>
          <w:sz w:val="24"/>
          <w:szCs w:val="24"/>
          <w:highlight w:val="none"/>
          <w:lang w:eastAsia="zh-CN"/>
          <w14:textFill>
            <w14:solidFill>
              <w14:schemeClr w14:val="tx1"/>
            </w14:solidFill>
          </w14:textFill>
        </w:rPr>
        <w:t>第二轮报价</w:t>
      </w:r>
      <w:r>
        <w:rPr>
          <w:rFonts w:hint="eastAsia"/>
          <w:color w:val="000000" w:themeColor="text1"/>
          <w:sz w:val="24"/>
          <w:szCs w:val="24"/>
          <w:highlight w:val="none"/>
          <w14:textFill>
            <w14:solidFill>
              <w14:schemeClr w14:val="tx1"/>
            </w14:solidFill>
          </w14:textFill>
        </w:rPr>
        <w:t>：详见供应商须知前附表。</w:t>
      </w:r>
    </w:p>
    <w:p w14:paraId="763E6845">
      <w:pPr>
        <w:spacing w:line="500" w:lineRule="exact"/>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bidi="en-US"/>
          <w14:textFill>
            <w14:solidFill>
              <w14:schemeClr w14:val="tx1"/>
            </w14:solidFill>
          </w14:textFill>
        </w:rPr>
        <w:t>10.4</w:t>
      </w:r>
      <w:r>
        <w:rPr>
          <w:rFonts w:hint="eastAsia" w:ascii="宋体" w:hAnsi="宋体" w:cs="宋体"/>
          <w:color w:val="000000" w:themeColor="text1"/>
          <w:sz w:val="24"/>
          <w:szCs w:val="24"/>
          <w:highlight w:val="none"/>
          <w14:textFill>
            <w14:solidFill>
              <w14:schemeClr w14:val="tx1"/>
            </w14:solidFill>
          </w14:textFill>
        </w:rPr>
        <w:t>采购代理服务费由成交供应商支付。依据</w:t>
      </w:r>
      <w:r>
        <w:rPr>
          <w:rFonts w:hint="eastAsia" w:ascii="宋体" w:hAnsi="宋体" w:cs="宋体"/>
          <w:color w:val="000000" w:themeColor="text1"/>
          <w:kern w:val="0"/>
          <w:sz w:val="24"/>
          <w:szCs w:val="24"/>
          <w:highlight w:val="none"/>
          <w:shd w:val="clear" w:color="auto" w:fill="FFFFFF"/>
          <w:lang w:bidi="ar"/>
          <w14:textFill>
            <w14:solidFill>
              <w14:schemeClr w14:val="tx1"/>
            </w14:solidFill>
          </w14:textFill>
        </w:rPr>
        <w:t>有关法律法规</w:t>
      </w:r>
      <w:r>
        <w:rPr>
          <w:rFonts w:hint="eastAsia" w:ascii="宋体" w:hAnsi="宋体" w:cs="宋体"/>
          <w:color w:val="000000" w:themeColor="text1"/>
          <w:sz w:val="24"/>
          <w:szCs w:val="24"/>
          <w:highlight w:val="none"/>
          <w14:textFill>
            <w14:solidFill>
              <w14:schemeClr w14:val="tx1"/>
            </w14:solidFill>
          </w14:textFill>
        </w:rPr>
        <w:t>规定收取采购代理服务费，成交供应商应在成交通知书发出时将本项目采购代理服务费一次性支付给采购代理机构。</w:t>
      </w:r>
    </w:p>
    <w:p w14:paraId="2B17755C">
      <w:pPr>
        <w:pStyle w:val="76"/>
        <w:spacing w:line="500" w:lineRule="exact"/>
        <w:ind w:firstLine="480" w:firstLineChars="20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10.5</w:t>
      </w:r>
      <w:r>
        <w:rPr>
          <w:rFonts w:hint="eastAsia"/>
          <w:color w:val="000000" w:themeColor="text1"/>
          <w:sz w:val="24"/>
          <w:szCs w:val="24"/>
          <w:highlight w:val="none"/>
          <w14:textFill>
            <w14:solidFill>
              <w14:schemeClr w14:val="tx1"/>
            </w14:solidFill>
          </w14:textFill>
        </w:rPr>
        <w:t>供应商联系方式：详见供应商须知前附表。</w:t>
      </w:r>
    </w:p>
    <w:p w14:paraId="640F2EFF">
      <w:pPr>
        <w:pStyle w:val="76"/>
        <w:spacing w:line="500" w:lineRule="exact"/>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10.6</w:t>
      </w:r>
      <w:r>
        <w:rPr>
          <w:rFonts w:hint="eastAsia"/>
          <w:color w:val="000000" w:themeColor="text1"/>
          <w:sz w:val="24"/>
          <w:szCs w:val="24"/>
          <w:highlight w:val="none"/>
          <w14:textFill>
            <w14:solidFill>
              <w14:schemeClr w14:val="tx1"/>
            </w14:solidFill>
          </w14:textFill>
        </w:rPr>
        <w:t>特殊情况处置程序</w:t>
      </w:r>
    </w:p>
    <w:p w14:paraId="60FAC1A1">
      <w:pPr>
        <w:pStyle w:val="76"/>
        <w:spacing w:line="500" w:lineRule="exact"/>
        <w:ind w:firstLine="720" w:firstLineChars="3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10.6.1</w:t>
      </w:r>
      <w:r>
        <w:rPr>
          <w:rFonts w:hint="eastAsia"/>
          <w:color w:val="000000" w:themeColor="text1"/>
          <w:sz w:val="24"/>
          <w:szCs w:val="24"/>
          <w:highlight w:val="none"/>
          <w14:textFill>
            <w14:solidFill>
              <w14:schemeClr w14:val="tx1"/>
            </w14:solidFill>
          </w14:textFill>
        </w:rPr>
        <w:t>评审活动终止</w:t>
      </w:r>
    </w:p>
    <w:p w14:paraId="27957764">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磋商小组应当执行连续评审的原则，按照磋商文件规定的程序、内容、方法、标准完成全 部评审工作。岀现评审专家临时缺席、回避等情形导致评审现场专家数量不符合法定标准的，采购 人或者采购代理机构要按照有关程序及时补抽专家，继续组织评审。如无法及时补齐专家，则要立 即停止评审工作，封存磋商文件和所有响应文件，择期重新组建磋商小组进行评审，前期参加评审 的磋商小组成员应回避。</w:t>
      </w:r>
    </w:p>
    <w:p w14:paraId="5CAFEDB1">
      <w:pPr>
        <w:pStyle w:val="76"/>
        <w:spacing w:line="500" w:lineRule="exact"/>
        <w:ind w:firstLine="720" w:firstLineChars="300"/>
        <w:jc w:val="left"/>
        <w:rPr>
          <w:color w:val="000000" w:themeColor="text1"/>
          <w:sz w:val="24"/>
          <w:szCs w:val="24"/>
          <w:highlight w:val="none"/>
          <w14:textFill>
            <w14:solidFill>
              <w14:schemeClr w14:val="tx1"/>
            </w14:solidFill>
          </w14:textFill>
        </w:rPr>
      </w:pPr>
      <w:bookmarkStart w:id="125" w:name="bookmark201"/>
      <w:bookmarkEnd w:id="125"/>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发生下列情况之一的，磋商小组应终止评审：</w:t>
      </w:r>
    </w:p>
    <w:p w14:paraId="29ECC116">
      <w:pPr>
        <w:pStyle w:val="76"/>
        <w:tabs>
          <w:tab w:val="left" w:pos="832"/>
        </w:tabs>
        <w:spacing w:line="500" w:lineRule="exact"/>
        <w:ind w:firstLine="960" w:firstLineChars="400"/>
        <w:jc w:val="left"/>
        <w:rPr>
          <w:color w:val="000000" w:themeColor="text1"/>
          <w:sz w:val="24"/>
          <w:szCs w:val="24"/>
          <w:highlight w:val="none"/>
          <w14:textFill>
            <w14:solidFill>
              <w14:schemeClr w14:val="tx1"/>
            </w14:solidFill>
          </w14:textFill>
        </w:rPr>
      </w:pPr>
      <w:bookmarkStart w:id="126" w:name="bookmark202"/>
      <w:bookmarkEnd w:id="126"/>
      <w:r>
        <w:rPr>
          <w:rFonts w:hint="eastAsia"/>
          <w:color w:val="000000" w:themeColor="text1"/>
          <w:sz w:val="24"/>
          <w:szCs w:val="24"/>
          <w:highlight w:val="none"/>
          <w14:textFill>
            <w14:solidFill>
              <w14:schemeClr w14:val="tx1"/>
            </w14:solidFill>
          </w14:textFill>
        </w:rPr>
        <w:t>①发生了不可抗力事件；</w:t>
      </w:r>
    </w:p>
    <w:p w14:paraId="1D1666A7">
      <w:pPr>
        <w:pStyle w:val="76"/>
        <w:tabs>
          <w:tab w:val="left" w:pos="837"/>
        </w:tabs>
        <w:spacing w:line="500" w:lineRule="exact"/>
        <w:ind w:firstLine="960" w:firstLineChars="400"/>
        <w:jc w:val="left"/>
        <w:rPr>
          <w:color w:val="000000" w:themeColor="text1"/>
          <w:sz w:val="24"/>
          <w:szCs w:val="24"/>
          <w:highlight w:val="none"/>
          <w14:textFill>
            <w14:solidFill>
              <w14:schemeClr w14:val="tx1"/>
            </w14:solidFill>
          </w14:textFill>
        </w:rPr>
      </w:pPr>
      <w:bookmarkStart w:id="127" w:name="bookmark203"/>
      <w:bookmarkEnd w:id="127"/>
      <w:r>
        <w:rPr>
          <w:rFonts w:hint="eastAsia"/>
          <w:color w:val="000000" w:themeColor="text1"/>
          <w:sz w:val="24"/>
          <w:szCs w:val="24"/>
          <w:highlight w:val="none"/>
          <w14:textFill>
            <w14:solidFill>
              <w14:schemeClr w14:val="tx1"/>
            </w14:solidFill>
          </w14:textFill>
        </w:rPr>
        <w:t>②发生磋商小组名单泄密、评审信息泄露；</w:t>
      </w:r>
    </w:p>
    <w:p w14:paraId="36DF0A9A">
      <w:pPr>
        <w:pStyle w:val="76"/>
        <w:tabs>
          <w:tab w:val="left" w:pos="859"/>
        </w:tabs>
        <w:spacing w:line="500" w:lineRule="exact"/>
        <w:ind w:firstLine="960" w:firstLineChars="400"/>
        <w:rPr>
          <w:color w:val="000000" w:themeColor="text1"/>
          <w:sz w:val="24"/>
          <w:szCs w:val="24"/>
          <w:highlight w:val="none"/>
          <w14:textFill>
            <w14:solidFill>
              <w14:schemeClr w14:val="tx1"/>
            </w14:solidFill>
          </w14:textFill>
        </w:rPr>
      </w:pPr>
      <w:bookmarkStart w:id="128" w:name="bookmark204"/>
      <w:bookmarkEnd w:id="128"/>
      <w:r>
        <w:rPr>
          <w:rFonts w:hint="eastAsia"/>
          <w:color w:val="000000" w:themeColor="text1"/>
          <w:sz w:val="24"/>
          <w:szCs w:val="24"/>
          <w:highlight w:val="none"/>
          <w14:textFill>
            <w14:solidFill>
              <w14:schemeClr w14:val="tx1"/>
            </w14:solidFill>
          </w14:textFill>
        </w:rPr>
        <w:t>③岀现非法干预评审工作；</w:t>
      </w:r>
    </w:p>
    <w:p w14:paraId="75C9B113">
      <w:pPr>
        <w:pStyle w:val="76"/>
        <w:tabs>
          <w:tab w:val="left" w:pos="810"/>
        </w:tabs>
        <w:spacing w:line="500" w:lineRule="exact"/>
        <w:ind w:firstLine="960" w:firstLineChars="400"/>
        <w:rPr>
          <w:color w:val="000000" w:themeColor="text1"/>
          <w:sz w:val="24"/>
          <w:szCs w:val="24"/>
          <w:highlight w:val="none"/>
          <w14:textFill>
            <w14:solidFill>
              <w14:schemeClr w14:val="tx1"/>
            </w14:solidFill>
          </w14:textFill>
        </w:rPr>
      </w:pPr>
      <w:bookmarkStart w:id="129" w:name="bookmark205"/>
      <w:bookmarkEnd w:id="129"/>
      <w:r>
        <w:rPr>
          <w:rFonts w:hint="eastAsia"/>
          <w:color w:val="000000" w:themeColor="text1"/>
          <w:sz w:val="24"/>
          <w:szCs w:val="24"/>
          <w:highlight w:val="none"/>
          <w14:textFill>
            <w14:solidFill>
              <w14:schemeClr w14:val="tx1"/>
            </w14:solidFill>
          </w14:textFill>
        </w:rPr>
        <w:t>④发现磋商小组或者成员未按照磋商文件规定评审或者存在违反法律法规规定行为，且拒绝改正。</w:t>
      </w:r>
    </w:p>
    <w:p w14:paraId="54913C82">
      <w:pPr>
        <w:pStyle w:val="76"/>
        <w:spacing w:line="500" w:lineRule="exact"/>
        <w:ind w:firstLine="720" w:firstLineChars="3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岀现上述情形的，政府采购监督管理部门有权予以废标或者建议采购人和采购代理机构封存磋 商文件和所有响应文件，择期重新组建磋商小组进行评审。</w:t>
      </w:r>
    </w:p>
    <w:p w14:paraId="32264994">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10.6.2</w:t>
      </w:r>
      <w:r>
        <w:rPr>
          <w:rFonts w:hint="eastAsia"/>
          <w:color w:val="000000" w:themeColor="text1"/>
          <w:sz w:val="24"/>
          <w:szCs w:val="24"/>
          <w:highlight w:val="none"/>
          <w14:textFill>
            <w14:solidFill>
              <w14:schemeClr w14:val="tx1"/>
            </w14:solidFill>
          </w14:textFill>
        </w:rPr>
        <w:t>磋商小组中途更换成员</w:t>
      </w:r>
    </w:p>
    <w:p w14:paraId="5E9CE9F0">
      <w:pPr>
        <w:pStyle w:val="76"/>
        <w:tabs>
          <w:tab w:val="left" w:pos="923"/>
        </w:tabs>
        <w:spacing w:line="500" w:lineRule="exact"/>
        <w:ind w:firstLine="720" w:firstLineChars="300"/>
        <w:rPr>
          <w:color w:val="000000" w:themeColor="text1"/>
          <w:sz w:val="24"/>
          <w:szCs w:val="24"/>
          <w:highlight w:val="none"/>
          <w14:textFill>
            <w14:solidFill>
              <w14:schemeClr w14:val="tx1"/>
            </w14:solidFill>
          </w14:textFill>
        </w:rPr>
      </w:pPr>
      <w:bookmarkStart w:id="130" w:name="bookmark206"/>
      <w:bookmarkEnd w:id="130"/>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除非发生下列情况之一，磋商小组成员不得中途更换：</w:t>
      </w:r>
    </w:p>
    <w:p w14:paraId="2F34114B">
      <w:pPr>
        <w:pStyle w:val="76"/>
        <w:tabs>
          <w:tab w:val="left" w:pos="859"/>
        </w:tabs>
        <w:spacing w:line="500" w:lineRule="exact"/>
        <w:ind w:firstLine="960" w:firstLineChars="400"/>
        <w:rPr>
          <w:color w:val="000000" w:themeColor="text1"/>
          <w:sz w:val="24"/>
          <w:szCs w:val="24"/>
          <w:highlight w:val="none"/>
          <w14:textFill>
            <w14:solidFill>
              <w14:schemeClr w14:val="tx1"/>
            </w14:solidFill>
          </w14:textFill>
        </w:rPr>
      </w:pPr>
      <w:bookmarkStart w:id="131" w:name="bookmark207"/>
      <w:bookmarkEnd w:id="131"/>
      <w:r>
        <w:rPr>
          <w:rFonts w:hint="eastAsia"/>
          <w:color w:val="000000" w:themeColor="text1"/>
          <w:sz w:val="24"/>
          <w:szCs w:val="24"/>
          <w:highlight w:val="none"/>
          <w14:textFill>
            <w14:solidFill>
              <w14:schemeClr w14:val="tx1"/>
            </w14:solidFill>
          </w14:textFill>
        </w:rPr>
        <w:t>①因不可抗拒的客观原因，不能到场或者需在评审过程中退岀评审活动；</w:t>
      </w:r>
    </w:p>
    <w:p w14:paraId="53A6CE3C">
      <w:pPr>
        <w:pStyle w:val="76"/>
        <w:tabs>
          <w:tab w:val="left" w:pos="837"/>
        </w:tabs>
        <w:spacing w:line="500" w:lineRule="exact"/>
        <w:ind w:firstLine="960" w:firstLineChars="400"/>
        <w:rPr>
          <w:color w:val="000000" w:themeColor="text1"/>
          <w:sz w:val="24"/>
          <w:szCs w:val="24"/>
          <w:highlight w:val="none"/>
          <w14:textFill>
            <w14:solidFill>
              <w14:schemeClr w14:val="tx1"/>
            </w14:solidFill>
          </w14:textFill>
        </w:rPr>
      </w:pPr>
      <w:bookmarkStart w:id="132" w:name="bookmark208"/>
      <w:bookmarkEnd w:id="132"/>
      <w:r>
        <w:rPr>
          <w:rFonts w:hint="eastAsia"/>
          <w:color w:val="000000" w:themeColor="text1"/>
          <w:sz w:val="24"/>
          <w:szCs w:val="24"/>
          <w:highlight w:val="none"/>
          <w14:textFill>
            <w14:solidFill>
              <w14:schemeClr w14:val="tx1"/>
            </w14:solidFill>
          </w14:textFill>
        </w:rPr>
        <w:t>②根据法律法规规定，某个或者某几个磋商小组成员需要回避；</w:t>
      </w:r>
    </w:p>
    <w:p w14:paraId="5F0818EF">
      <w:pPr>
        <w:pStyle w:val="76"/>
        <w:tabs>
          <w:tab w:val="left" w:pos="1016"/>
        </w:tabs>
        <w:spacing w:line="500" w:lineRule="exact"/>
        <w:ind w:firstLine="720" w:firstLineChars="300"/>
        <w:rPr>
          <w:color w:val="000000" w:themeColor="text1"/>
          <w:sz w:val="24"/>
          <w:szCs w:val="24"/>
          <w:highlight w:val="none"/>
          <w14:textFill>
            <w14:solidFill>
              <w14:schemeClr w14:val="tx1"/>
            </w14:solidFill>
          </w14:textFill>
        </w:rPr>
      </w:pPr>
      <w:bookmarkStart w:id="133" w:name="bookmark209"/>
      <w:bookmarkEnd w:id="133"/>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退岀磋商小组的成员，其已完成的评审行为无效。由采购人向政府采购监督管理部门提岀更换磋商小组成员意见并获准后，根据本磋商文件规定的磋商小组成员产生方式另行确定替代者进行评审。</w:t>
      </w:r>
    </w:p>
    <w:p w14:paraId="7D1E8E41">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10.6.3</w:t>
      </w:r>
      <w:r>
        <w:rPr>
          <w:rFonts w:hint="eastAsia"/>
          <w:color w:val="000000" w:themeColor="text1"/>
          <w:sz w:val="24"/>
          <w:szCs w:val="24"/>
          <w:highlight w:val="none"/>
          <w14:textFill>
            <w14:solidFill>
              <w14:schemeClr w14:val="tx1"/>
            </w14:solidFill>
          </w14:textFill>
        </w:rPr>
        <w:t>记名投票</w:t>
      </w:r>
    </w:p>
    <w:p w14:paraId="1A80DA76">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在评审过程中，磋商小组发生分歧或者评审结论有异议需表决的，按照少数服从多数的原则，由磋商小组全体成员以记名投票方式表决。</w:t>
      </w:r>
    </w:p>
    <w:p w14:paraId="0FE7DC04">
      <w:pPr>
        <w:pStyle w:val="76"/>
        <w:spacing w:line="500" w:lineRule="exact"/>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10.7</w:t>
      </w:r>
      <w:r>
        <w:rPr>
          <w:rFonts w:hint="eastAsia"/>
          <w:color w:val="000000" w:themeColor="text1"/>
          <w:sz w:val="24"/>
          <w:szCs w:val="24"/>
          <w:highlight w:val="none"/>
          <w14:textFill>
            <w14:solidFill>
              <w14:schemeClr w14:val="tx1"/>
            </w14:solidFill>
          </w14:textFill>
        </w:rPr>
        <w:t>违法违规情形</w:t>
      </w:r>
    </w:p>
    <w:p w14:paraId="26106E04">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10.7.1</w:t>
      </w:r>
      <w:r>
        <w:rPr>
          <w:rFonts w:hint="eastAsia"/>
          <w:color w:val="000000" w:themeColor="text1"/>
          <w:sz w:val="24"/>
          <w:szCs w:val="24"/>
          <w:highlight w:val="none"/>
          <w14:textFill>
            <w14:solidFill>
              <w14:schemeClr w14:val="tx1"/>
            </w14:solidFill>
          </w14:textFill>
        </w:rPr>
        <w:t>有下列情形之一的，属于供应商相互串通报价：</w:t>
      </w:r>
    </w:p>
    <w:p w14:paraId="6DB67B12">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134" w:name="bookmark210"/>
      <w:bookmarkEnd w:id="134"/>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供应商之间协商报价等响应文件的实质性内容；</w:t>
      </w:r>
    </w:p>
    <w:p w14:paraId="3D76CEA3">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135" w:name="bookmark211"/>
      <w:bookmarkEnd w:id="135"/>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供应商之间约定成交供应商；</w:t>
      </w:r>
    </w:p>
    <w:p w14:paraId="1BE4DEAC">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136" w:name="bookmark212"/>
      <w:bookmarkEnd w:id="136"/>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3</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供应商之间约定部分供应商放弃报价或者成交；</w:t>
      </w:r>
    </w:p>
    <w:p w14:paraId="4F940748">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137" w:name="bookmark213"/>
      <w:bookmarkEnd w:id="137"/>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4</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属于同一集团、协会、商会等组织成员的供应商按照该组织要求协同报价；</w:t>
      </w:r>
    </w:p>
    <w:p w14:paraId="22F52851">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138" w:name="bookmark214"/>
      <w:bookmarkEnd w:id="138"/>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5</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供应商之间为谋取成交或者排斥特定供应商而采取的其他联合行动。</w:t>
      </w:r>
    </w:p>
    <w:p w14:paraId="0CA5F379">
      <w:pPr>
        <w:pStyle w:val="76"/>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10.7.2</w:t>
      </w:r>
      <w:r>
        <w:rPr>
          <w:rFonts w:hint="eastAsia"/>
          <w:color w:val="000000" w:themeColor="text1"/>
          <w:sz w:val="24"/>
          <w:szCs w:val="24"/>
          <w:highlight w:val="none"/>
          <w14:textFill>
            <w14:solidFill>
              <w14:schemeClr w14:val="tx1"/>
            </w14:solidFill>
          </w14:textFill>
        </w:rPr>
        <w:t>有下列情形之一的，视为供应商相互串通报价：</w:t>
      </w:r>
    </w:p>
    <w:p w14:paraId="7833B754">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139" w:name="bookmark215"/>
      <w:bookmarkEnd w:id="139"/>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不同供应商的响应文件由同一单位或者个人编制；</w:t>
      </w:r>
    </w:p>
    <w:p w14:paraId="7AC8149D">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140" w:name="bookmark216"/>
      <w:bookmarkEnd w:id="140"/>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不同供应商委托同一单位或者个人办理报价事宜；</w:t>
      </w:r>
    </w:p>
    <w:p w14:paraId="07B340D0">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141" w:name="bookmark217"/>
      <w:bookmarkEnd w:id="141"/>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3</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不同供应商的响应文件载明的项目管理成员为同一人；</w:t>
      </w:r>
    </w:p>
    <w:p w14:paraId="078636DB">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142" w:name="bookmark218"/>
      <w:bookmarkEnd w:id="142"/>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4</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不同供应商的响应文件异常一致或者报价呈规律性差异；</w:t>
      </w:r>
    </w:p>
    <w:p w14:paraId="68606D76">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143" w:name="bookmark219"/>
      <w:bookmarkEnd w:id="143"/>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5</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不同供应商的响应文件相互混装；</w:t>
      </w:r>
    </w:p>
    <w:p w14:paraId="6B17A412">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bookmarkStart w:id="144" w:name="bookmark220"/>
      <w:bookmarkEnd w:id="144"/>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6</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不同供应商的磋商保证金从同一单位或者个人的账户转岀。</w:t>
      </w:r>
    </w:p>
    <w:p w14:paraId="288E9800">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10.7.3</w:t>
      </w:r>
      <w:r>
        <w:rPr>
          <w:rFonts w:hint="eastAsia"/>
          <w:color w:val="000000" w:themeColor="text1"/>
          <w:sz w:val="24"/>
          <w:szCs w:val="24"/>
          <w:highlight w:val="none"/>
          <w14:textFill>
            <w14:solidFill>
              <w14:schemeClr w14:val="tx1"/>
            </w14:solidFill>
          </w14:textFill>
        </w:rPr>
        <w:t>有下列情形之一的，属于采购人与供应商串通报价：</w:t>
      </w:r>
    </w:p>
    <w:p w14:paraId="3D4543A8">
      <w:pPr>
        <w:pStyle w:val="76"/>
        <w:tabs>
          <w:tab w:val="left" w:pos="923"/>
        </w:tabs>
        <w:spacing w:line="500" w:lineRule="exact"/>
        <w:ind w:firstLine="720" w:firstLineChars="3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采购人在二次报价前开启响应文件并将有关信息泄露给其他供应商；</w:t>
      </w:r>
    </w:p>
    <w:p w14:paraId="62BE5C90">
      <w:pPr>
        <w:pStyle w:val="76"/>
        <w:tabs>
          <w:tab w:val="left" w:pos="923"/>
        </w:tabs>
        <w:spacing w:line="500" w:lineRule="exact"/>
        <w:ind w:firstLine="720" w:firstLineChars="3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采购人直接或者间接向供应商泄露磋商小组成员等信息；</w:t>
      </w:r>
    </w:p>
    <w:p w14:paraId="5116C0F9">
      <w:pPr>
        <w:pStyle w:val="76"/>
        <w:tabs>
          <w:tab w:val="left" w:pos="923"/>
        </w:tabs>
        <w:spacing w:line="500" w:lineRule="exact"/>
        <w:ind w:firstLine="720" w:firstLineChars="3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3</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采购人明示或者暗示供应商压低或者抬高报价；</w:t>
      </w:r>
    </w:p>
    <w:p w14:paraId="10D080B7">
      <w:pPr>
        <w:pStyle w:val="76"/>
        <w:tabs>
          <w:tab w:val="left" w:pos="923"/>
        </w:tabs>
        <w:spacing w:line="500" w:lineRule="exact"/>
        <w:ind w:firstLine="720" w:firstLineChars="3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4</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采购人授意供应商撤换、修改响应文件；</w:t>
      </w:r>
    </w:p>
    <w:p w14:paraId="0F2E99B3">
      <w:pPr>
        <w:pStyle w:val="76"/>
        <w:tabs>
          <w:tab w:val="left" w:pos="923"/>
        </w:tabs>
        <w:spacing w:line="500" w:lineRule="exact"/>
        <w:ind w:firstLine="720" w:firstLineChars="3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5</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采购人明示或者暗示供应商为特定供应商成交提供方便；</w:t>
      </w:r>
    </w:p>
    <w:p w14:paraId="00AF2F29">
      <w:pPr>
        <w:pStyle w:val="76"/>
        <w:tabs>
          <w:tab w:val="left" w:pos="923"/>
        </w:tabs>
        <w:spacing w:line="500" w:lineRule="exact"/>
        <w:ind w:firstLine="720" w:firstLineChars="3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6</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采购人与供应商为谋求特定供应商成交而采取的其他串通行为。</w:t>
      </w:r>
    </w:p>
    <w:p w14:paraId="0485ED2E">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10.7.4</w:t>
      </w:r>
      <w:r>
        <w:rPr>
          <w:rFonts w:hint="eastAsia"/>
          <w:color w:val="000000" w:themeColor="text1"/>
          <w:sz w:val="24"/>
          <w:szCs w:val="24"/>
          <w:highlight w:val="none"/>
          <w14:textFill>
            <w14:solidFill>
              <w14:schemeClr w14:val="tx1"/>
            </w14:solidFill>
          </w14:textFill>
        </w:rPr>
        <w:t>供应商有下列情形之一的，属于供应商弄虚作假的行为：</w:t>
      </w:r>
    </w:p>
    <w:p w14:paraId="741381F2">
      <w:pPr>
        <w:pStyle w:val="76"/>
        <w:tabs>
          <w:tab w:val="left" w:pos="923"/>
        </w:tabs>
        <w:spacing w:line="500" w:lineRule="exact"/>
        <w:ind w:firstLine="720" w:firstLineChars="3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使用伪造、变造的许可证件；</w:t>
      </w:r>
    </w:p>
    <w:p w14:paraId="38B09EB4">
      <w:pPr>
        <w:pStyle w:val="76"/>
        <w:tabs>
          <w:tab w:val="left" w:pos="923"/>
        </w:tabs>
        <w:spacing w:line="500" w:lineRule="exact"/>
        <w:ind w:firstLine="720" w:firstLineChars="3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提供虚假的财务状况或者业绩；</w:t>
      </w:r>
    </w:p>
    <w:p w14:paraId="46E585EA">
      <w:pPr>
        <w:pStyle w:val="76"/>
        <w:tabs>
          <w:tab w:val="left" w:pos="923"/>
        </w:tabs>
        <w:spacing w:line="500" w:lineRule="exact"/>
        <w:ind w:firstLine="720" w:firstLineChars="300"/>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3</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提供虚假的项目负责人或者主要技术人员简历、劳动关系证明；</w:t>
      </w:r>
    </w:p>
    <w:p w14:paraId="1EC563F1">
      <w:pPr>
        <w:pStyle w:val="76"/>
        <w:tabs>
          <w:tab w:val="left" w:pos="923"/>
        </w:tabs>
        <w:spacing w:line="500" w:lineRule="exact"/>
        <w:ind w:firstLine="720" w:firstLineChars="3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4</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提供虚假的信用状况；</w:t>
      </w:r>
    </w:p>
    <w:p w14:paraId="18A3A386">
      <w:pPr>
        <w:pStyle w:val="76"/>
        <w:tabs>
          <w:tab w:val="left" w:pos="923"/>
        </w:tabs>
        <w:spacing w:line="500" w:lineRule="exact"/>
        <w:ind w:firstLine="720" w:firstLineChars="3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5</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其他弄虚作假的行为。</w:t>
      </w:r>
    </w:p>
    <w:p w14:paraId="6125F7D5">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10.7.5</w:t>
      </w:r>
      <w:r>
        <w:rPr>
          <w:rFonts w:hint="eastAsia"/>
          <w:color w:val="000000" w:themeColor="text1"/>
          <w:sz w:val="24"/>
          <w:szCs w:val="24"/>
          <w:highlight w:val="none"/>
          <w14:textFill>
            <w14:solidFill>
              <w14:schemeClr w14:val="tx1"/>
            </w14:solidFill>
          </w14:textFill>
        </w:rPr>
        <w:t>违规处理</w:t>
      </w:r>
    </w:p>
    <w:p w14:paraId="298DB91F">
      <w:pPr>
        <w:pStyle w:val="76"/>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供应商有下列情形之一的，列入不良行为记录名单，在一至三年内禁止参加政府采购活动：</w:t>
      </w:r>
    </w:p>
    <w:p w14:paraId="6ABED3B4">
      <w:pPr>
        <w:pStyle w:val="76"/>
        <w:tabs>
          <w:tab w:val="left" w:pos="923"/>
        </w:tabs>
        <w:spacing w:line="500" w:lineRule="exact"/>
        <w:ind w:firstLine="741" w:firstLineChars="309"/>
        <w:rPr>
          <w:color w:val="000000" w:themeColor="text1"/>
          <w:sz w:val="24"/>
          <w:szCs w:val="24"/>
          <w:highlight w:val="none"/>
          <w14:textFill>
            <w14:solidFill>
              <w14:schemeClr w14:val="tx1"/>
            </w14:solidFill>
          </w14:textFill>
        </w:rPr>
      </w:pPr>
      <w:bookmarkStart w:id="145" w:name="bookmark232"/>
      <w:r>
        <w:rPr>
          <w:rFonts w:hint="eastAsia"/>
          <w:color w:val="000000" w:themeColor="text1"/>
          <w:sz w:val="24"/>
          <w:szCs w:val="24"/>
          <w:highlight w:val="none"/>
          <w14:textFill>
            <w14:solidFill>
              <w14:schemeClr w14:val="tx1"/>
            </w14:solidFill>
          </w14:textFill>
        </w:rPr>
        <w:t>（</w:t>
      </w:r>
      <w:bookmarkEnd w:id="145"/>
      <w:r>
        <w:rPr>
          <w:rFonts w:hint="eastAsia"/>
          <w:color w:val="000000" w:themeColor="text1"/>
          <w:sz w:val="24"/>
          <w:szCs w:val="24"/>
          <w:highlight w:val="none"/>
          <w14:textFill>
            <w14:solidFill>
              <w14:schemeClr w14:val="tx1"/>
            </w14:solidFill>
          </w14:textFill>
        </w:rPr>
        <w:t>1）提供虚假材料谋取成交；</w:t>
      </w:r>
    </w:p>
    <w:p w14:paraId="7C71A283">
      <w:pPr>
        <w:pStyle w:val="76"/>
        <w:tabs>
          <w:tab w:val="left" w:pos="923"/>
        </w:tabs>
        <w:spacing w:line="500" w:lineRule="exact"/>
        <w:ind w:firstLine="741" w:firstLineChars="309"/>
        <w:rPr>
          <w:color w:val="000000" w:themeColor="text1"/>
          <w:sz w:val="24"/>
          <w:szCs w:val="24"/>
          <w:highlight w:val="none"/>
          <w14:textFill>
            <w14:solidFill>
              <w14:schemeClr w14:val="tx1"/>
            </w14:solidFill>
          </w14:textFill>
        </w:rPr>
      </w:pPr>
      <w:bookmarkStart w:id="146" w:name="bookmark233"/>
      <w:r>
        <w:rPr>
          <w:rFonts w:hint="eastAsia"/>
          <w:color w:val="000000" w:themeColor="text1"/>
          <w:sz w:val="24"/>
          <w:szCs w:val="24"/>
          <w:highlight w:val="none"/>
          <w14:textFill>
            <w14:solidFill>
              <w14:schemeClr w14:val="tx1"/>
            </w14:solidFill>
          </w14:textFill>
        </w:rPr>
        <w:t>（</w:t>
      </w:r>
      <w:bookmarkEnd w:id="146"/>
      <w:r>
        <w:rPr>
          <w:rFonts w:hint="eastAsia"/>
          <w:color w:val="000000" w:themeColor="text1"/>
          <w:sz w:val="24"/>
          <w:szCs w:val="24"/>
          <w:highlight w:val="none"/>
          <w14:textFill>
            <w14:solidFill>
              <w14:schemeClr w14:val="tx1"/>
            </w14:solidFill>
          </w14:textFill>
        </w:rPr>
        <w:t>2）采取不正当手段诋毁、排挤其他供应商；</w:t>
      </w:r>
    </w:p>
    <w:p w14:paraId="5DE625B3">
      <w:pPr>
        <w:pStyle w:val="76"/>
        <w:tabs>
          <w:tab w:val="left" w:pos="923"/>
        </w:tabs>
        <w:spacing w:line="500" w:lineRule="exact"/>
        <w:ind w:firstLine="720" w:firstLineChars="3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3</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与采购人、其他供应商或者采购代理机构恶意串通；</w:t>
      </w:r>
    </w:p>
    <w:p w14:paraId="19E95B7A">
      <w:pPr>
        <w:pStyle w:val="76"/>
        <w:tabs>
          <w:tab w:val="left" w:pos="923"/>
        </w:tabs>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4</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向采购人、采购代理机构行贿或者提供其他不正当利益；</w:t>
      </w:r>
    </w:p>
    <w:p w14:paraId="223DE010">
      <w:pPr>
        <w:pStyle w:val="76"/>
        <w:tabs>
          <w:tab w:val="left" w:pos="923"/>
        </w:tabs>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5</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在采购过程中与采购人进行协商磋商；</w:t>
      </w:r>
    </w:p>
    <w:p w14:paraId="39D51BFB">
      <w:pPr>
        <w:pStyle w:val="76"/>
        <w:tabs>
          <w:tab w:val="left" w:pos="923"/>
        </w:tabs>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6</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拒绝有关部门监督检查或者提供虚假情况；</w:t>
      </w:r>
    </w:p>
    <w:p w14:paraId="4EF87E67">
      <w:pPr>
        <w:pStyle w:val="76"/>
        <w:tabs>
          <w:tab w:val="left" w:pos="923"/>
        </w:tabs>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7</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一年内累计三次以上投诉均查无实据，并带有明显故意行为；</w:t>
      </w:r>
    </w:p>
    <w:p w14:paraId="7F67BE87">
      <w:pPr>
        <w:pStyle w:val="76"/>
        <w:tabs>
          <w:tab w:val="left" w:pos="923"/>
        </w:tabs>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8</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捏造事实或者提供虚假投诉材料；</w:t>
      </w:r>
    </w:p>
    <w:p w14:paraId="62032BC0">
      <w:pPr>
        <w:pStyle w:val="76"/>
        <w:tabs>
          <w:tab w:val="left" w:pos="1016"/>
        </w:tabs>
        <w:spacing w:line="500" w:lineRule="exact"/>
        <w:ind w:firstLine="741" w:firstLineChars="309"/>
        <w:jc w:val="left"/>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9</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ab/>
      </w:r>
      <w:r>
        <w:rPr>
          <w:rFonts w:hint="eastAsia"/>
          <w:color w:val="000000" w:themeColor="text1"/>
          <w:sz w:val="24"/>
          <w:szCs w:val="24"/>
          <w:highlight w:val="none"/>
          <w14:textFill>
            <w14:solidFill>
              <w14:schemeClr w14:val="tx1"/>
            </w14:solidFill>
          </w14:textFill>
        </w:rPr>
        <w:t>不按照规定程序以及正常途径质疑、投诉，采用匿名信、匿名电话、短信等手段，威胁、恫吓、辱骂、恶意中伤其他相关当事人；</w:t>
      </w:r>
    </w:p>
    <w:p w14:paraId="1AD6A366">
      <w:pPr>
        <w:pStyle w:val="76"/>
        <w:tabs>
          <w:tab w:val="left" w:pos="1029"/>
        </w:tabs>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10</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法律、法规和磋商文件中规定的其他情形。</w:t>
      </w:r>
    </w:p>
    <w:p w14:paraId="310E48CF">
      <w:pPr>
        <w:pStyle w:val="76"/>
        <w:spacing w:line="500" w:lineRule="exact"/>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10.8</w:t>
      </w:r>
      <w:r>
        <w:rPr>
          <w:rFonts w:hint="eastAsia"/>
          <w:color w:val="000000" w:themeColor="text1"/>
          <w:sz w:val="24"/>
          <w:szCs w:val="24"/>
          <w:highlight w:val="none"/>
          <w14:textFill>
            <w14:solidFill>
              <w14:schemeClr w14:val="tx1"/>
            </w14:solidFill>
          </w14:textFill>
        </w:rPr>
        <w:t>关于成交供应商瑕疵滞后发现的处理规则</w:t>
      </w:r>
    </w:p>
    <w:p w14:paraId="1BE4A5FD">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10.8.1</w:t>
      </w:r>
      <w:r>
        <w:rPr>
          <w:rFonts w:hint="eastAsia"/>
          <w:color w:val="000000" w:themeColor="text1"/>
          <w:sz w:val="24"/>
          <w:szCs w:val="24"/>
          <w:highlight w:val="none"/>
          <w14:textFill>
            <w14:solidFill>
              <w14:schemeClr w14:val="tx1"/>
            </w14:solidFill>
          </w14:textFill>
        </w:rPr>
        <w:t>无论基于何种原因，本应作无效或废标处理的情形即便未被及时发现而使该供应商进入初审、详细评审或者其他后续程序，包括已经签约的情形，一旦在任何时间被发现存在上述情形磋商小组均有权随时视情形决定是否取消该供应商的此前评议结果，或者随时视情形决定该报价无效，并有权决定采取相应的补救、纠正措施；若通过补救、纠正措施能够满足磋商文件或者采购人 要求，磋商小组可以维持既定结果并要求成交供应商岀具补救、纠正措施等承诺，由此产生的一切费用由成交供应商承担；若通过补救、纠正措施仍不能够满足磋商文件或者采购人要求，磋商小组应岀具取消该供应商的此前评议结果的复审结论，并予以废标，由此产生的一切损失均由成交供应商承担。</w:t>
      </w:r>
    </w:p>
    <w:p w14:paraId="2BBC8393">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磋商小组认定成交供应商报价无效、废标或成交供应商的此前评议结果被取消的，应予以废标,由采购人依法重新组织采购，成交供应商按照相关规定处理。岀现上述情形的一切损失均由被取消成交资格的供应商承担。</w:t>
      </w:r>
    </w:p>
    <w:p w14:paraId="14AEDC91">
      <w:pPr>
        <w:pStyle w:val="76"/>
        <w:spacing w:line="500" w:lineRule="exact"/>
        <w:ind w:firstLine="741" w:firstLineChars="309"/>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bidi="en-US"/>
          <w14:textFill>
            <w14:solidFill>
              <w14:schemeClr w14:val="tx1"/>
            </w14:solidFill>
          </w14:textFill>
        </w:rPr>
        <w:t>10.8.2</w:t>
      </w:r>
      <w:r>
        <w:rPr>
          <w:rFonts w:hint="eastAsia"/>
          <w:color w:val="000000" w:themeColor="text1"/>
          <w:sz w:val="24"/>
          <w:szCs w:val="24"/>
          <w:highlight w:val="none"/>
          <w14:textFill>
            <w14:solidFill>
              <w14:schemeClr w14:val="tx1"/>
            </w14:solidFill>
          </w14:textFill>
        </w:rPr>
        <w:t>若已经超过质疑期限而未被发现，签署了相关的合同之后才发现存在上述情形，经磋商小组再行审查认为其在技术、必要资质等方面并不存在问题而仅属于商务方面存在瑕疵的问题，若取消该供应商的此前评议结果或者采取类似的处理措施将对本次采购更为不利的情形（包括：予以无效报价、废标或采取类似的处理措施将使本次采购成本大幅上升、延误期限以至可能给采购人造成较大损失的），维持成交结果的，采购人必须岀具维持成交结果以及是否要求提供特别担保金的书面意见，磋商小组可以维持既定结果并要求成交供应商岀具提供特别担保金承诺，以承担可能产生的赔偿责任；若成交供应商拒绝提供特别担保金、实际提供的担保金额不足或者采购人不同意维持成交结果的，磋商小组应当决定取消成交供应商的此前评议结果或者采取类似的处理措施，由此产生的一切损失均由成交供应商承担。</w:t>
      </w:r>
    </w:p>
    <w:p w14:paraId="75A3D716">
      <w:pPr>
        <w:spacing w:line="360" w:lineRule="auto"/>
        <w:rPr>
          <w:rFonts w:ascii="宋体" w:hAnsi="宋体"/>
          <w:b/>
          <w:color w:val="000000" w:themeColor="text1"/>
          <w:highlight w:val="none"/>
          <w14:textFill>
            <w14:solidFill>
              <w14:schemeClr w14:val="tx1"/>
            </w14:solidFill>
          </w14:textFill>
        </w:rPr>
      </w:pPr>
    </w:p>
    <w:p w14:paraId="3809ADDC">
      <w:pPr>
        <w:spacing w:line="360" w:lineRule="auto"/>
        <w:rPr>
          <w:rFonts w:ascii="宋体" w:hAnsi="宋体"/>
          <w:b/>
          <w:color w:val="000000" w:themeColor="text1"/>
          <w:highlight w:val="none"/>
          <w14:textFill>
            <w14:solidFill>
              <w14:schemeClr w14:val="tx1"/>
            </w14:solidFill>
          </w14:textFill>
        </w:rPr>
      </w:pPr>
    </w:p>
    <w:p w14:paraId="3728CB86">
      <w:pPr>
        <w:spacing w:line="360" w:lineRule="auto"/>
        <w:rPr>
          <w:rFonts w:ascii="宋体" w:hAnsi="宋体" w:cs="宋体"/>
          <w:b/>
          <w:color w:val="000000" w:themeColor="text1"/>
          <w:sz w:val="24"/>
          <w:szCs w:val="24"/>
          <w:highlight w:val="none"/>
          <w14:textFill>
            <w14:solidFill>
              <w14:schemeClr w14:val="tx1"/>
            </w14:solidFill>
          </w14:textFill>
        </w:rPr>
      </w:pPr>
      <w:r>
        <w:rPr>
          <w:rFonts w:hint="eastAsia" w:ascii="宋体" w:hAnsi="宋体" w:cs="宋体"/>
          <w:b/>
          <w:color w:val="000000" w:themeColor="text1"/>
          <w:sz w:val="24"/>
          <w:szCs w:val="24"/>
          <w:highlight w:val="none"/>
          <w14:textFill>
            <w14:solidFill>
              <w14:schemeClr w14:val="tx1"/>
            </w14:solidFill>
          </w14:textFill>
        </w:rPr>
        <w:t>附表一：问题澄清通知</w:t>
      </w:r>
    </w:p>
    <w:p w14:paraId="1F45B6B7">
      <w:pPr>
        <w:autoSpaceDE w:val="0"/>
        <w:autoSpaceDN w:val="0"/>
        <w:adjustRightInd w:val="0"/>
        <w:spacing w:line="360" w:lineRule="auto"/>
        <w:jc w:val="center"/>
        <w:rPr>
          <w:rFonts w:ascii="宋体" w:hAnsi="宋体" w:cs="宋体"/>
          <w:b/>
          <w:bCs/>
          <w:color w:val="000000" w:themeColor="text1"/>
          <w:sz w:val="32"/>
          <w:szCs w:val="32"/>
          <w:highlight w:val="none"/>
          <w:lang w:val="zh-CN"/>
          <w14:textFill>
            <w14:solidFill>
              <w14:schemeClr w14:val="tx1"/>
            </w14:solidFill>
          </w14:textFill>
        </w:rPr>
      </w:pPr>
    </w:p>
    <w:p w14:paraId="330F5956">
      <w:pPr>
        <w:autoSpaceDE w:val="0"/>
        <w:autoSpaceDN w:val="0"/>
        <w:adjustRightInd w:val="0"/>
        <w:spacing w:line="360" w:lineRule="auto"/>
        <w:jc w:val="center"/>
        <w:rPr>
          <w:rFonts w:ascii="宋体" w:hAnsi="宋体" w:cs="宋体"/>
          <w:b/>
          <w:bCs/>
          <w:color w:val="000000" w:themeColor="text1"/>
          <w:sz w:val="32"/>
          <w:szCs w:val="32"/>
          <w:highlight w:val="none"/>
          <w:lang w:val="zh-CN"/>
          <w14:textFill>
            <w14:solidFill>
              <w14:schemeClr w14:val="tx1"/>
            </w14:solidFill>
          </w14:textFill>
        </w:rPr>
      </w:pPr>
      <w:r>
        <w:rPr>
          <w:rFonts w:hint="eastAsia" w:ascii="宋体" w:hAnsi="宋体" w:cs="宋体"/>
          <w:b/>
          <w:bCs/>
          <w:color w:val="000000" w:themeColor="text1"/>
          <w:sz w:val="28"/>
          <w:szCs w:val="28"/>
          <w:highlight w:val="none"/>
          <w:lang w:val="zh-CN"/>
          <w14:textFill>
            <w14:solidFill>
              <w14:schemeClr w14:val="tx1"/>
            </w14:solidFill>
          </w14:textFill>
        </w:rPr>
        <w:t>问题澄清通知</w:t>
      </w:r>
    </w:p>
    <w:p w14:paraId="7A23B2D2">
      <w:pPr>
        <w:autoSpaceDE w:val="0"/>
        <w:autoSpaceDN w:val="0"/>
        <w:adjustRightInd w:val="0"/>
        <w:spacing w:line="360" w:lineRule="auto"/>
        <w:jc w:val="center"/>
        <w:rPr>
          <w:rFonts w:ascii="宋体" w:hAnsi="宋体" w:cs="宋体"/>
          <w:color w:val="000000" w:themeColor="text1"/>
          <w:sz w:val="24"/>
          <w:szCs w:val="24"/>
          <w:highlight w:val="none"/>
          <w:lang w:val="zh-CN"/>
          <w14:textFill>
            <w14:solidFill>
              <w14:schemeClr w14:val="tx1"/>
            </w14:solidFill>
          </w14:textFill>
        </w:rPr>
      </w:pPr>
    </w:p>
    <w:p w14:paraId="170DA152">
      <w:pPr>
        <w:autoSpaceDE w:val="0"/>
        <w:autoSpaceDN w:val="0"/>
        <w:adjustRightInd w:val="0"/>
        <w:spacing w:line="360" w:lineRule="auto"/>
        <w:jc w:val="center"/>
        <w:rPr>
          <w:rFonts w:hint="default"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编号：</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p>
    <w:p w14:paraId="3658DB7A">
      <w:pPr>
        <w:autoSpaceDE w:val="0"/>
        <w:autoSpaceDN w:val="0"/>
        <w:adjustRightInd w:val="0"/>
        <w:spacing w:line="360" w:lineRule="auto"/>
        <w:jc w:val="left"/>
        <w:rPr>
          <w:rFonts w:ascii="宋体" w:hAnsi="宋体" w:cs="宋体"/>
          <w:color w:val="000000" w:themeColor="text1"/>
          <w:sz w:val="24"/>
          <w:szCs w:val="24"/>
          <w:highlight w:val="none"/>
          <w:lang w:val="zh-CN"/>
          <w14:textFill>
            <w14:solidFill>
              <w14:schemeClr w14:val="tx1"/>
            </w14:solidFill>
          </w14:textFill>
        </w:rPr>
      </w:pPr>
    </w:p>
    <w:p w14:paraId="68694F5E">
      <w:pPr>
        <w:autoSpaceDE w:val="0"/>
        <w:autoSpaceDN w:val="0"/>
        <w:adjustRightInd w:val="0"/>
        <w:spacing w:line="360" w:lineRule="auto"/>
        <w:jc w:val="lef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（供应商名称）：</w:t>
      </w:r>
    </w:p>
    <w:p w14:paraId="6DB05CFC">
      <w:pPr>
        <w:autoSpaceDE w:val="0"/>
        <w:autoSpaceDN w:val="0"/>
        <w:adjustRightInd w:val="0"/>
        <w:spacing w:line="360" w:lineRule="auto"/>
        <w:ind w:firstLine="480" w:firstLineChars="200"/>
        <w:jc w:val="lef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u w:val="single"/>
          <w:lang w:val="zh-CN"/>
          <w14:textFill>
            <w14:solidFill>
              <w14:schemeClr w14:val="tx1"/>
            </w14:solidFill>
          </w14:textFill>
        </w:rPr>
        <w:t xml:space="preserve">           (项目名称)       </w:t>
      </w:r>
      <w:r>
        <w:rPr>
          <w:rFonts w:hint="eastAsia" w:ascii="宋体" w:hAnsi="宋体" w:cs="宋体"/>
          <w:color w:val="000000" w:themeColor="text1"/>
          <w:sz w:val="24"/>
          <w:szCs w:val="24"/>
          <w:highlight w:val="none"/>
          <w:lang w:val="zh-CN"/>
          <w14:textFill>
            <w14:solidFill>
              <w14:schemeClr w14:val="tx1"/>
            </w14:solidFill>
          </w14:textFill>
        </w:rPr>
        <w:t>的磋商小组，对你方的响应文件进行了仔细的审查，现需你方对下列问题以书面形式予以澄清：</w:t>
      </w:r>
    </w:p>
    <w:p w14:paraId="5CC5BF0B">
      <w:pPr>
        <w:autoSpaceDE w:val="0"/>
        <w:autoSpaceDN w:val="0"/>
        <w:adjustRightInd w:val="0"/>
        <w:spacing w:line="360" w:lineRule="auto"/>
        <w:jc w:val="left"/>
        <w:rPr>
          <w:rFonts w:ascii="宋体" w:hAnsi="宋体" w:cs="宋体"/>
          <w:color w:val="000000" w:themeColor="text1"/>
          <w:sz w:val="24"/>
          <w:szCs w:val="24"/>
          <w:highlight w:val="none"/>
          <w:lang w:val="zh-CN"/>
          <w14:textFill>
            <w14:solidFill>
              <w14:schemeClr w14:val="tx1"/>
            </w14:solidFill>
          </w14:textFill>
        </w:rPr>
      </w:pPr>
    </w:p>
    <w:p w14:paraId="7BB66B73">
      <w:pPr>
        <w:autoSpaceDE w:val="0"/>
        <w:autoSpaceDN w:val="0"/>
        <w:adjustRightInd w:val="0"/>
        <w:spacing w:line="360" w:lineRule="auto"/>
        <w:ind w:firstLine="480" w:firstLineChars="200"/>
        <w:jc w:val="lef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1．</w:t>
      </w:r>
    </w:p>
    <w:p w14:paraId="75BCF60A">
      <w:pPr>
        <w:autoSpaceDE w:val="0"/>
        <w:autoSpaceDN w:val="0"/>
        <w:adjustRightInd w:val="0"/>
        <w:spacing w:line="360" w:lineRule="auto"/>
        <w:ind w:firstLine="480" w:firstLineChars="200"/>
        <w:jc w:val="lef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2．</w:t>
      </w:r>
    </w:p>
    <w:p w14:paraId="79154143">
      <w:pPr>
        <w:autoSpaceDE w:val="0"/>
        <w:autoSpaceDN w:val="0"/>
        <w:adjustRightInd w:val="0"/>
        <w:spacing w:line="360" w:lineRule="auto"/>
        <w:ind w:firstLine="480" w:firstLineChars="200"/>
        <w:jc w:val="lef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w:t>
      </w:r>
    </w:p>
    <w:p w14:paraId="6F6BC2A5">
      <w:pPr>
        <w:spacing w:line="360" w:lineRule="auto"/>
        <w:ind w:firstLine="480" w:firstLineChars="2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请将上述问题的澄清于</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年</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月</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日</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时前递交至</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（详细地址）或传真至</w:t>
      </w: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（传真号码）。采用传真方式的，应在</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年</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月</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日</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时前将原件递交至</w:t>
      </w: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（详细地址）。</w:t>
      </w:r>
    </w:p>
    <w:p w14:paraId="5F9BDC73">
      <w:pPr>
        <w:autoSpaceDE w:val="0"/>
        <w:autoSpaceDN w:val="0"/>
        <w:adjustRightInd w:val="0"/>
        <w:spacing w:line="360" w:lineRule="auto"/>
        <w:jc w:val="left"/>
        <w:rPr>
          <w:rFonts w:ascii="宋体" w:hAnsi="宋体" w:cs="宋体"/>
          <w:color w:val="000000" w:themeColor="text1"/>
          <w:sz w:val="24"/>
          <w:szCs w:val="24"/>
          <w:highlight w:val="none"/>
          <w:lang w:val="zh-CN"/>
          <w14:textFill>
            <w14:solidFill>
              <w14:schemeClr w14:val="tx1"/>
            </w14:solidFill>
          </w14:textFill>
        </w:rPr>
      </w:pPr>
    </w:p>
    <w:p w14:paraId="243FF6D3">
      <w:pPr>
        <w:autoSpaceDE w:val="0"/>
        <w:autoSpaceDN w:val="0"/>
        <w:adjustRightInd w:val="0"/>
        <w:spacing w:line="360" w:lineRule="auto"/>
        <w:jc w:val="left"/>
        <w:rPr>
          <w:rFonts w:ascii="宋体" w:hAnsi="宋体" w:cs="宋体"/>
          <w:color w:val="000000" w:themeColor="text1"/>
          <w:sz w:val="24"/>
          <w:szCs w:val="24"/>
          <w:highlight w:val="none"/>
          <w:lang w:val="zh-CN"/>
          <w14:textFill>
            <w14:solidFill>
              <w14:schemeClr w14:val="tx1"/>
            </w14:solidFill>
          </w14:textFill>
        </w:rPr>
      </w:pPr>
    </w:p>
    <w:p w14:paraId="0B7D35DF">
      <w:pPr>
        <w:autoSpaceDE w:val="0"/>
        <w:autoSpaceDN w:val="0"/>
        <w:adjustRightInd w:val="0"/>
        <w:spacing w:line="360" w:lineRule="auto"/>
        <w:jc w:val="left"/>
        <w:rPr>
          <w:rFonts w:ascii="宋体" w:hAnsi="宋体" w:cs="宋体"/>
          <w:color w:val="000000" w:themeColor="text1"/>
          <w:sz w:val="24"/>
          <w:szCs w:val="24"/>
          <w:highlight w:val="none"/>
          <w:lang w:val="zh-CN"/>
          <w14:textFill>
            <w14:solidFill>
              <w14:schemeClr w14:val="tx1"/>
            </w14:solidFill>
          </w14:textFill>
        </w:rPr>
      </w:pPr>
    </w:p>
    <w:p w14:paraId="38D04E2F">
      <w:pPr>
        <w:autoSpaceDE w:val="0"/>
        <w:autoSpaceDN w:val="0"/>
        <w:adjustRightInd w:val="0"/>
        <w:spacing w:line="360" w:lineRule="auto"/>
        <w:jc w:val="left"/>
        <w:rPr>
          <w:rFonts w:ascii="宋体" w:hAnsi="宋体" w:cs="宋体"/>
          <w:color w:val="000000" w:themeColor="text1"/>
          <w:sz w:val="24"/>
          <w:szCs w:val="24"/>
          <w:highlight w:val="none"/>
          <w:lang w:val="zh-CN"/>
          <w14:textFill>
            <w14:solidFill>
              <w14:schemeClr w14:val="tx1"/>
            </w14:solidFill>
          </w14:textFill>
        </w:rPr>
      </w:pPr>
    </w:p>
    <w:p w14:paraId="47FA6799">
      <w:pPr>
        <w:autoSpaceDE w:val="0"/>
        <w:autoSpaceDN w:val="0"/>
        <w:adjustRightInd w:val="0"/>
        <w:spacing w:line="360" w:lineRule="auto"/>
        <w:jc w:val="righ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评审工作组负责人：</w:t>
      </w: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（签字）</w:t>
      </w:r>
    </w:p>
    <w:p w14:paraId="0475BB68">
      <w:pPr>
        <w:autoSpaceDE w:val="0"/>
        <w:autoSpaceDN w:val="0"/>
        <w:adjustRightInd w:val="0"/>
        <w:spacing w:line="360" w:lineRule="auto"/>
        <w:jc w:val="left"/>
        <w:rPr>
          <w:rFonts w:ascii="宋体" w:hAnsi="宋体" w:cs="宋体"/>
          <w:color w:val="000000" w:themeColor="text1"/>
          <w:sz w:val="24"/>
          <w:szCs w:val="24"/>
          <w:highlight w:val="none"/>
          <w:lang w:val="zh-CN"/>
          <w14:textFill>
            <w14:solidFill>
              <w14:schemeClr w14:val="tx1"/>
            </w14:solidFill>
          </w14:textFill>
        </w:rPr>
      </w:pPr>
    </w:p>
    <w:p w14:paraId="78DA6DE0">
      <w:pPr>
        <w:autoSpaceDE w:val="0"/>
        <w:autoSpaceDN w:val="0"/>
        <w:adjustRightInd w:val="0"/>
        <w:spacing w:line="360" w:lineRule="auto"/>
        <w:jc w:val="right"/>
        <w:rPr>
          <w:rFonts w:ascii="宋体" w:hAnsi="宋体" w:cs="宋体"/>
          <w:color w:val="000000" w:themeColor="text1"/>
          <w:sz w:val="24"/>
          <w:szCs w:val="24"/>
          <w:highlight w:val="none"/>
          <w:u w:val="single"/>
          <w14:textFill>
            <w14:solidFill>
              <w14:schemeClr w14:val="tx1"/>
            </w14:solidFill>
          </w14:textFill>
        </w:rPr>
      </w:pPr>
    </w:p>
    <w:p w14:paraId="0E1C6B0A">
      <w:pPr>
        <w:autoSpaceDE w:val="0"/>
        <w:autoSpaceDN w:val="0"/>
        <w:adjustRightInd w:val="0"/>
        <w:spacing w:line="360" w:lineRule="auto"/>
        <w:jc w:val="right"/>
        <w:rPr>
          <w:rFonts w:ascii="宋体" w:hAnsi="宋体" w:cs="宋体"/>
          <w:b/>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年</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月</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日</w:t>
      </w:r>
    </w:p>
    <w:p w14:paraId="206BB432">
      <w:pPr>
        <w:autoSpaceDE w:val="0"/>
        <w:autoSpaceDN w:val="0"/>
        <w:adjustRightInd w:val="0"/>
        <w:spacing w:line="360" w:lineRule="auto"/>
        <w:jc w:val="left"/>
        <w:rPr>
          <w:rFonts w:ascii="宋体" w:hAnsi="宋体" w:cs="宋体"/>
          <w:color w:val="000000" w:themeColor="text1"/>
          <w:sz w:val="24"/>
          <w:szCs w:val="24"/>
          <w:highlight w:val="none"/>
          <w:lang w:val="zh-CN"/>
          <w14:textFill>
            <w14:solidFill>
              <w14:schemeClr w14:val="tx1"/>
            </w14:solidFill>
          </w14:textFill>
        </w:rPr>
      </w:pPr>
    </w:p>
    <w:p w14:paraId="794FF225">
      <w:pPr>
        <w:autoSpaceDE w:val="0"/>
        <w:autoSpaceDN w:val="0"/>
        <w:adjustRightInd w:val="0"/>
        <w:spacing w:line="360" w:lineRule="auto"/>
        <w:jc w:val="left"/>
        <w:rPr>
          <w:rFonts w:ascii="宋体" w:hAnsi="宋体" w:cs="宋体"/>
          <w:b/>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br w:type="page"/>
      </w:r>
      <w:r>
        <w:rPr>
          <w:rFonts w:hint="eastAsia" w:ascii="宋体" w:hAnsi="宋体" w:cs="宋体"/>
          <w:b/>
          <w:color w:val="000000" w:themeColor="text1"/>
          <w:sz w:val="24"/>
          <w:szCs w:val="24"/>
          <w:highlight w:val="none"/>
          <w14:textFill>
            <w14:solidFill>
              <w14:schemeClr w14:val="tx1"/>
            </w14:solidFill>
          </w14:textFill>
        </w:rPr>
        <w:t>附表二:问题的澄清</w:t>
      </w:r>
    </w:p>
    <w:p w14:paraId="10903240">
      <w:pPr>
        <w:autoSpaceDE w:val="0"/>
        <w:autoSpaceDN w:val="0"/>
        <w:adjustRightInd w:val="0"/>
        <w:spacing w:line="360" w:lineRule="auto"/>
        <w:jc w:val="left"/>
        <w:rPr>
          <w:rFonts w:ascii="宋体" w:hAnsi="宋体" w:cs="宋体"/>
          <w:b/>
          <w:bCs/>
          <w:color w:val="000000" w:themeColor="text1"/>
          <w:sz w:val="24"/>
          <w:szCs w:val="24"/>
          <w:highlight w:val="none"/>
          <w:lang w:val="zh-CN"/>
          <w14:textFill>
            <w14:solidFill>
              <w14:schemeClr w14:val="tx1"/>
            </w14:solidFill>
          </w14:textFill>
        </w:rPr>
      </w:pPr>
    </w:p>
    <w:p w14:paraId="0FCFA7C9">
      <w:pPr>
        <w:autoSpaceDE w:val="0"/>
        <w:autoSpaceDN w:val="0"/>
        <w:adjustRightInd w:val="0"/>
        <w:spacing w:line="360" w:lineRule="auto"/>
        <w:jc w:val="center"/>
        <w:rPr>
          <w:rFonts w:ascii="宋体" w:hAnsi="宋体" w:cs="宋体"/>
          <w:b/>
          <w:bCs/>
          <w:color w:val="000000" w:themeColor="text1"/>
          <w:sz w:val="24"/>
          <w:szCs w:val="24"/>
          <w:highlight w:val="none"/>
          <w:lang w:val="zh-CN"/>
          <w14:textFill>
            <w14:solidFill>
              <w14:schemeClr w14:val="tx1"/>
            </w14:solidFill>
          </w14:textFill>
        </w:rPr>
      </w:pPr>
      <w:r>
        <w:rPr>
          <w:rFonts w:hint="eastAsia" w:ascii="宋体" w:hAnsi="宋体" w:cs="宋体"/>
          <w:b/>
          <w:bCs/>
          <w:color w:val="000000" w:themeColor="text1"/>
          <w:sz w:val="28"/>
          <w:szCs w:val="28"/>
          <w:highlight w:val="none"/>
          <w:lang w:val="zh-CN"/>
          <w14:textFill>
            <w14:solidFill>
              <w14:schemeClr w14:val="tx1"/>
            </w14:solidFill>
          </w14:textFill>
        </w:rPr>
        <w:t>问题的澄清</w:t>
      </w:r>
    </w:p>
    <w:p w14:paraId="4D8FD81F">
      <w:pPr>
        <w:autoSpaceDE w:val="0"/>
        <w:autoSpaceDN w:val="0"/>
        <w:adjustRightInd w:val="0"/>
        <w:spacing w:line="360" w:lineRule="auto"/>
        <w:jc w:val="center"/>
        <w:rPr>
          <w:rFonts w:ascii="宋体" w:hAnsi="宋体" w:cs="宋体"/>
          <w:b/>
          <w:color w:val="000000" w:themeColor="text1"/>
          <w:sz w:val="24"/>
          <w:szCs w:val="24"/>
          <w:highlight w:val="none"/>
          <w:lang w:val="zh-CN"/>
          <w14:textFill>
            <w14:solidFill>
              <w14:schemeClr w14:val="tx1"/>
            </w14:solidFill>
          </w14:textFill>
        </w:rPr>
      </w:pPr>
    </w:p>
    <w:p w14:paraId="757193C8">
      <w:pPr>
        <w:autoSpaceDE w:val="0"/>
        <w:autoSpaceDN w:val="0"/>
        <w:adjustRightInd w:val="0"/>
        <w:spacing w:line="360" w:lineRule="auto"/>
        <w:jc w:val="center"/>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编号:</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p>
    <w:p w14:paraId="20A3521C">
      <w:pPr>
        <w:autoSpaceDE w:val="0"/>
        <w:autoSpaceDN w:val="0"/>
        <w:adjustRightInd w:val="0"/>
        <w:spacing w:line="360" w:lineRule="auto"/>
        <w:jc w:val="left"/>
        <w:rPr>
          <w:rFonts w:ascii="宋体" w:hAnsi="宋体" w:cs="宋体"/>
          <w:color w:val="000000" w:themeColor="text1"/>
          <w:sz w:val="24"/>
          <w:szCs w:val="24"/>
          <w:highlight w:val="none"/>
          <w:u w:val="single"/>
          <w:lang w:val="zh-CN"/>
          <w14:textFill>
            <w14:solidFill>
              <w14:schemeClr w14:val="tx1"/>
            </w14:solidFill>
          </w14:textFill>
        </w:rPr>
      </w:pPr>
    </w:p>
    <w:p w14:paraId="14295840">
      <w:pPr>
        <w:autoSpaceDE w:val="0"/>
        <w:autoSpaceDN w:val="0"/>
        <w:adjustRightInd w:val="0"/>
        <w:spacing w:line="360" w:lineRule="auto"/>
        <w:jc w:val="lef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u w:val="single"/>
          <w:lang w:val="zh-CN"/>
          <w14:textFill>
            <w14:solidFill>
              <w14:schemeClr w14:val="tx1"/>
            </w14:solidFill>
          </w14:textFill>
        </w:rPr>
        <w:t xml:space="preserve">                    (项目名称)            </w:t>
      </w:r>
      <w:r>
        <w:rPr>
          <w:rFonts w:hint="eastAsia" w:ascii="宋体" w:hAnsi="宋体" w:cs="宋体"/>
          <w:color w:val="000000" w:themeColor="text1"/>
          <w:sz w:val="24"/>
          <w:szCs w:val="24"/>
          <w:highlight w:val="none"/>
          <w:lang w:val="zh-CN"/>
          <w14:textFill>
            <w14:solidFill>
              <w14:schemeClr w14:val="tx1"/>
            </w14:solidFill>
          </w14:textFill>
        </w:rPr>
        <w:t>磋商小组:</w:t>
      </w:r>
    </w:p>
    <w:p w14:paraId="54F5EF87">
      <w:pPr>
        <w:autoSpaceDE w:val="0"/>
        <w:autoSpaceDN w:val="0"/>
        <w:adjustRightInd w:val="0"/>
        <w:spacing w:line="360" w:lineRule="auto"/>
        <w:jc w:val="left"/>
        <w:rPr>
          <w:rFonts w:ascii="宋体" w:hAnsi="宋体" w:cs="宋体"/>
          <w:color w:val="000000" w:themeColor="text1"/>
          <w:sz w:val="24"/>
          <w:szCs w:val="24"/>
          <w:highlight w:val="none"/>
          <w:lang w:val="zh-CN"/>
          <w14:textFill>
            <w14:solidFill>
              <w14:schemeClr w14:val="tx1"/>
            </w14:solidFill>
          </w14:textFill>
        </w:rPr>
      </w:pPr>
    </w:p>
    <w:p w14:paraId="150A3376">
      <w:pPr>
        <w:autoSpaceDE w:val="0"/>
        <w:autoSpaceDN w:val="0"/>
        <w:adjustRightInd w:val="0"/>
        <w:spacing w:line="360" w:lineRule="auto"/>
        <w:ind w:firstLine="480" w:firstLineChars="200"/>
        <w:jc w:val="lef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问题澄清通知</w:t>
      </w:r>
      <w:r>
        <w:rPr>
          <w:rFonts w:hint="eastAsia" w:ascii="宋体" w:hAnsi="宋体" w:cs="宋体"/>
          <w:color w:val="000000" w:themeColor="text1"/>
          <w:sz w:val="24"/>
          <w:szCs w:val="24"/>
          <w:highlight w:val="none"/>
          <w:u w:val="single"/>
          <w:lang w:val="zh-CN"/>
          <w14:textFill>
            <w14:solidFill>
              <w14:schemeClr w14:val="tx1"/>
            </w14:solidFill>
          </w14:textFill>
        </w:rPr>
        <w:t>(编号:              )</w:t>
      </w:r>
      <w:r>
        <w:rPr>
          <w:rFonts w:hint="eastAsia" w:ascii="宋体" w:hAnsi="宋体" w:cs="宋体"/>
          <w:color w:val="000000" w:themeColor="text1"/>
          <w:sz w:val="24"/>
          <w:szCs w:val="24"/>
          <w:highlight w:val="none"/>
          <w:lang w:val="zh-CN"/>
          <w14:textFill>
            <w14:solidFill>
              <w14:schemeClr w14:val="tx1"/>
            </w14:solidFill>
          </w14:textFill>
        </w:rPr>
        <w:t>已收悉，现澄清如下:</w:t>
      </w:r>
    </w:p>
    <w:p w14:paraId="4DC5DC65">
      <w:pPr>
        <w:autoSpaceDE w:val="0"/>
        <w:autoSpaceDN w:val="0"/>
        <w:adjustRightInd w:val="0"/>
        <w:spacing w:line="360" w:lineRule="auto"/>
        <w:ind w:firstLine="420"/>
        <w:jc w:val="lef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1．</w:t>
      </w:r>
    </w:p>
    <w:p w14:paraId="02F8A19B">
      <w:pPr>
        <w:autoSpaceDE w:val="0"/>
        <w:autoSpaceDN w:val="0"/>
        <w:adjustRightInd w:val="0"/>
        <w:spacing w:line="360" w:lineRule="auto"/>
        <w:ind w:firstLine="420"/>
        <w:jc w:val="lef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2．</w:t>
      </w:r>
    </w:p>
    <w:p w14:paraId="7A7AA1D1">
      <w:pPr>
        <w:autoSpaceDE w:val="0"/>
        <w:autoSpaceDN w:val="0"/>
        <w:adjustRightInd w:val="0"/>
        <w:spacing w:line="360" w:lineRule="auto"/>
        <w:ind w:firstLine="420"/>
        <w:jc w:val="left"/>
        <w:rPr>
          <w:rFonts w:ascii="宋体" w:hAnsi="宋体" w:cs="宋体"/>
          <w:color w:val="000000" w:themeColor="text1"/>
          <w:sz w:val="24"/>
          <w:szCs w:val="24"/>
          <w:highlight w:val="none"/>
          <w:u w:val="singl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w:t>
      </w:r>
    </w:p>
    <w:p w14:paraId="3EA23509">
      <w:pPr>
        <w:autoSpaceDE w:val="0"/>
        <w:autoSpaceDN w:val="0"/>
        <w:adjustRightInd w:val="0"/>
        <w:spacing w:line="360" w:lineRule="auto"/>
        <w:jc w:val="left"/>
        <w:rPr>
          <w:rFonts w:ascii="宋体" w:hAnsi="宋体" w:cs="宋体"/>
          <w:color w:val="000000" w:themeColor="text1"/>
          <w:sz w:val="24"/>
          <w:szCs w:val="24"/>
          <w:highlight w:val="none"/>
          <w:u w:val="single"/>
          <w:lang w:val="zh-CN"/>
          <w14:textFill>
            <w14:solidFill>
              <w14:schemeClr w14:val="tx1"/>
            </w14:solidFill>
          </w14:textFill>
        </w:rPr>
      </w:pPr>
    </w:p>
    <w:p w14:paraId="5AC20C74">
      <w:pPr>
        <w:autoSpaceDE w:val="0"/>
        <w:autoSpaceDN w:val="0"/>
        <w:adjustRightInd w:val="0"/>
        <w:spacing w:line="360" w:lineRule="auto"/>
        <w:jc w:val="left"/>
        <w:rPr>
          <w:rFonts w:ascii="宋体" w:hAnsi="宋体" w:cs="宋体"/>
          <w:color w:val="000000" w:themeColor="text1"/>
          <w:sz w:val="24"/>
          <w:szCs w:val="24"/>
          <w:highlight w:val="none"/>
          <w:lang w:val="zh-CN"/>
          <w14:textFill>
            <w14:solidFill>
              <w14:schemeClr w14:val="tx1"/>
            </w14:solidFill>
          </w14:textFill>
        </w:rPr>
      </w:pPr>
    </w:p>
    <w:p w14:paraId="74E2C911">
      <w:pPr>
        <w:autoSpaceDE w:val="0"/>
        <w:autoSpaceDN w:val="0"/>
        <w:adjustRightInd w:val="0"/>
        <w:spacing w:line="360" w:lineRule="auto"/>
        <w:jc w:val="left"/>
        <w:rPr>
          <w:rFonts w:ascii="宋体" w:hAnsi="宋体" w:cs="宋体"/>
          <w:color w:val="000000" w:themeColor="text1"/>
          <w:sz w:val="24"/>
          <w:szCs w:val="24"/>
          <w:highlight w:val="none"/>
          <w:lang w:val="zh-CN"/>
          <w14:textFill>
            <w14:solidFill>
              <w14:schemeClr w14:val="tx1"/>
            </w14:solidFill>
          </w14:textFill>
        </w:rPr>
      </w:pPr>
    </w:p>
    <w:p w14:paraId="5A56799E">
      <w:pPr>
        <w:autoSpaceDE w:val="0"/>
        <w:autoSpaceDN w:val="0"/>
        <w:adjustRightInd w:val="0"/>
        <w:spacing w:line="360" w:lineRule="auto"/>
        <w:jc w:val="left"/>
        <w:rPr>
          <w:rFonts w:ascii="宋体" w:hAnsi="宋体" w:cs="宋体"/>
          <w:color w:val="000000" w:themeColor="text1"/>
          <w:sz w:val="24"/>
          <w:szCs w:val="24"/>
          <w:highlight w:val="none"/>
          <w:lang w:val="zh-CN"/>
          <w14:textFill>
            <w14:solidFill>
              <w14:schemeClr w14:val="tx1"/>
            </w14:solidFill>
          </w14:textFill>
        </w:rPr>
      </w:pPr>
    </w:p>
    <w:p w14:paraId="2F7676BF">
      <w:pPr>
        <w:autoSpaceDE w:val="0"/>
        <w:autoSpaceDN w:val="0"/>
        <w:adjustRightInd w:val="0"/>
        <w:spacing w:line="360" w:lineRule="auto"/>
        <w:jc w:val="left"/>
        <w:rPr>
          <w:rFonts w:ascii="宋体" w:hAnsi="宋体" w:cs="宋体"/>
          <w:color w:val="000000" w:themeColor="text1"/>
          <w:sz w:val="24"/>
          <w:szCs w:val="24"/>
          <w:highlight w:val="none"/>
          <w:lang w:val="zh-CN"/>
          <w14:textFill>
            <w14:solidFill>
              <w14:schemeClr w14:val="tx1"/>
            </w14:solidFill>
          </w14:textFill>
        </w:rPr>
      </w:pPr>
    </w:p>
    <w:p w14:paraId="5D5AEE2A">
      <w:pPr>
        <w:autoSpaceDE w:val="0"/>
        <w:autoSpaceDN w:val="0"/>
        <w:adjustRightInd w:val="0"/>
        <w:spacing w:line="360" w:lineRule="auto"/>
        <w:jc w:val="righ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供应商:</w:t>
      </w: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(盖单位公章)</w:t>
      </w:r>
    </w:p>
    <w:p w14:paraId="6E2DFA0C">
      <w:pPr>
        <w:autoSpaceDE w:val="0"/>
        <w:autoSpaceDN w:val="0"/>
        <w:adjustRightInd w:val="0"/>
        <w:spacing w:line="360" w:lineRule="auto"/>
        <w:ind w:firstLine="4560" w:firstLineChars="1900"/>
        <w:jc w:val="left"/>
        <w:rPr>
          <w:rFonts w:ascii="宋体" w:hAnsi="宋体" w:cs="宋体"/>
          <w:color w:val="000000" w:themeColor="text1"/>
          <w:sz w:val="24"/>
          <w:szCs w:val="24"/>
          <w:highlight w:val="none"/>
          <w:lang w:val="zh-CN"/>
          <w14:textFill>
            <w14:solidFill>
              <w14:schemeClr w14:val="tx1"/>
            </w14:solidFill>
          </w14:textFill>
        </w:rPr>
      </w:pPr>
    </w:p>
    <w:p w14:paraId="298662E8">
      <w:pPr>
        <w:autoSpaceDE w:val="0"/>
        <w:autoSpaceDN w:val="0"/>
        <w:adjustRightInd w:val="0"/>
        <w:spacing w:line="360" w:lineRule="auto"/>
        <w:jc w:val="right"/>
        <w:rPr>
          <w:rFonts w:ascii="宋体" w:hAnsi="宋体" w:cs="宋体"/>
          <w:color w:val="000000" w:themeColor="text1"/>
          <w:sz w:val="24"/>
          <w:szCs w:val="24"/>
          <w:highlight w:val="none"/>
          <w:u w:val="singl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法定代表人或其委托代理人:</w:t>
      </w: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(签字)</w:t>
      </w:r>
    </w:p>
    <w:p w14:paraId="1BE12653">
      <w:pPr>
        <w:autoSpaceDE w:val="0"/>
        <w:autoSpaceDN w:val="0"/>
        <w:adjustRightInd w:val="0"/>
        <w:spacing w:line="360" w:lineRule="auto"/>
        <w:jc w:val="left"/>
        <w:rPr>
          <w:rFonts w:ascii="宋体" w:hAnsi="宋体" w:cs="宋体"/>
          <w:color w:val="000000" w:themeColor="text1"/>
          <w:sz w:val="24"/>
          <w:szCs w:val="24"/>
          <w:highlight w:val="none"/>
          <w:lang w:val="zh-CN"/>
          <w14:textFill>
            <w14:solidFill>
              <w14:schemeClr w14:val="tx1"/>
            </w14:solidFill>
          </w14:textFill>
        </w:rPr>
      </w:pPr>
    </w:p>
    <w:p w14:paraId="514EE3E8">
      <w:pPr>
        <w:autoSpaceDE w:val="0"/>
        <w:autoSpaceDN w:val="0"/>
        <w:adjustRightInd w:val="0"/>
        <w:spacing w:line="360" w:lineRule="auto"/>
        <w:ind w:firstLine="6240" w:firstLineChars="2600"/>
        <w:rPr>
          <w:rFonts w:ascii="宋体" w:hAnsi="宋体" w:cs="宋体"/>
          <w:color w:val="000000" w:themeColor="text1"/>
          <w:sz w:val="24"/>
          <w:szCs w:val="24"/>
          <w:highlight w:val="none"/>
          <w:u w:val="single"/>
          <w14:textFill>
            <w14:solidFill>
              <w14:schemeClr w14:val="tx1"/>
            </w14:solidFill>
          </w14:textFill>
        </w:rPr>
      </w:pPr>
    </w:p>
    <w:p w14:paraId="6D578C25">
      <w:pPr>
        <w:autoSpaceDE w:val="0"/>
        <w:autoSpaceDN w:val="0"/>
        <w:adjustRightInd w:val="0"/>
        <w:spacing w:line="360" w:lineRule="auto"/>
        <w:jc w:val="right"/>
        <w:rPr>
          <w:rFonts w:ascii="宋体" w:hAnsi="宋体" w:cs="宋体"/>
          <w:b/>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年</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月</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日</w:t>
      </w:r>
    </w:p>
    <w:p w14:paraId="51B34F96">
      <w:pPr>
        <w:spacing w:line="360" w:lineRule="auto"/>
        <w:rPr>
          <w:rFonts w:ascii="宋体" w:hAnsi="宋体" w:cs="宋体"/>
          <w:b/>
          <w:color w:val="000000" w:themeColor="text1"/>
          <w:sz w:val="24"/>
          <w:szCs w:val="24"/>
          <w:highlight w:val="none"/>
          <w14:textFill>
            <w14:solidFill>
              <w14:schemeClr w14:val="tx1"/>
            </w14:solidFill>
          </w14:textFill>
        </w:rPr>
      </w:pPr>
      <w:r>
        <w:rPr>
          <w:rFonts w:hint="eastAsia" w:ascii="宋体" w:hAnsi="宋体" w:cs="宋体"/>
          <w:b/>
          <w:color w:val="000000" w:themeColor="text1"/>
          <w:sz w:val="24"/>
          <w:szCs w:val="24"/>
          <w:highlight w:val="none"/>
          <w:lang w:val="zh-CN"/>
          <w14:textFill>
            <w14:solidFill>
              <w14:schemeClr w14:val="tx1"/>
            </w14:solidFill>
          </w14:textFill>
        </w:rPr>
        <w:br w:type="page"/>
      </w:r>
      <w:r>
        <w:rPr>
          <w:rFonts w:hint="eastAsia" w:ascii="宋体" w:hAnsi="宋体" w:cs="宋体"/>
          <w:b/>
          <w:color w:val="000000" w:themeColor="text1"/>
          <w:sz w:val="24"/>
          <w:szCs w:val="24"/>
          <w:highlight w:val="none"/>
          <w14:textFill>
            <w14:solidFill>
              <w14:schemeClr w14:val="tx1"/>
            </w14:solidFill>
          </w14:textFill>
        </w:rPr>
        <w:t>附表三:成交通知书</w:t>
      </w:r>
    </w:p>
    <w:p w14:paraId="7D242BBA">
      <w:pPr>
        <w:autoSpaceDE w:val="0"/>
        <w:autoSpaceDN w:val="0"/>
        <w:adjustRightInd w:val="0"/>
        <w:spacing w:line="360" w:lineRule="auto"/>
        <w:jc w:val="center"/>
        <w:rPr>
          <w:rFonts w:ascii="宋体" w:hAnsi="宋体" w:cs="宋体"/>
          <w:b/>
          <w:bCs/>
          <w:color w:val="000000" w:themeColor="text1"/>
          <w:sz w:val="28"/>
          <w:szCs w:val="28"/>
          <w:highlight w:val="none"/>
          <w:lang w:val="zh-CN"/>
          <w14:textFill>
            <w14:solidFill>
              <w14:schemeClr w14:val="tx1"/>
            </w14:solidFill>
          </w14:textFill>
        </w:rPr>
      </w:pPr>
    </w:p>
    <w:p w14:paraId="7EDCEC0B">
      <w:pPr>
        <w:autoSpaceDE w:val="0"/>
        <w:autoSpaceDN w:val="0"/>
        <w:adjustRightInd w:val="0"/>
        <w:spacing w:line="360" w:lineRule="auto"/>
        <w:jc w:val="center"/>
        <w:rPr>
          <w:rFonts w:ascii="宋体" w:hAnsi="宋体" w:cs="宋体"/>
          <w:b/>
          <w:bCs/>
          <w:color w:val="000000" w:themeColor="text1"/>
          <w:sz w:val="28"/>
          <w:szCs w:val="28"/>
          <w:highlight w:val="none"/>
          <w:lang w:val="zh-CN"/>
          <w14:textFill>
            <w14:solidFill>
              <w14:schemeClr w14:val="tx1"/>
            </w14:solidFill>
          </w14:textFill>
        </w:rPr>
      </w:pPr>
      <w:r>
        <w:rPr>
          <w:rFonts w:hint="eastAsia" w:ascii="宋体" w:hAnsi="宋体" w:cs="宋体"/>
          <w:b/>
          <w:bCs/>
          <w:color w:val="000000" w:themeColor="text1"/>
          <w:sz w:val="28"/>
          <w:szCs w:val="28"/>
          <w:highlight w:val="none"/>
          <w:lang w:val="zh-CN"/>
          <w14:textFill>
            <w14:solidFill>
              <w14:schemeClr w14:val="tx1"/>
            </w14:solidFill>
          </w14:textFill>
        </w:rPr>
        <w:t>成交通知书</w:t>
      </w:r>
    </w:p>
    <w:p w14:paraId="22DAB20E">
      <w:pPr>
        <w:widowControl/>
        <w:spacing w:line="360" w:lineRule="auto"/>
        <w:ind w:firstLine="420"/>
        <w:jc w:val="left"/>
        <w:rPr>
          <w:rFonts w:ascii="宋体" w:hAnsi="宋体" w:cs="宋体"/>
          <w:color w:val="000000" w:themeColor="text1"/>
          <w:sz w:val="24"/>
          <w:szCs w:val="24"/>
          <w:highlight w:val="none"/>
          <w:u w:val="single"/>
          <w14:textFill>
            <w14:solidFill>
              <w14:schemeClr w14:val="tx1"/>
            </w14:solidFill>
          </w14:textFill>
        </w:rPr>
      </w:pPr>
    </w:p>
    <w:p w14:paraId="4C7C4390">
      <w:pPr>
        <w:widowControl/>
        <w:spacing w:line="360" w:lineRule="auto"/>
        <w:ind w:firstLine="420"/>
        <w:jc w:val="left"/>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u w:val="single"/>
          <w14:textFill>
            <w14:solidFill>
              <w14:schemeClr w14:val="tx1"/>
            </w14:solidFill>
          </w14:textFill>
        </w:rPr>
        <w:t>            </w:t>
      </w:r>
      <w:r>
        <w:rPr>
          <w:rFonts w:hint="eastAsia" w:ascii="宋体" w:hAnsi="宋体" w:cs="宋体"/>
          <w:color w:val="000000" w:themeColor="text1"/>
          <w:sz w:val="24"/>
          <w:szCs w:val="24"/>
          <w:highlight w:val="none"/>
          <w14:textFill>
            <w14:solidFill>
              <w14:schemeClr w14:val="tx1"/>
            </w14:solidFill>
          </w14:textFill>
        </w:rPr>
        <w:t>（成交人名称）：</w:t>
      </w:r>
    </w:p>
    <w:p w14:paraId="633B1920">
      <w:pPr>
        <w:widowControl/>
        <w:spacing w:line="360" w:lineRule="auto"/>
        <w:ind w:firstLine="420"/>
        <w:jc w:val="left"/>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你方于</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年</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月</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日所递交的</w:t>
      </w:r>
      <w:r>
        <w:rPr>
          <w:rFonts w:hint="eastAsia" w:ascii="宋体" w:hAnsi="宋体" w:cs="宋体"/>
          <w:color w:val="000000" w:themeColor="text1"/>
          <w:sz w:val="24"/>
          <w:szCs w:val="24"/>
          <w:highlight w:val="none"/>
          <w:u w:val="single"/>
          <w14:textFill>
            <w14:solidFill>
              <w14:schemeClr w14:val="tx1"/>
            </w14:solidFill>
          </w14:textFill>
        </w:rPr>
        <w:t>     </w:t>
      </w:r>
      <w:r>
        <w:rPr>
          <w:rFonts w:hint="eastAsia" w:ascii="宋体" w:hAnsi="宋体" w:cs="宋体"/>
          <w:color w:val="000000" w:themeColor="text1"/>
          <w:sz w:val="24"/>
          <w:szCs w:val="24"/>
          <w:highlight w:val="none"/>
          <w14:textFill>
            <w14:solidFill>
              <w14:schemeClr w14:val="tx1"/>
            </w14:solidFill>
          </w14:textFill>
        </w:rPr>
        <w:t>（项目名称）竞争性磋商响应文件已被我方接受，被确定为成交人。</w:t>
      </w:r>
    </w:p>
    <w:p w14:paraId="372567CD">
      <w:pPr>
        <w:widowControl/>
        <w:spacing w:line="360" w:lineRule="auto"/>
        <w:ind w:firstLine="420"/>
        <w:jc w:val="left"/>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成交价：</w:t>
      </w:r>
      <w:r>
        <w:rPr>
          <w:rFonts w:hint="eastAsia" w:ascii="宋体" w:hAnsi="宋体" w:cs="宋体"/>
          <w:b/>
          <w:bCs/>
          <w:color w:val="000000" w:themeColor="text1"/>
          <w:spacing w:val="2"/>
          <w:sz w:val="24"/>
          <w:szCs w:val="24"/>
          <w:highlight w:val="none"/>
          <w:u w:val="single"/>
          <w14:textFill>
            <w14:solidFill>
              <w14:schemeClr w14:val="tx1"/>
            </w14:solidFill>
          </w14:textFill>
        </w:rPr>
        <w:t xml:space="preserve">                </w:t>
      </w:r>
      <w:r>
        <w:rPr>
          <w:rFonts w:hint="eastAsia" w:ascii="宋体" w:hAnsi="宋体" w:cs="宋体"/>
          <w:b/>
          <w:bCs/>
          <w:color w:val="000000" w:themeColor="text1"/>
          <w:spacing w:val="2"/>
          <w:sz w:val="24"/>
          <w:szCs w:val="24"/>
          <w:highlight w:val="none"/>
          <w14:textFill>
            <w14:solidFill>
              <w14:schemeClr w14:val="tx1"/>
            </w14:solidFill>
          </w14:textFill>
        </w:rPr>
        <w:t>。</w:t>
      </w:r>
    </w:p>
    <w:p w14:paraId="10567DF2">
      <w:pPr>
        <w:widowControl/>
        <w:spacing w:line="360" w:lineRule="auto"/>
        <w:ind w:firstLine="420"/>
        <w:jc w:val="lef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合同期限：</w:t>
      </w:r>
    </w:p>
    <w:p w14:paraId="5395F0EC">
      <w:pPr>
        <w:widowControl/>
        <w:spacing w:line="360" w:lineRule="auto"/>
        <w:ind w:firstLine="420"/>
        <w:jc w:val="left"/>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请你方在接到本通知书后的</w:t>
      </w:r>
      <w:r>
        <w:rPr>
          <w:rFonts w:hint="eastAsia" w:ascii="宋体" w:hAnsi="宋体" w:cs="宋体"/>
          <w:color w:val="000000" w:themeColor="text1"/>
          <w:sz w:val="24"/>
          <w:szCs w:val="24"/>
          <w:highlight w:val="none"/>
          <w:u w:val="single"/>
          <w14:textFill>
            <w14:solidFill>
              <w14:schemeClr w14:val="tx1"/>
            </w14:solidFill>
          </w14:textFill>
        </w:rPr>
        <w:t>     </w:t>
      </w:r>
      <w:r>
        <w:rPr>
          <w:rFonts w:hint="eastAsia" w:ascii="宋体" w:hAnsi="宋体" w:cs="宋体"/>
          <w:color w:val="000000" w:themeColor="text1"/>
          <w:sz w:val="24"/>
          <w:szCs w:val="24"/>
          <w:highlight w:val="none"/>
          <w14:textFill>
            <w14:solidFill>
              <w14:schemeClr w14:val="tx1"/>
            </w14:solidFill>
          </w14:textFill>
        </w:rPr>
        <w:t>日内到</w:t>
      </w:r>
      <w:r>
        <w:rPr>
          <w:rFonts w:hint="eastAsia" w:ascii="宋体" w:hAnsi="宋体" w:cs="宋体"/>
          <w:color w:val="000000" w:themeColor="text1"/>
          <w:sz w:val="24"/>
          <w:szCs w:val="24"/>
          <w:highlight w:val="none"/>
          <w:u w:val="single"/>
          <w14:textFill>
            <w14:solidFill>
              <w14:schemeClr w14:val="tx1"/>
            </w14:solidFill>
          </w14:textFill>
        </w:rPr>
        <w:t>      </w:t>
      </w:r>
      <w:r>
        <w:rPr>
          <w:rFonts w:hint="eastAsia" w:ascii="宋体" w:hAnsi="宋体" w:cs="宋体"/>
          <w:color w:val="000000" w:themeColor="text1"/>
          <w:sz w:val="24"/>
          <w:szCs w:val="24"/>
          <w:highlight w:val="none"/>
          <w14:textFill>
            <w14:solidFill>
              <w14:schemeClr w14:val="tx1"/>
            </w14:solidFill>
          </w14:textFill>
        </w:rPr>
        <w:t>（指定地点）与我方签订合同。</w:t>
      </w:r>
    </w:p>
    <w:p w14:paraId="2D4CF42A">
      <w:pPr>
        <w:widowControl/>
        <w:spacing w:line="360" w:lineRule="auto"/>
        <w:ind w:firstLine="420"/>
        <w:jc w:val="left"/>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特此通知。</w:t>
      </w:r>
    </w:p>
    <w:p w14:paraId="4F27C113">
      <w:pPr>
        <w:widowControl/>
        <w:spacing w:line="360" w:lineRule="auto"/>
        <w:ind w:firstLine="420"/>
        <w:jc w:val="left"/>
        <w:rPr>
          <w:rFonts w:ascii="宋体" w:hAnsi="宋体" w:cs="宋体"/>
          <w:color w:val="000000" w:themeColor="text1"/>
          <w:sz w:val="24"/>
          <w:szCs w:val="24"/>
          <w:highlight w:val="none"/>
          <w14:textFill>
            <w14:solidFill>
              <w14:schemeClr w14:val="tx1"/>
            </w14:solidFill>
          </w14:textFill>
        </w:rPr>
      </w:pPr>
    </w:p>
    <w:p w14:paraId="6D219904">
      <w:pPr>
        <w:widowControl/>
        <w:spacing w:line="360" w:lineRule="auto"/>
        <w:ind w:right="-94"/>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采购人：</w:t>
      </w:r>
      <w:r>
        <w:rPr>
          <w:rFonts w:hint="eastAsia" w:ascii="宋体" w:hAnsi="宋体" w:cs="宋体"/>
          <w:color w:val="000000" w:themeColor="text1"/>
          <w:sz w:val="24"/>
          <w:szCs w:val="24"/>
          <w:highlight w:val="none"/>
          <w:u w:val="single"/>
          <w14:textFill>
            <w14:solidFill>
              <w14:schemeClr w14:val="tx1"/>
            </w14:solidFill>
          </w14:textFill>
        </w:rPr>
        <w:t>            </w:t>
      </w: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eastAsia="zh-CN"/>
          <w14:textFill>
            <w14:solidFill>
              <w14:schemeClr w14:val="tx1"/>
            </w14:solidFill>
          </w14:textFill>
        </w:rPr>
        <w:t>盖单位公章</w:t>
      </w:r>
      <w:r>
        <w:rPr>
          <w:rFonts w:hint="eastAsia" w:ascii="宋体" w:hAnsi="宋体" w:cs="宋体"/>
          <w:color w:val="000000" w:themeColor="text1"/>
          <w:sz w:val="24"/>
          <w:szCs w:val="24"/>
          <w:highlight w:val="none"/>
          <w14:textFill>
            <w14:solidFill>
              <w14:schemeClr w14:val="tx1"/>
            </w14:solidFill>
          </w14:textFill>
        </w:rPr>
        <w:t>）  采购代理机构：</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eastAsia="zh-CN"/>
          <w14:textFill>
            <w14:solidFill>
              <w14:schemeClr w14:val="tx1"/>
            </w14:solidFill>
          </w14:textFill>
        </w:rPr>
        <w:t>盖单位公章</w:t>
      </w:r>
      <w:r>
        <w:rPr>
          <w:rFonts w:hint="eastAsia" w:ascii="宋体" w:hAnsi="宋体" w:cs="宋体"/>
          <w:color w:val="000000" w:themeColor="text1"/>
          <w:sz w:val="24"/>
          <w:szCs w:val="24"/>
          <w:highlight w:val="none"/>
          <w14:textFill>
            <w14:solidFill>
              <w14:schemeClr w14:val="tx1"/>
            </w14:solidFill>
          </w14:textFill>
        </w:rPr>
        <w:t>）</w:t>
      </w:r>
    </w:p>
    <w:p w14:paraId="01204BB0">
      <w:pPr>
        <w:widowControl/>
        <w:spacing w:line="360" w:lineRule="auto"/>
        <w:ind w:right="420"/>
        <w:rPr>
          <w:rFonts w:ascii="宋体" w:hAnsi="宋体" w:cs="宋体"/>
          <w:color w:val="000000" w:themeColor="text1"/>
          <w:sz w:val="24"/>
          <w:szCs w:val="24"/>
          <w:highlight w:val="none"/>
          <w14:textFill>
            <w14:solidFill>
              <w14:schemeClr w14:val="tx1"/>
            </w14:solidFill>
          </w14:textFill>
        </w:rPr>
      </w:pPr>
    </w:p>
    <w:p w14:paraId="1E40CF64">
      <w:pPr>
        <w:widowControl/>
        <w:spacing w:line="360" w:lineRule="auto"/>
        <w:ind w:right="-30"/>
        <w:rPr>
          <w:rFonts w:ascii="宋体" w:hAnsi="宋体" w:cs="宋体"/>
          <w:color w:val="000000" w:themeColor="text1"/>
          <w:sz w:val="24"/>
          <w:szCs w:val="24"/>
          <w:highlight w:val="none"/>
          <w14:textFill>
            <w14:solidFill>
              <w14:schemeClr w14:val="tx1"/>
            </w14:solidFill>
          </w14:textFill>
        </w:rPr>
      </w:pPr>
    </w:p>
    <w:p w14:paraId="549D6FFF">
      <w:pPr>
        <w:widowControl/>
        <w:spacing w:line="360" w:lineRule="auto"/>
        <w:ind w:right="-30"/>
        <w:rPr>
          <w:rFonts w:ascii="宋体" w:hAnsi="宋体" w:cs="宋体"/>
          <w:color w:val="000000" w:themeColor="text1"/>
          <w:sz w:val="24"/>
          <w:szCs w:val="24"/>
          <w:highlight w:val="none"/>
          <w14:textFill>
            <w14:solidFill>
              <w14:schemeClr w14:val="tx1"/>
            </w14:solidFill>
          </w14:textFill>
        </w:rPr>
      </w:pPr>
    </w:p>
    <w:p w14:paraId="74C4CA70">
      <w:pPr>
        <w:widowControl/>
        <w:spacing w:line="360" w:lineRule="auto"/>
        <w:ind w:right="-3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法定代表人：</w:t>
      </w:r>
      <w:r>
        <w:rPr>
          <w:rFonts w:hint="eastAsia" w:ascii="宋体" w:hAnsi="宋体" w:cs="宋体"/>
          <w:color w:val="000000" w:themeColor="text1"/>
          <w:sz w:val="24"/>
          <w:szCs w:val="24"/>
          <w:highlight w:val="none"/>
          <w:u w:val="single"/>
          <w14:textFill>
            <w14:solidFill>
              <w14:schemeClr w14:val="tx1"/>
            </w14:solidFill>
          </w14:textFill>
        </w:rPr>
        <w:t>      </w:t>
      </w:r>
      <w:r>
        <w:rPr>
          <w:rFonts w:hint="eastAsia" w:ascii="宋体" w:hAnsi="宋体" w:cs="宋体"/>
          <w:color w:val="000000" w:themeColor="text1"/>
          <w:sz w:val="24"/>
          <w:szCs w:val="24"/>
          <w:highlight w:val="none"/>
          <w14:textFill>
            <w14:solidFill>
              <w14:schemeClr w14:val="tx1"/>
            </w14:solidFill>
          </w14:textFill>
        </w:rPr>
        <w:t>（签字或盖章）法定代表人：</w:t>
      </w:r>
      <w:r>
        <w:rPr>
          <w:rFonts w:hint="eastAsia" w:ascii="宋体" w:hAnsi="宋体" w:cs="宋体"/>
          <w:color w:val="000000" w:themeColor="text1"/>
          <w:sz w:val="24"/>
          <w:szCs w:val="24"/>
          <w:highlight w:val="none"/>
          <w:u w:val="single"/>
          <w14:textFill>
            <w14:solidFill>
              <w14:schemeClr w14:val="tx1"/>
            </w14:solidFill>
          </w14:textFill>
        </w:rPr>
        <w:t>    </w:t>
      </w:r>
      <w:r>
        <w:rPr>
          <w:rFonts w:hint="eastAsia" w:ascii="宋体" w:hAnsi="宋体" w:cs="宋体"/>
          <w:color w:val="000000" w:themeColor="text1"/>
          <w:sz w:val="24"/>
          <w:szCs w:val="24"/>
          <w:highlight w:val="none"/>
          <w14:textFill>
            <w14:solidFill>
              <w14:schemeClr w14:val="tx1"/>
            </w14:solidFill>
          </w14:textFill>
        </w:rPr>
        <w:t>（签字或盖章）</w:t>
      </w:r>
    </w:p>
    <w:p w14:paraId="1A0470E8">
      <w:pPr>
        <w:widowControl/>
        <w:spacing w:line="360" w:lineRule="auto"/>
        <w:ind w:right="420" w:firstLine="2428" w:firstLineChars="1012"/>
        <w:rPr>
          <w:rFonts w:ascii="宋体" w:hAnsi="宋体" w:cs="宋体"/>
          <w:color w:val="000000" w:themeColor="text1"/>
          <w:sz w:val="24"/>
          <w:szCs w:val="24"/>
          <w:highlight w:val="none"/>
          <w14:textFill>
            <w14:solidFill>
              <w14:schemeClr w14:val="tx1"/>
            </w14:solidFill>
          </w14:textFill>
        </w:rPr>
      </w:pPr>
    </w:p>
    <w:p w14:paraId="03A7DE48">
      <w:pPr>
        <w:widowControl/>
        <w:spacing w:line="360" w:lineRule="auto"/>
        <w:ind w:right="420" w:firstLine="4212" w:firstLineChars="1755"/>
        <w:rPr>
          <w:rFonts w:ascii="宋体" w:hAnsi="宋体" w:cs="宋体"/>
          <w:color w:val="000000" w:themeColor="text1"/>
          <w:sz w:val="24"/>
          <w:szCs w:val="24"/>
          <w:highlight w:val="none"/>
          <w:u w:val="single"/>
          <w14:textFill>
            <w14:solidFill>
              <w14:schemeClr w14:val="tx1"/>
            </w14:solidFill>
          </w14:textFill>
        </w:rPr>
      </w:pPr>
    </w:p>
    <w:p w14:paraId="03F57FA1">
      <w:pPr>
        <w:widowControl/>
        <w:spacing w:line="360" w:lineRule="auto"/>
        <w:ind w:right="420" w:firstLine="4212" w:firstLineChars="1755"/>
        <w:jc w:val="right"/>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年</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月</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日</w:t>
      </w:r>
    </w:p>
    <w:p w14:paraId="2224B07D">
      <w:pPr>
        <w:autoSpaceDE w:val="0"/>
        <w:autoSpaceDN w:val="0"/>
        <w:adjustRightInd w:val="0"/>
        <w:spacing w:line="360" w:lineRule="auto"/>
        <w:jc w:val="center"/>
        <w:rPr>
          <w:rFonts w:ascii="宋体" w:hAnsi="宋体" w:cs="宋体"/>
          <w:b/>
          <w:bCs/>
          <w:color w:val="000000" w:themeColor="text1"/>
          <w:sz w:val="24"/>
          <w:szCs w:val="24"/>
          <w:highlight w:val="none"/>
          <w:lang w:val="zh-CN"/>
          <w14:textFill>
            <w14:solidFill>
              <w14:schemeClr w14:val="tx1"/>
            </w14:solidFill>
          </w14:textFill>
        </w:rPr>
      </w:pPr>
    </w:p>
    <w:p w14:paraId="3F60D750">
      <w:pPr>
        <w:spacing w:line="360" w:lineRule="auto"/>
        <w:rPr>
          <w:rFonts w:ascii="宋体" w:hAnsi="宋体" w:cs="宋体"/>
          <w:color w:val="000000" w:themeColor="text1"/>
          <w:sz w:val="24"/>
          <w:szCs w:val="24"/>
          <w:highlight w:val="none"/>
          <w14:textFill>
            <w14:solidFill>
              <w14:schemeClr w14:val="tx1"/>
            </w14:solidFill>
          </w14:textFill>
        </w:rPr>
      </w:pPr>
    </w:p>
    <w:p w14:paraId="3E0F7A42">
      <w:pPr>
        <w:spacing w:line="360" w:lineRule="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[注]此《成交通知书》一式叁份，采购人、采购代理机构、成交供应商各执一份备案。</w:t>
      </w:r>
    </w:p>
    <w:p w14:paraId="7A1E6801">
      <w:pPr>
        <w:autoSpaceDE w:val="0"/>
        <w:autoSpaceDN w:val="0"/>
        <w:adjustRightInd w:val="0"/>
        <w:spacing w:line="360" w:lineRule="auto"/>
        <w:rPr>
          <w:rFonts w:ascii="宋体" w:hAnsi="宋体" w:cs="宋体"/>
          <w:b/>
          <w:bCs/>
          <w:color w:val="000000" w:themeColor="text1"/>
          <w:sz w:val="24"/>
          <w:szCs w:val="24"/>
          <w:highlight w:val="none"/>
          <w:lang w:val="zh-CN"/>
          <w14:textFill>
            <w14:solidFill>
              <w14:schemeClr w14:val="tx1"/>
            </w14:solidFill>
          </w14:textFill>
        </w:rPr>
      </w:pPr>
    </w:p>
    <w:p w14:paraId="581AD922">
      <w:pPr>
        <w:autoSpaceDE w:val="0"/>
        <w:autoSpaceDN w:val="0"/>
        <w:adjustRightInd w:val="0"/>
        <w:spacing w:line="360" w:lineRule="auto"/>
        <w:jc w:val="left"/>
        <w:rPr>
          <w:rFonts w:ascii="宋体" w:hAnsi="宋体" w:cs="宋体"/>
          <w:b/>
          <w:bCs/>
          <w:color w:val="000000" w:themeColor="text1"/>
          <w:sz w:val="24"/>
          <w:szCs w:val="24"/>
          <w:highlight w:val="none"/>
          <w:lang w:val="zh-CN"/>
          <w14:textFill>
            <w14:solidFill>
              <w14:schemeClr w14:val="tx1"/>
            </w14:solidFill>
          </w14:textFill>
        </w:rPr>
      </w:pPr>
    </w:p>
    <w:p w14:paraId="0EEC066E">
      <w:pPr>
        <w:pStyle w:val="13"/>
        <w:rPr>
          <w:rFonts w:ascii="宋体" w:eastAsia="宋体" w:cs="宋体"/>
          <w:b w:val="0"/>
          <w:bCs w:val="0"/>
          <w:color w:val="000000" w:themeColor="text1"/>
          <w:szCs w:val="24"/>
          <w:highlight w:val="none"/>
          <w:lang w:val="zh-CN"/>
          <w14:textFill>
            <w14:solidFill>
              <w14:schemeClr w14:val="tx1"/>
            </w14:solidFill>
          </w14:textFill>
        </w:rPr>
      </w:pPr>
    </w:p>
    <w:p w14:paraId="6698B082">
      <w:pPr>
        <w:spacing w:line="360" w:lineRule="auto"/>
        <w:rPr>
          <w:rFonts w:ascii="宋体" w:hAnsi="宋体" w:cs="宋体"/>
          <w:b/>
          <w:color w:val="000000" w:themeColor="text1"/>
          <w:sz w:val="24"/>
          <w:szCs w:val="24"/>
          <w:highlight w:val="none"/>
          <w14:textFill>
            <w14:solidFill>
              <w14:schemeClr w14:val="tx1"/>
            </w14:solidFill>
          </w14:textFill>
        </w:rPr>
      </w:pPr>
      <w:r>
        <w:rPr>
          <w:rFonts w:hint="eastAsia" w:ascii="宋体" w:hAnsi="宋体" w:cs="宋体"/>
          <w:b/>
          <w:color w:val="000000" w:themeColor="text1"/>
          <w:sz w:val="24"/>
          <w:szCs w:val="24"/>
          <w:highlight w:val="none"/>
          <w14:textFill>
            <w14:solidFill>
              <w14:schemeClr w14:val="tx1"/>
            </w14:solidFill>
          </w14:textFill>
        </w:rPr>
        <w:t>附表四:确认通知</w:t>
      </w:r>
    </w:p>
    <w:p w14:paraId="1DE1B9D4">
      <w:pPr>
        <w:spacing w:line="360" w:lineRule="auto"/>
        <w:rPr>
          <w:rFonts w:ascii="宋体" w:hAnsi="宋体" w:cs="宋体"/>
          <w:b/>
          <w:color w:val="000000" w:themeColor="text1"/>
          <w:sz w:val="24"/>
          <w:szCs w:val="24"/>
          <w:highlight w:val="none"/>
          <w14:textFill>
            <w14:solidFill>
              <w14:schemeClr w14:val="tx1"/>
            </w14:solidFill>
          </w14:textFill>
        </w:rPr>
      </w:pPr>
    </w:p>
    <w:p w14:paraId="0D04ECB5">
      <w:pPr>
        <w:spacing w:line="360" w:lineRule="auto"/>
        <w:jc w:val="center"/>
        <w:rPr>
          <w:rFonts w:ascii="宋体" w:hAnsi="宋体" w:cs="宋体"/>
          <w:b/>
          <w:bCs/>
          <w:color w:val="000000" w:themeColor="text1"/>
          <w:sz w:val="24"/>
          <w:szCs w:val="24"/>
          <w:highlight w:val="none"/>
          <w:lang w:val="zh-CN"/>
          <w14:textFill>
            <w14:solidFill>
              <w14:schemeClr w14:val="tx1"/>
            </w14:solidFill>
          </w14:textFill>
        </w:rPr>
      </w:pPr>
      <w:r>
        <w:rPr>
          <w:rFonts w:hint="eastAsia" w:ascii="宋体" w:hAnsi="宋体" w:cs="宋体"/>
          <w:b/>
          <w:bCs/>
          <w:color w:val="000000" w:themeColor="text1"/>
          <w:sz w:val="28"/>
          <w:szCs w:val="28"/>
          <w:highlight w:val="none"/>
          <w:lang w:val="zh-CN"/>
          <w14:textFill>
            <w14:solidFill>
              <w14:schemeClr w14:val="tx1"/>
            </w14:solidFill>
          </w14:textFill>
        </w:rPr>
        <w:t>确认通知</w:t>
      </w:r>
    </w:p>
    <w:p w14:paraId="1ECC0A82">
      <w:pPr>
        <w:autoSpaceDE w:val="0"/>
        <w:autoSpaceDN w:val="0"/>
        <w:adjustRightInd w:val="0"/>
        <w:spacing w:line="360" w:lineRule="auto"/>
        <w:jc w:val="left"/>
        <w:rPr>
          <w:rFonts w:ascii="宋体" w:hAnsi="宋体" w:cs="宋体"/>
          <w:color w:val="000000" w:themeColor="text1"/>
          <w:sz w:val="24"/>
          <w:szCs w:val="24"/>
          <w:highlight w:val="none"/>
          <w:u w:val="single"/>
          <w:lang w:val="zh-CN"/>
          <w14:textFill>
            <w14:solidFill>
              <w14:schemeClr w14:val="tx1"/>
            </w14:solidFill>
          </w14:textFill>
        </w:rPr>
      </w:pPr>
    </w:p>
    <w:p w14:paraId="116F3641">
      <w:pPr>
        <w:autoSpaceDE w:val="0"/>
        <w:autoSpaceDN w:val="0"/>
        <w:adjustRightInd w:val="0"/>
        <w:spacing w:line="360" w:lineRule="auto"/>
        <w:jc w:val="lef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(采购人名称):</w:t>
      </w:r>
    </w:p>
    <w:p w14:paraId="640BA394">
      <w:pPr>
        <w:autoSpaceDE w:val="0"/>
        <w:autoSpaceDN w:val="0"/>
        <w:adjustRightInd w:val="0"/>
        <w:spacing w:line="360" w:lineRule="auto"/>
        <w:ind w:firstLine="480" w:firstLineChars="200"/>
        <w:jc w:val="left"/>
        <w:rPr>
          <w:rFonts w:ascii="宋体" w:hAnsi="宋体" w:cs="宋体"/>
          <w:color w:val="000000" w:themeColor="text1"/>
          <w:sz w:val="24"/>
          <w:szCs w:val="24"/>
          <w:highlight w:val="none"/>
          <w:lang w:val="zh-CN"/>
          <w14:textFill>
            <w14:solidFill>
              <w14:schemeClr w14:val="tx1"/>
            </w14:solidFill>
          </w14:textFill>
        </w:rPr>
      </w:pPr>
    </w:p>
    <w:p w14:paraId="742A4BBB">
      <w:pPr>
        <w:autoSpaceDE w:val="0"/>
        <w:autoSpaceDN w:val="0"/>
        <w:adjustRightInd w:val="0"/>
        <w:spacing w:line="360" w:lineRule="auto"/>
        <w:ind w:firstLine="480" w:firstLineChars="200"/>
        <w:jc w:val="lef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我方已接到你方</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年</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月</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日发出的</w:t>
      </w:r>
      <w:r>
        <w:rPr>
          <w:rFonts w:hint="eastAsia" w:ascii="宋体" w:hAnsi="宋体" w:cs="宋体"/>
          <w:color w:val="000000" w:themeColor="text1"/>
          <w:sz w:val="24"/>
          <w:szCs w:val="24"/>
          <w:highlight w:val="none"/>
          <w:u w:val="single"/>
          <w:lang w:val="zh-CN"/>
          <w14:textFill>
            <w14:solidFill>
              <w14:schemeClr w14:val="tx1"/>
            </w14:solidFill>
          </w14:textFill>
        </w:rPr>
        <w:t xml:space="preserve">     (项目名称)</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关于</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的通知，我方已于</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年</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月</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日收到。</w:t>
      </w:r>
    </w:p>
    <w:p w14:paraId="457E908B">
      <w:pPr>
        <w:autoSpaceDE w:val="0"/>
        <w:autoSpaceDN w:val="0"/>
        <w:adjustRightInd w:val="0"/>
        <w:spacing w:line="360" w:lineRule="auto"/>
        <w:ind w:firstLine="480" w:firstLineChars="200"/>
        <w:jc w:val="left"/>
        <w:rPr>
          <w:rFonts w:ascii="宋体" w:hAnsi="宋体" w:cs="宋体"/>
          <w:color w:val="000000" w:themeColor="text1"/>
          <w:sz w:val="24"/>
          <w:szCs w:val="24"/>
          <w:highlight w:val="none"/>
          <w:lang w:val="zh-CN"/>
          <w14:textFill>
            <w14:solidFill>
              <w14:schemeClr w14:val="tx1"/>
            </w14:solidFill>
          </w14:textFill>
        </w:rPr>
      </w:pPr>
    </w:p>
    <w:p w14:paraId="5EF312C1">
      <w:pPr>
        <w:autoSpaceDE w:val="0"/>
        <w:autoSpaceDN w:val="0"/>
        <w:adjustRightInd w:val="0"/>
        <w:spacing w:line="360" w:lineRule="auto"/>
        <w:ind w:firstLine="480" w:firstLineChars="200"/>
        <w:jc w:val="lef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特此确认。</w:t>
      </w:r>
    </w:p>
    <w:p w14:paraId="1BE35A03">
      <w:pPr>
        <w:autoSpaceDE w:val="0"/>
        <w:autoSpaceDN w:val="0"/>
        <w:adjustRightInd w:val="0"/>
        <w:spacing w:line="360" w:lineRule="auto"/>
        <w:jc w:val="left"/>
        <w:rPr>
          <w:rFonts w:ascii="宋体" w:hAnsi="宋体" w:cs="宋体"/>
          <w:color w:val="000000" w:themeColor="text1"/>
          <w:sz w:val="24"/>
          <w:szCs w:val="24"/>
          <w:highlight w:val="none"/>
          <w:lang w:val="zh-CN"/>
          <w14:textFill>
            <w14:solidFill>
              <w14:schemeClr w14:val="tx1"/>
            </w14:solidFill>
          </w14:textFill>
        </w:rPr>
      </w:pPr>
    </w:p>
    <w:p w14:paraId="58A88EFA">
      <w:pPr>
        <w:autoSpaceDE w:val="0"/>
        <w:autoSpaceDN w:val="0"/>
        <w:adjustRightInd w:val="0"/>
        <w:spacing w:line="360" w:lineRule="auto"/>
        <w:jc w:val="righ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供应商:</w:t>
      </w: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(盖单位公章)</w:t>
      </w:r>
    </w:p>
    <w:p w14:paraId="76A6F1C1">
      <w:pPr>
        <w:autoSpaceDE w:val="0"/>
        <w:autoSpaceDN w:val="0"/>
        <w:adjustRightInd w:val="0"/>
        <w:spacing w:line="360" w:lineRule="auto"/>
        <w:jc w:val="left"/>
        <w:rPr>
          <w:rFonts w:ascii="宋体" w:hAnsi="宋体" w:cs="宋体"/>
          <w:color w:val="000000" w:themeColor="text1"/>
          <w:sz w:val="24"/>
          <w:szCs w:val="24"/>
          <w:highlight w:val="none"/>
          <w:u w:val="single"/>
          <w:lang w:val="zh-CN"/>
          <w14:textFill>
            <w14:solidFill>
              <w14:schemeClr w14:val="tx1"/>
            </w14:solidFill>
          </w14:textFill>
        </w:rPr>
      </w:pPr>
    </w:p>
    <w:p w14:paraId="6E07B795">
      <w:pPr>
        <w:spacing w:line="360" w:lineRule="auto"/>
        <w:jc w:val="right"/>
        <w:rPr>
          <w:rFonts w:ascii="宋体" w:hAnsi="宋体" w:cs="宋体"/>
          <w:color w:val="000000" w:themeColor="text1"/>
          <w:sz w:val="24"/>
          <w:szCs w:val="24"/>
          <w:highlight w:val="none"/>
          <w:u w:val="single"/>
          <w14:textFill>
            <w14:solidFill>
              <w14:schemeClr w14:val="tx1"/>
            </w14:solidFill>
          </w14:textFill>
        </w:rPr>
      </w:pPr>
    </w:p>
    <w:p w14:paraId="51D6C5C5">
      <w:pPr>
        <w:spacing w:line="360" w:lineRule="auto"/>
        <w:jc w:val="center"/>
        <w:rPr>
          <w:rFonts w:ascii="宋体" w:hAnsi="宋体" w:cs="宋体"/>
          <w:color w:val="000000" w:themeColor="text1"/>
          <w:sz w:val="24"/>
          <w:szCs w:val="24"/>
          <w:highlight w:val="none"/>
          <w14:textFill>
            <w14:solidFill>
              <w14:schemeClr w14:val="tx1"/>
            </w14:solidFill>
          </w14:textFill>
        </w:rPr>
        <w:sectPr>
          <w:headerReference r:id="rId10" w:type="default"/>
          <w:footerReference r:id="rId11" w:type="default"/>
          <w:pgSz w:w="11905" w:h="16838"/>
          <w:pgMar w:top="1440" w:right="1803" w:bottom="1440" w:left="1803" w:header="1140" w:footer="720" w:gutter="0"/>
          <w:pgNumType w:fmt="decimal"/>
          <w:cols w:space="0" w:num="1"/>
          <w:docGrid w:type="lines" w:linePitch="317" w:charSpace="0"/>
        </w:sectPr>
      </w:pPr>
      <w:r>
        <w:rPr>
          <w:rFonts w:hint="eastAsia"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年</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月</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none"/>
          <w14:textFill>
            <w14:solidFill>
              <w14:schemeClr w14:val="tx1"/>
            </w14:solidFill>
          </w14:textFill>
        </w:rPr>
        <w:t>日</w:t>
      </w:r>
    </w:p>
    <w:p w14:paraId="583412ED">
      <w:pPr>
        <w:pStyle w:val="3"/>
        <w:spacing w:line="500" w:lineRule="exact"/>
        <w:jc w:val="center"/>
        <w:rPr>
          <w:b/>
          <w:bCs/>
          <w:color w:val="000000" w:themeColor="text1"/>
          <w:sz w:val="44"/>
          <w:szCs w:val="44"/>
          <w:highlight w:val="none"/>
          <w14:textFill>
            <w14:solidFill>
              <w14:schemeClr w14:val="tx1"/>
            </w14:solidFill>
          </w14:textFill>
        </w:rPr>
      </w:pPr>
      <w:bookmarkStart w:id="147" w:name="_Toc28995"/>
      <w:bookmarkStart w:id="148" w:name="_Toc17830"/>
      <w:bookmarkStart w:id="149" w:name="_Toc71"/>
      <w:r>
        <w:rPr>
          <w:rFonts w:hint="eastAsia"/>
          <w:b/>
          <w:bCs/>
          <w:color w:val="000000" w:themeColor="text1"/>
          <w:highlight w:val="none"/>
          <w14:textFill>
            <w14:solidFill>
              <w14:schemeClr w14:val="tx1"/>
            </w14:solidFill>
          </w14:textFill>
        </w:rPr>
        <w:t>第三章 竞争性磋商评标办法</w:t>
      </w:r>
      <w:bookmarkEnd w:id="147"/>
      <w:bookmarkEnd w:id="148"/>
      <w:bookmarkEnd w:id="149"/>
    </w:p>
    <w:p w14:paraId="0DB5985B">
      <w:pPr>
        <w:pStyle w:val="19"/>
        <w:spacing w:line="360" w:lineRule="auto"/>
        <w:ind w:firstLine="480" w:firstLineChars="200"/>
        <w:rPr>
          <w:rFonts w:ascii="Times New Roman" w:hAnsi="Times New Roman"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1.</w:t>
      </w:r>
      <w:r>
        <w:rPr>
          <w:rFonts w:hint="eastAsia" w:ascii="Times New Roman" w:hAnsi="Times New Roman" w:cs="Times New Roman"/>
          <w:color w:val="000000" w:themeColor="text1"/>
          <w:sz w:val="24"/>
          <w:szCs w:val="24"/>
          <w:highlight w:val="none"/>
          <w14:textFill>
            <w14:solidFill>
              <w14:schemeClr w14:val="tx1"/>
            </w14:solidFill>
          </w14:textFill>
        </w:rPr>
        <w:t>响应文件初审：分为</w:t>
      </w:r>
      <w:r>
        <w:rPr>
          <w:rFonts w:hint="eastAsia" w:ascii="Times New Roman" w:hAnsi="Times New Roman" w:cs="Times New Roman"/>
          <w:color w:val="000000" w:themeColor="text1"/>
          <w:sz w:val="24"/>
          <w:szCs w:val="24"/>
          <w:highlight w:val="none"/>
          <w:lang w:eastAsia="zh-CN"/>
          <w14:textFill>
            <w14:solidFill>
              <w14:schemeClr w14:val="tx1"/>
            </w14:solidFill>
          </w14:textFill>
        </w:rPr>
        <w:t>形式性评审、</w:t>
      </w:r>
      <w:r>
        <w:rPr>
          <w:rFonts w:hint="eastAsia" w:ascii="Times New Roman" w:hAnsi="Times New Roman" w:cs="Times New Roman"/>
          <w:color w:val="000000" w:themeColor="text1"/>
          <w:sz w:val="24"/>
          <w:szCs w:val="24"/>
          <w:highlight w:val="none"/>
          <w14:textFill>
            <w14:solidFill>
              <w14:schemeClr w14:val="tx1"/>
            </w14:solidFill>
          </w14:textFill>
        </w:rPr>
        <w:t>资格性评审和</w:t>
      </w:r>
      <w:r>
        <w:rPr>
          <w:rFonts w:hint="eastAsia" w:ascii="Times New Roman" w:hAnsi="Times New Roman" w:cs="Times New Roman"/>
          <w:color w:val="000000" w:themeColor="text1"/>
          <w:sz w:val="24"/>
          <w:szCs w:val="24"/>
          <w:highlight w:val="none"/>
          <w:lang w:eastAsia="zh-CN"/>
          <w14:textFill>
            <w14:solidFill>
              <w14:schemeClr w14:val="tx1"/>
            </w14:solidFill>
          </w14:textFill>
        </w:rPr>
        <w:t>响应性</w:t>
      </w:r>
      <w:r>
        <w:rPr>
          <w:rFonts w:hint="eastAsia" w:ascii="Times New Roman" w:hAnsi="Times New Roman" w:cs="Times New Roman"/>
          <w:color w:val="000000" w:themeColor="text1"/>
          <w:sz w:val="24"/>
          <w:szCs w:val="24"/>
          <w:highlight w:val="none"/>
          <w14:textFill>
            <w14:solidFill>
              <w14:schemeClr w14:val="tx1"/>
            </w14:solidFill>
          </w14:textFill>
        </w:rPr>
        <w:t>评审。</w:t>
      </w:r>
    </w:p>
    <w:p w14:paraId="7C1720CE">
      <w:pPr>
        <w:pStyle w:val="19"/>
        <w:spacing w:line="360" w:lineRule="auto"/>
        <w:ind w:firstLine="480" w:firstLineChars="200"/>
        <w:rPr>
          <w:rFonts w:ascii="Times New Roman" w:hAnsi="Times New Roman" w:cs="Times New Roman"/>
          <w:color w:val="000000" w:themeColor="text1"/>
          <w:sz w:val="24"/>
          <w:szCs w:val="24"/>
          <w:highlight w:val="none"/>
          <w14:textFill>
            <w14:solidFill>
              <w14:schemeClr w14:val="tx1"/>
            </w14:solidFill>
          </w14:textFill>
        </w:rPr>
      </w:pPr>
      <w:r>
        <w:rPr>
          <w:rFonts w:hint="eastAsia" w:ascii="Times New Roman" w:hAnsi="Times New Roman" w:cs="Times New Roman"/>
          <w:color w:val="000000" w:themeColor="text1"/>
          <w:sz w:val="24"/>
          <w:szCs w:val="24"/>
          <w:highlight w:val="none"/>
          <w14:textFill>
            <w14:solidFill>
              <w14:schemeClr w14:val="tx1"/>
            </w14:solidFill>
          </w14:textFill>
        </w:rPr>
        <w:t>2.响应文件递交截止后，首先由磋商小组依法对供应商的资格性、符合性进行审查，并详细填写下表。合格供应</w:t>
      </w:r>
      <w:r>
        <w:rPr>
          <w:rFonts w:hint="eastAsia" w:ascii="宋体" w:hAnsi="宋体" w:eastAsia="宋体" w:cs="宋体"/>
          <w:color w:val="000000" w:themeColor="text1"/>
          <w:sz w:val="24"/>
          <w:szCs w:val="24"/>
          <w:highlight w:val="none"/>
          <w14:textFill>
            <w14:solidFill>
              <w14:schemeClr w14:val="tx1"/>
            </w14:solidFill>
          </w14:textFill>
        </w:rPr>
        <w:t>商不足3家的</w:t>
      </w:r>
      <w:r>
        <w:rPr>
          <w:rFonts w:hint="eastAsia" w:ascii="Times New Roman" w:hAnsi="Times New Roman" w:cs="Times New Roman"/>
          <w:color w:val="000000" w:themeColor="text1"/>
          <w:sz w:val="24"/>
          <w:szCs w:val="24"/>
          <w:highlight w:val="none"/>
          <w14:textFill>
            <w14:solidFill>
              <w14:schemeClr w14:val="tx1"/>
            </w14:solidFill>
          </w14:textFill>
        </w:rPr>
        <w:t>，不进行综合评审。</w:t>
      </w:r>
    </w:p>
    <w:p w14:paraId="03250EAD">
      <w:pPr>
        <w:spacing w:line="360" w:lineRule="auto"/>
        <w:jc w:val="center"/>
        <w:outlineLvl w:val="1"/>
        <w:rPr>
          <w:rFonts w:ascii="宋体" w:hAnsi="宋体" w:cs="宋体"/>
          <w:b/>
          <w:bCs/>
          <w:color w:val="000000" w:themeColor="text1"/>
          <w:sz w:val="32"/>
          <w:szCs w:val="32"/>
          <w:highlight w:val="none"/>
          <w14:textFill>
            <w14:solidFill>
              <w14:schemeClr w14:val="tx1"/>
            </w14:solidFill>
          </w14:textFill>
        </w:rPr>
      </w:pPr>
      <w:bookmarkStart w:id="150" w:name="_Toc14289"/>
      <w:r>
        <w:rPr>
          <w:rFonts w:hint="eastAsia" w:ascii="宋体" w:hAnsi="宋体" w:cs="宋体"/>
          <w:b/>
          <w:bCs/>
          <w:color w:val="000000" w:themeColor="text1"/>
          <w:sz w:val="32"/>
          <w:szCs w:val="32"/>
          <w:highlight w:val="none"/>
          <w:lang w:eastAsia="zh-CN"/>
          <w14:textFill>
            <w14:solidFill>
              <w14:schemeClr w14:val="tx1"/>
            </w14:solidFill>
          </w14:textFill>
        </w:rPr>
        <w:t>一、</w:t>
      </w:r>
      <w:r>
        <w:rPr>
          <w:rFonts w:hint="eastAsia" w:ascii="宋体" w:hAnsi="宋体" w:cs="宋体"/>
          <w:b/>
          <w:bCs/>
          <w:color w:val="000000" w:themeColor="text1"/>
          <w:sz w:val="32"/>
          <w:szCs w:val="32"/>
          <w:highlight w:val="none"/>
          <w14:textFill>
            <w14:solidFill>
              <w14:schemeClr w14:val="tx1"/>
            </w14:solidFill>
          </w14:textFill>
        </w:rPr>
        <w:t>评标办法前附表</w:t>
      </w:r>
      <w:bookmarkEnd w:id="150"/>
    </w:p>
    <w:p w14:paraId="28B524B4">
      <w:pPr>
        <w:spacing w:line="360" w:lineRule="auto"/>
        <w:jc w:val="center"/>
        <w:rPr>
          <w:rFonts w:ascii="宋体" w:cs="Times New Roman"/>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w:t>
      </w:r>
      <w:r>
        <w:rPr>
          <w:rFonts w:hint="eastAsia" w:ascii="宋体" w:hAnsi="宋体"/>
          <w:b/>
          <w:bCs/>
          <w:color w:val="000000" w:themeColor="text1"/>
          <w:sz w:val="24"/>
          <w:szCs w:val="24"/>
          <w:highlight w:val="none"/>
          <w14:textFill>
            <w14:solidFill>
              <w14:schemeClr w14:val="tx1"/>
            </w14:solidFill>
          </w14:textFill>
        </w:rPr>
        <w:t>所有评审中要求的材料，复印件装订在响应文件中。</w:t>
      </w:r>
      <w:r>
        <w:rPr>
          <w:rFonts w:hint="eastAsia" w:ascii="宋体" w:hAnsi="宋体" w:cs="宋体"/>
          <w:b/>
          <w:bCs/>
          <w:color w:val="000000" w:themeColor="text1"/>
          <w:sz w:val="24"/>
          <w:szCs w:val="24"/>
          <w:highlight w:val="none"/>
          <w14:textFill>
            <w14:solidFill>
              <w14:schemeClr w14:val="tx1"/>
            </w14:solidFill>
          </w14:textFill>
        </w:rPr>
        <w:t>）</w:t>
      </w:r>
    </w:p>
    <w:tbl>
      <w:tblPr>
        <w:tblStyle w:val="32"/>
        <w:tblW w:w="83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7"/>
        <w:gridCol w:w="467"/>
        <w:gridCol w:w="1189"/>
        <w:gridCol w:w="4800"/>
        <w:gridCol w:w="987"/>
      </w:tblGrid>
      <w:tr w14:paraId="17504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1344" w:type="dxa"/>
            <w:gridSpan w:val="2"/>
            <w:vAlign w:val="center"/>
          </w:tcPr>
          <w:p w14:paraId="36A9DD84">
            <w:pPr>
              <w:widowControl/>
              <w:adjustRightInd w:val="0"/>
              <w:snapToGrid w:val="0"/>
              <w:spacing w:line="340" w:lineRule="exact"/>
              <w:jc w:val="center"/>
              <w:rPr>
                <w:rFonts w:ascii="宋体" w:hAnsi="Calibri" w:cs="Times New Roman"/>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条款号</w:t>
            </w:r>
          </w:p>
        </w:tc>
        <w:tc>
          <w:tcPr>
            <w:tcW w:w="1189" w:type="dxa"/>
            <w:vAlign w:val="center"/>
          </w:tcPr>
          <w:p w14:paraId="30B0FDA8">
            <w:pPr>
              <w:widowControl/>
              <w:adjustRightInd w:val="0"/>
              <w:snapToGrid w:val="0"/>
              <w:spacing w:line="340" w:lineRule="exact"/>
              <w:jc w:val="center"/>
              <w:rPr>
                <w:rFonts w:ascii="宋体" w:hAnsi="宋体" w:cs="宋体"/>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评审因素</w:t>
            </w:r>
          </w:p>
        </w:tc>
        <w:tc>
          <w:tcPr>
            <w:tcW w:w="4800" w:type="dxa"/>
            <w:vAlign w:val="center"/>
          </w:tcPr>
          <w:p w14:paraId="44F79EB4">
            <w:pPr>
              <w:widowControl/>
              <w:adjustRightInd w:val="0"/>
              <w:snapToGrid w:val="0"/>
              <w:spacing w:line="340" w:lineRule="exact"/>
              <w:jc w:val="center"/>
              <w:rPr>
                <w:rFonts w:ascii="宋体" w:hAnsi="Calibri" w:cs="Times New Roman"/>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评审标准</w:t>
            </w:r>
          </w:p>
        </w:tc>
        <w:tc>
          <w:tcPr>
            <w:tcW w:w="987" w:type="dxa"/>
            <w:vAlign w:val="center"/>
          </w:tcPr>
          <w:p w14:paraId="6915DC13">
            <w:pPr>
              <w:widowControl/>
              <w:adjustRightInd w:val="0"/>
              <w:snapToGrid w:val="0"/>
              <w:spacing w:line="340" w:lineRule="exact"/>
              <w:jc w:val="center"/>
              <w:rPr>
                <w:rFonts w:ascii="宋体" w:hAnsi="宋体" w:cs="宋体"/>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供应商简称</w:t>
            </w:r>
          </w:p>
        </w:tc>
      </w:tr>
      <w:tr w14:paraId="1EBAF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jc w:val="center"/>
        </w:trPr>
        <w:tc>
          <w:tcPr>
            <w:tcW w:w="877" w:type="dxa"/>
            <w:vMerge w:val="restart"/>
            <w:vAlign w:val="center"/>
          </w:tcPr>
          <w:p w14:paraId="6781501B">
            <w:pPr>
              <w:widowControl/>
              <w:adjustRightInd w:val="0"/>
              <w:snapToGrid w:val="0"/>
              <w:spacing w:line="340" w:lineRule="exact"/>
              <w:jc w:val="center"/>
              <w:rPr>
                <w:rFonts w:ascii="宋体" w:hAnsi="Calibri" w:cs="Times New Roman"/>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2</w:t>
            </w:r>
            <w:r>
              <w:rPr>
                <w:rFonts w:ascii="宋体" w:hAnsi="宋体" w:cs="宋体"/>
                <w:color w:val="000000" w:themeColor="text1"/>
                <w:sz w:val="24"/>
                <w:szCs w:val="24"/>
                <w:highlight w:val="none"/>
                <w14:textFill>
                  <w14:solidFill>
                    <w14:schemeClr w14:val="tx1"/>
                  </w14:solidFill>
                </w14:textFill>
              </w:rPr>
              <w:t>.1.1</w:t>
            </w:r>
          </w:p>
        </w:tc>
        <w:tc>
          <w:tcPr>
            <w:tcW w:w="467" w:type="dxa"/>
            <w:vMerge w:val="restart"/>
            <w:vAlign w:val="center"/>
          </w:tcPr>
          <w:p w14:paraId="2B0DB30D">
            <w:pPr>
              <w:spacing w:line="340" w:lineRule="exact"/>
              <w:jc w:val="center"/>
              <w:rPr>
                <w:rFonts w:ascii="Calibri" w:hAnsi="Calibri"/>
                <w:color w:val="000000" w:themeColor="text1"/>
                <w:sz w:val="24"/>
                <w:szCs w:val="24"/>
                <w:highlight w:val="none"/>
                <w14:textFill>
                  <w14:solidFill>
                    <w14:schemeClr w14:val="tx1"/>
                  </w14:solidFill>
                </w14:textFill>
              </w:rPr>
            </w:pPr>
            <w:r>
              <w:rPr>
                <w:rFonts w:cs="Times New Roman"/>
                <w:color w:val="000000" w:themeColor="text1"/>
                <w:sz w:val="24"/>
                <w:szCs w:val="24"/>
                <w:highlight w:val="none"/>
                <w14:textFill>
                  <w14:solidFill>
                    <w14:schemeClr w14:val="tx1"/>
                  </w14:solidFill>
                </w14:textFill>
              </w:rPr>
              <w:t>形式评审标准</w:t>
            </w:r>
          </w:p>
        </w:tc>
        <w:tc>
          <w:tcPr>
            <w:tcW w:w="1189" w:type="dxa"/>
            <w:vAlign w:val="center"/>
          </w:tcPr>
          <w:p w14:paraId="7B3A4B28">
            <w:pPr>
              <w:widowControl/>
              <w:adjustRightInd w:val="0"/>
              <w:snapToGrid w:val="0"/>
              <w:spacing w:line="340" w:lineRule="exact"/>
              <w:jc w:val="center"/>
              <w:rPr>
                <w:rFonts w:hint="eastAsia" w:ascii="宋体" w:hAnsi="宋体" w:cs="宋体"/>
                <w:sz w:val="24"/>
                <w:szCs w:val="24"/>
                <w:highlight w:val="none"/>
                <w:lang w:eastAsia="zh-CN"/>
              </w:rPr>
            </w:pPr>
            <w:r>
              <w:rPr>
                <w:rFonts w:hint="eastAsia" w:ascii="宋体" w:hAnsi="宋体" w:cs="宋体"/>
                <w:sz w:val="24"/>
                <w:szCs w:val="24"/>
                <w:highlight w:val="none"/>
                <w:lang w:eastAsia="zh-CN"/>
              </w:rPr>
              <w:t>供应商</w:t>
            </w:r>
          </w:p>
          <w:p w14:paraId="68CB337C">
            <w:pPr>
              <w:widowControl/>
              <w:adjustRightInd w:val="0"/>
              <w:snapToGrid w:val="0"/>
              <w:spacing w:line="340" w:lineRule="exact"/>
              <w:jc w:val="center"/>
              <w:rPr>
                <w:rFonts w:ascii="宋体" w:hAnsi="宋体" w:cs="宋体"/>
                <w:color w:val="000000" w:themeColor="text1"/>
                <w:sz w:val="24"/>
                <w:szCs w:val="24"/>
                <w:highlight w:val="none"/>
                <w14:textFill>
                  <w14:solidFill>
                    <w14:schemeClr w14:val="tx1"/>
                  </w14:solidFill>
                </w14:textFill>
              </w:rPr>
            </w:pPr>
            <w:r>
              <w:rPr>
                <w:rFonts w:cs="Times New Roman"/>
                <w:color w:val="000000" w:themeColor="text1"/>
                <w:sz w:val="24"/>
                <w:szCs w:val="24"/>
                <w:highlight w:val="none"/>
                <w14:textFill>
                  <w14:solidFill>
                    <w14:schemeClr w14:val="tx1"/>
                  </w14:solidFill>
                </w14:textFill>
              </w:rPr>
              <w:t>名称</w:t>
            </w:r>
          </w:p>
        </w:tc>
        <w:tc>
          <w:tcPr>
            <w:tcW w:w="4800" w:type="dxa"/>
            <w:vAlign w:val="center"/>
          </w:tcPr>
          <w:p w14:paraId="4A942617">
            <w:pPr>
              <w:keepNext w:val="0"/>
              <w:keepLines w:val="0"/>
              <w:pageBreakBefore w:val="0"/>
              <w:widowControl/>
              <w:kinsoku/>
              <w:wordWrap/>
              <w:overflowPunct/>
              <w:topLinePunct w:val="0"/>
              <w:autoSpaceDE/>
              <w:autoSpaceDN/>
              <w:bidi w:val="0"/>
              <w:adjustRightInd w:val="0"/>
              <w:snapToGrid w:val="0"/>
              <w:spacing w:line="400" w:lineRule="exact"/>
              <w:textAlignment w:val="auto"/>
              <w:rPr>
                <w:rFonts w:ascii="宋体" w:hAnsi="Calibri" w:cs="Times New Roman"/>
                <w:color w:val="000000" w:themeColor="text1"/>
                <w:sz w:val="24"/>
                <w:szCs w:val="24"/>
                <w:highlight w:val="none"/>
                <w14:textFill>
                  <w14:solidFill>
                    <w14:schemeClr w14:val="tx1"/>
                  </w14:solidFill>
                </w14:textFill>
              </w:rPr>
            </w:pPr>
            <w:r>
              <w:rPr>
                <w:rFonts w:cs="Times New Roman"/>
                <w:b w:val="0"/>
                <w:bCs w:val="0"/>
                <w:color w:val="000000" w:themeColor="text1"/>
                <w:sz w:val="24"/>
                <w:szCs w:val="24"/>
                <w:highlight w:val="none"/>
                <w14:textFill>
                  <w14:solidFill>
                    <w14:schemeClr w14:val="tx1"/>
                  </w14:solidFill>
                </w14:textFill>
              </w:rPr>
              <w:t>营业执照</w:t>
            </w:r>
            <w:r>
              <w:rPr>
                <w:rFonts w:hint="eastAsia" w:cs="Times New Roman"/>
                <w:b w:val="0"/>
                <w:bCs w:val="0"/>
                <w:color w:val="000000" w:themeColor="text1"/>
                <w:sz w:val="24"/>
                <w:szCs w:val="24"/>
                <w:highlight w:val="none"/>
                <w:lang w:eastAsia="zh-CN"/>
                <w14:textFill>
                  <w14:solidFill>
                    <w14:schemeClr w14:val="tx1"/>
                  </w14:solidFill>
                </w14:textFill>
              </w:rPr>
              <w:t>、</w:t>
            </w:r>
            <w:r>
              <w:rPr>
                <w:rFonts w:hint="eastAsia" w:cs="Times New Roman"/>
                <w:b w:val="0"/>
                <w:bCs w:val="0"/>
                <w:color w:val="000000" w:themeColor="text1"/>
                <w:sz w:val="24"/>
                <w:szCs w:val="24"/>
                <w:highlight w:val="none"/>
                <w:lang w:val="en-US" w:eastAsia="zh-CN"/>
                <w14:textFill>
                  <w14:solidFill>
                    <w14:schemeClr w14:val="tx1"/>
                  </w14:solidFill>
                </w14:textFill>
              </w:rPr>
              <w:t>开户许可证一</w:t>
            </w:r>
            <w:r>
              <w:rPr>
                <w:rFonts w:cs="Times New Roman"/>
                <w:b w:val="0"/>
                <w:bCs w:val="0"/>
                <w:color w:val="000000" w:themeColor="text1"/>
                <w:sz w:val="24"/>
                <w:szCs w:val="24"/>
                <w:highlight w:val="none"/>
                <w14:textFill>
                  <w14:solidFill>
                    <w14:schemeClr w14:val="tx1"/>
                  </w14:solidFill>
                </w14:textFill>
              </w:rPr>
              <w:t>致</w:t>
            </w:r>
            <w:r>
              <w:rPr>
                <w:rFonts w:hint="eastAsia" w:cs="Times New Roman"/>
                <w:color w:val="000000" w:themeColor="text1"/>
                <w:sz w:val="24"/>
                <w:szCs w:val="24"/>
                <w:highlight w:val="none"/>
                <w14:textFill>
                  <w14:solidFill>
                    <w14:schemeClr w14:val="tx1"/>
                  </w14:solidFill>
                </w14:textFill>
              </w:rPr>
              <w:t>。</w:t>
            </w:r>
          </w:p>
        </w:tc>
        <w:tc>
          <w:tcPr>
            <w:tcW w:w="987" w:type="dxa"/>
            <w:vAlign w:val="center"/>
          </w:tcPr>
          <w:p w14:paraId="284888EF">
            <w:pPr>
              <w:adjustRightInd w:val="0"/>
              <w:snapToGrid w:val="0"/>
              <w:spacing w:line="340" w:lineRule="exact"/>
              <w:rPr>
                <w:rFonts w:ascii="宋体" w:hAnsi="宋体" w:cs="宋体"/>
                <w:color w:val="000000" w:themeColor="text1"/>
                <w:sz w:val="24"/>
                <w:szCs w:val="24"/>
                <w:highlight w:val="none"/>
                <w14:textFill>
                  <w14:solidFill>
                    <w14:schemeClr w14:val="tx1"/>
                  </w14:solidFill>
                </w14:textFill>
              </w:rPr>
            </w:pPr>
          </w:p>
        </w:tc>
      </w:tr>
      <w:tr w14:paraId="5F3B4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95" w:hRule="atLeast"/>
          <w:jc w:val="center"/>
        </w:trPr>
        <w:tc>
          <w:tcPr>
            <w:tcW w:w="877" w:type="dxa"/>
            <w:vMerge w:val="continue"/>
            <w:vAlign w:val="center"/>
          </w:tcPr>
          <w:p w14:paraId="2EE0B7FF">
            <w:pPr>
              <w:widowControl/>
              <w:adjustRightInd w:val="0"/>
              <w:snapToGrid w:val="0"/>
              <w:spacing w:line="340" w:lineRule="exact"/>
              <w:jc w:val="center"/>
              <w:rPr>
                <w:rFonts w:ascii="宋体" w:hAnsi="宋体" w:cs="宋体"/>
                <w:color w:val="000000" w:themeColor="text1"/>
                <w:sz w:val="24"/>
                <w:szCs w:val="24"/>
                <w:highlight w:val="none"/>
                <w14:textFill>
                  <w14:solidFill>
                    <w14:schemeClr w14:val="tx1"/>
                  </w14:solidFill>
                </w14:textFill>
              </w:rPr>
            </w:pPr>
          </w:p>
        </w:tc>
        <w:tc>
          <w:tcPr>
            <w:tcW w:w="467" w:type="dxa"/>
            <w:vMerge w:val="continue"/>
            <w:vAlign w:val="center"/>
          </w:tcPr>
          <w:p w14:paraId="5D476914">
            <w:pPr>
              <w:spacing w:line="340" w:lineRule="exact"/>
              <w:jc w:val="center"/>
              <w:rPr>
                <w:rFonts w:ascii="Calibri" w:hAnsi="Calibri"/>
                <w:color w:val="000000" w:themeColor="text1"/>
                <w:sz w:val="24"/>
                <w:szCs w:val="24"/>
                <w:highlight w:val="none"/>
                <w14:textFill>
                  <w14:solidFill>
                    <w14:schemeClr w14:val="tx1"/>
                  </w14:solidFill>
                </w14:textFill>
              </w:rPr>
            </w:pPr>
          </w:p>
        </w:tc>
        <w:tc>
          <w:tcPr>
            <w:tcW w:w="1189" w:type="dxa"/>
            <w:vAlign w:val="center"/>
          </w:tcPr>
          <w:p w14:paraId="53620189">
            <w:pPr>
              <w:pStyle w:val="11"/>
              <w:spacing w:line="340" w:lineRule="exact"/>
              <w:jc w:val="center"/>
              <w:rPr>
                <w:rFonts w:ascii="宋体" w:hAnsi="宋体"/>
                <w:color w:val="000000" w:themeColor="text1"/>
                <w:sz w:val="24"/>
                <w:szCs w:val="24"/>
                <w:highlight w:val="none"/>
                <w14:textFill>
                  <w14:solidFill>
                    <w14:schemeClr w14:val="tx1"/>
                  </w14:solidFill>
                </w14:textFill>
              </w:rPr>
            </w:pPr>
            <w:r>
              <w:rPr>
                <w:rFonts w:hint="eastAsia" w:cs="Times New Roman"/>
                <w:color w:val="000000" w:themeColor="text1"/>
                <w:sz w:val="24"/>
                <w:szCs w:val="24"/>
                <w:highlight w:val="none"/>
                <w14:textFill>
                  <w14:solidFill>
                    <w14:schemeClr w14:val="tx1"/>
                  </w14:solidFill>
                </w14:textFill>
              </w:rPr>
              <w:t>签字或盖章要求</w:t>
            </w:r>
          </w:p>
        </w:tc>
        <w:tc>
          <w:tcPr>
            <w:tcW w:w="4800" w:type="dxa"/>
            <w:vAlign w:val="center"/>
          </w:tcPr>
          <w:p w14:paraId="7ABEC0E4">
            <w:pPr>
              <w:keepNext w:val="0"/>
              <w:keepLines w:val="0"/>
              <w:pageBreakBefore w:val="0"/>
              <w:kinsoku/>
              <w:wordWrap/>
              <w:overflowPunct/>
              <w:topLinePunct w:val="0"/>
              <w:autoSpaceDE/>
              <w:autoSpaceDN/>
              <w:bidi w:val="0"/>
              <w:spacing w:line="400" w:lineRule="exact"/>
              <w:textAlignment w:val="auto"/>
              <w:rPr>
                <w:rFonts w:ascii="宋体" w:hAnsi="宋体" w:cs="宋体"/>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响应文件封面、磋商函和其他需要签字或盖章的地方均应加盖</w:t>
            </w:r>
            <w:r>
              <w:rPr>
                <w:rFonts w:hint="eastAsia"/>
                <w:color w:val="000000" w:themeColor="text1"/>
                <w:sz w:val="24"/>
                <w:szCs w:val="24"/>
                <w:highlight w:val="none"/>
                <w14:textFill>
                  <w14:solidFill>
                    <w14:schemeClr w14:val="tx1"/>
                  </w14:solidFill>
                </w14:textFill>
              </w:rPr>
              <w:t>公章</w:t>
            </w:r>
            <w:r>
              <w:rPr>
                <w:rFonts w:hint="eastAsia" w:ascii="宋体" w:hAnsi="宋体" w:cs="宋体"/>
                <w:color w:val="000000" w:themeColor="text1"/>
                <w:sz w:val="24"/>
                <w:szCs w:val="24"/>
                <w:highlight w:val="none"/>
                <w14:textFill>
                  <w14:solidFill>
                    <w14:schemeClr w14:val="tx1"/>
                  </w14:solidFill>
                </w14:textFill>
              </w:rPr>
              <w:t>并经法定代表人或其委托代理人签字或盖章。由委托代理人签字或盖章的在响应文件中须同时递交响应文件授权委托书。响应文件授权委托书格式、签字、盖章及内容均应符合要求，否则响应文件授权委托书无效。</w:t>
            </w:r>
          </w:p>
        </w:tc>
        <w:tc>
          <w:tcPr>
            <w:tcW w:w="987" w:type="dxa"/>
            <w:vAlign w:val="center"/>
          </w:tcPr>
          <w:p w14:paraId="6273A301">
            <w:pPr>
              <w:adjustRightInd w:val="0"/>
              <w:snapToGrid w:val="0"/>
              <w:spacing w:line="340" w:lineRule="exact"/>
              <w:rPr>
                <w:rFonts w:ascii="宋体" w:hAnsi="宋体" w:cs="宋体"/>
                <w:color w:val="000000" w:themeColor="text1"/>
                <w:sz w:val="24"/>
                <w:szCs w:val="24"/>
                <w:highlight w:val="none"/>
                <w14:textFill>
                  <w14:solidFill>
                    <w14:schemeClr w14:val="tx1"/>
                  </w14:solidFill>
                </w14:textFill>
              </w:rPr>
            </w:pPr>
          </w:p>
        </w:tc>
      </w:tr>
      <w:tr w14:paraId="149B6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5" w:hRule="atLeast"/>
          <w:jc w:val="center"/>
        </w:trPr>
        <w:tc>
          <w:tcPr>
            <w:tcW w:w="877" w:type="dxa"/>
            <w:vMerge w:val="continue"/>
            <w:vAlign w:val="center"/>
          </w:tcPr>
          <w:p w14:paraId="3796B2B2">
            <w:pPr>
              <w:widowControl/>
              <w:adjustRightInd w:val="0"/>
              <w:snapToGrid w:val="0"/>
              <w:spacing w:line="340" w:lineRule="exact"/>
              <w:jc w:val="center"/>
              <w:rPr>
                <w:rFonts w:ascii="宋体" w:hAnsi="宋体" w:cs="宋体"/>
                <w:color w:val="000000" w:themeColor="text1"/>
                <w:sz w:val="24"/>
                <w:szCs w:val="24"/>
                <w:highlight w:val="none"/>
                <w14:textFill>
                  <w14:solidFill>
                    <w14:schemeClr w14:val="tx1"/>
                  </w14:solidFill>
                </w14:textFill>
              </w:rPr>
            </w:pPr>
          </w:p>
        </w:tc>
        <w:tc>
          <w:tcPr>
            <w:tcW w:w="467" w:type="dxa"/>
            <w:vMerge w:val="continue"/>
            <w:vAlign w:val="center"/>
          </w:tcPr>
          <w:p w14:paraId="4FF5A325">
            <w:pPr>
              <w:spacing w:line="340" w:lineRule="exact"/>
              <w:jc w:val="center"/>
              <w:rPr>
                <w:rFonts w:ascii="Calibri" w:hAnsi="Calibri"/>
                <w:color w:val="000000" w:themeColor="text1"/>
                <w:sz w:val="24"/>
                <w:szCs w:val="24"/>
                <w:highlight w:val="none"/>
                <w14:textFill>
                  <w14:solidFill>
                    <w14:schemeClr w14:val="tx1"/>
                  </w14:solidFill>
                </w14:textFill>
              </w:rPr>
            </w:pPr>
          </w:p>
        </w:tc>
        <w:tc>
          <w:tcPr>
            <w:tcW w:w="1189" w:type="dxa"/>
            <w:vAlign w:val="center"/>
          </w:tcPr>
          <w:p w14:paraId="2B87860D">
            <w:pPr>
              <w:pStyle w:val="11"/>
              <w:spacing w:line="340" w:lineRule="exact"/>
              <w:jc w:val="center"/>
              <w:rPr>
                <w:rFonts w:cs="Times New Roman"/>
                <w:color w:val="000000" w:themeColor="text1"/>
                <w:sz w:val="24"/>
                <w:szCs w:val="24"/>
                <w:highlight w:val="none"/>
                <w14:textFill>
                  <w14:solidFill>
                    <w14:schemeClr w14:val="tx1"/>
                  </w14:solidFill>
                </w14:textFill>
              </w:rPr>
            </w:pPr>
            <w:r>
              <w:rPr>
                <w:rFonts w:hint="eastAsia" w:cs="Times New Roman"/>
                <w:color w:val="000000" w:themeColor="text1"/>
                <w:sz w:val="24"/>
                <w:szCs w:val="24"/>
                <w:highlight w:val="none"/>
                <w14:textFill>
                  <w14:solidFill>
                    <w14:schemeClr w14:val="tx1"/>
                  </w14:solidFill>
                </w14:textFill>
              </w:rPr>
              <w:t>响应</w:t>
            </w:r>
            <w:r>
              <w:rPr>
                <w:rFonts w:cs="Times New Roman"/>
                <w:color w:val="000000" w:themeColor="text1"/>
                <w:sz w:val="24"/>
                <w:szCs w:val="24"/>
                <w:highlight w:val="none"/>
                <w14:textFill>
                  <w14:solidFill>
                    <w14:schemeClr w14:val="tx1"/>
                  </w14:solidFill>
                </w14:textFill>
              </w:rPr>
              <w:t>文件格式</w:t>
            </w:r>
          </w:p>
        </w:tc>
        <w:tc>
          <w:tcPr>
            <w:tcW w:w="4800" w:type="dxa"/>
            <w:vAlign w:val="center"/>
          </w:tcPr>
          <w:p w14:paraId="122CA125">
            <w:pPr>
              <w:keepNext w:val="0"/>
              <w:keepLines w:val="0"/>
              <w:pageBreakBefore w:val="0"/>
              <w:kinsoku/>
              <w:wordWrap/>
              <w:overflowPunct/>
              <w:topLinePunct w:val="0"/>
              <w:autoSpaceDE/>
              <w:autoSpaceDN/>
              <w:bidi w:val="0"/>
              <w:spacing w:line="400" w:lineRule="exact"/>
              <w:textAlignment w:val="auto"/>
              <w:rPr>
                <w:rFonts w:ascii="宋体" w:hAnsi="宋体" w:cs="Arial"/>
                <w:color w:val="000000" w:themeColor="text1"/>
                <w:sz w:val="24"/>
                <w:szCs w:val="24"/>
                <w:highlight w:val="none"/>
                <w14:textFill>
                  <w14:solidFill>
                    <w14:schemeClr w14:val="tx1"/>
                  </w14:solidFill>
                </w14:textFill>
              </w:rPr>
            </w:pPr>
            <w:r>
              <w:rPr>
                <w:rFonts w:hint="eastAsia" w:ascii="宋体" w:hAnsi="宋体" w:cs="Times New Roman"/>
                <w:color w:val="000000" w:themeColor="text1"/>
                <w:sz w:val="24"/>
                <w:szCs w:val="24"/>
                <w:highlight w:val="none"/>
                <w14:textFill>
                  <w14:solidFill>
                    <w14:schemeClr w14:val="tx1"/>
                  </w14:solidFill>
                </w14:textFill>
              </w:rPr>
              <w:t>按规定的（“竞争性磋商文件格式”）格式填写，内容齐全，字迹清楚。</w:t>
            </w:r>
          </w:p>
        </w:tc>
        <w:tc>
          <w:tcPr>
            <w:tcW w:w="987" w:type="dxa"/>
            <w:vAlign w:val="center"/>
          </w:tcPr>
          <w:p w14:paraId="11CD7BA9">
            <w:pPr>
              <w:adjustRightInd w:val="0"/>
              <w:snapToGrid w:val="0"/>
              <w:spacing w:line="340" w:lineRule="exact"/>
              <w:rPr>
                <w:rFonts w:ascii="宋体" w:hAnsi="宋体" w:cs="宋体"/>
                <w:color w:val="000000" w:themeColor="text1"/>
                <w:sz w:val="24"/>
                <w:szCs w:val="24"/>
                <w:highlight w:val="none"/>
                <w14:textFill>
                  <w14:solidFill>
                    <w14:schemeClr w14:val="tx1"/>
                  </w14:solidFill>
                </w14:textFill>
              </w:rPr>
            </w:pPr>
          </w:p>
        </w:tc>
      </w:tr>
      <w:tr w14:paraId="4E5C6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jc w:val="center"/>
        </w:trPr>
        <w:tc>
          <w:tcPr>
            <w:tcW w:w="877" w:type="dxa"/>
            <w:vMerge w:val="continue"/>
            <w:vAlign w:val="center"/>
          </w:tcPr>
          <w:p w14:paraId="6B478574">
            <w:pPr>
              <w:widowControl/>
              <w:adjustRightInd w:val="0"/>
              <w:snapToGrid w:val="0"/>
              <w:spacing w:line="340" w:lineRule="exact"/>
              <w:jc w:val="center"/>
              <w:rPr>
                <w:rFonts w:ascii="宋体" w:hAnsi="宋体" w:cs="宋体"/>
                <w:color w:val="000000" w:themeColor="text1"/>
                <w:sz w:val="24"/>
                <w:szCs w:val="24"/>
                <w:highlight w:val="none"/>
                <w14:textFill>
                  <w14:solidFill>
                    <w14:schemeClr w14:val="tx1"/>
                  </w14:solidFill>
                </w14:textFill>
              </w:rPr>
            </w:pPr>
          </w:p>
        </w:tc>
        <w:tc>
          <w:tcPr>
            <w:tcW w:w="467" w:type="dxa"/>
            <w:vMerge w:val="continue"/>
            <w:vAlign w:val="center"/>
          </w:tcPr>
          <w:p w14:paraId="2DB5F372">
            <w:pPr>
              <w:spacing w:line="340" w:lineRule="exact"/>
              <w:jc w:val="center"/>
              <w:rPr>
                <w:rFonts w:ascii="Calibri" w:hAnsi="Calibri"/>
                <w:color w:val="000000" w:themeColor="text1"/>
                <w:sz w:val="24"/>
                <w:szCs w:val="24"/>
                <w:highlight w:val="none"/>
                <w14:textFill>
                  <w14:solidFill>
                    <w14:schemeClr w14:val="tx1"/>
                  </w14:solidFill>
                </w14:textFill>
              </w:rPr>
            </w:pPr>
          </w:p>
        </w:tc>
        <w:tc>
          <w:tcPr>
            <w:tcW w:w="1189" w:type="dxa"/>
            <w:vAlign w:val="center"/>
          </w:tcPr>
          <w:p w14:paraId="435996AE">
            <w:pPr>
              <w:pStyle w:val="11"/>
              <w:spacing w:line="340" w:lineRule="exact"/>
              <w:jc w:val="center"/>
              <w:rPr>
                <w:rFonts w:cs="Times New Roman"/>
                <w:color w:val="000000" w:themeColor="text1"/>
                <w:sz w:val="24"/>
                <w:szCs w:val="24"/>
                <w:highlight w:val="none"/>
                <w14:textFill>
                  <w14:solidFill>
                    <w14:schemeClr w14:val="tx1"/>
                  </w14:solidFill>
                </w14:textFill>
              </w:rPr>
            </w:pPr>
            <w:r>
              <w:rPr>
                <w:rFonts w:cs="Times New Roman"/>
                <w:color w:val="000000" w:themeColor="text1"/>
                <w:sz w:val="24"/>
                <w:szCs w:val="24"/>
                <w:highlight w:val="none"/>
                <w14:textFill>
                  <w14:solidFill>
                    <w14:schemeClr w14:val="tx1"/>
                  </w14:solidFill>
                </w14:textFill>
              </w:rPr>
              <w:t>报价唯一</w:t>
            </w:r>
          </w:p>
        </w:tc>
        <w:tc>
          <w:tcPr>
            <w:tcW w:w="4800" w:type="dxa"/>
            <w:vAlign w:val="center"/>
          </w:tcPr>
          <w:p w14:paraId="5198BC3A">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Arial"/>
                <w:color w:val="000000" w:themeColor="text1"/>
                <w:sz w:val="24"/>
                <w:szCs w:val="24"/>
                <w:highlight w:val="none"/>
                <w:lang w:eastAsia="zh-CN"/>
                <w14:textFill>
                  <w14:solidFill>
                    <w14:schemeClr w14:val="tx1"/>
                  </w14:solidFill>
                </w14:textFill>
              </w:rPr>
            </w:pPr>
            <w:r>
              <w:rPr>
                <w:rFonts w:cs="Times New Roman"/>
                <w:color w:val="000000" w:themeColor="text1"/>
                <w:sz w:val="24"/>
                <w:szCs w:val="24"/>
                <w:highlight w:val="none"/>
                <w14:textFill>
                  <w14:solidFill>
                    <w14:schemeClr w14:val="tx1"/>
                  </w14:solidFill>
                </w14:textFill>
              </w:rPr>
              <w:t>只能有一个有效报价</w:t>
            </w:r>
            <w:r>
              <w:rPr>
                <w:rFonts w:hint="eastAsia" w:cs="Times New Roman"/>
                <w:color w:val="000000" w:themeColor="text1"/>
                <w:sz w:val="24"/>
                <w:szCs w:val="24"/>
                <w:highlight w:val="none"/>
                <w:lang w:eastAsia="zh-CN"/>
                <w14:textFill>
                  <w14:solidFill>
                    <w14:schemeClr w14:val="tx1"/>
                  </w14:solidFill>
                </w14:textFill>
              </w:rPr>
              <w:t>。</w:t>
            </w:r>
          </w:p>
        </w:tc>
        <w:tc>
          <w:tcPr>
            <w:tcW w:w="987" w:type="dxa"/>
            <w:vAlign w:val="center"/>
          </w:tcPr>
          <w:p w14:paraId="5ACE9184">
            <w:pPr>
              <w:adjustRightInd w:val="0"/>
              <w:snapToGrid w:val="0"/>
              <w:spacing w:line="340" w:lineRule="exact"/>
              <w:rPr>
                <w:rFonts w:ascii="宋体" w:hAnsi="宋体" w:cs="宋体"/>
                <w:color w:val="000000" w:themeColor="text1"/>
                <w:sz w:val="24"/>
                <w:szCs w:val="24"/>
                <w:highlight w:val="none"/>
                <w14:textFill>
                  <w14:solidFill>
                    <w14:schemeClr w14:val="tx1"/>
                  </w14:solidFill>
                </w14:textFill>
              </w:rPr>
            </w:pPr>
          </w:p>
        </w:tc>
      </w:tr>
      <w:tr w14:paraId="3997F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0" w:hRule="atLeast"/>
          <w:jc w:val="center"/>
        </w:trPr>
        <w:tc>
          <w:tcPr>
            <w:tcW w:w="877" w:type="dxa"/>
            <w:vMerge w:val="restart"/>
            <w:vAlign w:val="center"/>
          </w:tcPr>
          <w:p w14:paraId="025AEF31">
            <w:pPr>
              <w:widowControl/>
              <w:adjustRightInd w:val="0"/>
              <w:snapToGrid w:val="0"/>
              <w:spacing w:line="340" w:lineRule="exact"/>
              <w:jc w:val="center"/>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2</w:t>
            </w:r>
            <w:r>
              <w:rPr>
                <w:rFonts w:ascii="宋体" w:hAnsi="宋体" w:cs="宋体"/>
                <w:color w:val="000000" w:themeColor="text1"/>
                <w:sz w:val="24"/>
                <w:szCs w:val="24"/>
                <w:highlight w:val="none"/>
                <w14:textFill>
                  <w14:solidFill>
                    <w14:schemeClr w14:val="tx1"/>
                  </w14:solidFill>
                </w14:textFill>
              </w:rPr>
              <w:t>.1.</w:t>
            </w:r>
            <w:r>
              <w:rPr>
                <w:rFonts w:hint="eastAsia" w:ascii="宋体" w:hAnsi="宋体" w:cs="宋体"/>
                <w:color w:val="000000" w:themeColor="text1"/>
                <w:sz w:val="24"/>
                <w:szCs w:val="24"/>
                <w:highlight w:val="none"/>
                <w14:textFill>
                  <w14:solidFill>
                    <w14:schemeClr w14:val="tx1"/>
                  </w14:solidFill>
                </w14:textFill>
              </w:rPr>
              <w:t>2</w:t>
            </w:r>
          </w:p>
        </w:tc>
        <w:tc>
          <w:tcPr>
            <w:tcW w:w="467" w:type="dxa"/>
            <w:vMerge w:val="restart"/>
            <w:vAlign w:val="center"/>
          </w:tcPr>
          <w:p w14:paraId="5F6D1E35">
            <w:pPr>
              <w:spacing w:line="340" w:lineRule="exact"/>
              <w:jc w:val="center"/>
              <w:rPr>
                <w:rFonts w:ascii="Calibri" w:hAnsi="Calibri"/>
                <w:color w:val="000000" w:themeColor="text1"/>
                <w:sz w:val="24"/>
                <w:szCs w:val="24"/>
                <w:highlight w:val="none"/>
                <w14:textFill>
                  <w14:solidFill>
                    <w14:schemeClr w14:val="tx1"/>
                  </w14:solidFill>
                </w14:textFill>
              </w:rPr>
            </w:pPr>
            <w:r>
              <w:rPr>
                <w:rFonts w:hint="eastAsia" w:ascii="Calibri" w:hAnsi="Calibri"/>
                <w:color w:val="000000" w:themeColor="text1"/>
                <w:sz w:val="24"/>
                <w:szCs w:val="24"/>
                <w:highlight w:val="none"/>
                <w14:textFill>
                  <w14:solidFill>
                    <w14:schemeClr w14:val="tx1"/>
                  </w14:solidFill>
                </w14:textFill>
              </w:rPr>
              <w:t>资格性审查标准</w:t>
            </w:r>
          </w:p>
        </w:tc>
        <w:tc>
          <w:tcPr>
            <w:tcW w:w="1189" w:type="dxa"/>
            <w:vAlign w:val="center"/>
          </w:tcPr>
          <w:p w14:paraId="192F6104">
            <w:pPr>
              <w:widowControl/>
              <w:adjustRightInd w:val="0"/>
              <w:snapToGrid w:val="0"/>
              <w:spacing w:line="340" w:lineRule="exact"/>
              <w:jc w:val="center"/>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资质要求</w:t>
            </w:r>
          </w:p>
        </w:tc>
        <w:tc>
          <w:tcPr>
            <w:tcW w:w="4800" w:type="dxa"/>
            <w:vAlign w:val="center"/>
          </w:tcPr>
          <w:p w14:paraId="5239944D">
            <w:pPr>
              <w:keepNext w:val="0"/>
              <w:keepLines w:val="0"/>
              <w:pageBreakBefore w:val="0"/>
              <w:widowControl/>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Arial"/>
                <w:b w:val="0"/>
                <w:bCs w:val="0"/>
                <w:color w:val="000000" w:themeColor="text1"/>
                <w:sz w:val="24"/>
                <w:szCs w:val="24"/>
                <w:highlight w:val="none"/>
                <w:lang w:eastAsia="zh-CN"/>
                <w14:textFill>
                  <w14:solidFill>
                    <w14:schemeClr w14:val="tx1"/>
                  </w14:solidFill>
                </w14:textFill>
              </w:rPr>
              <w:t>供应商必须是具有独立承担民事责任能力的在中华人民共和国境内注册的法人或其他组织，投标时提交有效的</w:t>
            </w:r>
            <w:r>
              <w:rPr>
                <w:rFonts w:hint="eastAsia" w:ascii="宋体" w:hAnsi="宋体" w:cs="Arial"/>
                <w:b/>
                <w:bCs/>
                <w:color w:val="000000" w:themeColor="text1"/>
                <w:sz w:val="24"/>
                <w:szCs w:val="24"/>
                <w:highlight w:val="none"/>
                <w:lang w:eastAsia="zh-CN"/>
                <w14:textFill>
                  <w14:solidFill>
                    <w14:schemeClr w14:val="tx1"/>
                  </w14:solidFill>
                </w14:textFill>
              </w:rPr>
              <w:t>营业执照副本，</w:t>
            </w:r>
            <w:r>
              <w:rPr>
                <w:rFonts w:hint="eastAsia" w:ascii="宋体" w:hAnsi="宋体" w:cs="Arial"/>
                <w:b w:val="0"/>
                <w:bCs w:val="0"/>
                <w:color w:val="000000" w:themeColor="text1"/>
                <w:sz w:val="24"/>
                <w:szCs w:val="24"/>
                <w:highlight w:val="none"/>
                <w:lang w:eastAsia="zh-CN"/>
                <w14:textFill>
                  <w14:solidFill>
                    <w14:schemeClr w14:val="tx1"/>
                  </w14:solidFill>
                </w14:textFill>
              </w:rPr>
              <w:t>并要求本项目相适应的相关经营范围，具有相应的人员、设备、资金等方面的能力。</w:t>
            </w:r>
          </w:p>
        </w:tc>
        <w:tc>
          <w:tcPr>
            <w:tcW w:w="987" w:type="dxa"/>
            <w:vAlign w:val="center"/>
          </w:tcPr>
          <w:p w14:paraId="29644774">
            <w:pPr>
              <w:adjustRightInd w:val="0"/>
              <w:snapToGrid w:val="0"/>
              <w:spacing w:line="340" w:lineRule="exact"/>
              <w:rPr>
                <w:rFonts w:ascii="宋体" w:hAnsi="宋体" w:cs="宋体"/>
                <w:color w:val="000000" w:themeColor="text1"/>
                <w:sz w:val="24"/>
                <w:szCs w:val="24"/>
                <w:highlight w:val="none"/>
                <w14:textFill>
                  <w14:solidFill>
                    <w14:schemeClr w14:val="tx1"/>
                  </w14:solidFill>
                </w14:textFill>
              </w:rPr>
            </w:pPr>
          </w:p>
        </w:tc>
      </w:tr>
      <w:tr w14:paraId="79A40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95" w:hRule="atLeast"/>
          <w:jc w:val="center"/>
        </w:trPr>
        <w:tc>
          <w:tcPr>
            <w:tcW w:w="877" w:type="dxa"/>
            <w:vMerge w:val="continue"/>
            <w:vAlign w:val="center"/>
          </w:tcPr>
          <w:p w14:paraId="6E6B99F9">
            <w:pPr>
              <w:widowControl/>
              <w:adjustRightInd w:val="0"/>
              <w:snapToGrid w:val="0"/>
              <w:spacing w:line="340" w:lineRule="exact"/>
              <w:rPr>
                <w:rFonts w:ascii="宋体" w:hAnsi="宋体" w:cs="宋体"/>
                <w:color w:val="000000" w:themeColor="text1"/>
                <w:sz w:val="24"/>
                <w:szCs w:val="24"/>
                <w:highlight w:val="none"/>
                <w14:textFill>
                  <w14:solidFill>
                    <w14:schemeClr w14:val="tx1"/>
                  </w14:solidFill>
                </w14:textFill>
              </w:rPr>
            </w:pPr>
          </w:p>
        </w:tc>
        <w:tc>
          <w:tcPr>
            <w:tcW w:w="467" w:type="dxa"/>
            <w:vMerge w:val="continue"/>
            <w:vAlign w:val="center"/>
          </w:tcPr>
          <w:p w14:paraId="003AFF36">
            <w:pPr>
              <w:spacing w:line="340" w:lineRule="exact"/>
              <w:rPr>
                <w:rFonts w:ascii="Calibri" w:hAnsi="Calibri"/>
                <w:color w:val="000000" w:themeColor="text1"/>
                <w:sz w:val="24"/>
                <w:szCs w:val="24"/>
                <w:highlight w:val="none"/>
                <w14:textFill>
                  <w14:solidFill>
                    <w14:schemeClr w14:val="tx1"/>
                  </w14:solidFill>
                </w14:textFill>
              </w:rPr>
            </w:pPr>
          </w:p>
        </w:tc>
        <w:tc>
          <w:tcPr>
            <w:tcW w:w="1189" w:type="dxa"/>
            <w:vAlign w:val="center"/>
          </w:tcPr>
          <w:p w14:paraId="31B2D4FB">
            <w:pPr>
              <w:widowControl/>
              <w:adjustRightInd w:val="0"/>
              <w:snapToGrid w:val="0"/>
              <w:spacing w:line="340" w:lineRule="exact"/>
              <w:jc w:val="center"/>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财务要求</w:t>
            </w:r>
          </w:p>
        </w:tc>
        <w:tc>
          <w:tcPr>
            <w:tcW w:w="4800" w:type="dxa"/>
            <w:vAlign w:val="center"/>
          </w:tcPr>
          <w:p w14:paraId="43319D4C">
            <w:pPr>
              <w:keepNext w:val="0"/>
              <w:keepLines w:val="0"/>
              <w:pageBreakBefore w:val="0"/>
              <w:widowControl/>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近年（2023年度）财务审计报告或财务报表（含资产负债表、现金流量表、利润表），新成立企业提供当年验资报告或银行出具的公司资信证明</w:t>
            </w:r>
            <w:r>
              <w:rPr>
                <w:rFonts w:hint="eastAsia" w:ascii="宋体" w:hAnsi="宋体" w:cs="宋体"/>
                <w:color w:val="000000" w:themeColor="text1"/>
                <w:sz w:val="24"/>
                <w:szCs w:val="24"/>
                <w:highlight w:val="none"/>
                <w:lang w:eastAsia="zh-CN"/>
                <w14:textFill>
                  <w14:solidFill>
                    <w14:schemeClr w14:val="tx1"/>
                  </w14:solidFill>
                </w14:textFill>
              </w:rPr>
              <w:t>。</w:t>
            </w:r>
          </w:p>
        </w:tc>
        <w:tc>
          <w:tcPr>
            <w:tcW w:w="987" w:type="dxa"/>
            <w:vAlign w:val="center"/>
          </w:tcPr>
          <w:p w14:paraId="15F3476F">
            <w:pPr>
              <w:adjustRightInd w:val="0"/>
              <w:snapToGrid w:val="0"/>
              <w:spacing w:line="340" w:lineRule="exact"/>
              <w:rPr>
                <w:rFonts w:ascii="宋体" w:hAnsi="宋体" w:cs="宋体"/>
                <w:color w:val="000000" w:themeColor="text1"/>
                <w:sz w:val="24"/>
                <w:szCs w:val="24"/>
                <w:highlight w:val="none"/>
                <w14:textFill>
                  <w14:solidFill>
                    <w14:schemeClr w14:val="tx1"/>
                  </w14:solidFill>
                </w14:textFill>
              </w:rPr>
            </w:pPr>
          </w:p>
        </w:tc>
      </w:tr>
      <w:tr w14:paraId="5E8C7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95" w:hRule="atLeast"/>
          <w:jc w:val="center"/>
        </w:trPr>
        <w:tc>
          <w:tcPr>
            <w:tcW w:w="877" w:type="dxa"/>
            <w:vMerge w:val="continue"/>
            <w:vAlign w:val="center"/>
          </w:tcPr>
          <w:p w14:paraId="2742B303">
            <w:pPr>
              <w:widowControl/>
              <w:adjustRightInd w:val="0"/>
              <w:snapToGrid w:val="0"/>
              <w:spacing w:line="340" w:lineRule="exact"/>
              <w:rPr>
                <w:rFonts w:ascii="宋体" w:hAnsi="宋体" w:cs="宋体"/>
                <w:color w:val="000000" w:themeColor="text1"/>
                <w:sz w:val="24"/>
                <w:szCs w:val="24"/>
                <w:highlight w:val="none"/>
                <w14:textFill>
                  <w14:solidFill>
                    <w14:schemeClr w14:val="tx1"/>
                  </w14:solidFill>
                </w14:textFill>
              </w:rPr>
            </w:pPr>
          </w:p>
        </w:tc>
        <w:tc>
          <w:tcPr>
            <w:tcW w:w="467" w:type="dxa"/>
            <w:vMerge w:val="continue"/>
            <w:vAlign w:val="center"/>
          </w:tcPr>
          <w:p w14:paraId="103D7ED3">
            <w:pPr>
              <w:spacing w:line="340" w:lineRule="exact"/>
              <w:rPr>
                <w:rFonts w:ascii="Calibri" w:hAnsi="Calibri"/>
                <w:color w:val="000000" w:themeColor="text1"/>
                <w:sz w:val="24"/>
                <w:szCs w:val="24"/>
                <w:highlight w:val="none"/>
                <w14:textFill>
                  <w14:solidFill>
                    <w14:schemeClr w14:val="tx1"/>
                  </w14:solidFill>
                </w14:textFill>
              </w:rPr>
            </w:pPr>
          </w:p>
        </w:tc>
        <w:tc>
          <w:tcPr>
            <w:tcW w:w="1189" w:type="dxa"/>
            <w:vAlign w:val="center"/>
          </w:tcPr>
          <w:p w14:paraId="6B896EFA">
            <w:pPr>
              <w:widowControl/>
              <w:adjustRightInd w:val="0"/>
              <w:snapToGrid w:val="0"/>
              <w:spacing w:line="340" w:lineRule="exact"/>
              <w:jc w:val="center"/>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项目负责人资格</w:t>
            </w:r>
          </w:p>
        </w:tc>
        <w:tc>
          <w:tcPr>
            <w:tcW w:w="4800" w:type="dxa"/>
            <w:vAlign w:val="center"/>
          </w:tcPr>
          <w:p w14:paraId="71C3F999">
            <w:pPr>
              <w:keepNext w:val="0"/>
              <w:keepLines w:val="0"/>
              <w:pageBreakBefore w:val="0"/>
              <w:widowControl/>
              <w:kinsoku/>
              <w:wordWrap/>
              <w:overflowPunct/>
              <w:topLinePunct w:val="0"/>
              <w:autoSpaceDE/>
              <w:autoSpaceDN/>
              <w:bidi w:val="0"/>
              <w:adjustRightInd w:val="0"/>
              <w:snapToGrid w:val="0"/>
              <w:spacing w:line="400" w:lineRule="exact"/>
              <w:textAlignment w:val="auto"/>
              <w:rPr>
                <w:rFonts w:hint="eastAsia"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eastAsia="zh-CN"/>
                <w14:textFill>
                  <w14:solidFill>
                    <w14:schemeClr w14:val="tx1"/>
                  </w14:solidFill>
                </w14:textFill>
              </w:rPr>
              <w:t>投标人拟派出的项目负责人</w:t>
            </w:r>
            <w:r>
              <w:rPr>
                <w:rFonts w:hint="eastAsia" w:ascii="宋体" w:hAnsi="宋体" w:cs="宋体"/>
                <w:b/>
                <w:bCs/>
                <w:color w:val="000000" w:themeColor="text1"/>
                <w:sz w:val="24"/>
                <w:szCs w:val="24"/>
                <w:highlight w:val="none"/>
                <w:lang w:val="zh-CN" w:eastAsia="zh-CN"/>
                <w14:textFill>
                  <w14:solidFill>
                    <w14:schemeClr w14:val="tx1"/>
                  </w14:solidFill>
                </w14:textFill>
              </w:rPr>
              <w:t>须具备土壤学专业背景（土壤农化、农业资源利用、地理信息系统类、测绘类、测量类、遥感类、地质类、地质实验、土地资源管理、农业区划发展等）相关专业高级工程师（含）及以上职称；</w:t>
            </w:r>
            <w:r>
              <w:rPr>
                <w:rFonts w:hint="eastAsia" w:ascii="宋体" w:hAnsi="宋体" w:cs="宋体"/>
                <w:b w:val="0"/>
                <w:bCs w:val="0"/>
                <w:color w:val="000000" w:themeColor="text1"/>
                <w:sz w:val="24"/>
                <w:szCs w:val="24"/>
                <w:highlight w:val="none"/>
                <w:lang w:val="zh-CN" w:eastAsia="zh-CN"/>
                <w14:textFill>
                  <w14:solidFill>
                    <w14:schemeClr w14:val="tx1"/>
                  </w14:solidFill>
                </w14:textFill>
              </w:rPr>
              <w:t>提供项目负责人的投标截止日期前六个月内任意一个月的社保缴费证明。</w:t>
            </w:r>
          </w:p>
        </w:tc>
        <w:tc>
          <w:tcPr>
            <w:tcW w:w="987" w:type="dxa"/>
            <w:vAlign w:val="center"/>
          </w:tcPr>
          <w:p w14:paraId="67D71D84">
            <w:pPr>
              <w:adjustRightInd w:val="0"/>
              <w:snapToGrid w:val="0"/>
              <w:spacing w:line="340" w:lineRule="exact"/>
              <w:rPr>
                <w:rFonts w:ascii="宋体" w:hAnsi="宋体" w:cs="宋体"/>
                <w:color w:val="000000" w:themeColor="text1"/>
                <w:sz w:val="24"/>
                <w:szCs w:val="24"/>
                <w:highlight w:val="none"/>
                <w14:textFill>
                  <w14:solidFill>
                    <w14:schemeClr w14:val="tx1"/>
                  </w14:solidFill>
                </w14:textFill>
              </w:rPr>
            </w:pPr>
          </w:p>
        </w:tc>
      </w:tr>
      <w:tr w14:paraId="0754D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48" w:hRule="atLeast"/>
          <w:jc w:val="center"/>
        </w:trPr>
        <w:tc>
          <w:tcPr>
            <w:tcW w:w="877" w:type="dxa"/>
            <w:vMerge w:val="continue"/>
            <w:vAlign w:val="center"/>
          </w:tcPr>
          <w:p w14:paraId="21C5328B">
            <w:pPr>
              <w:widowControl/>
              <w:adjustRightInd w:val="0"/>
              <w:snapToGrid w:val="0"/>
              <w:spacing w:line="340" w:lineRule="exact"/>
              <w:rPr>
                <w:rFonts w:ascii="宋体" w:hAnsi="宋体" w:cs="宋体"/>
                <w:color w:val="000000" w:themeColor="text1"/>
                <w:sz w:val="24"/>
                <w:szCs w:val="24"/>
                <w:highlight w:val="none"/>
                <w14:textFill>
                  <w14:solidFill>
                    <w14:schemeClr w14:val="tx1"/>
                  </w14:solidFill>
                </w14:textFill>
              </w:rPr>
            </w:pPr>
          </w:p>
        </w:tc>
        <w:tc>
          <w:tcPr>
            <w:tcW w:w="467" w:type="dxa"/>
            <w:vMerge w:val="continue"/>
            <w:vAlign w:val="center"/>
          </w:tcPr>
          <w:p w14:paraId="6B2929C8">
            <w:pPr>
              <w:spacing w:line="340" w:lineRule="exact"/>
              <w:rPr>
                <w:rFonts w:ascii="Calibri" w:hAnsi="Calibri"/>
                <w:color w:val="000000" w:themeColor="text1"/>
                <w:sz w:val="24"/>
                <w:szCs w:val="24"/>
                <w:highlight w:val="none"/>
                <w14:textFill>
                  <w14:solidFill>
                    <w14:schemeClr w14:val="tx1"/>
                  </w14:solidFill>
                </w14:textFill>
              </w:rPr>
            </w:pPr>
          </w:p>
        </w:tc>
        <w:tc>
          <w:tcPr>
            <w:tcW w:w="1189" w:type="dxa"/>
            <w:vAlign w:val="center"/>
          </w:tcPr>
          <w:p w14:paraId="7580A6FF">
            <w:pPr>
              <w:widowControl/>
              <w:adjustRightInd w:val="0"/>
              <w:snapToGrid w:val="0"/>
              <w:spacing w:line="340" w:lineRule="exact"/>
              <w:jc w:val="center"/>
              <w:rPr>
                <w:rFonts w:ascii="宋体" w:hAnsi="宋体" w:cs="宋体"/>
                <w:color w:val="000000" w:themeColor="text1"/>
                <w:sz w:val="24"/>
                <w:szCs w:val="24"/>
                <w:highlight w:val="none"/>
                <w14:textFill>
                  <w14:solidFill>
                    <w14:schemeClr w14:val="tx1"/>
                  </w14:solidFill>
                </w14:textFill>
              </w:rPr>
            </w:pPr>
            <w:r>
              <w:rPr>
                <w:rFonts w:hint="eastAsia" w:cs="Times New Roman"/>
                <w:color w:val="000000" w:themeColor="text1"/>
                <w:sz w:val="24"/>
                <w:szCs w:val="24"/>
                <w:highlight w:val="none"/>
                <w14:textFill>
                  <w14:solidFill>
                    <w14:schemeClr w14:val="tx1"/>
                  </w14:solidFill>
                </w14:textFill>
              </w:rPr>
              <w:t>企业信誉要求</w:t>
            </w:r>
          </w:p>
        </w:tc>
        <w:tc>
          <w:tcPr>
            <w:tcW w:w="4800" w:type="dxa"/>
            <w:vAlign w:val="center"/>
          </w:tcPr>
          <w:p w14:paraId="6595102E">
            <w:pPr>
              <w:pStyle w:val="78"/>
              <w:keepNext w:val="0"/>
              <w:keepLines w:val="0"/>
              <w:pageBreakBefore w:val="0"/>
              <w:tabs>
                <w:tab w:val="left" w:pos="422"/>
              </w:tabs>
              <w:kinsoku/>
              <w:wordWrap/>
              <w:overflowPunct/>
              <w:topLinePunct w:val="0"/>
              <w:autoSpaceDE/>
              <w:autoSpaceDN/>
              <w:bidi w:val="0"/>
              <w:spacing w:after="0" w:line="300" w:lineRule="exact"/>
              <w:textAlignment w:val="auto"/>
              <w:rPr>
                <w:b w:val="0"/>
                <w:bCs w:val="0"/>
                <w:color w:val="000000" w:themeColor="text1"/>
                <w:sz w:val="24"/>
                <w:szCs w:val="24"/>
                <w:highlight w:val="none"/>
                <w:lang w:eastAsia="zh-CN"/>
                <w14:textFill>
                  <w14:solidFill>
                    <w14:schemeClr w14:val="tx1"/>
                  </w14:solidFill>
                </w14:textFill>
              </w:rPr>
            </w:pPr>
            <w:r>
              <w:rPr>
                <w:rFonts w:hint="eastAsia"/>
                <w:b w:val="0"/>
                <w:bCs w:val="0"/>
                <w:color w:val="000000" w:themeColor="text1"/>
                <w:sz w:val="24"/>
                <w:szCs w:val="24"/>
                <w:highlight w:val="none"/>
                <w14:textFill>
                  <w14:solidFill>
                    <w14:schemeClr w14:val="tx1"/>
                  </w14:solidFill>
                </w14:textFill>
              </w:rPr>
              <w:t>（1）拒绝列入政府取消投标资格记录期间的企业或个人投标（提供由法定代表人或其委托代理人签字并加盖单位公章的承诺书）</w:t>
            </w:r>
            <w:r>
              <w:rPr>
                <w:rFonts w:hint="eastAsia"/>
                <w:b w:val="0"/>
                <w:bCs w:val="0"/>
                <w:color w:val="000000" w:themeColor="text1"/>
                <w:sz w:val="24"/>
                <w:szCs w:val="24"/>
                <w:highlight w:val="none"/>
                <w:lang w:eastAsia="zh-CN"/>
                <w14:textFill>
                  <w14:solidFill>
                    <w14:schemeClr w14:val="tx1"/>
                  </w14:solidFill>
                </w14:textFill>
              </w:rPr>
              <w:t>；</w:t>
            </w:r>
          </w:p>
          <w:p w14:paraId="1641038B">
            <w:pPr>
              <w:pStyle w:val="78"/>
              <w:keepNext w:val="0"/>
              <w:keepLines w:val="0"/>
              <w:pageBreakBefore w:val="0"/>
              <w:tabs>
                <w:tab w:val="left" w:pos="427"/>
              </w:tabs>
              <w:kinsoku/>
              <w:wordWrap/>
              <w:overflowPunct/>
              <w:topLinePunct w:val="0"/>
              <w:autoSpaceDE/>
              <w:autoSpaceDN/>
              <w:bidi w:val="0"/>
              <w:spacing w:after="0" w:line="300" w:lineRule="exact"/>
              <w:textAlignment w:val="auto"/>
              <w:rPr>
                <w:b w:val="0"/>
                <w:bCs w:val="0"/>
                <w:color w:val="000000" w:themeColor="text1"/>
                <w:sz w:val="24"/>
                <w:szCs w:val="24"/>
                <w:highlight w:val="none"/>
                <w:lang w:eastAsia="zh-CN"/>
                <w14:textFill>
                  <w14:solidFill>
                    <w14:schemeClr w14:val="tx1"/>
                  </w14:solidFill>
                </w14:textFill>
              </w:rPr>
            </w:pPr>
            <w:r>
              <w:rPr>
                <w:rFonts w:hint="eastAsia"/>
                <w:b w:val="0"/>
                <w:bCs w:val="0"/>
                <w:color w:val="000000" w:themeColor="text1"/>
                <w:sz w:val="24"/>
                <w:szCs w:val="24"/>
                <w:highlight w:val="none"/>
                <w14:textFill>
                  <w14:solidFill>
                    <w14:schemeClr w14:val="tx1"/>
                  </w14:solidFill>
                </w14:textFill>
              </w:rPr>
              <w:t>（</w:t>
            </w:r>
            <w:r>
              <w:rPr>
                <w:rFonts w:hint="eastAsia"/>
                <w:b w:val="0"/>
                <w:bCs w:val="0"/>
                <w:color w:val="000000" w:themeColor="text1"/>
                <w:sz w:val="24"/>
                <w:szCs w:val="24"/>
                <w:highlight w:val="none"/>
                <w:lang w:val="en-US" w:eastAsia="zh-CN"/>
                <w14:textFill>
                  <w14:solidFill>
                    <w14:schemeClr w14:val="tx1"/>
                  </w14:solidFill>
                </w14:textFill>
              </w:rPr>
              <w:t>2</w:t>
            </w:r>
            <w:r>
              <w:rPr>
                <w:rFonts w:hint="eastAsia"/>
                <w:b w:val="0"/>
                <w:bCs w:val="0"/>
                <w:color w:val="000000" w:themeColor="text1"/>
                <w:sz w:val="24"/>
                <w:szCs w:val="24"/>
                <w:highlight w:val="none"/>
                <w14:textFill>
                  <w14:solidFill>
                    <w14:schemeClr w14:val="tx1"/>
                  </w14:solidFill>
                </w14:textFill>
              </w:rPr>
              <w:t>）</w:t>
            </w:r>
            <w:r>
              <w:rPr>
                <w:rFonts w:hint="eastAsia"/>
                <w:b w:val="0"/>
                <w:bCs w:val="0"/>
                <w:color w:val="000000" w:themeColor="text1"/>
                <w:sz w:val="24"/>
                <w:szCs w:val="24"/>
                <w:highlight w:val="none"/>
                <w:lang w:eastAsia="zh-CN"/>
                <w14:textFill>
                  <w14:solidFill>
                    <w14:schemeClr w14:val="tx1"/>
                  </w14:solidFill>
                </w14:textFill>
              </w:rPr>
              <w:t>未被工商行政管理机关在国家企业信用信息公示系统</w:t>
            </w:r>
            <w:r>
              <w:rPr>
                <w:rFonts w:hint="eastAsia"/>
                <w:b w:val="0"/>
                <w:bCs w:val="0"/>
                <w:color w:val="000000" w:themeColor="text1"/>
                <w:sz w:val="24"/>
                <w:szCs w:val="24"/>
                <w:highlight w:val="none"/>
                <w:lang w:val="en-US" w:eastAsia="zh-CN" w:bidi="en-US"/>
                <w14:textFill>
                  <w14:solidFill>
                    <w14:schemeClr w14:val="tx1"/>
                  </w14:solidFill>
                </w14:textFill>
              </w:rPr>
              <w:t>（http://www.gsxt.gov.cn/）</w:t>
            </w:r>
            <w:r>
              <w:rPr>
                <w:rFonts w:hint="eastAsia"/>
                <w:b w:val="0"/>
                <w:bCs w:val="0"/>
                <w:color w:val="000000" w:themeColor="text1"/>
                <w:sz w:val="24"/>
                <w:szCs w:val="24"/>
                <w:highlight w:val="none"/>
                <w14:textFill>
                  <w14:solidFill>
                    <w14:schemeClr w14:val="tx1"/>
                  </w14:solidFill>
                </w14:textFill>
              </w:rPr>
              <w:t>中列入严重违法失信企业名单；（</w:t>
            </w:r>
            <w:r>
              <w:rPr>
                <w:rFonts w:hint="eastAsia"/>
                <w:b w:val="0"/>
                <w:bCs w:val="0"/>
                <w:color w:val="000000" w:themeColor="text1"/>
                <w:sz w:val="24"/>
                <w:szCs w:val="24"/>
                <w:highlight w:val="none"/>
                <w:lang w:eastAsia="zh-CN"/>
                <w14:textFill>
                  <w14:solidFill>
                    <w14:schemeClr w14:val="tx1"/>
                  </w14:solidFill>
                </w14:textFill>
              </w:rPr>
              <w:t>须提供网络截图加盖公章</w:t>
            </w:r>
            <w:r>
              <w:rPr>
                <w:rFonts w:hint="eastAsia"/>
                <w:b w:val="0"/>
                <w:bCs w:val="0"/>
                <w:color w:val="000000" w:themeColor="text1"/>
                <w:sz w:val="24"/>
                <w:szCs w:val="24"/>
                <w:highlight w:val="none"/>
                <w14:textFill>
                  <w14:solidFill>
                    <w14:schemeClr w14:val="tx1"/>
                  </w14:solidFill>
                </w14:textFill>
              </w:rPr>
              <w:t>）</w:t>
            </w:r>
            <w:r>
              <w:rPr>
                <w:rFonts w:hint="eastAsia"/>
                <w:b w:val="0"/>
                <w:bCs w:val="0"/>
                <w:color w:val="000000" w:themeColor="text1"/>
                <w:sz w:val="24"/>
                <w:szCs w:val="24"/>
                <w:highlight w:val="none"/>
                <w:lang w:eastAsia="zh-CN"/>
                <w14:textFill>
                  <w14:solidFill>
                    <w14:schemeClr w14:val="tx1"/>
                  </w14:solidFill>
                </w14:textFill>
              </w:rPr>
              <w:t>；</w:t>
            </w:r>
          </w:p>
          <w:p w14:paraId="6A8E2584">
            <w:pPr>
              <w:pStyle w:val="78"/>
              <w:keepNext w:val="0"/>
              <w:keepLines w:val="0"/>
              <w:pageBreakBefore w:val="0"/>
              <w:tabs>
                <w:tab w:val="left" w:pos="422"/>
              </w:tabs>
              <w:kinsoku/>
              <w:wordWrap/>
              <w:overflowPunct/>
              <w:topLinePunct w:val="0"/>
              <w:autoSpaceDE/>
              <w:autoSpaceDN/>
              <w:bidi w:val="0"/>
              <w:spacing w:after="0" w:line="300" w:lineRule="exact"/>
              <w:textAlignment w:val="auto"/>
              <w:rPr>
                <w:b w:val="0"/>
                <w:bCs w:val="0"/>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14:textFill>
                  <w14:solidFill>
                    <w14:schemeClr w14:val="tx1"/>
                  </w14:solidFill>
                </w14:textFill>
              </w:rPr>
              <w:t>（</w:t>
            </w:r>
            <w:r>
              <w:rPr>
                <w:rFonts w:hint="eastAsia"/>
                <w:b w:val="0"/>
                <w:bCs w:val="0"/>
                <w:color w:val="000000" w:themeColor="text1"/>
                <w:sz w:val="24"/>
                <w:szCs w:val="24"/>
                <w:highlight w:val="none"/>
                <w:lang w:val="en-US" w:eastAsia="zh-CN"/>
                <w14:textFill>
                  <w14:solidFill>
                    <w14:schemeClr w14:val="tx1"/>
                  </w14:solidFill>
                </w14:textFill>
              </w:rPr>
              <w:t>3</w:t>
            </w:r>
            <w:r>
              <w:rPr>
                <w:rFonts w:hint="eastAsia"/>
                <w:b w:val="0"/>
                <w:bCs w:val="0"/>
                <w:color w:val="000000" w:themeColor="text1"/>
                <w:sz w:val="24"/>
                <w:szCs w:val="24"/>
                <w:highlight w:val="none"/>
                <w14:textFill>
                  <w14:solidFill>
                    <w14:schemeClr w14:val="tx1"/>
                  </w14:solidFill>
                </w14:textFill>
              </w:rPr>
              <w:t>）</w:t>
            </w:r>
            <w:r>
              <w:rPr>
                <w:rFonts w:hint="eastAsia"/>
                <w:b w:val="0"/>
                <w:bCs w:val="0"/>
                <w:color w:val="000000" w:themeColor="text1"/>
                <w:sz w:val="24"/>
                <w:szCs w:val="24"/>
                <w:highlight w:val="none"/>
                <w14:textFill>
                  <w14:solidFill>
                    <w14:schemeClr w14:val="tx1"/>
                  </w14:solidFill>
                </w14:textFill>
              </w:rPr>
              <w:tab/>
            </w:r>
            <w:r>
              <w:rPr>
                <w:rFonts w:hint="eastAsia"/>
                <w:b w:val="0"/>
                <w:bCs w:val="0"/>
                <w:color w:val="000000" w:themeColor="text1"/>
                <w:sz w:val="24"/>
                <w:szCs w:val="24"/>
                <w:highlight w:val="none"/>
                <w14:textFill>
                  <w14:solidFill>
                    <w14:schemeClr w14:val="tx1"/>
                  </w14:solidFill>
                </w14:textFill>
              </w:rPr>
              <w:t>供应商未被列入</w:t>
            </w:r>
            <w:r>
              <w:rPr>
                <w:rFonts w:hint="eastAsia"/>
                <w:b w:val="0"/>
                <w:bCs w:val="0"/>
                <w:color w:val="000000" w:themeColor="text1"/>
                <w:sz w:val="24"/>
                <w:szCs w:val="24"/>
                <w:highlight w:val="none"/>
                <w:lang w:eastAsia="zh-CN"/>
                <w14:textFill>
                  <w14:solidFill>
                    <w14:schemeClr w14:val="tx1"/>
                  </w14:solidFill>
                </w14:textFill>
              </w:rPr>
              <w:t>“</w:t>
            </w:r>
            <w:r>
              <w:rPr>
                <w:rFonts w:hint="eastAsia"/>
                <w:b w:val="0"/>
                <w:bCs w:val="0"/>
                <w:color w:val="000000" w:themeColor="text1"/>
                <w:sz w:val="24"/>
                <w:szCs w:val="24"/>
                <w:highlight w:val="none"/>
                <w14:textFill>
                  <w14:solidFill>
                    <w14:schemeClr w14:val="tx1"/>
                  </w14:solidFill>
                </w14:textFill>
              </w:rPr>
              <w:t>信用</w:t>
            </w:r>
            <w:r>
              <w:rPr>
                <w:rFonts w:hint="eastAsia"/>
                <w:b w:val="0"/>
                <w:bCs w:val="0"/>
                <w:color w:val="000000" w:themeColor="text1"/>
                <w:sz w:val="24"/>
                <w:szCs w:val="24"/>
                <w:highlight w:val="none"/>
                <w:lang w:val="zh-CN" w:eastAsia="zh-CN" w:bidi="zh-CN"/>
                <w14:textFill>
                  <w14:solidFill>
                    <w14:schemeClr w14:val="tx1"/>
                  </w14:solidFill>
                </w14:textFill>
              </w:rPr>
              <w:t>中国”</w:t>
            </w:r>
            <w:r>
              <w:rPr>
                <w:rFonts w:hint="eastAsia"/>
                <w:b w:val="0"/>
                <w:bCs w:val="0"/>
                <w:color w:val="000000" w:themeColor="text1"/>
                <w:sz w:val="24"/>
                <w:szCs w:val="24"/>
                <w:highlight w:val="none"/>
                <w14:textFill>
                  <w14:solidFill>
                    <w14:schemeClr w14:val="tx1"/>
                  </w14:solidFill>
                </w14:textFill>
              </w:rPr>
              <w:t>网站</w:t>
            </w:r>
          </w:p>
          <w:p w14:paraId="22CDFF9F">
            <w:pPr>
              <w:pStyle w:val="78"/>
              <w:keepNext w:val="0"/>
              <w:keepLines w:val="0"/>
              <w:pageBreakBefore w:val="0"/>
              <w:kinsoku/>
              <w:wordWrap/>
              <w:overflowPunct/>
              <w:topLinePunct w:val="0"/>
              <w:autoSpaceDE/>
              <w:autoSpaceDN/>
              <w:bidi w:val="0"/>
              <w:spacing w:after="0" w:line="300" w:lineRule="exact"/>
              <w:textAlignment w:val="auto"/>
              <w:rPr>
                <w:b w:val="0"/>
                <w:bCs w:val="0"/>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lang w:val="en-US" w:bidi="en-US"/>
                <w14:textFill>
                  <w14:solidFill>
                    <w14:schemeClr w14:val="tx1"/>
                  </w14:solidFill>
                </w14:textFill>
              </w:rPr>
              <w:t>（www.creditchina.gov.cn）</w:t>
            </w:r>
            <w:r>
              <w:rPr>
                <w:rFonts w:hint="eastAsia"/>
                <w:b w:val="0"/>
                <w:bCs w:val="0"/>
                <w:color w:val="000000" w:themeColor="text1"/>
                <w:sz w:val="24"/>
                <w:szCs w:val="24"/>
                <w:highlight w:val="none"/>
                <w14:textFill>
                  <w14:solidFill>
                    <w14:schemeClr w14:val="tx1"/>
                  </w14:solidFill>
                </w14:textFill>
              </w:rPr>
              <w:t>、中国政府采购网</w:t>
            </w:r>
          </w:p>
          <w:p w14:paraId="037B288E">
            <w:pPr>
              <w:pStyle w:val="78"/>
              <w:keepNext w:val="0"/>
              <w:keepLines w:val="0"/>
              <w:pageBreakBefore w:val="0"/>
              <w:kinsoku/>
              <w:wordWrap/>
              <w:overflowPunct/>
              <w:topLinePunct w:val="0"/>
              <w:autoSpaceDE/>
              <w:autoSpaceDN/>
              <w:bidi w:val="0"/>
              <w:spacing w:after="0" w:line="300" w:lineRule="exact"/>
              <w:textAlignment w:val="auto"/>
              <w:rPr>
                <w:b w:val="0"/>
                <w:bCs w:val="0"/>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lang w:val="en-US" w:bidi="en-US"/>
                <w14:textFill>
                  <w14:solidFill>
                    <w14:schemeClr w14:val="tx1"/>
                  </w14:solidFill>
                </w14:textFill>
              </w:rPr>
              <w:t>（www.ccgp.gov.cn）</w:t>
            </w:r>
            <w:r>
              <w:rPr>
                <w:rFonts w:hint="eastAsia"/>
                <w:b w:val="0"/>
                <w:bCs w:val="0"/>
                <w:color w:val="000000" w:themeColor="text1"/>
                <w:sz w:val="24"/>
                <w:szCs w:val="24"/>
                <w:highlight w:val="none"/>
                <w14:textFill>
                  <w14:solidFill>
                    <w14:schemeClr w14:val="tx1"/>
                  </w14:solidFill>
                </w14:textFill>
              </w:rPr>
              <w:t>等渠道信用记录失信被执行人、</w:t>
            </w:r>
            <w:r>
              <w:rPr>
                <w:rFonts w:hint="eastAsia"/>
                <w:b w:val="0"/>
                <w:bCs w:val="0"/>
                <w:color w:val="000000" w:themeColor="text1"/>
                <w:sz w:val="24"/>
                <w:szCs w:val="24"/>
                <w:highlight w:val="none"/>
                <w:lang w:eastAsia="zh-CN"/>
                <w14:textFill>
                  <w14:solidFill>
                    <w14:schemeClr w14:val="tx1"/>
                  </w14:solidFill>
                </w14:textFill>
              </w:rPr>
              <w:t>重大税收违法失信主体</w:t>
            </w:r>
            <w:r>
              <w:rPr>
                <w:rFonts w:hint="eastAsia"/>
                <w:b w:val="0"/>
                <w:bCs w:val="0"/>
                <w:color w:val="000000" w:themeColor="text1"/>
                <w:sz w:val="24"/>
                <w:szCs w:val="24"/>
                <w:highlight w:val="none"/>
                <w14:textFill>
                  <w14:solidFill>
                    <w14:schemeClr w14:val="tx1"/>
                  </w14:solidFill>
                </w14:textFill>
              </w:rPr>
              <w:t>、政府采购严重违法失信行为记录名单；（须提供网络截图）。</w:t>
            </w:r>
          </w:p>
          <w:p w14:paraId="3D5480D0">
            <w:pPr>
              <w:keepNext w:val="0"/>
              <w:keepLines w:val="0"/>
              <w:pageBreakBefore w:val="0"/>
              <w:widowControl/>
              <w:kinsoku/>
              <w:wordWrap/>
              <w:overflowPunct/>
              <w:topLinePunct w:val="0"/>
              <w:autoSpaceDE/>
              <w:autoSpaceDN/>
              <w:bidi w:val="0"/>
              <w:adjustRightInd w:val="0"/>
              <w:snapToGrid w:val="0"/>
              <w:spacing w:line="300" w:lineRule="exact"/>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Arial"/>
                <w:b w:val="0"/>
                <w:bCs w:val="0"/>
                <w:color w:val="000000" w:themeColor="text1"/>
                <w:sz w:val="24"/>
                <w:szCs w:val="24"/>
                <w:highlight w:val="none"/>
                <w14:textFill>
                  <w14:solidFill>
                    <w14:schemeClr w14:val="tx1"/>
                  </w14:solidFill>
                </w14:textFill>
              </w:rPr>
              <w:t>提供法定代表人或其授权委托人签字并加盖公章的承诺书。</w:t>
            </w:r>
          </w:p>
        </w:tc>
        <w:tc>
          <w:tcPr>
            <w:tcW w:w="987" w:type="dxa"/>
            <w:vAlign w:val="center"/>
          </w:tcPr>
          <w:p w14:paraId="075CB6E5">
            <w:pPr>
              <w:adjustRightInd w:val="0"/>
              <w:snapToGrid w:val="0"/>
              <w:spacing w:line="340" w:lineRule="exact"/>
              <w:rPr>
                <w:rFonts w:ascii="宋体" w:hAnsi="宋体" w:cs="宋体"/>
                <w:color w:val="000000" w:themeColor="text1"/>
                <w:sz w:val="24"/>
                <w:szCs w:val="24"/>
                <w:highlight w:val="none"/>
                <w14:textFill>
                  <w14:solidFill>
                    <w14:schemeClr w14:val="tx1"/>
                  </w14:solidFill>
                </w14:textFill>
              </w:rPr>
            </w:pPr>
          </w:p>
        </w:tc>
      </w:tr>
      <w:tr w14:paraId="60BAE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30" w:hRule="atLeast"/>
          <w:jc w:val="center"/>
        </w:trPr>
        <w:tc>
          <w:tcPr>
            <w:tcW w:w="877" w:type="dxa"/>
            <w:vMerge w:val="continue"/>
            <w:vAlign w:val="center"/>
          </w:tcPr>
          <w:p w14:paraId="326E8AF8">
            <w:pPr>
              <w:widowControl/>
              <w:adjustRightInd w:val="0"/>
              <w:snapToGrid w:val="0"/>
              <w:spacing w:line="340" w:lineRule="exact"/>
              <w:rPr>
                <w:rFonts w:ascii="宋体" w:hAnsi="宋体" w:cs="宋体"/>
                <w:color w:val="000000" w:themeColor="text1"/>
                <w:sz w:val="24"/>
                <w:szCs w:val="24"/>
                <w:highlight w:val="none"/>
                <w14:textFill>
                  <w14:solidFill>
                    <w14:schemeClr w14:val="tx1"/>
                  </w14:solidFill>
                </w14:textFill>
              </w:rPr>
            </w:pPr>
          </w:p>
        </w:tc>
        <w:tc>
          <w:tcPr>
            <w:tcW w:w="467" w:type="dxa"/>
            <w:vMerge w:val="continue"/>
            <w:vAlign w:val="center"/>
          </w:tcPr>
          <w:p w14:paraId="188FF50B">
            <w:pPr>
              <w:widowControl/>
              <w:adjustRightInd w:val="0"/>
              <w:snapToGrid w:val="0"/>
              <w:spacing w:line="340" w:lineRule="exact"/>
              <w:rPr>
                <w:rFonts w:ascii="宋体" w:hAnsi="宋体" w:cs="宋体"/>
                <w:color w:val="000000" w:themeColor="text1"/>
                <w:sz w:val="24"/>
                <w:szCs w:val="24"/>
                <w:highlight w:val="none"/>
                <w14:textFill>
                  <w14:solidFill>
                    <w14:schemeClr w14:val="tx1"/>
                  </w14:solidFill>
                </w14:textFill>
              </w:rPr>
            </w:pPr>
          </w:p>
        </w:tc>
        <w:tc>
          <w:tcPr>
            <w:tcW w:w="1189" w:type="dxa"/>
            <w:vAlign w:val="center"/>
          </w:tcPr>
          <w:p w14:paraId="2BF6395D">
            <w:pPr>
              <w:widowControl/>
              <w:adjustRightInd w:val="0"/>
              <w:snapToGrid w:val="0"/>
              <w:spacing w:line="340" w:lineRule="exact"/>
              <w:jc w:val="center"/>
              <w:rPr>
                <w:rFonts w:ascii="宋体" w:hAnsi="宋体" w:cs="宋体"/>
                <w:bCs/>
                <w:color w:val="000000" w:themeColor="text1"/>
                <w:sz w:val="24"/>
                <w:szCs w:val="24"/>
                <w:highlight w:val="none"/>
                <w14:textFill>
                  <w14:solidFill>
                    <w14:schemeClr w14:val="tx1"/>
                  </w14:solidFill>
                </w14:textFill>
              </w:rPr>
            </w:pPr>
            <w:r>
              <w:rPr>
                <w:rFonts w:hint="eastAsia" w:ascii="宋体" w:hAnsi="宋体" w:cs="Arial"/>
                <w:bCs/>
                <w:color w:val="000000" w:themeColor="text1"/>
                <w:sz w:val="24"/>
                <w:szCs w:val="24"/>
                <w:highlight w:val="none"/>
                <w14:textFill>
                  <w14:solidFill>
                    <w14:schemeClr w14:val="tx1"/>
                  </w14:solidFill>
                </w14:textFill>
              </w:rPr>
              <w:t>无行贿犯罪证明</w:t>
            </w:r>
          </w:p>
        </w:tc>
        <w:tc>
          <w:tcPr>
            <w:tcW w:w="4800" w:type="dxa"/>
            <w:vAlign w:val="center"/>
          </w:tcPr>
          <w:p w14:paraId="1836B6BD">
            <w:pPr>
              <w:keepNext w:val="0"/>
              <w:keepLines w:val="0"/>
              <w:pageBreakBefore w:val="0"/>
              <w:widowControl/>
              <w:kinsoku/>
              <w:wordWrap/>
              <w:overflowPunct/>
              <w:topLinePunct w:val="0"/>
              <w:autoSpaceDE/>
              <w:autoSpaceDN/>
              <w:bidi w:val="0"/>
              <w:adjustRightInd w:val="0"/>
              <w:snapToGrid w:val="0"/>
              <w:spacing w:line="300" w:lineRule="exact"/>
              <w:textAlignment w:val="auto"/>
              <w:rPr>
                <w:rFonts w:ascii="宋体" w:hAnsi="宋体" w:cs="宋体"/>
                <w:bCs/>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14:textFill>
                  <w14:solidFill>
                    <w14:schemeClr w14:val="tx1"/>
                  </w14:solidFill>
                </w14:textFill>
              </w:rPr>
              <w:t>供应商须对供应商、法定代表人、拟委任的项目经理进行行贿犯罪档案查询</w:t>
            </w:r>
            <w:r>
              <w:rPr>
                <w:rFonts w:hint="eastAsia"/>
                <w:b w:val="0"/>
                <w:bCs w:val="0"/>
                <w:color w:val="000000" w:themeColor="text1"/>
                <w:sz w:val="24"/>
                <w:szCs w:val="24"/>
                <w:highlight w:val="none"/>
                <w:lang w:eastAsia="zh-CN"/>
                <w14:textFill>
                  <w14:solidFill>
                    <w14:schemeClr w14:val="tx1"/>
                  </w14:solidFill>
                </w14:textFill>
              </w:rPr>
              <w:t>[登录中国裁判文书网自行查询,查询时间范围必须包括：本项目信息公告发布之日起（含公告发布当日）前三年]</w:t>
            </w:r>
            <w:r>
              <w:rPr>
                <w:rFonts w:hint="eastAsia"/>
                <w:b w:val="0"/>
                <w:bCs w:val="0"/>
                <w:color w:val="000000" w:themeColor="text1"/>
                <w:sz w:val="24"/>
                <w:szCs w:val="24"/>
                <w:highlight w:val="none"/>
                <w14:textFill>
                  <w14:solidFill>
                    <w14:schemeClr w14:val="tx1"/>
                  </w14:solidFill>
                </w14:textFill>
              </w:rPr>
              <w:t>；（</w:t>
            </w:r>
            <w:r>
              <w:rPr>
                <w:rFonts w:hint="eastAsia"/>
                <w:b w:val="0"/>
                <w:bCs w:val="0"/>
                <w:color w:val="000000" w:themeColor="text1"/>
                <w:sz w:val="24"/>
                <w:szCs w:val="24"/>
                <w:highlight w:val="none"/>
                <w:lang w:eastAsia="zh-CN"/>
                <w14:textFill>
                  <w14:solidFill>
                    <w14:schemeClr w14:val="tx1"/>
                  </w14:solidFill>
                </w14:textFill>
              </w:rPr>
              <w:t>须提供网络截图加盖公章</w:t>
            </w:r>
            <w:r>
              <w:rPr>
                <w:rFonts w:hint="eastAsia"/>
                <w:b w:val="0"/>
                <w:bCs w:val="0"/>
                <w:color w:val="000000" w:themeColor="text1"/>
                <w:sz w:val="24"/>
                <w:szCs w:val="24"/>
                <w:highlight w:val="none"/>
                <w14:textFill>
                  <w14:solidFill>
                    <w14:schemeClr w14:val="tx1"/>
                  </w14:solidFill>
                </w14:textFill>
              </w:rPr>
              <w:t>）</w:t>
            </w:r>
          </w:p>
        </w:tc>
        <w:tc>
          <w:tcPr>
            <w:tcW w:w="987" w:type="dxa"/>
          </w:tcPr>
          <w:p w14:paraId="79BFDF22">
            <w:pPr>
              <w:adjustRightInd w:val="0"/>
              <w:snapToGrid w:val="0"/>
              <w:spacing w:line="340" w:lineRule="exact"/>
              <w:jc w:val="left"/>
              <w:rPr>
                <w:rFonts w:ascii="宋体" w:hAnsi="宋体" w:cs="宋体"/>
                <w:color w:val="000000" w:themeColor="text1"/>
                <w:sz w:val="24"/>
                <w:szCs w:val="24"/>
                <w:highlight w:val="none"/>
                <w14:textFill>
                  <w14:solidFill>
                    <w14:schemeClr w14:val="tx1"/>
                  </w14:solidFill>
                </w14:textFill>
              </w:rPr>
            </w:pPr>
          </w:p>
        </w:tc>
      </w:tr>
      <w:tr w14:paraId="55E7D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60" w:hRule="atLeast"/>
          <w:jc w:val="center"/>
        </w:trPr>
        <w:tc>
          <w:tcPr>
            <w:tcW w:w="877" w:type="dxa"/>
            <w:vMerge w:val="continue"/>
            <w:vAlign w:val="center"/>
          </w:tcPr>
          <w:p w14:paraId="0277914F">
            <w:pPr>
              <w:widowControl/>
              <w:adjustRightInd w:val="0"/>
              <w:snapToGrid w:val="0"/>
              <w:spacing w:line="340" w:lineRule="exact"/>
              <w:rPr>
                <w:rFonts w:ascii="宋体" w:hAnsi="宋体" w:cs="宋体"/>
                <w:color w:val="000000" w:themeColor="text1"/>
                <w:sz w:val="24"/>
                <w:szCs w:val="24"/>
                <w:highlight w:val="none"/>
                <w14:textFill>
                  <w14:solidFill>
                    <w14:schemeClr w14:val="tx1"/>
                  </w14:solidFill>
                </w14:textFill>
              </w:rPr>
            </w:pPr>
          </w:p>
        </w:tc>
        <w:tc>
          <w:tcPr>
            <w:tcW w:w="467" w:type="dxa"/>
            <w:vMerge w:val="continue"/>
            <w:vAlign w:val="center"/>
          </w:tcPr>
          <w:p w14:paraId="1E7CAEC5">
            <w:pPr>
              <w:widowControl/>
              <w:adjustRightInd w:val="0"/>
              <w:snapToGrid w:val="0"/>
              <w:spacing w:line="340" w:lineRule="exact"/>
              <w:rPr>
                <w:rFonts w:ascii="宋体" w:hAnsi="宋体" w:cs="宋体"/>
                <w:color w:val="000000" w:themeColor="text1"/>
                <w:sz w:val="24"/>
                <w:szCs w:val="24"/>
                <w:highlight w:val="none"/>
                <w14:textFill>
                  <w14:solidFill>
                    <w14:schemeClr w14:val="tx1"/>
                  </w14:solidFill>
                </w14:textFill>
              </w:rPr>
            </w:pPr>
          </w:p>
        </w:tc>
        <w:tc>
          <w:tcPr>
            <w:tcW w:w="1189" w:type="dxa"/>
            <w:vAlign w:val="center"/>
          </w:tcPr>
          <w:p w14:paraId="6139E1DD">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00" w:lineRule="exact"/>
              <w:ind w:left="0" w:leftChars="0" w:right="0" w:rightChars="0"/>
              <w:jc w:val="center"/>
              <w:textAlignment w:val="auto"/>
              <w:rPr>
                <w:rFonts w:hint="eastAsia" w:ascii="宋体" w:hAnsi="宋体" w:cs="Arial"/>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依法缴纳税收和社会保障资金的良好记录</w:t>
            </w:r>
          </w:p>
        </w:tc>
        <w:tc>
          <w:tcPr>
            <w:tcW w:w="4800" w:type="dxa"/>
            <w:vAlign w:val="center"/>
          </w:tcPr>
          <w:p w14:paraId="50C9F8CF">
            <w:pPr>
              <w:keepNext w:val="0"/>
              <w:keepLines w:val="0"/>
              <w:pageBreakBefore w:val="0"/>
              <w:widowControl/>
              <w:suppressLineNumbers w:val="0"/>
              <w:kinsoku/>
              <w:wordWrap/>
              <w:overflowPunct/>
              <w:topLinePunct w:val="0"/>
              <w:autoSpaceDE/>
              <w:autoSpaceDN/>
              <w:bidi w:val="0"/>
              <w:adjustRightInd w:val="0"/>
              <w:snapToGrid w:val="0"/>
              <w:spacing w:before="157" w:beforeLines="50" w:beforeAutospacing="0" w:after="0" w:afterAutospacing="0" w:line="300" w:lineRule="exact"/>
              <w:ind w:left="0" w:leftChars="0" w:right="0" w:rightChars="0"/>
              <w:jc w:val="both"/>
              <w:textAlignment w:val="auto"/>
              <w:rPr>
                <w:rFonts w:hint="eastAsia" w:ascii="宋体" w:hAnsi="宋体" w:cs="Arial"/>
                <w:bCs/>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投标人须提供投标截止日期前六个月内任意一个月的依法缴纳税收和社会保障资金相关证明材料。</w:t>
            </w:r>
          </w:p>
        </w:tc>
        <w:tc>
          <w:tcPr>
            <w:tcW w:w="987" w:type="dxa"/>
          </w:tcPr>
          <w:p w14:paraId="51B10902">
            <w:pPr>
              <w:adjustRightInd w:val="0"/>
              <w:snapToGrid w:val="0"/>
              <w:spacing w:line="340" w:lineRule="exact"/>
              <w:jc w:val="left"/>
              <w:rPr>
                <w:rFonts w:ascii="宋体" w:hAnsi="宋体" w:cs="宋体"/>
                <w:color w:val="000000" w:themeColor="text1"/>
                <w:sz w:val="24"/>
                <w:szCs w:val="24"/>
                <w:highlight w:val="none"/>
                <w14:textFill>
                  <w14:solidFill>
                    <w14:schemeClr w14:val="tx1"/>
                  </w14:solidFill>
                </w14:textFill>
              </w:rPr>
            </w:pPr>
          </w:p>
        </w:tc>
      </w:tr>
      <w:tr w14:paraId="35B98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8" w:hRule="atLeast"/>
          <w:jc w:val="center"/>
        </w:trPr>
        <w:tc>
          <w:tcPr>
            <w:tcW w:w="7333" w:type="dxa"/>
            <w:gridSpan w:val="4"/>
            <w:vAlign w:val="center"/>
          </w:tcPr>
          <w:p w14:paraId="6B1AF4AA">
            <w:pPr>
              <w:widowControl/>
              <w:adjustRightInd w:val="0"/>
              <w:snapToGrid w:val="0"/>
              <w:spacing w:line="340" w:lineRule="exact"/>
              <w:jc w:val="center"/>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结论</w:t>
            </w:r>
          </w:p>
        </w:tc>
        <w:tc>
          <w:tcPr>
            <w:tcW w:w="987" w:type="dxa"/>
            <w:vAlign w:val="center"/>
          </w:tcPr>
          <w:p w14:paraId="4D086FF5">
            <w:pPr>
              <w:widowControl/>
              <w:adjustRightInd w:val="0"/>
              <w:snapToGrid w:val="0"/>
              <w:spacing w:line="340" w:lineRule="exact"/>
              <w:jc w:val="center"/>
              <w:rPr>
                <w:rFonts w:ascii="宋体" w:hAnsi="宋体" w:cs="宋体"/>
                <w:color w:val="000000" w:themeColor="text1"/>
                <w:sz w:val="24"/>
                <w:szCs w:val="24"/>
                <w:highlight w:val="none"/>
                <w14:textFill>
                  <w14:solidFill>
                    <w14:schemeClr w14:val="tx1"/>
                  </w14:solidFill>
                </w14:textFill>
              </w:rPr>
            </w:pPr>
          </w:p>
        </w:tc>
      </w:tr>
      <w:tr w14:paraId="2E6C9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0" w:hRule="atLeast"/>
          <w:jc w:val="center"/>
        </w:trPr>
        <w:tc>
          <w:tcPr>
            <w:tcW w:w="8320" w:type="dxa"/>
            <w:gridSpan w:val="5"/>
            <w:vAlign w:val="center"/>
          </w:tcPr>
          <w:p w14:paraId="2686D7DF">
            <w:pPr>
              <w:widowControl/>
              <w:adjustRightInd w:val="0"/>
              <w:snapToGrid w:val="0"/>
              <w:spacing w:line="340" w:lineRule="exact"/>
              <w:jc w:val="left"/>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全体评委签字：</w:t>
            </w:r>
          </w:p>
        </w:tc>
      </w:tr>
    </w:tbl>
    <w:p w14:paraId="698FAF52">
      <w:pPr>
        <w:pStyle w:val="19"/>
        <w:spacing w:line="360" w:lineRule="auto"/>
        <w:rPr>
          <w:rFonts w:hint="eastAsia" w:ascii="Times New Roman" w:hAnsi="Times New Roman"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注：本表中符合评审内容要求的写“√”，不符合评审内容要求的写“×”。结论为“合格”或“不合格。结论不合格的不进入符合性审查阶段。</w:t>
      </w:r>
    </w:p>
    <w:p w14:paraId="3A529DBB">
      <w:pPr>
        <w:rPr>
          <w:rFonts w:hint="eastAsia" w:ascii="Times New Roman" w:hAnsi="Times New Roman" w:cs="Times New Roman"/>
          <w:color w:val="000000" w:themeColor="text1"/>
          <w:sz w:val="24"/>
          <w:szCs w:val="24"/>
          <w:highlight w:val="none"/>
          <w14:textFill>
            <w14:solidFill>
              <w14:schemeClr w14:val="tx1"/>
            </w14:solidFill>
          </w14:textFill>
        </w:rPr>
      </w:pPr>
      <w:r>
        <w:rPr>
          <w:rFonts w:hint="eastAsia" w:ascii="Times New Roman" w:hAnsi="Times New Roman" w:cs="Times New Roman"/>
          <w:color w:val="000000" w:themeColor="text1"/>
          <w:sz w:val="24"/>
          <w:szCs w:val="24"/>
          <w:highlight w:val="none"/>
          <w14:textFill>
            <w14:solidFill>
              <w14:schemeClr w14:val="tx1"/>
            </w14:solidFill>
          </w14:textFill>
        </w:rPr>
        <w:br w:type="page"/>
      </w:r>
    </w:p>
    <w:p w14:paraId="09C72FD2">
      <w:pPr>
        <w:pStyle w:val="31"/>
        <w:ind w:left="0" w:leftChars="0" w:firstLine="480" w:firstLineChars="200"/>
        <w:rPr>
          <w:rFonts w:ascii="Times New Roman" w:hAnsi="Times New Roman" w:cs="Times New Roman"/>
          <w:color w:val="000000" w:themeColor="text1"/>
          <w:sz w:val="24"/>
          <w:szCs w:val="24"/>
          <w:highlight w:val="none"/>
          <w14:textFill>
            <w14:solidFill>
              <w14:schemeClr w14:val="tx1"/>
            </w14:solidFill>
          </w14:textFill>
        </w:rPr>
      </w:pPr>
      <w:r>
        <w:rPr>
          <w:rFonts w:hint="eastAsia" w:ascii="Times New Roman" w:hAnsi="Times New Roman" w:cs="Times New Roman"/>
          <w:color w:val="000000" w:themeColor="text1"/>
          <w:sz w:val="24"/>
          <w:szCs w:val="24"/>
          <w:highlight w:val="none"/>
          <w14:textFill>
            <w14:solidFill>
              <w14:schemeClr w14:val="tx1"/>
            </w14:solidFill>
          </w14:textFill>
        </w:rPr>
        <w:t>磋商小组将对符合资格的供应商的响应文件进行</w:t>
      </w:r>
      <w:r>
        <w:rPr>
          <w:rFonts w:hint="eastAsia" w:cs="Times New Roman"/>
          <w:color w:val="000000" w:themeColor="text1"/>
          <w:sz w:val="24"/>
          <w:szCs w:val="24"/>
          <w:highlight w:val="none"/>
          <w:lang w:eastAsia="zh-CN"/>
          <w14:textFill>
            <w14:solidFill>
              <w14:schemeClr w14:val="tx1"/>
            </w14:solidFill>
          </w14:textFill>
        </w:rPr>
        <w:t>响应</w:t>
      </w:r>
      <w:r>
        <w:rPr>
          <w:rFonts w:hint="eastAsia" w:ascii="Times New Roman" w:hAnsi="Times New Roman" w:cs="Times New Roman"/>
          <w:color w:val="000000" w:themeColor="text1"/>
          <w:sz w:val="24"/>
          <w:szCs w:val="24"/>
          <w:highlight w:val="none"/>
          <w14:textFill>
            <w14:solidFill>
              <w14:schemeClr w14:val="tx1"/>
            </w14:solidFill>
          </w14:textFill>
        </w:rPr>
        <w:t>性审查，以确定其是否满足磋商文件的实质性要求。</w:t>
      </w:r>
    </w:p>
    <w:tbl>
      <w:tblPr>
        <w:tblStyle w:val="32"/>
        <w:tblW w:w="83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
        <w:gridCol w:w="497"/>
        <w:gridCol w:w="1826"/>
        <w:gridCol w:w="3619"/>
        <w:gridCol w:w="1495"/>
      </w:tblGrid>
      <w:tr w14:paraId="4CC21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jc w:val="center"/>
        </w:trPr>
        <w:tc>
          <w:tcPr>
            <w:tcW w:w="1417" w:type="dxa"/>
            <w:gridSpan w:val="2"/>
            <w:vAlign w:val="center"/>
          </w:tcPr>
          <w:p w14:paraId="570CDE9B">
            <w:pPr>
              <w:keepNext w:val="0"/>
              <w:keepLines w:val="0"/>
              <w:pageBreakBefore w:val="0"/>
              <w:widowControl/>
              <w:kinsoku/>
              <w:wordWrap/>
              <w:overflowPunct/>
              <w:topLinePunct w:val="0"/>
              <w:autoSpaceDE/>
              <w:autoSpaceDN/>
              <w:bidi w:val="0"/>
              <w:adjustRightInd w:val="0"/>
              <w:snapToGrid w:val="0"/>
              <w:spacing w:line="360" w:lineRule="exact"/>
              <w:jc w:val="center"/>
              <w:textAlignment w:val="auto"/>
              <w:rPr>
                <w:rFonts w:ascii="宋体" w:hAnsi="Calibri" w:cs="Times New Roman"/>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条款号</w:t>
            </w:r>
          </w:p>
        </w:tc>
        <w:tc>
          <w:tcPr>
            <w:tcW w:w="1826" w:type="dxa"/>
            <w:vAlign w:val="center"/>
          </w:tcPr>
          <w:p w14:paraId="374E958F">
            <w:pPr>
              <w:keepNext w:val="0"/>
              <w:keepLines w:val="0"/>
              <w:pageBreakBefore w:val="0"/>
              <w:widowControl/>
              <w:kinsoku/>
              <w:wordWrap/>
              <w:overflowPunct/>
              <w:topLinePunct w:val="0"/>
              <w:autoSpaceDE/>
              <w:autoSpaceDN/>
              <w:bidi w:val="0"/>
              <w:adjustRightInd w:val="0"/>
              <w:snapToGrid w:val="0"/>
              <w:spacing w:line="360" w:lineRule="exact"/>
              <w:jc w:val="center"/>
              <w:textAlignment w:val="auto"/>
              <w:rPr>
                <w:rFonts w:ascii="宋体" w:hAnsi="Calibri" w:cs="Times New Roman"/>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评审因素</w:t>
            </w:r>
          </w:p>
        </w:tc>
        <w:tc>
          <w:tcPr>
            <w:tcW w:w="3619" w:type="dxa"/>
            <w:vAlign w:val="center"/>
          </w:tcPr>
          <w:p w14:paraId="3BA5FEA2">
            <w:pPr>
              <w:keepNext w:val="0"/>
              <w:keepLines w:val="0"/>
              <w:pageBreakBefore w:val="0"/>
              <w:widowControl/>
              <w:kinsoku/>
              <w:wordWrap/>
              <w:overflowPunct/>
              <w:topLinePunct w:val="0"/>
              <w:autoSpaceDE/>
              <w:autoSpaceDN/>
              <w:bidi w:val="0"/>
              <w:adjustRightInd w:val="0"/>
              <w:snapToGrid w:val="0"/>
              <w:spacing w:line="360" w:lineRule="exact"/>
              <w:jc w:val="center"/>
              <w:textAlignment w:val="auto"/>
              <w:rPr>
                <w:rFonts w:ascii="宋体" w:hAnsi="Calibri" w:cs="Times New Roman"/>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评审标准</w:t>
            </w:r>
          </w:p>
        </w:tc>
        <w:tc>
          <w:tcPr>
            <w:tcW w:w="1495" w:type="dxa"/>
            <w:vAlign w:val="center"/>
          </w:tcPr>
          <w:p w14:paraId="56B8BB29">
            <w:pPr>
              <w:keepNext w:val="0"/>
              <w:keepLines w:val="0"/>
              <w:pageBreakBefore w:val="0"/>
              <w:widowControl/>
              <w:kinsoku/>
              <w:wordWrap/>
              <w:overflowPunct/>
              <w:topLinePunct w:val="0"/>
              <w:autoSpaceDE/>
              <w:autoSpaceDN/>
              <w:bidi w:val="0"/>
              <w:adjustRightInd w:val="0"/>
              <w:snapToGrid w:val="0"/>
              <w:spacing w:line="360" w:lineRule="exact"/>
              <w:jc w:val="center"/>
              <w:textAlignment w:val="auto"/>
              <w:rPr>
                <w:rFonts w:ascii="宋体" w:hAnsi="Calibri" w:cs="Times New Roman"/>
                <w:b/>
                <w:bCs/>
                <w:color w:val="000000" w:themeColor="text1"/>
                <w:sz w:val="24"/>
                <w:szCs w:val="24"/>
                <w:highlight w:val="none"/>
                <w14:textFill>
                  <w14:solidFill>
                    <w14:schemeClr w14:val="tx1"/>
                  </w14:solidFill>
                </w14:textFill>
              </w:rPr>
            </w:pPr>
            <w:r>
              <w:rPr>
                <w:rFonts w:hint="eastAsia" w:ascii="宋体" w:hAnsi="Calibri" w:cs="Times New Roman"/>
                <w:b/>
                <w:bCs/>
                <w:color w:val="000000" w:themeColor="text1"/>
                <w:sz w:val="24"/>
                <w:szCs w:val="24"/>
                <w:highlight w:val="none"/>
                <w14:textFill>
                  <w14:solidFill>
                    <w14:schemeClr w14:val="tx1"/>
                  </w14:solidFill>
                </w14:textFill>
              </w:rPr>
              <w:t>供应商简称</w:t>
            </w:r>
          </w:p>
        </w:tc>
      </w:tr>
      <w:tr w14:paraId="75F37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920" w:type="dxa"/>
            <w:vMerge w:val="restart"/>
            <w:vAlign w:val="center"/>
          </w:tcPr>
          <w:p w14:paraId="6A057E8B">
            <w:pPr>
              <w:keepNext w:val="0"/>
              <w:keepLines w:val="0"/>
              <w:pageBreakBefore w:val="0"/>
              <w:widowControl/>
              <w:kinsoku/>
              <w:wordWrap/>
              <w:overflowPunct/>
              <w:topLinePunct w:val="0"/>
              <w:autoSpaceDE/>
              <w:autoSpaceDN/>
              <w:bidi w:val="0"/>
              <w:adjustRightInd w:val="0"/>
              <w:snapToGrid w:val="0"/>
              <w:spacing w:line="360" w:lineRule="exact"/>
              <w:jc w:val="center"/>
              <w:textAlignment w:val="auto"/>
              <w:rPr>
                <w:rFonts w:ascii="宋体" w:hAnsi="Calibri" w:cs="Times New Roman"/>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2</w:t>
            </w:r>
            <w:r>
              <w:rPr>
                <w:rFonts w:ascii="宋体" w:hAnsi="宋体" w:cs="宋体"/>
                <w:color w:val="000000" w:themeColor="text1"/>
                <w:sz w:val="24"/>
                <w:szCs w:val="24"/>
                <w:highlight w:val="none"/>
                <w14:textFill>
                  <w14:solidFill>
                    <w14:schemeClr w14:val="tx1"/>
                  </w14:solidFill>
                </w14:textFill>
              </w:rPr>
              <w:t>.1.</w:t>
            </w:r>
            <w:r>
              <w:rPr>
                <w:rFonts w:hint="eastAsia" w:ascii="宋体" w:hAnsi="宋体" w:cs="宋体"/>
                <w:color w:val="000000" w:themeColor="text1"/>
                <w:sz w:val="24"/>
                <w:szCs w:val="24"/>
                <w:highlight w:val="none"/>
                <w14:textFill>
                  <w14:solidFill>
                    <w14:schemeClr w14:val="tx1"/>
                  </w14:solidFill>
                </w14:textFill>
              </w:rPr>
              <w:t>3</w:t>
            </w:r>
          </w:p>
        </w:tc>
        <w:tc>
          <w:tcPr>
            <w:tcW w:w="497" w:type="dxa"/>
            <w:vMerge w:val="restart"/>
            <w:vAlign w:val="center"/>
          </w:tcPr>
          <w:p w14:paraId="1E9045B3">
            <w:pPr>
              <w:keepNext w:val="0"/>
              <w:keepLines w:val="0"/>
              <w:pageBreakBefore w:val="0"/>
              <w:widowControl/>
              <w:kinsoku/>
              <w:wordWrap/>
              <w:overflowPunct/>
              <w:topLinePunct w:val="0"/>
              <w:autoSpaceDE/>
              <w:autoSpaceDN/>
              <w:bidi w:val="0"/>
              <w:adjustRightInd w:val="0"/>
              <w:snapToGrid w:val="0"/>
              <w:spacing w:line="360" w:lineRule="exact"/>
              <w:jc w:val="center"/>
              <w:textAlignment w:val="auto"/>
              <w:rPr>
                <w:rFonts w:ascii="宋体" w:hAnsi="Calibri" w:cs="Times New Roman"/>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响应性评审标准</w:t>
            </w:r>
          </w:p>
        </w:tc>
        <w:tc>
          <w:tcPr>
            <w:tcW w:w="1826" w:type="dxa"/>
            <w:vAlign w:val="center"/>
          </w:tcPr>
          <w:p w14:paraId="010B920B">
            <w:pPr>
              <w:keepNext w:val="0"/>
              <w:keepLines w:val="0"/>
              <w:pageBreakBefore w:val="0"/>
              <w:widowControl/>
              <w:kinsoku/>
              <w:wordWrap/>
              <w:overflowPunct/>
              <w:topLinePunct w:val="0"/>
              <w:autoSpaceDE/>
              <w:autoSpaceDN/>
              <w:bidi w:val="0"/>
              <w:adjustRightInd w:val="0"/>
              <w:snapToGrid w:val="0"/>
              <w:spacing w:line="36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cs="Times New Roman"/>
                <w:color w:val="000000" w:themeColor="text1"/>
                <w:sz w:val="24"/>
                <w:szCs w:val="24"/>
                <w:highlight w:val="none"/>
                <w14:textFill>
                  <w14:solidFill>
                    <w14:schemeClr w14:val="tx1"/>
                  </w14:solidFill>
                </w14:textFill>
              </w:rPr>
              <w:t>合同履行期限</w:t>
            </w:r>
          </w:p>
        </w:tc>
        <w:tc>
          <w:tcPr>
            <w:tcW w:w="3619" w:type="dxa"/>
            <w:vAlign w:val="center"/>
          </w:tcPr>
          <w:p w14:paraId="5F39236E">
            <w:pPr>
              <w:keepNext w:val="0"/>
              <w:keepLines w:val="0"/>
              <w:pageBreakBefore w:val="0"/>
              <w:widowControl/>
              <w:kinsoku/>
              <w:wordWrap/>
              <w:overflowPunct/>
              <w:topLinePunct w:val="0"/>
              <w:autoSpaceDE/>
              <w:autoSpaceDN/>
              <w:bidi w:val="0"/>
              <w:adjustRightInd w:val="0"/>
              <w:snapToGrid w:val="0"/>
              <w:spacing w:line="400" w:lineRule="exact"/>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Times New Roman"/>
                <w:color w:val="000000" w:themeColor="text1"/>
                <w:sz w:val="24"/>
                <w:szCs w:val="24"/>
                <w:highlight w:val="none"/>
                <w14:textFill>
                  <w14:solidFill>
                    <w14:schemeClr w14:val="tx1"/>
                  </w14:solidFill>
                </w14:textFill>
              </w:rPr>
              <w:t>符合文件要求</w:t>
            </w:r>
            <w:r>
              <w:rPr>
                <w:rFonts w:hint="eastAsia" w:ascii="宋体" w:hAnsi="宋体" w:cs="Times New Roman"/>
                <w:color w:val="000000" w:themeColor="text1"/>
                <w:sz w:val="24"/>
                <w:szCs w:val="24"/>
                <w:highlight w:val="none"/>
                <w:lang w:eastAsia="zh-CN"/>
                <w14:textFill>
                  <w14:solidFill>
                    <w14:schemeClr w14:val="tx1"/>
                  </w14:solidFill>
                </w14:textFill>
              </w:rPr>
              <w:t>。</w:t>
            </w:r>
          </w:p>
        </w:tc>
        <w:tc>
          <w:tcPr>
            <w:tcW w:w="1495" w:type="dxa"/>
            <w:vAlign w:val="center"/>
          </w:tcPr>
          <w:p w14:paraId="1E84360A">
            <w:pPr>
              <w:keepNext w:val="0"/>
              <w:keepLines w:val="0"/>
              <w:pageBreakBefore w:val="0"/>
              <w:widowControl/>
              <w:kinsoku/>
              <w:wordWrap/>
              <w:overflowPunct/>
              <w:topLinePunct w:val="0"/>
              <w:autoSpaceDE/>
              <w:autoSpaceDN/>
              <w:bidi w:val="0"/>
              <w:adjustRightInd w:val="0"/>
              <w:snapToGrid w:val="0"/>
              <w:spacing w:line="360" w:lineRule="exact"/>
              <w:textAlignment w:val="auto"/>
              <w:rPr>
                <w:rFonts w:ascii="宋体" w:hAnsi="Calibri" w:cs="Times New Roman"/>
                <w:color w:val="000000" w:themeColor="text1"/>
                <w:sz w:val="24"/>
                <w:szCs w:val="24"/>
                <w:highlight w:val="none"/>
                <w14:textFill>
                  <w14:solidFill>
                    <w14:schemeClr w14:val="tx1"/>
                  </w14:solidFill>
                </w14:textFill>
              </w:rPr>
            </w:pPr>
          </w:p>
        </w:tc>
      </w:tr>
      <w:tr w14:paraId="18C5A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920" w:type="dxa"/>
            <w:vMerge w:val="continue"/>
            <w:vAlign w:val="center"/>
          </w:tcPr>
          <w:p w14:paraId="433C3F53">
            <w:pPr>
              <w:keepNext w:val="0"/>
              <w:keepLines w:val="0"/>
              <w:pageBreakBefore w:val="0"/>
              <w:kinsoku/>
              <w:wordWrap/>
              <w:overflowPunct/>
              <w:topLinePunct w:val="0"/>
              <w:autoSpaceDE/>
              <w:autoSpaceDN/>
              <w:bidi w:val="0"/>
              <w:adjustRightInd w:val="0"/>
              <w:snapToGrid w:val="0"/>
              <w:spacing w:line="360" w:lineRule="exact"/>
              <w:textAlignment w:val="auto"/>
              <w:rPr>
                <w:rFonts w:ascii="宋体" w:hAnsi="Calibri" w:cs="Times New Roman"/>
                <w:color w:val="000000" w:themeColor="text1"/>
                <w:sz w:val="24"/>
                <w:szCs w:val="24"/>
                <w:highlight w:val="none"/>
                <w14:textFill>
                  <w14:solidFill>
                    <w14:schemeClr w14:val="tx1"/>
                  </w14:solidFill>
                </w14:textFill>
              </w:rPr>
            </w:pPr>
          </w:p>
        </w:tc>
        <w:tc>
          <w:tcPr>
            <w:tcW w:w="497" w:type="dxa"/>
            <w:vMerge w:val="continue"/>
            <w:vAlign w:val="center"/>
          </w:tcPr>
          <w:p w14:paraId="5D549662">
            <w:pPr>
              <w:keepNext w:val="0"/>
              <w:keepLines w:val="0"/>
              <w:pageBreakBefore w:val="0"/>
              <w:kinsoku/>
              <w:wordWrap/>
              <w:overflowPunct/>
              <w:topLinePunct w:val="0"/>
              <w:autoSpaceDE/>
              <w:autoSpaceDN/>
              <w:bidi w:val="0"/>
              <w:adjustRightInd w:val="0"/>
              <w:snapToGrid w:val="0"/>
              <w:spacing w:line="360" w:lineRule="exact"/>
              <w:textAlignment w:val="auto"/>
              <w:rPr>
                <w:rFonts w:ascii="宋体" w:hAnsi="Calibri" w:cs="Times New Roman"/>
                <w:color w:val="000000" w:themeColor="text1"/>
                <w:sz w:val="24"/>
                <w:szCs w:val="24"/>
                <w:highlight w:val="none"/>
                <w14:textFill>
                  <w14:solidFill>
                    <w14:schemeClr w14:val="tx1"/>
                  </w14:solidFill>
                </w14:textFill>
              </w:rPr>
            </w:pPr>
          </w:p>
        </w:tc>
        <w:tc>
          <w:tcPr>
            <w:tcW w:w="1826" w:type="dxa"/>
            <w:vAlign w:val="center"/>
          </w:tcPr>
          <w:p w14:paraId="20492D9B">
            <w:pPr>
              <w:keepNext w:val="0"/>
              <w:keepLines w:val="0"/>
              <w:pageBreakBefore w:val="0"/>
              <w:widowControl/>
              <w:kinsoku/>
              <w:wordWrap/>
              <w:overflowPunct/>
              <w:topLinePunct w:val="0"/>
              <w:autoSpaceDE/>
              <w:autoSpaceDN/>
              <w:bidi w:val="0"/>
              <w:adjustRightInd w:val="0"/>
              <w:snapToGrid w:val="0"/>
              <w:spacing w:line="360" w:lineRule="exact"/>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cs="Times New Roman"/>
                <w:color w:val="000000" w:themeColor="text1"/>
                <w:sz w:val="24"/>
                <w:szCs w:val="24"/>
                <w:highlight w:val="none"/>
                <w:lang w:eastAsia="zh-CN"/>
                <w14:textFill>
                  <w14:solidFill>
                    <w14:schemeClr w14:val="tx1"/>
                  </w14:solidFill>
                </w14:textFill>
              </w:rPr>
              <w:t>服务要求</w:t>
            </w:r>
          </w:p>
        </w:tc>
        <w:tc>
          <w:tcPr>
            <w:tcW w:w="3619" w:type="dxa"/>
            <w:vAlign w:val="center"/>
          </w:tcPr>
          <w:p w14:paraId="55F6C71C">
            <w:pPr>
              <w:keepNext w:val="0"/>
              <w:keepLines w:val="0"/>
              <w:pageBreakBefore w:val="0"/>
              <w:widowControl/>
              <w:kinsoku/>
              <w:wordWrap/>
              <w:overflowPunct/>
              <w:topLinePunct w:val="0"/>
              <w:autoSpaceDE/>
              <w:autoSpaceDN/>
              <w:bidi w:val="0"/>
              <w:adjustRightInd w:val="0"/>
              <w:snapToGrid w:val="0"/>
              <w:spacing w:line="400" w:lineRule="exact"/>
              <w:jc w:val="both"/>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Arial"/>
                <w:color w:val="000000" w:themeColor="text1"/>
                <w:sz w:val="24"/>
                <w:szCs w:val="24"/>
                <w:highlight w:val="none"/>
                <w14:textFill>
                  <w14:solidFill>
                    <w14:schemeClr w14:val="tx1"/>
                  </w14:solidFill>
                </w14:textFill>
              </w:rPr>
              <w:t>符合文件要求(合格)</w:t>
            </w:r>
          </w:p>
        </w:tc>
        <w:tc>
          <w:tcPr>
            <w:tcW w:w="1495" w:type="dxa"/>
            <w:vAlign w:val="center"/>
          </w:tcPr>
          <w:p w14:paraId="3C9D720B">
            <w:pPr>
              <w:keepNext w:val="0"/>
              <w:keepLines w:val="0"/>
              <w:pageBreakBefore w:val="0"/>
              <w:widowControl/>
              <w:kinsoku/>
              <w:wordWrap/>
              <w:overflowPunct/>
              <w:topLinePunct w:val="0"/>
              <w:autoSpaceDE/>
              <w:autoSpaceDN/>
              <w:bidi w:val="0"/>
              <w:adjustRightInd w:val="0"/>
              <w:snapToGrid w:val="0"/>
              <w:spacing w:line="360" w:lineRule="exact"/>
              <w:textAlignment w:val="auto"/>
              <w:rPr>
                <w:rFonts w:ascii="宋体" w:hAnsi="Calibri" w:cs="Times New Roman"/>
                <w:color w:val="000000" w:themeColor="text1"/>
                <w:sz w:val="24"/>
                <w:szCs w:val="24"/>
                <w:highlight w:val="none"/>
                <w14:textFill>
                  <w14:solidFill>
                    <w14:schemeClr w14:val="tx1"/>
                  </w14:solidFill>
                </w14:textFill>
              </w:rPr>
            </w:pPr>
          </w:p>
        </w:tc>
      </w:tr>
      <w:tr w14:paraId="066E3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920" w:type="dxa"/>
            <w:vMerge w:val="continue"/>
            <w:vAlign w:val="center"/>
          </w:tcPr>
          <w:p w14:paraId="3C0ED24C">
            <w:pPr>
              <w:keepNext w:val="0"/>
              <w:keepLines w:val="0"/>
              <w:pageBreakBefore w:val="0"/>
              <w:kinsoku/>
              <w:wordWrap/>
              <w:overflowPunct/>
              <w:topLinePunct w:val="0"/>
              <w:autoSpaceDE/>
              <w:autoSpaceDN/>
              <w:bidi w:val="0"/>
              <w:adjustRightInd w:val="0"/>
              <w:snapToGrid w:val="0"/>
              <w:spacing w:line="360" w:lineRule="exact"/>
              <w:textAlignment w:val="auto"/>
              <w:rPr>
                <w:rFonts w:ascii="宋体" w:hAnsi="Calibri" w:cs="Times New Roman"/>
                <w:color w:val="000000" w:themeColor="text1"/>
                <w:sz w:val="24"/>
                <w:szCs w:val="24"/>
                <w:highlight w:val="none"/>
                <w14:textFill>
                  <w14:solidFill>
                    <w14:schemeClr w14:val="tx1"/>
                  </w14:solidFill>
                </w14:textFill>
              </w:rPr>
            </w:pPr>
          </w:p>
        </w:tc>
        <w:tc>
          <w:tcPr>
            <w:tcW w:w="497" w:type="dxa"/>
            <w:vMerge w:val="continue"/>
            <w:vAlign w:val="center"/>
          </w:tcPr>
          <w:p w14:paraId="117D1CE7">
            <w:pPr>
              <w:keepNext w:val="0"/>
              <w:keepLines w:val="0"/>
              <w:pageBreakBefore w:val="0"/>
              <w:kinsoku/>
              <w:wordWrap/>
              <w:overflowPunct/>
              <w:topLinePunct w:val="0"/>
              <w:autoSpaceDE/>
              <w:autoSpaceDN/>
              <w:bidi w:val="0"/>
              <w:adjustRightInd w:val="0"/>
              <w:snapToGrid w:val="0"/>
              <w:spacing w:line="360" w:lineRule="exact"/>
              <w:textAlignment w:val="auto"/>
              <w:rPr>
                <w:rFonts w:ascii="宋体" w:hAnsi="Calibri" w:cs="Times New Roman"/>
                <w:color w:val="000000" w:themeColor="text1"/>
                <w:sz w:val="24"/>
                <w:szCs w:val="24"/>
                <w:highlight w:val="none"/>
                <w14:textFill>
                  <w14:solidFill>
                    <w14:schemeClr w14:val="tx1"/>
                  </w14:solidFill>
                </w14:textFill>
              </w:rPr>
            </w:pPr>
          </w:p>
        </w:tc>
        <w:tc>
          <w:tcPr>
            <w:tcW w:w="1826" w:type="dxa"/>
            <w:vAlign w:val="center"/>
          </w:tcPr>
          <w:p w14:paraId="2AB40BF3">
            <w:pPr>
              <w:keepNext w:val="0"/>
              <w:keepLines w:val="0"/>
              <w:pageBreakBefore w:val="0"/>
              <w:widowControl/>
              <w:kinsoku/>
              <w:wordWrap/>
              <w:overflowPunct/>
              <w:topLinePunct w:val="0"/>
              <w:autoSpaceDE/>
              <w:autoSpaceDN/>
              <w:bidi w:val="0"/>
              <w:adjustRightInd w:val="0"/>
              <w:snapToGrid w:val="0"/>
              <w:spacing w:line="36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cs="Times New Roman"/>
                <w:color w:val="000000" w:themeColor="text1"/>
                <w:sz w:val="24"/>
                <w:szCs w:val="24"/>
                <w:highlight w:val="none"/>
                <w14:textFill>
                  <w14:solidFill>
                    <w14:schemeClr w14:val="tx1"/>
                  </w14:solidFill>
                </w14:textFill>
              </w:rPr>
              <w:t>磋商有效期</w:t>
            </w:r>
          </w:p>
        </w:tc>
        <w:tc>
          <w:tcPr>
            <w:tcW w:w="3619" w:type="dxa"/>
            <w:vAlign w:val="center"/>
          </w:tcPr>
          <w:p w14:paraId="7DE16B78">
            <w:pPr>
              <w:keepNext w:val="0"/>
              <w:keepLines w:val="0"/>
              <w:pageBreakBefore w:val="0"/>
              <w:widowControl/>
              <w:kinsoku/>
              <w:wordWrap/>
              <w:overflowPunct/>
              <w:topLinePunct w:val="0"/>
              <w:autoSpaceDE/>
              <w:autoSpaceDN/>
              <w:bidi w:val="0"/>
              <w:adjustRightInd w:val="0"/>
              <w:snapToGrid w:val="0"/>
              <w:spacing w:line="400" w:lineRule="exact"/>
              <w:jc w:val="both"/>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Times New Roman"/>
                <w:color w:val="000000" w:themeColor="text1"/>
                <w:sz w:val="24"/>
                <w:szCs w:val="24"/>
                <w:highlight w:val="none"/>
                <w14:textFill>
                  <w14:solidFill>
                    <w14:schemeClr w14:val="tx1"/>
                  </w14:solidFill>
                </w14:textFill>
              </w:rPr>
              <w:t>符合文件的要求(60日历天)</w:t>
            </w:r>
          </w:p>
        </w:tc>
        <w:tc>
          <w:tcPr>
            <w:tcW w:w="1495" w:type="dxa"/>
            <w:vAlign w:val="center"/>
          </w:tcPr>
          <w:p w14:paraId="2BAA3DEF">
            <w:pPr>
              <w:keepNext w:val="0"/>
              <w:keepLines w:val="0"/>
              <w:pageBreakBefore w:val="0"/>
              <w:widowControl/>
              <w:kinsoku/>
              <w:wordWrap/>
              <w:overflowPunct/>
              <w:topLinePunct w:val="0"/>
              <w:autoSpaceDE/>
              <w:autoSpaceDN/>
              <w:bidi w:val="0"/>
              <w:adjustRightInd w:val="0"/>
              <w:snapToGrid w:val="0"/>
              <w:spacing w:line="360" w:lineRule="exact"/>
              <w:textAlignment w:val="auto"/>
              <w:rPr>
                <w:rFonts w:ascii="宋体" w:hAnsi="Calibri" w:cs="Times New Roman"/>
                <w:color w:val="000000" w:themeColor="text1"/>
                <w:sz w:val="24"/>
                <w:szCs w:val="24"/>
                <w:highlight w:val="none"/>
                <w14:textFill>
                  <w14:solidFill>
                    <w14:schemeClr w14:val="tx1"/>
                  </w14:solidFill>
                </w14:textFill>
              </w:rPr>
            </w:pPr>
          </w:p>
        </w:tc>
      </w:tr>
      <w:tr w14:paraId="3BA30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920" w:type="dxa"/>
            <w:vMerge w:val="continue"/>
            <w:vAlign w:val="center"/>
          </w:tcPr>
          <w:p w14:paraId="149BD25C">
            <w:pPr>
              <w:keepNext w:val="0"/>
              <w:keepLines w:val="0"/>
              <w:pageBreakBefore w:val="0"/>
              <w:kinsoku/>
              <w:wordWrap/>
              <w:overflowPunct/>
              <w:topLinePunct w:val="0"/>
              <w:autoSpaceDE/>
              <w:autoSpaceDN/>
              <w:bidi w:val="0"/>
              <w:adjustRightInd w:val="0"/>
              <w:snapToGrid w:val="0"/>
              <w:spacing w:line="360" w:lineRule="exact"/>
              <w:textAlignment w:val="auto"/>
              <w:rPr>
                <w:rFonts w:ascii="宋体" w:hAnsi="Calibri" w:cs="Times New Roman"/>
                <w:color w:val="000000" w:themeColor="text1"/>
                <w:sz w:val="24"/>
                <w:szCs w:val="24"/>
                <w:highlight w:val="none"/>
                <w14:textFill>
                  <w14:solidFill>
                    <w14:schemeClr w14:val="tx1"/>
                  </w14:solidFill>
                </w14:textFill>
              </w:rPr>
            </w:pPr>
          </w:p>
        </w:tc>
        <w:tc>
          <w:tcPr>
            <w:tcW w:w="497" w:type="dxa"/>
            <w:vMerge w:val="continue"/>
            <w:vAlign w:val="center"/>
          </w:tcPr>
          <w:p w14:paraId="22E96E55">
            <w:pPr>
              <w:keepNext w:val="0"/>
              <w:keepLines w:val="0"/>
              <w:pageBreakBefore w:val="0"/>
              <w:kinsoku/>
              <w:wordWrap/>
              <w:overflowPunct/>
              <w:topLinePunct w:val="0"/>
              <w:autoSpaceDE/>
              <w:autoSpaceDN/>
              <w:bidi w:val="0"/>
              <w:adjustRightInd w:val="0"/>
              <w:snapToGrid w:val="0"/>
              <w:spacing w:line="360" w:lineRule="exact"/>
              <w:textAlignment w:val="auto"/>
              <w:rPr>
                <w:rFonts w:ascii="宋体" w:hAnsi="Calibri" w:cs="Times New Roman"/>
                <w:color w:val="000000" w:themeColor="text1"/>
                <w:sz w:val="24"/>
                <w:szCs w:val="24"/>
                <w:highlight w:val="none"/>
                <w14:textFill>
                  <w14:solidFill>
                    <w14:schemeClr w14:val="tx1"/>
                  </w14:solidFill>
                </w14:textFill>
              </w:rPr>
            </w:pPr>
          </w:p>
        </w:tc>
        <w:tc>
          <w:tcPr>
            <w:tcW w:w="1826" w:type="dxa"/>
            <w:vAlign w:val="center"/>
          </w:tcPr>
          <w:p w14:paraId="008137B7">
            <w:pPr>
              <w:keepNext w:val="0"/>
              <w:keepLines w:val="0"/>
              <w:pageBreakBefore w:val="0"/>
              <w:widowControl/>
              <w:kinsoku/>
              <w:wordWrap/>
              <w:overflowPunct/>
              <w:topLinePunct w:val="0"/>
              <w:autoSpaceDE/>
              <w:autoSpaceDN/>
              <w:bidi w:val="0"/>
              <w:adjustRightInd w:val="0"/>
              <w:snapToGrid w:val="0"/>
              <w:spacing w:line="36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cs="Times New Roman"/>
                <w:color w:val="000000" w:themeColor="text1"/>
                <w:sz w:val="24"/>
                <w:szCs w:val="24"/>
                <w:highlight w:val="none"/>
                <w14:textFill>
                  <w14:solidFill>
                    <w14:schemeClr w14:val="tx1"/>
                  </w14:solidFill>
                </w14:textFill>
              </w:rPr>
              <w:t>磋商</w:t>
            </w:r>
            <w:r>
              <w:rPr>
                <w:rFonts w:cs="Times New Roman"/>
                <w:color w:val="000000" w:themeColor="text1"/>
                <w:sz w:val="24"/>
                <w:szCs w:val="24"/>
                <w:highlight w:val="none"/>
                <w14:textFill>
                  <w14:solidFill>
                    <w14:schemeClr w14:val="tx1"/>
                  </w14:solidFill>
                </w14:textFill>
              </w:rPr>
              <w:t>保证金</w:t>
            </w:r>
          </w:p>
        </w:tc>
        <w:tc>
          <w:tcPr>
            <w:tcW w:w="3619" w:type="dxa"/>
            <w:vAlign w:val="center"/>
          </w:tcPr>
          <w:p w14:paraId="64EC001C">
            <w:pPr>
              <w:keepNext w:val="0"/>
              <w:keepLines w:val="0"/>
              <w:pageBreakBefore w:val="0"/>
              <w:widowControl/>
              <w:kinsoku/>
              <w:wordWrap/>
              <w:overflowPunct/>
              <w:topLinePunct w:val="0"/>
              <w:autoSpaceDE/>
              <w:autoSpaceDN/>
              <w:bidi w:val="0"/>
              <w:adjustRightInd w:val="0"/>
              <w:snapToGrid w:val="0"/>
              <w:spacing w:line="400" w:lineRule="exact"/>
              <w:jc w:val="both"/>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Arial"/>
                <w:color w:val="000000" w:themeColor="text1"/>
                <w:sz w:val="24"/>
                <w:szCs w:val="24"/>
                <w:highlight w:val="none"/>
                <w14:textFill>
                  <w14:solidFill>
                    <w14:schemeClr w14:val="tx1"/>
                  </w14:solidFill>
                </w14:textFill>
              </w:rPr>
              <w:t>按照文件要求提交</w:t>
            </w:r>
          </w:p>
        </w:tc>
        <w:tc>
          <w:tcPr>
            <w:tcW w:w="1495" w:type="dxa"/>
            <w:vAlign w:val="center"/>
          </w:tcPr>
          <w:p w14:paraId="671E1277">
            <w:pPr>
              <w:keepNext w:val="0"/>
              <w:keepLines w:val="0"/>
              <w:pageBreakBefore w:val="0"/>
              <w:widowControl/>
              <w:kinsoku/>
              <w:wordWrap/>
              <w:overflowPunct/>
              <w:topLinePunct w:val="0"/>
              <w:autoSpaceDE/>
              <w:autoSpaceDN/>
              <w:bidi w:val="0"/>
              <w:adjustRightInd w:val="0"/>
              <w:snapToGrid w:val="0"/>
              <w:spacing w:line="360" w:lineRule="exact"/>
              <w:textAlignment w:val="auto"/>
              <w:rPr>
                <w:rFonts w:ascii="宋体" w:hAnsi="Calibri" w:cs="Times New Roman"/>
                <w:color w:val="000000" w:themeColor="text1"/>
                <w:sz w:val="24"/>
                <w:szCs w:val="24"/>
                <w:highlight w:val="none"/>
                <w14:textFill>
                  <w14:solidFill>
                    <w14:schemeClr w14:val="tx1"/>
                  </w14:solidFill>
                </w14:textFill>
              </w:rPr>
            </w:pPr>
          </w:p>
        </w:tc>
      </w:tr>
      <w:tr w14:paraId="5B0B8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920" w:type="dxa"/>
            <w:vMerge w:val="continue"/>
            <w:vAlign w:val="center"/>
          </w:tcPr>
          <w:p w14:paraId="6DF8C705">
            <w:pPr>
              <w:keepNext w:val="0"/>
              <w:keepLines w:val="0"/>
              <w:pageBreakBefore w:val="0"/>
              <w:kinsoku/>
              <w:wordWrap/>
              <w:overflowPunct/>
              <w:topLinePunct w:val="0"/>
              <w:autoSpaceDE/>
              <w:autoSpaceDN/>
              <w:bidi w:val="0"/>
              <w:adjustRightInd w:val="0"/>
              <w:snapToGrid w:val="0"/>
              <w:spacing w:line="360" w:lineRule="exact"/>
              <w:textAlignment w:val="auto"/>
              <w:rPr>
                <w:rFonts w:ascii="宋体" w:hAnsi="Calibri" w:cs="Times New Roman"/>
                <w:color w:val="000000" w:themeColor="text1"/>
                <w:sz w:val="24"/>
                <w:szCs w:val="24"/>
                <w:highlight w:val="none"/>
                <w14:textFill>
                  <w14:solidFill>
                    <w14:schemeClr w14:val="tx1"/>
                  </w14:solidFill>
                </w14:textFill>
              </w:rPr>
            </w:pPr>
          </w:p>
        </w:tc>
        <w:tc>
          <w:tcPr>
            <w:tcW w:w="497" w:type="dxa"/>
            <w:vMerge w:val="continue"/>
            <w:vAlign w:val="center"/>
          </w:tcPr>
          <w:p w14:paraId="4FC9D171">
            <w:pPr>
              <w:keepNext w:val="0"/>
              <w:keepLines w:val="0"/>
              <w:pageBreakBefore w:val="0"/>
              <w:kinsoku/>
              <w:wordWrap/>
              <w:overflowPunct/>
              <w:topLinePunct w:val="0"/>
              <w:autoSpaceDE/>
              <w:autoSpaceDN/>
              <w:bidi w:val="0"/>
              <w:adjustRightInd w:val="0"/>
              <w:snapToGrid w:val="0"/>
              <w:spacing w:line="360" w:lineRule="exact"/>
              <w:textAlignment w:val="auto"/>
              <w:rPr>
                <w:rFonts w:ascii="宋体" w:hAnsi="Calibri" w:cs="Times New Roman"/>
                <w:color w:val="000000" w:themeColor="text1"/>
                <w:sz w:val="24"/>
                <w:szCs w:val="24"/>
                <w:highlight w:val="none"/>
                <w14:textFill>
                  <w14:solidFill>
                    <w14:schemeClr w14:val="tx1"/>
                  </w14:solidFill>
                </w14:textFill>
              </w:rPr>
            </w:pPr>
          </w:p>
        </w:tc>
        <w:tc>
          <w:tcPr>
            <w:tcW w:w="1826" w:type="dxa"/>
            <w:vAlign w:val="center"/>
          </w:tcPr>
          <w:p w14:paraId="1440F06A">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exact"/>
              <w:ind w:left="0" w:leftChars="0" w:right="0" w:rightChars="0"/>
              <w:jc w:val="center"/>
              <w:textAlignment w:val="auto"/>
              <w:rPr>
                <w:rFonts w:hint="eastAsia" w:cs="Times New Roman"/>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磋商报价</w:t>
            </w:r>
          </w:p>
        </w:tc>
        <w:tc>
          <w:tcPr>
            <w:tcW w:w="3619" w:type="dxa"/>
            <w:vAlign w:val="center"/>
          </w:tcPr>
          <w:p w14:paraId="39BF6F02">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00" w:lineRule="exact"/>
              <w:ind w:left="0" w:leftChars="0" w:right="0" w:rightChars="0"/>
              <w:jc w:val="both"/>
              <w:textAlignment w:val="auto"/>
              <w:rPr>
                <w:rFonts w:hint="eastAsia" w:ascii="宋体" w:hAnsi="宋体" w:cs="Arial"/>
                <w:color w:val="000000" w:themeColor="text1"/>
                <w:sz w:val="24"/>
                <w:szCs w:val="24"/>
                <w:highlight w:val="none"/>
                <w14:textFill>
                  <w14:solidFill>
                    <w14:schemeClr w14:val="tx1"/>
                  </w14:solidFill>
                </w14:textFill>
              </w:rPr>
            </w:pPr>
            <w:r>
              <w:rPr>
                <w:rFonts w:hint="eastAsia" w:ascii="宋体" w:hAnsi="宋体" w:cs="Times New Roman"/>
                <w:bCs/>
                <w:sz w:val="24"/>
                <w:szCs w:val="24"/>
                <w:highlight w:val="none"/>
                <w:lang w:val="zh-CN"/>
              </w:rPr>
              <w:t>不超过预算金额（</w:t>
            </w:r>
            <w:r>
              <w:rPr>
                <w:rFonts w:hint="eastAsia" w:ascii="宋体" w:hAnsi="宋体" w:cs="Times New Roman"/>
                <w:bCs/>
                <w:sz w:val="24"/>
                <w:szCs w:val="24"/>
                <w:highlight w:val="none"/>
                <w:lang w:val="zh-CN" w:eastAsia="zh-CN"/>
              </w:rPr>
              <w:t>最高限价）人民币900,000.00元</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w:t>
            </w:r>
          </w:p>
        </w:tc>
        <w:tc>
          <w:tcPr>
            <w:tcW w:w="1495" w:type="dxa"/>
            <w:vAlign w:val="center"/>
          </w:tcPr>
          <w:p w14:paraId="3C5EF369">
            <w:pPr>
              <w:keepNext w:val="0"/>
              <w:keepLines w:val="0"/>
              <w:pageBreakBefore w:val="0"/>
              <w:widowControl/>
              <w:kinsoku/>
              <w:wordWrap/>
              <w:overflowPunct/>
              <w:topLinePunct w:val="0"/>
              <w:autoSpaceDE/>
              <w:autoSpaceDN/>
              <w:bidi w:val="0"/>
              <w:adjustRightInd w:val="0"/>
              <w:snapToGrid w:val="0"/>
              <w:spacing w:line="360" w:lineRule="exact"/>
              <w:textAlignment w:val="auto"/>
              <w:rPr>
                <w:rFonts w:ascii="宋体" w:hAnsi="Calibri" w:cs="Times New Roman"/>
                <w:color w:val="000000" w:themeColor="text1"/>
                <w:sz w:val="24"/>
                <w:szCs w:val="24"/>
                <w:highlight w:val="none"/>
                <w14:textFill>
                  <w14:solidFill>
                    <w14:schemeClr w14:val="tx1"/>
                  </w14:solidFill>
                </w14:textFill>
              </w:rPr>
            </w:pPr>
          </w:p>
        </w:tc>
      </w:tr>
      <w:tr w14:paraId="6D446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920" w:type="dxa"/>
            <w:vMerge w:val="continue"/>
            <w:vAlign w:val="center"/>
          </w:tcPr>
          <w:p w14:paraId="66903841">
            <w:pPr>
              <w:keepNext w:val="0"/>
              <w:keepLines w:val="0"/>
              <w:pageBreakBefore w:val="0"/>
              <w:kinsoku/>
              <w:wordWrap/>
              <w:overflowPunct/>
              <w:topLinePunct w:val="0"/>
              <w:autoSpaceDE/>
              <w:autoSpaceDN/>
              <w:bidi w:val="0"/>
              <w:adjustRightInd w:val="0"/>
              <w:snapToGrid w:val="0"/>
              <w:spacing w:line="360" w:lineRule="exact"/>
              <w:textAlignment w:val="auto"/>
              <w:rPr>
                <w:rFonts w:ascii="宋体" w:hAnsi="Calibri" w:cs="Times New Roman"/>
                <w:color w:val="000000" w:themeColor="text1"/>
                <w:sz w:val="24"/>
                <w:szCs w:val="24"/>
                <w:highlight w:val="none"/>
                <w14:textFill>
                  <w14:solidFill>
                    <w14:schemeClr w14:val="tx1"/>
                  </w14:solidFill>
                </w14:textFill>
              </w:rPr>
            </w:pPr>
          </w:p>
        </w:tc>
        <w:tc>
          <w:tcPr>
            <w:tcW w:w="497" w:type="dxa"/>
            <w:vMerge w:val="continue"/>
            <w:vAlign w:val="center"/>
          </w:tcPr>
          <w:p w14:paraId="79785A9F">
            <w:pPr>
              <w:keepNext w:val="0"/>
              <w:keepLines w:val="0"/>
              <w:pageBreakBefore w:val="0"/>
              <w:kinsoku/>
              <w:wordWrap/>
              <w:overflowPunct/>
              <w:topLinePunct w:val="0"/>
              <w:autoSpaceDE/>
              <w:autoSpaceDN/>
              <w:bidi w:val="0"/>
              <w:adjustRightInd w:val="0"/>
              <w:snapToGrid w:val="0"/>
              <w:spacing w:line="360" w:lineRule="exact"/>
              <w:textAlignment w:val="auto"/>
              <w:rPr>
                <w:rFonts w:ascii="宋体" w:hAnsi="Calibri" w:cs="Times New Roman"/>
                <w:color w:val="000000" w:themeColor="text1"/>
                <w:sz w:val="24"/>
                <w:szCs w:val="24"/>
                <w:highlight w:val="none"/>
                <w14:textFill>
                  <w14:solidFill>
                    <w14:schemeClr w14:val="tx1"/>
                  </w14:solidFill>
                </w14:textFill>
              </w:rPr>
            </w:pPr>
          </w:p>
        </w:tc>
        <w:tc>
          <w:tcPr>
            <w:tcW w:w="1826" w:type="dxa"/>
            <w:vAlign w:val="center"/>
          </w:tcPr>
          <w:p w14:paraId="116944D9">
            <w:pPr>
              <w:keepNext w:val="0"/>
              <w:keepLines w:val="0"/>
              <w:pageBreakBefore w:val="0"/>
              <w:widowControl/>
              <w:kinsoku/>
              <w:wordWrap/>
              <w:overflowPunct/>
              <w:topLinePunct w:val="0"/>
              <w:autoSpaceDE/>
              <w:autoSpaceDN/>
              <w:bidi w:val="0"/>
              <w:adjustRightInd w:val="0"/>
              <w:snapToGrid w:val="0"/>
              <w:spacing w:line="360" w:lineRule="exact"/>
              <w:jc w:val="center"/>
              <w:textAlignment w:val="auto"/>
              <w:rPr>
                <w:rFonts w:hint="eastAsia" w:cs="Times New Roman"/>
                <w:color w:val="000000" w:themeColor="text1"/>
                <w:sz w:val="24"/>
                <w:szCs w:val="24"/>
                <w:highlight w:val="none"/>
                <w14:textFill>
                  <w14:solidFill>
                    <w14:schemeClr w14:val="tx1"/>
                  </w14:solidFill>
                </w14:textFill>
              </w:rPr>
            </w:pPr>
            <w:r>
              <w:rPr>
                <w:rFonts w:hint="eastAsia" w:cs="Times New Roman"/>
                <w:color w:val="000000" w:themeColor="text1"/>
                <w:sz w:val="24"/>
                <w:szCs w:val="24"/>
                <w:highlight w:val="none"/>
                <w14:textFill>
                  <w14:solidFill>
                    <w14:schemeClr w14:val="tx1"/>
                  </w14:solidFill>
                </w14:textFill>
              </w:rPr>
              <w:t>服务内容及</w:t>
            </w:r>
          </w:p>
          <w:p w14:paraId="1980C11B">
            <w:pPr>
              <w:keepNext w:val="0"/>
              <w:keepLines w:val="0"/>
              <w:pageBreakBefore w:val="0"/>
              <w:widowControl/>
              <w:kinsoku/>
              <w:wordWrap/>
              <w:overflowPunct/>
              <w:topLinePunct w:val="0"/>
              <w:autoSpaceDE/>
              <w:autoSpaceDN/>
              <w:bidi w:val="0"/>
              <w:adjustRightInd w:val="0"/>
              <w:snapToGrid w:val="0"/>
              <w:spacing w:line="36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cs="Times New Roman"/>
                <w:color w:val="000000" w:themeColor="text1"/>
                <w:sz w:val="24"/>
                <w:szCs w:val="24"/>
                <w:highlight w:val="none"/>
                <w14:textFill>
                  <w14:solidFill>
                    <w14:schemeClr w14:val="tx1"/>
                  </w14:solidFill>
                </w14:textFill>
              </w:rPr>
              <w:t>要求</w:t>
            </w:r>
          </w:p>
        </w:tc>
        <w:tc>
          <w:tcPr>
            <w:tcW w:w="3619" w:type="dxa"/>
            <w:vAlign w:val="center"/>
          </w:tcPr>
          <w:p w14:paraId="33A319F1">
            <w:pPr>
              <w:keepNext w:val="0"/>
              <w:keepLines w:val="0"/>
              <w:pageBreakBefore w:val="0"/>
              <w:widowControl/>
              <w:kinsoku/>
              <w:wordWrap/>
              <w:overflowPunct/>
              <w:topLinePunct w:val="0"/>
              <w:autoSpaceDE/>
              <w:autoSpaceDN/>
              <w:bidi w:val="0"/>
              <w:adjustRightInd w:val="0"/>
              <w:snapToGrid w:val="0"/>
              <w:spacing w:line="400" w:lineRule="exact"/>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Arial"/>
                <w:color w:val="000000" w:themeColor="text1"/>
                <w:sz w:val="24"/>
                <w:szCs w:val="24"/>
                <w:highlight w:val="none"/>
                <w14:textFill>
                  <w14:solidFill>
                    <w14:schemeClr w14:val="tx1"/>
                  </w14:solidFill>
                </w14:textFill>
              </w:rPr>
              <w:t>符合“服务内容及要求”给出的范围</w:t>
            </w:r>
            <w:r>
              <w:rPr>
                <w:rFonts w:hint="eastAsia" w:ascii="宋体" w:hAnsi="宋体" w:cs="Arial"/>
                <w:color w:val="000000" w:themeColor="text1"/>
                <w:sz w:val="24"/>
                <w:szCs w:val="24"/>
                <w:highlight w:val="none"/>
                <w:lang w:eastAsia="zh-CN"/>
                <w14:textFill>
                  <w14:solidFill>
                    <w14:schemeClr w14:val="tx1"/>
                  </w14:solidFill>
                </w14:textFill>
              </w:rPr>
              <w:t>。</w:t>
            </w:r>
          </w:p>
        </w:tc>
        <w:tc>
          <w:tcPr>
            <w:tcW w:w="1495" w:type="dxa"/>
            <w:vAlign w:val="center"/>
          </w:tcPr>
          <w:p w14:paraId="17873992">
            <w:pPr>
              <w:keepNext w:val="0"/>
              <w:keepLines w:val="0"/>
              <w:pageBreakBefore w:val="0"/>
              <w:widowControl/>
              <w:kinsoku/>
              <w:wordWrap/>
              <w:overflowPunct/>
              <w:topLinePunct w:val="0"/>
              <w:autoSpaceDE/>
              <w:autoSpaceDN/>
              <w:bidi w:val="0"/>
              <w:adjustRightInd w:val="0"/>
              <w:snapToGrid w:val="0"/>
              <w:spacing w:line="360" w:lineRule="exact"/>
              <w:textAlignment w:val="auto"/>
              <w:rPr>
                <w:rFonts w:ascii="宋体" w:hAnsi="Calibri" w:cs="Times New Roman"/>
                <w:color w:val="000000" w:themeColor="text1"/>
                <w:sz w:val="24"/>
                <w:szCs w:val="24"/>
                <w:highlight w:val="none"/>
                <w14:textFill>
                  <w14:solidFill>
                    <w14:schemeClr w14:val="tx1"/>
                  </w14:solidFill>
                </w14:textFill>
              </w:rPr>
            </w:pPr>
          </w:p>
        </w:tc>
      </w:tr>
      <w:tr w14:paraId="1AC1D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920" w:type="dxa"/>
            <w:vMerge w:val="continue"/>
            <w:vAlign w:val="center"/>
          </w:tcPr>
          <w:p w14:paraId="29BED99C">
            <w:pPr>
              <w:keepNext w:val="0"/>
              <w:keepLines w:val="0"/>
              <w:pageBreakBefore w:val="0"/>
              <w:kinsoku/>
              <w:wordWrap/>
              <w:overflowPunct/>
              <w:topLinePunct w:val="0"/>
              <w:autoSpaceDE/>
              <w:autoSpaceDN/>
              <w:bidi w:val="0"/>
              <w:adjustRightInd w:val="0"/>
              <w:snapToGrid w:val="0"/>
              <w:spacing w:line="360" w:lineRule="exact"/>
              <w:textAlignment w:val="auto"/>
              <w:rPr>
                <w:rFonts w:ascii="宋体" w:hAnsi="Calibri" w:cs="Times New Roman"/>
                <w:color w:val="000000" w:themeColor="text1"/>
                <w:sz w:val="24"/>
                <w:szCs w:val="24"/>
                <w:highlight w:val="none"/>
                <w14:textFill>
                  <w14:solidFill>
                    <w14:schemeClr w14:val="tx1"/>
                  </w14:solidFill>
                </w14:textFill>
              </w:rPr>
            </w:pPr>
          </w:p>
        </w:tc>
        <w:tc>
          <w:tcPr>
            <w:tcW w:w="497" w:type="dxa"/>
            <w:vMerge w:val="continue"/>
            <w:vAlign w:val="center"/>
          </w:tcPr>
          <w:p w14:paraId="03B6C55B">
            <w:pPr>
              <w:keepNext w:val="0"/>
              <w:keepLines w:val="0"/>
              <w:pageBreakBefore w:val="0"/>
              <w:kinsoku/>
              <w:wordWrap/>
              <w:overflowPunct/>
              <w:topLinePunct w:val="0"/>
              <w:autoSpaceDE/>
              <w:autoSpaceDN/>
              <w:bidi w:val="0"/>
              <w:adjustRightInd w:val="0"/>
              <w:snapToGrid w:val="0"/>
              <w:spacing w:line="360" w:lineRule="exact"/>
              <w:textAlignment w:val="auto"/>
              <w:rPr>
                <w:rFonts w:ascii="宋体" w:hAnsi="Calibri" w:cs="Times New Roman"/>
                <w:color w:val="000000" w:themeColor="text1"/>
                <w:sz w:val="24"/>
                <w:szCs w:val="24"/>
                <w:highlight w:val="none"/>
                <w14:textFill>
                  <w14:solidFill>
                    <w14:schemeClr w14:val="tx1"/>
                  </w14:solidFill>
                </w14:textFill>
              </w:rPr>
            </w:pPr>
          </w:p>
        </w:tc>
        <w:tc>
          <w:tcPr>
            <w:tcW w:w="1826" w:type="dxa"/>
            <w:vAlign w:val="center"/>
          </w:tcPr>
          <w:p w14:paraId="4A67DA38">
            <w:pPr>
              <w:keepNext w:val="0"/>
              <w:keepLines w:val="0"/>
              <w:pageBreakBefore w:val="0"/>
              <w:widowControl/>
              <w:kinsoku/>
              <w:wordWrap/>
              <w:overflowPunct/>
              <w:topLinePunct w:val="0"/>
              <w:autoSpaceDE/>
              <w:autoSpaceDN/>
              <w:bidi w:val="0"/>
              <w:adjustRightInd w:val="0"/>
              <w:snapToGrid w:val="0"/>
              <w:spacing w:line="360" w:lineRule="exact"/>
              <w:jc w:val="center"/>
              <w:textAlignment w:val="auto"/>
              <w:rPr>
                <w:rFonts w:hint="eastAsia" w:cs="Times New Roman"/>
                <w:color w:val="000000" w:themeColor="text1"/>
                <w:sz w:val="24"/>
                <w:szCs w:val="24"/>
                <w:highlight w:val="none"/>
                <w14:textFill>
                  <w14:solidFill>
                    <w14:schemeClr w14:val="tx1"/>
                  </w14:solidFill>
                </w14:textFill>
              </w:rPr>
            </w:pPr>
            <w:r>
              <w:rPr>
                <w:rFonts w:hint="eastAsia" w:cs="Times New Roman"/>
                <w:color w:val="000000" w:themeColor="text1"/>
                <w:sz w:val="24"/>
                <w:szCs w:val="24"/>
                <w:highlight w:val="none"/>
                <w:lang w:eastAsia="zh-CN"/>
                <w14:textFill>
                  <w14:solidFill>
                    <w14:schemeClr w14:val="tx1"/>
                  </w14:solidFill>
                </w14:textFill>
              </w:rPr>
              <w:t>其他内容</w:t>
            </w:r>
          </w:p>
        </w:tc>
        <w:tc>
          <w:tcPr>
            <w:tcW w:w="3619" w:type="dxa"/>
            <w:vAlign w:val="center"/>
          </w:tcPr>
          <w:p w14:paraId="21050D4A">
            <w:pPr>
              <w:keepNext w:val="0"/>
              <w:keepLines w:val="0"/>
              <w:pageBreakBefore w:val="0"/>
              <w:kinsoku/>
              <w:wordWrap/>
              <w:overflowPunct/>
              <w:topLinePunct w:val="0"/>
              <w:autoSpaceDE/>
              <w:autoSpaceDN/>
              <w:bidi w:val="0"/>
              <w:spacing w:line="400" w:lineRule="exact"/>
              <w:jc w:val="both"/>
              <w:textAlignment w:val="auto"/>
              <w:rPr>
                <w:rFonts w:hint="eastAsia" w:ascii="宋体" w:hAnsi="宋体" w:cs="Arial"/>
                <w:color w:val="000000" w:themeColor="text1"/>
                <w:sz w:val="24"/>
                <w:szCs w:val="24"/>
                <w:highlight w:val="none"/>
                <w14:textFill>
                  <w14:solidFill>
                    <w14:schemeClr w14:val="tx1"/>
                  </w14:solidFill>
                </w14:textFill>
              </w:rPr>
            </w:pPr>
            <w:r>
              <w:rPr>
                <w:sz w:val="24"/>
                <w:szCs w:val="24"/>
                <w:highlight w:val="none"/>
              </w:rPr>
              <w:t>满足竞争性磋商文件其他实质性内容及要求。</w:t>
            </w:r>
          </w:p>
        </w:tc>
        <w:tc>
          <w:tcPr>
            <w:tcW w:w="1495" w:type="dxa"/>
            <w:vAlign w:val="center"/>
          </w:tcPr>
          <w:p w14:paraId="08137116">
            <w:pPr>
              <w:keepNext w:val="0"/>
              <w:keepLines w:val="0"/>
              <w:pageBreakBefore w:val="0"/>
              <w:widowControl/>
              <w:kinsoku/>
              <w:wordWrap/>
              <w:overflowPunct/>
              <w:topLinePunct w:val="0"/>
              <w:autoSpaceDE/>
              <w:autoSpaceDN/>
              <w:bidi w:val="0"/>
              <w:adjustRightInd w:val="0"/>
              <w:snapToGrid w:val="0"/>
              <w:spacing w:line="360" w:lineRule="exact"/>
              <w:textAlignment w:val="auto"/>
              <w:rPr>
                <w:rFonts w:ascii="宋体" w:hAnsi="Calibri" w:cs="Times New Roman"/>
                <w:color w:val="000000" w:themeColor="text1"/>
                <w:sz w:val="24"/>
                <w:szCs w:val="24"/>
                <w:highlight w:val="none"/>
                <w14:textFill>
                  <w14:solidFill>
                    <w14:schemeClr w14:val="tx1"/>
                  </w14:solidFill>
                </w14:textFill>
              </w:rPr>
            </w:pPr>
          </w:p>
        </w:tc>
      </w:tr>
      <w:tr w14:paraId="1DDCC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3" w:hRule="atLeast"/>
          <w:jc w:val="center"/>
        </w:trPr>
        <w:tc>
          <w:tcPr>
            <w:tcW w:w="6862" w:type="dxa"/>
            <w:gridSpan w:val="4"/>
            <w:vAlign w:val="center"/>
          </w:tcPr>
          <w:p w14:paraId="1FACE39B">
            <w:pPr>
              <w:keepNext w:val="0"/>
              <w:keepLines w:val="0"/>
              <w:pageBreakBefore w:val="0"/>
              <w:widowControl/>
              <w:kinsoku/>
              <w:wordWrap/>
              <w:overflowPunct/>
              <w:topLinePunct w:val="0"/>
              <w:autoSpaceDE/>
              <w:autoSpaceDN/>
              <w:bidi w:val="0"/>
              <w:adjustRightInd w:val="0"/>
              <w:snapToGrid w:val="0"/>
              <w:spacing w:line="36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结论</w:t>
            </w:r>
          </w:p>
        </w:tc>
        <w:tc>
          <w:tcPr>
            <w:tcW w:w="1495" w:type="dxa"/>
            <w:vAlign w:val="center"/>
          </w:tcPr>
          <w:p w14:paraId="5A1083CB">
            <w:pPr>
              <w:keepNext w:val="0"/>
              <w:keepLines w:val="0"/>
              <w:pageBreakBefore w:val="0"/>
              <w:widowControl/>
              <w:kinsoku/>
              <w:wordWrap/>
              <w:overflowPunct/>
              <w:topLinePunct w:val="0"/>
              <w:autoSpaceDE/>
              <w:autoSpaceDN/>
              <w:bidi w:val="0"/>
              <w:adjustRightInd w:val="0"/>
              <w:snapToGrid w:val="0"/>
              <w:spacing w:line="360" w:lineRule="exact"/>
              <w:jc w:val="left"/>
              <w:textAlignment w:val="auto"/>
              <w:rPr>
                <w:rFonts w:ascii="宋体" w:hAnsi="宋体" w:cs="宋体"/>
                <w:color w:val="000000" w:themeColor="text1"/>
                <w:sz w:val="24"/>
                <w:szCs w:val="24"/>
                <w:highlight w:val="none"/>
                <w14:textFill>
                  <w14:solidFill>
                    <w14:schemeClr w14:val="tx1"/>
                  </w14:solidFill>
                </w14:textFill>
              </w:rPr>
            </w:pPr>
          </w:p>
        </w:tc>
      </w:tr>
      <w:tr w14:paraId="0BDF5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jc w:val="center"/>
        </w:trPr>
        <w:tc>
          <w:tcPr>
            <w:tcW w:w="8357" w:type="dxa"/>
            <w:gridSpan w:val="5"/>
            <w:vAlign w:val="center"/>
          </w:tcPr>
          <w:p w14:paraId="653A2F0C">
            <w:pPr>
              <w:keepNext w:val="0"/>
              <w:keepLines w:val="0"/>
              <w:pageBreakBefore w:val="0"/>
              <w:widowControl/>
              <w:kinsoku/>
              <w:wordWrap/>
              <w:overflowPunct/>
              <w:topLinePunct w:val="0"/>
              <w:autoSpaceDE/>
              <w:autoSpaceDN/>
              <w:bidi w:val="0"/>
              <w:adjustRightInd w:val="0"/>
              <w:snapToGrid w:val="0"/>
              <w:spacing w:line="360" w:lineRule="exact"/>
              <w:jc w:val="left"/>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全体评委签字：</w:t>
            </w:r>
          </w:p>
        </w:tc>
      </w:tr>
    </w:tbl>
    <w:p w14:paraId="01AD0816">
      <w:pPr>
        <w:pStyle w:val="19"/>
        <w:spacing w:line="360" w:lineRule="auto"/>
        <w:rPr>
          <w:rFonts w:ascii="Times New Roman" w:hAnsi="Times New Roman" w:cs="Times New Roman"/>
          <w:color w:val="000000" w:themeColor="text1"/>
          <w:sz w:val="20"/>
          <w:szCs w:val="20"/>
          <w:highlight w:val="none"/>
          <w14:textFill>
            <w14:solidFill>
              <w14:schemeClr w14:val="tx1"/>
            </w14:solidFill>
          </w14:textFill>
        </w:rPr>
      </w:pPr>
      <w:r>
        <w:rPr>
          <w:rFonts w:hint="eastAsia" w:ascii="Times New Roman" w:hAnsi="Times New Roman" w:cs="Times New Roman"/>
          <w:color w:val="000000" w:themeColor="text1"/>
          <w:sz w:val="24"/>
          <w:szCs w:val="24"/>
          <w:highlight w:val="none"/>
          <w14:textFill>
            <w14:solidFill>
              <w14:schemeClr w14:val="tx1"/>
            </w14:solidFill>
          </w14:textFill>
        </w:rPr>
        <w:t>注：本表中符合评审内容要求的写“√”，不符合评审内容要求的写“×”。结论为“合格”或“不合格。结论不合格的不进入综合评审阶段。</w:t>
      </w:r>
    </w:p>
    <w:p w14:paraId="07213C5C">
      <w:pPr>
        <w:pStyle w:val="19"/>
        <w:spacing w:line="360" w:lineRule="auto"/>
        <w:rPr>
          <w:rFonts w:ascii="Times New Roman" w:hAnsi="Times New Roman" w:cs="Times New Roman"/>
          <w:color w:val="000000" w:themeColor="text1"/>
          <w:sz w:val="20"/>
          <w:szCs w:val="20"/>
          <w:highlight w:val="none"/>
          <w14:textFill>
            <w14:solidFill>
              <w14:schemeClr w14:val="tx1"/>
            </w14:solidFill>
          </w14:textFill>
        </w:rPr>
      </w:pPr>
    </w:p>
    <w:p w14:paraId="382D454F">
      <w:pPr>
        <w:pStyle w:val="27"/>
        <w:spacing w:line="360" w:lineRule="auto"/>
        <w:ind w:firstLine="480" w:firstLineChars="200"/>
        <w:rPr>
          <w:color w:val="000000" w:themeColor="text1"/>
          <w:sz w:val="24"/>
          <w:szCs w:val="24"/>
          <w:highlight w:val="none"/>
          <w14:textFill>
            <w14:solidFill>
              <w14:schemeClr w14:val="tx1"/>
            </w14:solidFill>
          </w14:textFill>
        </w:rPr>
        <w:sectPr>
          <w:footerReference r:id="rId12" w:type="default"/>
          <w:pgSz w:w="11905" w:h="16838"/>
          <w:pgMar w:top="1440" w:right="1803" w:bottom="1440" w:left="1803" w:header="1140" w:footer="720" w:gutter="0"/>
          <w:pgNumType w:fmt="decimal"/>
          <w:cols w:space="0" w:num="1"/>
          <w:docGrid w:type="lines" w:linePitch="317" w:charSpace="0"/>
        </w:sectPr>
      </w:pPr>
    </w:p>
    <w:p w14:paraId="098015E9">
      <w:pPr>
        <w:pStyle w:val="19"/>
        <w:spacing w:line="360" w:lineRule="auto"/>
        <w:jc w:val="center"/>
        <w:outlineLvl w:val="1"/>
        <w:rPr>
          <w:rFonts w:ascii="Times New Roman" w:hAnsi="Times New Roman"/>
          <w:b/>
          <w:bCs/>
          <w:color w:val="000000" w:themeColor="text1"/>
          <w:sz w:val="24"/>
          <w:szCs w:val="24"/>
          <w:highlight w:val="none"/>
          <w14:textFill>
            <w14:solidFill>
              <w14:schemeClr w14:val="tx1"/>
            </w14:solidFill>
          </w14:textFill>
        </w:rPr>
      </w:pPr>
      <w:bookmarkStart w:id="151" w:name="_Toc29894"/>
      <w:r>
        <w:rPr>
          <w:rFonts w:hint="eastAsia" w:ascii="Times New Roman" w:hAnsi="Times New Roman"/>
          <w:b/>
          <w:bCs/>
          <w:color w:val="000000" w:themeColor="text1"/>
          <w:sz w:val="30"/>
          <w:szCs w:val="30"/>
          <w:highlight w:val="none"/>
          <w:lang w:eastAsia="zh-CN"/>
          <w14:textFill>
            <w14:solidFill>
              <w14:schemeClr w14:val="tx1"/>
            </w14:solidFill>
          </w14:textFill>
        </w:rPr>
        <w:t>二、</w:t>
      </w:r>
      <w:r>
        <w:rPr>
          <w:rFonts w:hint="eastAsia" w:ascii="Times New Roman" w:hAnsi="Times New Roman"/>
          <w:b/>
          <w:bCs/>
          <w:color w:val="000000" w:themeColor="text1"/>
          <w:sz w:val="30"/>
          <w:szCs w:val="30"/>
          <w:highlight w:val="none"/>
          <w14:textFill>
            <w14:solidFill>
              <w14:schemeClr w14:val="tx1"/>
            </w14:solidFill>
          </w14:textFill>
        </w:rPr>
        <w:t>综合评分法</w:t>
      </w:r>
      <w:bookmarkEnd w:id="151"/>
    </w:p>
    <w:tbl>
      <w:tblPr>
        <w:tblStyle w:val="32"/>
        <w:tblpPr w:leftFromText="180" w:rightFromText="180" w:vertAnchor="text" w:horzAnchor="page" w:tblpX="1911" w:tblpY="85"/>
        <w:tblOverlap w:val="never"/>
        <w:tblW w:w="83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50"/>
        <w:gridCol w:w="5484"/>
      </w:tblGrid>
      <w:tr w14:paraId="12B5F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50" w:type="dxa"/>
            <w:noWrap/>
            <w:vAlign w:val="center"/>
          </w:tcPr>
          <w:p w14:paraId="48330B91">
            <w:pPr>
              <w:widowControl/>
              <w:adjustRightInd w:val="0"/>
              <w:snapToGrid w:val="0"/>
              <w:spacing w:line="300" w:lineRule="exact"/>
              <w:jc w:val="center"/>
              <w:rPr>
                <w:rFonts w:ascii="宋体" w:hAnsi="Calibri" w:cs="Times New Roman"/>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评审因素</w:t>
            </w:r>
          </w:p>
        </w:tc>
        <w:tc>
          <w:tcPr>
            <w:tcW w:w="5484" w:type="dxa"/>
            <w:noWrap/>
            <w:vAlign w:val="center"/>
          </w:tcPr>
          <w:p w14:paraId="12E428C7">
            <w:pPr>
              <w:widowControl/>
              <w:adjustRightInd w:val="0"/>
              <w:snapToGrid w:val="0"/>
              <w:spacing w:line="300" w:lineRule="exact"/>
              <w:jc w:val="center"/>
              <w:rPr>
                <w:rFonts w:ascii="宋体" w:hAnsi="Calibri" w:cs="Times New Roman"/>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评审标准</w:t>
            </w:r>
          </w:p>
        </w:tc>
      </w:tr>
      <w:tr w14:paraId="4AB27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2850" w:type="dxa"/>
            <w:noWrap/>
            <w:vAlign w:val="center"/>
          </w:tcPr>
          <w:p w14:paraId="7BFC0DD5">
            <w:pPr>
              <w:widowControl/>
              <w:adjustRightInd w:val="0"/>
              <w:snapToGrid w:val="0"/>
              <w:spacing w:line="300" w:lineRule="exact"/>
              <w:jc w:val="center"/>
              <w:rPr>
                <w:rFonts w:ascii="宋体" w:hAnsi="Calibri" w:cs="Times New Roman"/>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评标方法</w:t>
            </w:r>
          </w:p>
        </w:tc>
        <w:tc>
          <w:tcPr>
            <w:tcW w:w="5484" w:type="dxa"/>
            <w:noWrap/>
            <w:vAlign w:val="center"/>
          </w:tcPr>
          <w:p w14:paraId="53575C09">
            <w:pPr>
              <w:widowControl/>
              <w:adjustRightInd w:val="0"/>
              <w:snapToGrid w:val="0"/>
              <w:spacing w:line="300" w:lineRule="exact"/>
              <w:rPr>
                <w:rFonts w:ascii="宋体" w:hAnsi="Calibri" w:cs="Times New Roman"/>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综合评分法</w:t>
            </w:r>
          </w:p>
        </w:tc>
      </w:tr>
      <w:tr w14:paraId="57D1B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2850" w:type="dxa"/>
            <w:vMerge w:val="restart"/>
            <w:noWrap/>
            <w:vAlign w:val="center"/>
          </w:tcPr>
          <w:p w14:paraId="46FD4C0F">
            <w:pPr>
              <w:widowControl/>
              <w:adjustRightInd w:val="0"/>
              <w:snapToGrid w:val="0"/>
              <w:spacing w:line="300" w:lineRule="exact"/>
              <w:jc w:val="center"/>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综合评分法的分值构成</w:t>
            </w:r>
          </w:p>
          <w:p w14:paraId="40C8097B">
            <w:pPr>
              <w:widowControl/>
              <w:adjustRightInd w:val="0"/>
              <w:snapToGrid w:val="0"/>
              <w:spacing w:line="300" w:lineRule="exact"/>
              <w:jc w:val="center"/>
              <w:rPr>
                <w:rFonts w:ascii="宋体" w:hAnsi="Calibri" w:cs="Times New Roman"/>
                <w:color w:val="000000" w:themeColor="text1"/>
                <w:sz w:val="24"/>
                <w:szCs w:val="24"/>
                <w:highlight w:val="none"/>
                <w14:textFill>
                  <w14:solidFill>
                    <w14:schemeClr w14:val="tx1"/>
                  </w14:solidFill>
                </w14:textFill>
              </w:rPr>
            </w:pPr>
            <w:r>
              <w:rPr>
                <w:rFonts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14:textFill>
                  <w14:solidFill>
                    <w14:schemeClr w14:val="tx1"/>
                  </w14:solidFill>
                </w14:textFill>
              </w:rPr>
              <w:t>总分</w:t>
            </w:r>
            <w:r>
              <w:rPr>
                <w:rFonts w:ascii="宋体" w:hAnsi="宋体" w:cs="宋体"/>
                <w:color w:val="000000" w:themeColor="text1"/>
                <w:sz w:val="24"/>
                <w:szCs w:val="24"/>
                <w:highlight w:val="none"/>
                <w14:textFill>
                  <w14:solidFill>
                    <w14:schemeClr w14:val="tx1"/>
                  </w14:solidFill>
                </w14:textFill>
              </w:rPr>
              <w:t>100</w:t>
            </w:r>
            <w:r>
              <w:rPr>
                <w:rFonts w:hint="eastAsia" w:ascii="宋体" w:hAnsi="宋体" w:cs="宋体"/>
                <w:color w:val="000000" w:themeColor="text1"/>
                <w:sz w:val="24"/>
                <w:szCs w:val="24"/>
                <w:highlight w:val="none"/>
                <w14:textFill>
                  <w14:solidFill>
                    <w14:schemeClr w14:val="tx1"/>
                  </w14:solidFill>
                </w14:textFill>
              </w:rPr>
              <w:t>分</w:t>
            </w:r>
            <w:r>
              <w:rPr>
                <w:rFonts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14:textFill>
                  <w14:solidFill>
                    <w14:schemeClr w14:val="tx1"/>
                  </w14:solidFill>
                </w14:textFill>
              </w:rPr>
              <w:t>　</w:t>
            </w:r>
          </w:p>
        </w:tc>
        <w:tc>
          <w:tcPr>
            <w:tcW w:w="5484" w:type="dxa"/>
            <w:noWrap/>
            <w:vAlign w:val="center"/>
          </w:tcPr>
          <w:p w14:paraId="4E974937">
            <w:pPr>
              <w:widowControl/>
              <w:adjustRightInd w:val="0"/>
              <w:snapToGrid w:val="0"/>
              <w:spacing w:line="300" w:lineRule="exact"/>
              <w:rPr>
                <w:rFonts w:ascii="宋体" w:hAnsi="Calibri" w:cs="Times New Roman"/>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报价部分</w:t>
            </w: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10</w:t>
            </w:r>
            <w:r>
              <w:rPr>
                <w:rFonts w:hint="eastAsia" w:ascii="宋体" w:hAnsi="宋体" w:cs="宋体"/>
                <w:color w:val="000000" w:themeColor="text1"/>
                <w:sz w:val="24"/>
                <w:szCs w:val="24"/>
                <w:highlight w:val="none"/>
                <w14:textFill>
                  <w14:solidFill>
                    <w14:schemeClr w14:val="tx1"/>
                  </w14:solidFill>
                </w14:textFill>
              </w:rPr>
              <w:t>分</w:t>
            </w:r>
          </w:p>
        </w:tc>
      </w:tr>
      <w:tr w14:paraId="327D3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2850" w:type="dxa"/>
            <w:vMerge w:val="continue"/>
            <w:noWrap/>
            <w:vAlign w:val="center"/>
          </w:tcPr>
          <w:p w14:paraId="24F2331D">
            <w:pPr>
              <w:widowControl/>
              <w:adjustRightInd w:val="0"/>
              <w:snapToGrid w:val="0"/>
              <w:spacing w:line="300" w:lineRule="exact"/>
              <w:jc w:val="center"/>
              <w:rPr>
                <w:rFonts w:ascii="宋体" w:hAnsi="宋体" w:cs="宋体"/>
                <w:color w:val="000000" w:themeColor="text1"/>
                <w:sz w:val="24"/>
                <w:szCs w:val="24"/>
                <w:highlight w:val="none"/>
                <w14:textFill>
                  <w14:solidFill>
                    <w14:schemeClr w14:val="tx1"/>
                  </w14:solidFill>
                </w14:textFill>
              </w:rPr>
            </w:pPr>
          </w:p>
        </w:tc>
        <w:tc>
          <w:tcPr>
            <w:tcW w:w="5484" w:type="dxa"/>
            <w:noWrap/>
            <w:vAlign w:val="center"/>
          </w:tcPr>
          <w:p w14:paraId="28DFDA44">
            <w:pPr>
              <w:widowControl/>
              <w:adjustRightInd w:val="0"/>
              <w:snapToGrid w:val="0"/>
              <w:spacing w:line="300" w:lineRule="exact"/>
              <w:rPr>
                <w:rFonts w:ascii="宋体" w:hAnsi="Calibri" w:cs="Times New Roman"/>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商务部分：</w:t>
            </w:r>
            <w:r>
              <w:rPr>
                <w:rFonts w:hint="eastAsia" w:ascii="宋体" w:hAnsi="宋体" w:cs="宋体"/>
                <w:color w:val="000000" w:themeColor="text1"/>
                <w:sz w:val="24"/>
                <w:szCs w:val="24"/>
                <w:highlight w:val="none"/>
                <w:lang w:val="en-US" w:eastAsia="zh-CN"/>
                <w14:textFill>
                  <w14:solidFill>
                    <w14:schemeClr w14:val="tx1"/>
                  </w14:solidFill>
                </w14:textFill>
              </w:rPr>
              <w:t>30</w:t>
            </w:r>
            <w:r>
              <w:rPr>
                <w:rFonts w:hint="eastAsia" w:ascii="宋体" w:hAnsi="宋体" w:cs="宋体"/>
                <w:color w:val="000000" w:themeColor="text1"/>
                <w:sz w:val="24"/>
                <w:szCs w:val="24"/>
                <w:highlight w:val="none"/>
                <w14:textFill>
                  <w14:solidFill>
                    <w14:schemeClr w14:val="tx1"/>
                  </w14:solidFill>
                </w14:textFill>
              </w:rPr>
              <w:t>分</w:t>
            </w:r>
          </w:p>
        </w:tc>
      </w:tr>
      <w:tr w14:paraId="3236E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2850" w:type="dxa"/>
            <w:vMerge w:val="continue"/>
            <w:noWrap/>
            <w:vAlign w:val="center"/>
          </w:tcPr>
          <w:p w14:paraId="1C120670">
            <w:pPr>
              <w:widowControl/>
              <w:adjustRightInd w:val="0"/>
              <w:snapToGrid w:val="0"/>
              <w:spacing w:line="300" w:lineRule="exact"/>
              <w:jc w:val="center"/>
              <w:rPr>
                <w:rFonts w:ascii="宋体" w:hAnsi="宋体" w:cs="宋体"/>
                <w:color w:val="000000" w:themeColor="text1"/>
                <w:sz w:val="24"/>
                <w:szCs w:val="24"/>
                <w:highlight w:val="none"/>
                <w14:textFill>
                  <w14:solidFill>
                    <w14:schemeClr w14:val="tx1"/>
                  </w14:solidFill>
                </w14:textFill>
              </w:rPr>
            </w:pPr>
          </w:p>
        </w:tc>
        <w:tc>
          <w:tcPr>
            <w:tcW w:w="5484" w:type="dxa"/>
            <w:noWrap/>
            <w:vAlign w:val="center"/>
          </w:tcPr>
          <w:p w14:paraId="22E9561A">
            <w:pPr>
              <w:widowControl/>
              <w:adjustRightInd w:val="0"/>
              <w:snapToGrid w:val="0"/>
              <w:spacing w:line="300" w:lineRule="exact"/>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技术部分：</w:t>
            </w:r>
            <w:r>
              <w:rPr>
                <w:rFonts w:hint="eastAsia" w:ascii="宋体" w:hAnsi="宋体" w:cs="宋体"/>
                <w:color w:val="000000" w:themeColor="text1"/>
                <w:sz w:val="24"/>
                <w:szCs w:val="24"/>
                <w:highlight w:val="none"/>
                <w:lang w:val="en-US" w:eastAsia="zh-CN"/>
                <w14:textFill>
                  <w14:solidFill>
                    <w14:schemeClr w14:val="tx1"/>
                  </w14:solidFill>
                </w14:textFill>
              </w:rPr>
              <w:t>60</w:t>
            </w:r>
            <w:r>
              <w:rPr>
                <w:rFonts w:hint="eastAsia" w:ascii="宋体" w:hAnsi="宋体" w:cs="宋体"/>
                <w:color w:val="000000" w:themeColor="text1"/>
                <w:sz w:val="24"/>
                <w:szCs w:val="24"/>
                <w:highlight w:val="none"/>
                <w14:textFill>
                  <w14:solidFill>
                    <w14:schemeClr w14:val="tx1"/>
                  </w14:solidFill>
                </w14:textFill>
              </w:rPr>
              <w:t>分</w:t>
            </w:r>
          </w:p>
        </w:tc>
      </w:tr>
      <w:tr w14:paraId="19C3C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trPr>
        <w:tc>
          <w:tcPr>
            <w:tcW w:w="2850" w:type="dxa"/>
            <w:noWrap/>
            <w:vAlign w:val="center"/>
          </w:tcPr>
          <w:p w14:paraId="51D0AB3D">
            <w:pPr>
              <w:widowControl/>
              <w:adjustRightInd w:val="0"/>
              <w:snapToGrid w:val="0"/>
              <w:spacing w:line="300" w:lineRule="exact"/>
              <w:jc w:val="center"/>
              <w:rPr>
                <w:rFonts w:ascii="宋体" w:hAnsi="Calibri" w:cs="Times New Roman"/>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评标基准价计算方法</w:t>
            </w:r>
          </w:p>
        </w:tc>
        <w:tc>
          <w:tcPr>
            <w:tcW w:w="5484" w:type="dxa"/>
            <w:noWrap/>
            <w:vAlign w:val="center"/>
          </w:tcPr>
          <w:p w14:paraId="09746859">
            <w:pPr>
              <w:spacing w:line="300" w:lineRule="exact"/>
              <w:rPr>
                <w:rFonts w:ascii="宋体" w:hAnsi="Calibri" w:cs="Times New Roman"/>
                <w:color w:val="000000" w:themeColor="text1"/>
                <w:sz w:val="24"/>
                <w:szCs w:val="24"/>
                <w:highlight w:val="none"/>
                <w14:textFill>
                  <w14:solidFill>
                    <w14:schemeClr w14:val="tx1"/>
                  </w14:solidFill>
                </w14:textFill>
              </w:rPr>
            </w:pPr>
            <w:r>
              <w:rPr>
                <w:rFonts w:hint="eastAsia" w:ascii="宋体" w:hAnsi="宋体" w:cs="宋体"/>
                <w:bCs/>
                <w:color w:val="000000" w:themeColor="text1"/>
                <w:sz w:val="24"/>
                <w:szCs w:val="24"/>
                <w:highlight w:val="none"/>
                <w14:textFill>
                  <w14:solidFill>
                    <w14:schemeClr w14:val="tx1"/>
                  </w14:solidFill>
                </w14:textFill>
              </w:rPr>
              <w:t>评标基准价：满足磋商文件要求且投标价格最低的第二轮磋商报价（最终报价）为评标基准价。</w:t>
            </w:r>
          </w:p>
        </w:tc>
      </w:tr>
    </w:tbl>
    <w:p w14:paraId="4001E696">
      <w:pPr>
        <w:jc w:val="left"/>
        <w:rPr>
          <w:rFonts w:hint="eastAsia"/>
          <w:color w:val="000000" w:themeColor="text1"/>
          <w:sz w:val="24"/>
          <w:szCs w:val="24"/>
          <w:highlight w:val="none"/>
          <w14:textFill>
            <w14:solidFill>
              <w14:schemeClr w14:val="tx1"/>
            </w14:solidFill>
          </w14:textFill>
        </w:rPr>
      </w:pPr>
      <w:bookmarkStart w:id="152" w:name="_Toc7848"/>
      <w:bookmarkStart w:id="153" w:name="_Toc8017"/>
    </w:p>
    <w:p w14:paraId="6F5B3A34">
      <w:pPr>
        <w:jc w:val="left"/>
        <w:rPr>
          <w:rFonts w:ascii="宋体" w:hAnsi="宋体"/>
          <w:color w:val="000000" w:themeColor="text1"/>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评审因素见下表：</w:t>
      </w:r>
      <w:bookmarkEnd w:id="152"/>
    </w:p>
    <w:bookmarkEnd w:id="153"/>
    <w:tbl>
      <w:tblPr>
        <w:tblStyle w:val="32"/>
        <w:tblW w:w="83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52"/>
        <w:gridCol w:w="1245"/>
        <w:gridCol w:w="1394"/>
        <w:gridCol w:w="4947"/>
      </w:tblGrid>
      <w:tr w14:paraId="3ADB8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5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F9EEA33">
            <w:pPr>
              <w:pStyle w:val="89"/>
              <w:keepNext w:val="0"/>
              <w:keepLines w:val="0"/>
              <w:pageBreakBefore w:val="0"/>
              <w:widowControl/>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124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943FC26">
            <w:pPr>
              <w:pStyle w:val="89"/>
              <w:keepNext w:val="0"/>
              <w:keepLines w:val="0"/>
              <w:pageBreakBefore w:val="0"/>
              <w:widowControl/>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评分项目</w:t>
            </w:r>
          </w:p>
        </w:tc>
        <w:tc>
          <w:tcPr>
            <w:tcW w:w="139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0053365">
            <w:pPr>
              <w:pStyle w:val="89"/>
              <w:keepNext w:val="0"/>
              <w:keepLines w:val="0"/>
              <w:pageBreakBefore w:val="0"/>
              <w:widowControl/>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基准分值</w:t>
            </w:r>
          </w:p>
        </w:tc>
        <w:tc>
          <w:tcPr>
            <w:tcW w:w="49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D316739">
            <w:pPr>
              <w:pStyle w:val="89"/>
              <w:keepNext w:val="0"/>
              <w:keepLines w:val="0"/>
              <w:pageBreakBefore w:val="0"/>
              <w:widowControl/>
              <w:suppressLineNumbers w:val="0"/>
              <w:kinsoku/>
              <w:wordWrap/>
              <w:overflowPunct/>
              <w:topLinePunct w:val="0"/>
              <w:bidi w:val="0"/>
              <w:spacing w:before="0" w:beforeAutospacing="0" w:after="0" w:afterAutospacing="0" w:line="360" w:lineRule="exact"/>
              <w:ind w:left="0" w:right="0" w:firstLine="21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评分标准</w:t>
            </w:r>
          </w:p>
        </w:tc>
      </w:tr>
      <w:tr w14:paraId="3922C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5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D20DFBC">
            <w:pPr>
              <w:pStyle w:val="89"/>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24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CABF461">
            <w:pPr>
              <w:pStyle w:val="89"/>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报价部分</w:t>
            </w:r>
          </w:p>
          <w:p w14:paraId="631E45CA">
            <w:pPr>
              <w:pStyle w:val="89"/>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( 10 分)</w:t>
            </w:r>
          </w:p>
        </w:tc>
        <w:tc>
          <w:tcPr>
            <w:tcW w:w="139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925E715">
            <w:pPr>
              <w:pStyle w:val="89"/>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报价10分</w:t>
            </w:r>
          </w:p>
        </w:tc>
        <w:tc>
          <w:tcPr>
            <w:tcW w:w="49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AF7B0E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小组应当要求所有形式、资格、响应性评审合格的供 应商在规定时间内提交第二轮磋商报价（最终报价），第二轮磋商报价（最终报价） 是供应商响应文件的有效组成部分。</w:t>
            </w:r>
          </w:p>
          <w:p w14:paraId="4499FBD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磋商实行两轮报价法，第二轮报价为最终报价。供应商的首轮报价不得超过最高投标限价。参加磋商的供应商第二轮磋商报价（最终报价）不得高于其前一轮报价，否则磋商小组有权据此确定其为无效报价，提交第二轮磋商报价（最终报价）的供应商不得少于法定家数。</w:t>
            </w:r>
          </w:p>
          <w:p w14:paraId="766BCB39">
            <w:pPr>
              <w:pStyle w:val="89"/>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磋商报价得分值 =(评标基准价／投标报价)×价格权值×100</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精确到小数点后两位。</w:t>
            </w:r>
          </w:p>
          <w:p w14:paraId="4A03E4A4">
            <w:pPr>
              <w:pStyle w:val="89"/>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color w:val="auto"/>
                <w:sz w:val="24"/>
                <w:szCs w:val="24"/>
                <w:highlight w:val="none"/>
              </w:rPr>
            </w:pPr>
          </w:p>
        </w:tc>
      </w:tr>
      <w:tr w14:paraId="5CDDE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752"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D3A8BD7">
            <w:pPr>
              <w:pStyle w:val="89"/>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24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51F0D72">
            <w:pPr>
              <w:pStyle w:val="89"/>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商务</w:t>
            </w:r>
            <w:r>
              <w:rPr>
                <w:rFonts w:hint="eastAsia" w:ascii="宋体" w:hAnsi="宋体" w:eastAsia="宋体" w:cs="宋体"/>
                <w:color w:val="auto"/>
                <w:sz w:val="24"/>
                <w:szCs w:val="24"/>
                <w:highlight w:val="none"/>
                <w:lang w:eastAsia="zh-CN"/>
              </w:rPr>
              <w:t>部分</w:t>
            </w:r>
          </w:p>
          <w:p w14:paraId="14A3588C">
            <w:pPr>
              <w:pStyle w:val="89"/>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30</w:t>
            </w:r>
            <w:r>
              <w:rPr>
                <w:rFonts w:hint="eastAsia" w:ascii="宋体" w:hAnsi="宋体" w:eastAsia="宋体" w:cs="宋体"/>
                <w:color w:val="auto"/>
                <w:sz w:val="24"/>
                <w:szCs w:val="24"/>
                <w:highlight w:val="none"/>
              </w:rPr>
              <w:t>分)</w:t>
            </w:r>
          </w:p>
          <w:p w14:paraId="3EE206A3">
            <w:pPr>
              <w:pStyle w:val="89"/>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color w:val="auto"/>
                <w:sz w:val="24"/>
                <w:szCs w:val="24"/>
                <w:highlight w:val="none"/>
              </w:rPr>
            </w:pPr>
          </w:p>
        </w:tc>
        <w:tc>
          <w:tcPr>
            <w:tcW w:w="139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29EA22C">
            <w:pPr>
              <w:bidi w:val="0"/>
              <w:jc w:val="center"/>
              <w:rPr>
                <w:rFonts w:hint="eastAsia" w:ascii="宋体" w:hAnsi="宋体" w:eastAsia="宋体" w:cs="宋体"/>
                <w:color w:val="auto"/>
                <w:sz w:val="24"/>
                <w:szCs w:val="24"/>
                <w:highlight w:val="none"/>
              </w:rPr>
            </w:pPr>
            <w:r>
              <w:rPr>
                <w:rFonts w:hint="eastAsia" w:ascii="宋体" w:hAnsi="宋体" w:cs="宋体"/>
                <w:sz w:val="24"/>
                <w:szCs w:val="24"/>
                <w:lang w:val="en-US" w:eastAsia="zh-CN"/>
              </w:rPr>
              <w:t>10</w:t>
            </w:r>
            <w:r>
              <w:rPr>
                <w:rFonts w:hint="eastAsia" w:ascii="宋体" w:hAnsi="宋体" w:eastAsia="宋体" w:cs="宋体"/>
                <w:sz w:val="24"/>
                <w:szCs w:val="24"/>
                <w:lang w:val="en-US" w:eastAsia="zh-CN"/>
              </w:rPr>
              <w:t>分</w:t>
            </w:r>
          </w:p>
        </w:tc>
        <w:tc>
          <w:tcPr>
            <w:tcW w:w="49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0CBBDB4">
            <w:pPr>
              <w:bidi w:val="0"/>
              <w:jc w:val="both"/>
              <w:rPr>
                <w:rFonts w:hint="eastAsia" w:ascii="宋体" w:hAnsi="宋体" w:eastAsia="宋体" w:cs="宋体"/>
                <w:color w:val="auto"/>
                <w:sz w:val="24"/>
                <w:szCs w:val="24"/>
                <w:highlight w:val="none"/>
                <w:lang w:eastAsia="zh-CN"/>
              </w:rPr>
            </w:pPr>
            <w:r>
              <w:rPr>
                <w:rFonts w:hint="eastAsia" w:ascii="宋体" w:hAnsi="宋体" w:eastAsia="宋体" w:cs="宋体"/>
                <w:sz w:val="24"/>
                <w:szCs w:val="24"/>
                <w:lang w:eastAsia="zh-CN"/>
              </w:rPr>
              <w:t>投标单位近年（</w:t>
            </w:r>
            <w:r>
              <w:rPr>
                <w:rFonts w:hint="eastAsia" w:ascii="宋体" w:hAnsi="宋体" w:eastAsia="宋体" w:cs="宋体"/>
                <w:sz w:val="24"/>
                <w:szCs w:val="24"/>
                <w:lang w:val="en-US" w:eastAsia="zh-CN"/>
              </w:rPr>
              <w:t>202</w:t>
            </w:r>
            <w:r>
              <w:rPr>
                <w:rFonts w:hint="eastAsia" w:ascii="宋体" w:hAnsi="宋体" w:cs="宋体"/>
                <w:sz w:val="24"/>
                <w:szCs w:val="24"/>
                <w:lang w:val="en-US" w:eastAsia="zh-CN"/>
              </w:rPr>
              <w:t>2</w:t>
            </w:r>
            <w:r>
              <w:rPr>
                <w:rFonts w:hint="eastAsia" w:ascii="宋体" w:hAnsi="宋体" w:eastAsia="宋体" w:cs="宋体"/>
                <w:sz w:val="24"/>
                <w:szCs w:val="24"/>
                <w:lang w:val="en-US" w:eastAsia="zh-CN"/>
              </w:rPr>
              <w:t>年</w:t>
            </w:r>
            <w:r>
              <w:rPr>
                <w:rFonts w:hint="eastAsia" w:ascii="宋体" w:hAnsi="宋体" w:cs="宋体"/>
                <w:sz w:val="24"/>
                <w:szCs w:val="24"/>
                <w:lang w:val="en-US" w:eastAsia="zh-CN"/>
              </w:rPr>
              <w:t>3</w:t>
            </w:r>
            <w:r>
              <w:rPr>
                <w:rFonts w:hint="eastAsia" w:ascii="宋体" w:hAnsi="宋体" w:eastAsia="宋体" w:cs="宋体"/>
                <w:sz w:val="24"/>
                <w:szCs w:val="24"/>
                <w:lang w:val="en-US" w:eastAsia="zh-CN"/>
              </w:rPr>
              <w:t>月份-至今</w:t>
            </w:r>
            <w:r>
              <w:rPr>
                <w:rFonts w:hint="eastAsia" w:ascii="宋体" w:hAnsi="宋体" w:eastAsia="宋体" w:cs="宋体"/>
                <w:sz w:val="24"/>
                <w:szCs w:val="24"/>
                <w:lang w:eastAsia="zh-CN"/>
              </w:rPr>
              <w:t>）完成过类似服务项目的</w:t>
            </w:r>
            <w:r>
              <w:rPr>
                <w:rFonts w:hint="eastAsia" w:ascii="宋体" w:hAnsi="宋体" w:eastAsia="宋体" w:cs="宋体"/>
                <w:b/>
                <w:bCs/>
                <w:sz w:val="24"/>
                <w:szCs w:val="24"/>
                <w:lang w:eastAsia="zh-CN"/>
              </w:rPr>
              <w:t>每提供一项业绩</w:t>
            </w:r>
            <w:r>
              <w:rPr>
                <w:rFonts w:hint="eastAsia" w:ascii="宋体" w:hAnsi="宋体" w:cs="宋体"/>
                <w:b/>
                <w:bCs/>
                <w:sz w:val="24"/>
                <w:szCs w:val="24"/>
                <w:lang w:val="en-US" w:eastAsia="zh-CN"/>
              </w:rPr>
              <w:t>得2</w:t>
            </w:r>
            <w:r>
              <w:rPr>
                <w:rFonts w:hint="eastAsia" w:ascii="宋体" w:hAnsi="宋体" w:eastAsia="宋体" w:cs="宋体"/>
                <w:b/>
                <w:bCs/>
                <w:sz w:val="24"/>
                <w:szCs w:val="24"/>
                <w:lang w:val="en-US" w:eastAsia="zh-CN"/>
              </w:rPr>
              <w:t>分，最多得</w:t>
            </w:r>
            <w:r>
              <w:rPr>
                <w:rFonts w:hint="eastAsia" w:ascii="宋体" w:hAnsi="宋体" w:cs="宋体"/>
                <w:b/>
                <w:bCs/>
                <w:sz w:val="24"/>
                <w:szCs w:val="24"/>
                <w:lang w:val="en-US" w:eastAsia="zh-CN"/>
              </w:rPr>
              <w:t>10</w:t>
            </w:r>
            <w:r>
              <w:rPr>
                <w:rFonts w:hint="eastAsia" w:ascii="宋体" w:hAnsi="宋体" w:eastAsia="宋体" w:cs="宋体"/>
                <w:b/>
                <w:bCs/>
                <w:sz w:val="24"/>
                <w:szCs w:val="24"/>
                <w:lang w:val="en-US" w:eastAsia="zh-CN"/>
              </w:rPr>
              <w:t>分，没有则不得分。</w:t>
            </w:r>
            <w:r>
              <w:rPr>
                <w:rFonts w:hint="eastAsia" w:ascii="宋体" w:hAnsi="宋体" w:eastAsia="宋体" w:cs="宋体"/>
                <w:sz w:val="24"/>
                <w:szCs w:val="24"/>
                <w:lang w:val="en-US" w:eastAsia="zh-CN"/>
              </w:rPr>
              <w:t>（提供中标通知书或合同协议书等有效证明材料复印件）</w:t>
            </w:r>
            <w:r>
              <w:rPr>
                <w:rFonts w:hint="eastAsia" w:ascii="宋体" w:hAnsi="宋体" w:eastAsia="宋体" w:cs="宋体"/>
                <w:sz w:val="24"/>
                <w:szCs w:val="24"/>
              </w:rPr>
              <w:t>。</w:t>
            </w:r>
          </w:p>
        </w:tc>
      </w:tr>
      <w:tr w14:paraId="05C82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9" w:hRule="atLeast"/>
          <w:jc w:val="center"/>
        </w:trPr>
        <w:tc>
          <w:tcPr>
            <w:tcW w:w="752" w:type="dxa"/>
            <w:vMerge w:val="continue"/>
            <w:tcBorders>
              <w:top w:val="single" w:color="auto" w:sz="4" w:space="0"/>
              <w:left w:val="single" w:color="auto" w:sz="4" w:space="0"/>
              <w:bottom w:val="single" w:color="auto" w:sz="4" w:space="0"/>
              <w:right w:val="single" w:color="auto" w:sz="4" w:space="0"/>
            </w:tcBorders>
            <w:vAlign w:val="center"/>
          </w:tcPr>
          <w:p w14:paraId="5C4EFA5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4"/>
                <w:szCs w:val="24"/>
                <w:highlight w:val="none"/>
              </w:rPr>
            </w:pPr>
          </w:p>
        </w:tc>
        <w:tc>
          <w:tcPr>
            <w:tcW w:w="1245" w:type="dxa"/>
            <w:vMerge w:val="continue"/>
            <w:tcBorders>
              <w:top w:val="single" w:color="auto" w:sz="4" w:space="0"/>
              <w:left w:val="single" w:color="auto" w:sz="4" w:space="0"/>
              <w:bottom w:val="single" w:color="auto" w:sz="4" w:space="0"/>
              <w:right w:val="single" w:color="auto" w:sz="4" w:space="0"/>
            </w:tcBorders>
            <w:vAlign w:val="center"/>
          </w:tcPr>
          <w:p w14:paraId="41B605C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4"/>
                <w:szCs w:val="24"/>
                <w:highlight w:val="none"/>
              </w:rPr>
            </w:pPr>
          </w:p>
        </w:tc>
        <w:tc>
          <w:tcPr>
            <w:tcW w:w="1394" w:type="dxa"/>
            <w:tcBorders>
              <w:top w:val="single" w:color="auto" w:sz="4" w:space="0"/>
              <w:left w:val="single" w:color="auto" w:sz="4" w:space="0"/>
              <w:right w:val="single" w:color="auto" w:sz="4" w:space="0"/>
            </w:tcBorders>
            <w:tcMar>
              <w:top w:w="0" w:type="dxa"/>
              <w:left w:w="108" w:type="dxa"/>
              <w:bottom w:w="0" w:type="dxa"/>
              <w:right w:w="108" w:type="dxa"/>
            </w:tcMar>
            <w:vAlign w:val="center"/>
          </w:tcPr>
          <w:p w14:paraId="671D1198">
            <w:pPr>
              <w:bidi w:val="0"/>
              <w:jc w:val="center"/>
              <w:rPr>
                <w:rFonts w:hint="default" w:ascii="宋体" w:hAnsi="宋体" w:eastAsia="宋体" w:cs="宋体"/>
                <w:color w:val="auto"/>
                <w:sz w:val="24"/>
                <w:szCs w:val="24"/>
                <w:highlight w:val="none"/>
                <w:lang w:val="en-US" w:eastAsia="zh-CN"/>
              </w:rPr>
            </w:pPr>
            <w:r>
              <w:rPr>
                <w:rFonts w:hint="eastAsia" w:ascii="宋体" w:hAnsi="宋体" w:eastAsia="宋体" w:cs="宋体"/>
                <w:sz w:val="24"/>
                <w:szCs w:val="24"/>
                <w:lang w:val="en-US" w:eastAsia="zh-CN"/>
              </w:rPr>
              <w:t>14</w:t>
            </w:r>
            <w:r>
              <w:rPr>
                <w:rFonts w:hint="eastAsia" w:ascii="宋体" w:hAnsi="宋体" w:eastAsia="宋体" w:cs="宋体"/>
                <w:sz w:val="24"/>
                <w:szCs w:val="24"/>
              </w:rPr>
              <w:t>分</w:t>
            </w:r>
          </w:p>
        </w:tc>
        <w:tc>
          <w:tcPr>
            <w:tcW w:w="49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64B2343">
            <w:pPr>
              <w:bidi w:val="0"/>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投标人针对本项目</w:t>
            </w:r>
            <w:r>
              <w:rPr>
                <w:rFonts w:hint="eastAsia" w:ascii="宋体" w:hAnsi="宋体" w:eastAsia="宋体" w:cs="宋体"/>
                <w:sz w:val="24"/>
                <w:szCs w:val="24"/>
                <w:highlight w:val="none"/>
                <w:lang w:val="en-US" w:eastAsia="zh-CN"/>
              </w:rPr>
              <w:t>须求，具备土壤农化、农业资源与环境类、植物营养、地理信息系统类、土地资源管理、农业资源利用、测绘类、测量类、遥感类、地质类、地质实验、农业区划发展中</w:t>
            </w:r>
            <w:r>
              <w:rPr>
                <w:rFonts w:hint="eastAsia" w:ascii="宋体" w:hAnsi="宋体" w:eastAsia="宋体" w:cs="宋体"/>
                <w:sz w:val="24"/>
                <w:szCs w:val="24"/>
                <w:highlight w:val="none"/>
              </w:rPr>
              <w:t>级</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含）及以上</w:t>
            </w:r>
            <w:r>
              <w:rPr>
                <w:rFonts w:hint="eastAsia" w:ascii="宋体" w:hAnsi="宋体" w:eastAsia="宋体" w:cs="宋体"/>
                <w:sz w:val="24"/>
                <w:szCs w:val="24"/>
                <w:highlight w:val="none"/>
              </w:rPr>
              <w:t>职称证</w:t>
            </w:r>
            <w:r>
              <w:rPr>
                <w:rFonts w:hint="eastAsia" w:ascii="宋体" w:hAnsi="宋体" w:eastAsia="宋体" w:cs="宋体"/>
                <w:sz w:val="24"/>
                <w:szCs w:val="24"/>
                <w:highlight w:val="none"/>
                <w:lang w:val="en-US" w:eastAsia="zh-CN"/>
              </w:rPr>
              <w:t>的</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每提供一项得2分，满分14</w:t>
            </w:r>
            <w:r>
              <w:rPr>
                <w:rFonts w:hint="eastAsia" w:ascii="宋体" w:hAnsi="宋体" w:eastAsia="宋体" w:cs="宋体"/>
                <w:sz w:val="24"/>
                <w:szCs w:val="24"/>
                <w:highlight w:val="none"/>
              </w:rPr>
              <w:t>分，不</w:t>
            </w:r>
            <w:r>
              <w:rPr>
                <w:rFonts w:hint="eastAsia" w:ascii="宋体" w:hAnsi="宋体" w:eastAsia="宋体" w:cs="宋体"/>
                <w:sz w:val="24"/>
                <w:szCs w:val="24"/>
                <w:highlight w:val="none"/>
                <w:lang w:val="en-US" w:eastAsia="zh-CN"/>
              </w:rPr>
              <w:t>提供</w:t>
            </w:r>
            <w:r>
              <w:rPr>
                <w:rFonts w:hint="eastAsia" w:ascii="宋体" w:hAnsi="宋体" w:eastAsia="宋体" w:cs="宋体"/>
                <w:sz w:val="24"/>
                <w:szCs w:val="24"/>
                <w:highlight w:val="none"/>
              </w:rPr>
              <w:t>不得分。</w:t>
            </w:r>
          </w:p>
          <w:p w14:paraId="7ABEC0DF">
            <w:pPr>
              <w:bidi w:val="0"/>
              <w:jc w:val="both"/>
              <w:rPr>
                <w:rFonts w:hint="eastAsia" w:ascii="宋体" w:hAnsi="宋体" w:eastAsia="宋体" w:cs="宋体"/>
                <w:b w:val="0"/>
                <w:bCs w:val="0"/>
                <w:color w:val="000000" w:themeColor="text1"/>
                <w:sz w:val="24"/>
                <w:szCs w:val="24"/>
                <w:highlight w:val="none"/>
                <w:lang w:eastAsia="zh-CN"/>
                <w14:textFill>
                  <w14:solidFill>
                    <w14:schemeClr w14:val="tx1"/>
                  </w14:solidFill>
                </w14:textFill>
              </w:rPr>
            </w:pPr>
            <w:r>
              <w:rPr>
                <w:rFonts w:hint="eastAsia" w:ascii="宋体" w:hAnsi="宋体" w:eastAsia="宋体" w:cs="宋体"/>
                <w:sz w:val="24"/>
                <w:szCs w:val="24"/>
                <w:highlight w:val="none"/>
              </w:rPr>
              <w:t>评分依据:以投标文件中提供的相关人员资质证书、投标人所在单位</w:t>
            </w:r>
            <w:r>
              <w:rPr>
                <w:rFonts w:hint="eastAsia" w:ascii="宋体" w:hAnsi="宋体" w:cs="宋体"/>
                <w:sz w:val="24"/>
                <w:szCs w:val="24"/>
                <w:highlight w:val="none"/>
                <w:lang w:val="en-US" w:eastAsia="zh-CN"/>
              </w:rPr>
              <w:t>劳动合同</w:t>
            </w:r>
            <w:r>
              <w:rPr>
                <w:rFonts w:hint="eastAsia" w:ascii="宋体" w:hAnsi="宋体" w:eastAsia="宋体" w:cs="宋体"/>
                <w:sz w:val="24"/>
                <w:szCs w:val="24"/>
                <w:highlight w:val="none"/>
              </w:rPr>
              <w:t>等材料复印件为依据，并加盖投标人公章</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投标时携上述人员资质证书原件备查。</w:t>
            </w:r>
          </w:p>
        </w:tc>
      </w:tr>
      <w:tr w14:paraId="1E583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74" w:hRule="atLeast"/>
          <w:jc w:val="center"/>
        </w:trPr>
        <w:tc>
          <w:tcPr>
            <w:tcW w:w="752" w:type="dxa"/>
            <w:vMerge w:val="continue"/>
            <w:tcBorders>
              <w:top w:val="single" w:color="auto" w:sz="4" w:space="0"/>
              <w:left w:val="single" w:color="auto" w:sz="4" w:space="0"/>
              <w:bottom w:val="single" w:color="auto" w:sz="4" w:space="0"/>
              <w:right w:val="single" w:color="auto" w:sz="4" w:space="0"/>
            </w:tcBorders>
            <w:vAlign w:val="center"/>
          </w:tcPr>
          <w:p w14:paraId="054721D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4"/>
                <w:szCs w:val="24"/>
                <w:highlight w:val="none"/>
              </w:rPr>
            </w:pPr>
          </w:p>
        </w:tc>
        <w:tc>
          <w:tcPr>
            <w:tcW w:w="1245" w:type="dxa"/>
            <w:vMerge w:val="continue"/>
            <w:tcBorders>
              <w:top w:val="single" w:color="auto" w:sz="4" w:space="0"/>
              <w:left w:val="single" w:color="auto" w:sz="4" w:space="0"/>
              <w:bottom w:val="single" w:color="auto" w:sz="4" w:space="0"/>
              <w:right w:val="single" w:color="auto" w:sz="4" w:space="0"/>
            </w:tcBorders>
            <w:vAlign w:val="center"/>
          </w:tcPr>
          <w:p w14:paraId="17438F8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4"/>
                <w:szCs w:val="24"/>
                <w:highlight w:val="none"/>
              </w:rPr>
            </w:pPr>
          </w:p>
        </w:tc>
        <w:tc>
          <w:tcPr>
            <w:tcW w:w="1394" w:type="dxa"/>
            <w:tcBorders>
              <w:top w:val="single" w:color="auto" w:sz="4" w:space="0"/>
              <w:left w:val="single" w:color="auto" w:sz="4" w:space="0"/>
              <w:right w:val="single" w:color="auto" w:sz="4" w:space="0"/>
            </w:tcBorders>
            <w:tcMar>
              <w:top w:w="0" w:type="dxa"/>
              <w:left w:w="108" w:type="dxa"/>
              <w:bottom w:w="0" w:type="dxa"/>
              <w:right w:w="108" w:type="dxa"/>
            </w:tcMar>
            <w:vAlign w:val="center"/>
          </w:tcPr>
          <w:p w14:paraId="699E5FBF">
            <w:pPr>
              <w:bidi w:val="0"/>
              <w:jc w:val="center"/>
              <w:rPr>
                <w:rFonts w:hint="default" w:ascii="宋体" w:hAnsi="宋体" w:eastAsia="宋体" w:cs="宋体"/>
                <w:color w:val="auto"/>
                <w:sz w:val="24"/>
                <w:szCs w:val="24"/>
                <w:highlight w:val="none"/>
                <w:lang w:val="en-US" w:eastAsia="zh-CN"/>
              </w:rPr>
            </w:pPr>
            <w:r>
              <w:rPr>
                <w:rFonts w:hint="eastAsia" w:ascii="宋体" w:hAnsi="宋体" w:cs="宋体"/>
                <w:sz w:val="24"/>
                <w:szCs w:val="24"/>
                <w:lang w:val="en-US" w:eastAsia="zh-CN"/>
              </w:rPr>
              <w:t>6</w:t>
            </w:r>
            <w:r>
              <w:rPr>
                <w:rFonts w:hint="eastAsia" w:ascii="宋体" w:hAnsi="宋体" w:eastAsia="宋体" w:cs="宋体"/>
                <w:sz w:val="24"/>
                <w:szCs w:val="24"/>
              </w:rPr>
              <w:t>分</w:t>
            </w:r>
          </w:p>
        </w:tc>
        <w:tc>
          <w:tcPr>
            <w:tcW w:w="49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EF82C39">
            <w:pPr>
              <w:bidi w:val="0"/>
              <w:jc w:val="both"/>
              <w:rPr>
                <w:rFonts w:hint="eastAsia" w:ascii="宋体" w:hAnsi="宋体" w:eastAsia="宋体" w:cs="宋体"/>
                <w:b w:val="0"/>
                <w:bCs w:val="0"/>
                <w:color w:val="000000" w:themeColor="text1"/>
                <w:sz w:val="24"/>
                <w:szCs w:val="24"/>
                <w:highlight w:val="none"/>
                <w:lang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根</w:t>
            </w:r>
            <w:r>
              <w:rPr>
                <w:rFonts w:hint="eastAsia" w:ascii="宋体" w:hAnsi="宋体" w:eastAsia="宋体" w:cs="宋体"/>
                <w:b w:val="0"/>
                <w:bCs w:val="0"/>
                <w:color w:val="000000" w:themeColor="text1"/>
                <w:sz w:val="24"/>
                <w:szCs w:val="24"/>
                <w:highlight w:val="none"/>
                <w:lang w:eastAsia="zh-CN"/>
                <w14:textFill>
                  <w14:solidFill>
                    <w14:schemeClr w14:val="tx1"/>
                  </w14:solidFill>
                </w14:textFill>
              </w:rPr>
              <w:t>据各投标供应商提出的服务承诺及其可实现程度进行综合评价，</w:t>
            </w:r>
            <w:r>
              <w:rPr>
                <w:rFonts w:hint="eastAsia" w:ascii="宋体" w:hAnsi="宋体" w:eastAsia="宋体" w:cs="宋体"/>
                <w:b/>
                <w:bCs/>
                <w:color w:val="000000" w:themeColor="text1"/>
                <w:sz w:val="24"/>
                <w:szCs w:val="24"/>
                <w:highlight w:val="none"/>
                <w:lang w:eastAsia="zh-CN"/>
                <w14:textFill>
                  <w14:solidFill>
                    <w14:schemeClr w14:val="tx1"/>
                  </w14:solidFill>
                </w14:textFill>
              </w:rPr>
              <w:t>完善得</w:t>
            </w:r>
            <w:r>
              <w:rPr>
                <w:rFonts w:hint="eastAsia" w:ascii="宋体" w:hAnsi="宋体" w:cs="宋体"/>
                <w:b/>
                <w:bCs/>
                <w:color w:val="000000" w:themeColor="text1"/>
                <w:sz w:val="24"/>
                <w:szCs w:val="24"/>
                <w:highlight w:val="none"/>
                <w:lang w:val="en-US" w:eastAsia="zh-CN"/>
                <w14:textFill>
                  <w14:solidFill>
                    <w14:schemeClr w14:val="tx1"/>
                  </w14:solidFill>
                </w14:textFill>
              </w:rPr>
              <w:t>6</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w:t>
            </w:r>
            <w:r>
              <w:rPr>
                <w:rFonts w:hint="eastAsia" w:ascii="宋体" w:hAnsi="宋体" w:cs="宋体"/>
                <w:b/>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w:t>
            </w:r>
            <w:r>
              <w:rPr>
                <w:rFonts w:hint="eastAsia" w:ascii="宋体" w:hAnsi="宋体" w:eastAsia="宋体" w:cs="宋体"/>
                <w:b/>
                <w:bCs/>
                <w:color w:val="000000" w:themeColor="text1"/>
                <w:sz w:val="24"/>
                <w:szCs w:val="24"/>
                <w:highlight w:val="none"/>
                <w:lang w:eastAsia="zh-CN"/>
                <w14:textFill>
                  <w14:solidFill>
                    <w14:schemeClr w14:val="tx1"/>
                  </w14:solidFill>
                </w14:textFill>
              </w:rPr>
              <w:t>分，良好得</w:t>
            </w:r>
            <w:r>
              <w:rPr>
                <w:rFonts w:hint="eastAsia" w:ascii="宋体" w:hAnsi="宋体" w:cs="宋体"/>
                <w:b/>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-1.1</w:t>
            </w:r>
            <w:r>
              <w:rPr>
                <w:rFonts w:hint="eastAsia" w:ascii="宋体" w:hAnsi="宋体" w:eastAsia="宋体" w:cs="宋体"/>
                <w:b/>
                <w:bCs/>
                <w:color w:val="000000" w:themeColor="text1"/>
                <w:sz w:val="24"/>
                <w:szCs w:val="24"/>
                <w:highlight w:val="none"/>
                <w:lang w:eastAsia="zh-CN"/>
                <w14:textFill>
                  <w14:solidFill>
                    <w14:schemeClr w14:val="tx1"/>
                  </w14:solidFill>
                </w14:textFill>
              </w:rPr>
              <w:t>分，一般得1</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-0.1</w:t>
            </w:r>
            <w:r>
              <w:rPr>
                <w:rFonts w:hint="eastAsia" w:ascii="宋体" w:hAnsi="宋体" w:eastAsia="宋体" w:cs="宋体"/>
                <w:b/>
                <w:bCs/>
                <w:color w:val="000000" w:themeColor="text1"/>
                <w:sz w:val="24"/>
                <w:szCs w:val="24"/>
                <w:highlight w:val="none"/>
                <w:lang w:eastAsia="zh-CN"/>
                <w14:textFill>
                  <w14:solidFill>
                    <w14:schemeClr w14:val="tx1"/>
                  </w14:solidFill>
                </w14:textFill>
              </w:rPr>
              <w:t>分，较差或无此项内容不得分。</w:t>
            </w:r>
          </w:p>
        </w:tc>
      </w:tr>
      <w:tr w14:paraId="7D9F2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5" w:hRule="atLeast"/>
          <w:jc w:val="center"/>
        </w:trPr>
        <w:tc>
          <w:tcPr>
            <w:tcW w:w="752"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9E72533">
            <w:pPr>
              <w:pStyle w:val="89"/>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24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063ABF8">
            <w:pPr>
              <w:pStyle w:val="89"/>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技术部分</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60</w:t>
            </w:r>
            <w:r>
              <w:rPr>
                <w:rFonts w:hint="eastAsia" w:ascii="宋体" w:hAnsi="宋体" w:eastAsia="宋体" w:cs="宋体"/>
                <w:color w:val="auto"/>
                <w:sz w:val="24"/>
                <w:szCs w:val="24"/>
                <w:highlight w:val="none"/>
              </w:rPr>
              <w:t>分)</w:t>
            </w:r>
          </w:p>
          <w:p w14:paraId="61C0797E">
            <w:pPr>
              <w:pStyle w:val="89"/>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color w:val="auto"/>
                <w:sz w:val="24"/>
                <w:szCs w:val="24"/>
                <w:highlight w:val="none"/>
              </w:rPr>
            </w:pPr>
          </w:p>
        </w:tc>
        <w:tc>
          <w:tcPr>
            <w:tcW w:w="1394" w:type="dxa"/>
            <w:tcBorders>
              <w:top w:val="single" w:color="auto" w:sz="4" w:space="0"/>
              <w:left w:val="single" w:color="auto" w:sz="4" w:space="0"/>
              <w:right w:val="single" w:color="auto" w:sz="4" w:space="0"/>
            </w:tcBorders>
            <w:tcMar>
              <w:top w:w="0" w:type="dxa"/>
              <w:left w:w="108" w:type="dxa"/>
              <w:bottom w:w="0" w:type="dxa"/>
              <w:right w:w="108" w:type="dxa"/>
            </w:tcMar>
            <w:vAlign w:val="center"/>
          </w:tcPr>
          <w:p w14:paraId="22B99F90">
            <w:pPr>
              <w:numPr>
                <w:ilvl w:val="0"/>
                <w:numId w:val="0"/>
              </w:numPr>
              <w:ind w:left="0" w:leftChars="0" w:firstLine="0" w:firstLineChars="0"/>
              <w:jc w:val="center"/>
              <w:rPr>
                <w:rFonts w:hint="eastAsia" w:ascii="宋体" w:hAnsi="宋体" w:eastAsia="宋体" w:cs="宋体"/>
                <w:color w:val="auto"/>
                <w:sz w:val="24"/>
                <w:szCs w:val="24"/>
                <w:highlight w:val="none"/>
              </w:rPr>
            </w:pPr>
            <w:r>
              <w:rPr>
                <w:rFonts w:hint="eastAsia" w:ascii="宋体" w:hAnsi="宋体" w:cs="宋体"/>
                <w:sz w:val="24"/>
                <w:szCs w:val="24"/>
                <w:vertAlign w:val="baseline"/>
                <w:lang w:val="en-US" w:eastAsia="zh-CN"/>
              </w:rPr>
              <w:t>10</w:t>
            </w:r>
            <w:r>
              <w:rPr>
                <w:rFonts w:hint="eastAsia" w:ascii="宋体" w:hAnsi="宋体" w:eastAsia="宋体" w:cs="宋体"/>
                <w:sz w:val="24"/>
                <w:szCs w:val="24"/>
                <w:vertAlign w:val="baseline"/>
              </w:rPr>
              <w:t>分</w:t>
            </w:r>
          </w:p>
        </w:tc>
        <w:tc>
          <w:tcPr>
            <w:tcW w:w="4947" w:type="dxa"/>
            <w:tcBorders>
              <w:top w:val="single" w:color="auto" w:sz="4" w:space="0"/>
              <w:left w:val="single" w:color="auto" w:sz="4" w:space="0"/>
              <w:right w:val="single" w:color="auto" w:sz="4" w:space="0"/>
            </w:tcBorders>
            <w:tcMar>
              <w:top w:w="0" w:type="dxa"/>
              <w:left w:w="108" w:type="dxa"/>
              <w:bottom w:w="0" w:type="dxa"/>
              <w:right w:w="108" w:type="dxa"/>
            </w:tcMar>
            <w:vAlign w:val="top"/>
          </w:tcPr>
          <w:p w14:paraId="44E0D48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对项目背景的理解透彻、认知明晰，对项目需求的分析全面、完整详细；包括但不限于</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项目背景的理解、项目需求的分析、对项目现状情况的调研和问题分析等</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方案完整</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可行性高、操作性强的</w:t>
            </w:r>
            <w:r>
              <w:rPr>
                <w:rFonts w:hint="eastAsia" w:ascii="宋体" w:hAnsi="宋体" w:eastAsia="宋体" w:cs="宋体"/>
                <w:b/>
                <w:bCs/>
                <w:color w:val="auto"/>
                <w:sz w:val="24"/>
                <w:szCs w:val="24"/>
                <w:highlight w:val="none"/>
                <w:lang w:val="en-US" w:eastAsia="zh-CN"/>
              </w:rPr>
              <w:t>得</w:t>
            </w:r>
            <w:r>
              <w:rPr>
                <w:rFonts w:hint="eastAsia" w:ascii="宋体" w:hAnsi="宋体" w:cs="宋体"/>
                <w:b/>
                <w:bCs/>
                <w:color w:val="auto"/>
                <w:sz w:val="24"/>
                <w:szCs w:val="24"/>
                <w:highlight w:val="none"/>
                <w:lang w:val="en-US" w:eastAsia="zh-CN"/>
              </w:rPr>
              <w:t>10-5.1</w:t>
            </w:r>
            <w:r>
              <w:rPr>
                <w:rFonts w:hint="eastAsia" w:ascii="宋体" w:hAnsi="宋体" w:eastAsia="宋体" w:cs="宋体"/>
                <w:b/>
                <w:bCs/>
                <w:color w:val="auto"/>
                <w:sz w:val="24"/>
                <w:szCs w:val="24"/>
                <w:highlight w:val="none"/>
                <w:lang w:val="en-US" w:eastAsia="zh-CN"/>
              </w:rPr>
              <w:t>分</w:t>
            </w:r>
            <w:r>
              <w:rPr>
                <w:rFonts w:hint="eastAsia" w:ascii="宋体" w:hAnsi="宋体" w:cs="宋体"/>
                <w:b/>
                <w:bCs/>
                <w:color w:val="auto"/>
                <w:sz w:val="24"/>
                <w:szCs w:val="24"/>
                <w:highlight w:val="none"/>
                <w:lang w:val="en-US" w:eastAsia="zh-CN"/>
              </w:rPr>
              <w:t>；</w:t>
            </w:r>
            <w:r>
              <w:rPr>
                <w:rFonts w:hint="eastAsia" w:ascii="宋体" w:hAnsi="宋体" w:cs="宋体"/>
                <w:color w:val="auto"/>
                <w:sz w:val="24"/>
                <w:szCs w:val="24"/>
                <w:highlight w:val="none"/>
                <w:lang w:val="en-US" w:eastAsia="zh-CN"/>
              </w:rPr>
              <w:t>方案基本完整可行性一般、操作性一般的</w:t>
            </w:r>
            <w:r>
              <w:rPr>
                <w:rFonts w:hint="eastAsia" w:ascii="宋体" w:hAnsi="宋体" w:cs="宋体"/>
                <w:b/>
                <w:bCs/>
                <w:color w:val="auto"/>
                <w:sz w:val="24"/>
                <w:szCs w:val="24"/>
                <w:highlight w:val="none"/>
                <w:lang w:val="en-US" w:eastAsia="zh-CN"/>
              </w:rPr>
              <w:t>得5-2.1；</w:t>
            </w:r>
            <w:r>
              <w:rPr>
                <w:rFonts w:hint="eastAsia" w:ascii="宋体" w:hAnsi="宋体" w:cs="宋体"/>
                <w:color w:val="auto"/>
                <w:sz w:val="24"/>
                <w:szCs w:val="24"/>
                <w:highlight w:val="none"/>
                <w:lang w:val="en-US" w:eastAsia="zh-CN"/>
              </w:rPr>
              <w:t>方案不完整、不合理、可行性低，操作性低</w:t>
            </w:r>
            <w:r>
              <w:rPr>
                <w:rFonts w:hint="eastAsia" w:ascii="宋体" w:hAnsi="宋体" w:cs="宋体"/>
                <w:b/>
                <w:bCs/>
                <w:color w:val="auto"/>
                <w:sz w:val="24"/>
                <w:szCs w:val="24"/>
                <w:highlight w:val="none"/>
                <w:lang w:val="en-US" w:eastAsia="zh-CN"/>
              </w:rPr>
              <w:t>得2-0.1；</w:t>
            </w:r>
            <w:r>
              <w:rPr>
                <w:rFonts w:hint="eastAsia" w:ascii="宋体" w:hAnsi="宋体" w:eastAsia="宋体" w:cs="宋体"/>
                <w:b/>
                <w:bCs w:val="0"/>
                <w:sz w:val="24"/>
                <w:szCs w:val="24"/>
                <w:highlight w:val="none"/>
              </w:rPr>
              <w:t>未提供不得分</w:t>
            </w:r>
            <w:r>
              <w:rPr>
                <w:rFonts w:hint="eastAsia" w:ascii="宋体" w:hAnsi="宋体" w:eastAsia="宋体" w:cs="宋体"/>
                <w:b/>
                <w:bCs w:val="0"/>
                <w:sz w:val="24"/>
                <w:szCs w:val="24"/>
                <w:highlight w:val="none"/>
                <w:lang w:eastAsia="zh-CN"/>
              </w:rPr>
              <w:t>。</w:t>
            </w:r>
          </w:p>
        </w:tc>
      </w:tr>
      <w:tr w14:paraId="2C7DA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35" w:hRule="atLeast"/>
          <w:jc w:val="center"/>
        </w:trPr>
        <w:tc>
          <w:tcPr>
            <w:tcW w:w="752"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9BA9E9B">
            <w:pPr>
              <w:pStyle w:val="89"/>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color w:val="auto"/>
                <w:sz w:val="24"/>
                <w:szCs w:val="24"/>
                <w:highlight w:val="none"/>
              </w:rPr>
            </w:pPr>
          </w:p>
        </w:tc>
        <w:tc>
          <w:tcPr>
            <w:tcW w:w="1245"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2F09BDF">
            <w:pPr>
              <w:pStyle w:val="89"/>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color w:val="auto"/>
                <w:sz w:val="24"/>
                <w:szCs w:val="24"/>
                <w:highlight w:val="none"/>
              </w:rPr>
            </w:pPr>
          </w:p>
        </w:tc>
        <w:tc>
          <w:tcPr>
            <w:tcW w:w="1394" w:type="dxa"/>
            <w:tcBorders>
              <w:top w:val="single" w:color="auto" w:sz="4" w:space="0"/>
              <w:left w:val="single" w:color="auto" w:sz="4" w:space="0"/>
              <w:right w:val="single" w:color="auto" w:sz="4" w:space="0"/>
            </w:tcBorders>
            <w:tcMar>
              <w:top w:w="0" w:type="dxa"/>
              <w:left w:w="108" w:type="dxa"/>
              <w:bottom w:w="0" w:type="dxa"/>
              <w:right w:w="108" w:type="dxa"/>
            </w:tcMar>
            <w:vAlign w:val="center"/>
          </w:tcPr>
          <w:p w14:paraId="2254A12D">
            <w:pPr>
              <w:numPr>
                <w:ilvl w:val="0"/>
                <w:numId w:val="0"/>
              </w:numPr>
              <w:ind w:left="0" w:leftChars="0" w:firstLine="0" w:firstLineChars="0"/>
              <w:jc w:val="center"/>
              <w:rPr>
                <w:rFonts w:hint="default" w:ascii="宋体" w:hAnsi="宋体" w:eastAsia="宋体" w:cs="宋体"/>
                <w:color w:val="auto"/>
                <w:sz w:val="24"/>
                <w:szCs w:val="24"/>
                <w:highlight w:val="none"/>
                <w:lang w:val="en-US" w:eastAsia="zh-CN"/>
              </w:rPr>
            </w:pPr>
            <w:r>
              <w:rPr>
                <w:rFonts w:hint="eastAsia" w:ascii="宋体" w:hAnsi="宋体" w:cs="宋体"/>
                <w:sz w:val="24"/>
                <w:szCs w:val="24"/>
                <w:vertAlign w:val="baseline"/>
                <w:lang w:val="en-US" w:eastAsia="zh-CN"/>
              </w:rPr>
              <w:t>10</w:t>
            </w:r>
            <w:r>
              <w:rPr>
                <w:rFonts w:hint="eastAsia" w:ascii="宋体" w:hAnsi="宋体" w:eastAsia="宋体" w:cs="宋体"/>
                <w:sz w:val="24"/>
                <w:szCs w:val="24"/>
                <w:vertAlign w:val="baseline"/>
              </w:rPr>
              <w:t>分</w:t>
            </w:r>
          </w:p>
        </w:tc>
        <w:tc>
          <w:tcPr>
            <w:tcW w:w="4947" w:type="dxa"/>
            <w:tcBorders>
              <w:top w:val="single" w:color="auto" w:sz="4" w:space="0"/>
              <w:left w:val="single" w:color="auto" w:sz="4" w:space="0"/>
              <w:right w:val="single" w:color="auto" w:sz="4" w:space="0"/>
            </w:tcBorders>
            <w:tcMar>
              <w:top w:w="0" w:type="dxa"/>
              <w:left w:w="108" w:type="dxa"/>
              <w:bottom w:w="0" w:type="dxa"/>
              <w:right w:w="108" w:type="dxa"/>
            </w:tcMar>
            <w:vAlign w:val="top"/>
          </w:tcPr>
          <w:p w14:paraId="4E8F9B4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sz w:val="24"/>
                <w:szCs w:val="24"/>
                <w:vertAlign w:val="baseline"/>
              </w:rPr>
              <w:t>投标人</w:t>
            </w:r>
            <w:r>
              <w:rPr>
                <w:rFonts w:hint="eastAsia" w:ascii="宋体" w:hAnsi="宋体" w:eastAsia="宋体" w:cs="宋体"/>
                <w:sz w:val="24"/>
                <w:szCs w:val="24"/>
                <w:vertAlign w:val="baseline"/>
                <w:lang w:val="en-US" w:eastAsia="zh-CN"/>
              </w:rPr>
              <w:t>针对本项目制定规范化的实施方案：方案细致完整、描述条理清晰，内容齐全，有较高的针对性；包括但不限于</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各项工作技术路线及标准、工作流程、工作重点和难点分析及解决方案等</w:t>
            </w:r>
            <w:r>
              <w:rPr>
                <w:rFonts w:hint="eastAsia" w:ascii="宋体" w:hAnsi="宋体" w:cs="宋体"/>
                <w:sz w:val="24"/>
                <w:szCs w:val="24"/>
                <w:vertAlign w:val="baseline"/>
                <w:lang w:val="en-US" w:eastAsia="zh-CN"/>
              </w:rPr>
              <w:t>）</w:t>
            </w:r>
            <w:r>
              <w:rPr>
                <w:rFonts w:hint="eastAsia" w:ascii="宋体" w:hAnsi="宋体" w:eastAsia="宋体" w:cs="宋体"/>
                <w:color w:val="auto"/>
                <w:sz w:val="24"/>
                <w:szCs w:val="24"/>
                <w:highlight w:val="none"/>
                <w:lang w:val="en-US" w:eastAsia="zh-CN"/>
              </w:rPr>
              <w:t>方案完整</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可行性高、操作性强的</w:t>
            </w:r>
            <w:r>
              <w:rPr>
                <w:rFonts w:hint="eastAsia" w:ascii="宋体" w:hAnsi="宋体" w:eastAsia="宋体" w:cs="宋体"/>
                <w:b/>
                <w:bCs/>
                <w:color w:val="auto"/>
                <w:sz w:val="24"/>
                <w:szCs w:val="24"/>
                <w:highlight w:val="none"/>
                <w:lang w:val="en-US" w:eastAsia="zh-CN"/>
              </w:rPr>
              <w:t>得</w:t>
            </w:r>
            <w:r>
              <w:rPr>
                <w:rFonts w:hint="eastAsia" w:ascii="宋体" w:hAnsi="宋体" w:cs="宋体"/>
                <w:b/>
                <w:bCs/>
                <w:color w:val="auto"/>
                <w:sz w:val="24"/>
                <w:szCs w:val="24"/>
                <w:highlight w:val="none"/>
                <w:lang w:val="en-US" w:eastAsia="zh-CN"/>
              </w:rPr>
              <w:t>10-5.1</w:t>
            </w:r>
            <w:r>
              <w:rPr>
                <w:rFonts w:hint="eastAsia" w:ascii="宋体" w:hAnsi="宋体" w:eastAsia="宋体" w:cs="宋体"/>
                <w:b/>
                <w:bCs/>
                <w:color w:val="auto"/>
                <w:sz w:val="24"/>
                <w:szCs w:val="24"/>
                <w:highlight w:val="none"/>
                <w:lang w:val="en-US" w:eastAsia="zh-CN"/>
              </w:rPr>
              <w:t>分</w:t>
            </w:r>
            <w:r>
              <w:rPr>
                <w:rFonts w:hint="eastAsia" w:ascii="宋体" w:hAnsi="宋体" w:cs="宋体"/>
                <w:b/>
                <w:bCs/>
                <w:color w:val="auto"/>
                <w:sz w:val="24"/>
                <w:szCs w:val="24"/>
                <w:highlight w:val="none"/>
                <w:lang w:val="en-US" w:eastAsia="zh-CN"/>
              </w:rPr>
              <w:t>；</w:t>
            </w:r>
            <w:r>
              <w:rPr>
                <w:rFonts w:hint="eastAsia" w:ascii="宋体" w:hAnsi="宋体" w:cs="宋体"/>
                <w:color w:val="auto"/>
                <w:sz w:val="24"/>
                <w:szCs w:val="24"/>
                <w:highlight w:val="none"/>
                <w:lang w:val="en-US" w:eastAsia="zh-CN"/>
              </w:rPr>
              <w:t>方案基本完整可行性一般、操作性一般的</w:t>
            </w:r>
            <w:r>
              <w:rPr>
                <w:rFonts w:hint="eastAsia" w:ascii="宋体" w:hAnsi="宋体" w:cs="宋体"/>
                <w:b/>
                <w:bCs/>
                <w:color w:val="auto"/>
                <w:sz w:val="24"/>
                <w:szCs w:val="24"/>
                <w:highlight w:val="none"/>
                <w:lang w:val="en-US" w:eastAsia="zh-CN"/>
              </w:rPr>
              <w:t>得5-2.1；</w:t>
            </w:r>
            <w:r>
              <w:rPr>
                <w:rFonts w:hint="eastAsia" w:ascii="宋体" w:hAnsi="宋体" w:cs="宋体"/>
                <w:color w:val="auto"/>
                <w:sz w:val="24"/>
                <w:szCs w:val="24"/>
                <w:highlight w:val="none"/>
                <w:lang w:val="en-US" w:eastAsia="zh-CN"/>
              </w:rPr>
              <w:t>方案不完整、不合理、可行性低，操作性低</w:t>
            </w:r>
            <w:r>
              <w:rPr>
                <w:rFonts w:hint="eastAsia" w:ascii="宋体" w:hAnsi="宋体" w:cs="宋体"/>
                <w:b/>
                <w:bCs/>
                <w:color w:val="auto"/>
                <w:sz w:val="24"/>
                <w:szCs w:val="24"/>
                <w:highlight w:val="none"/>
                <w:lang w:val="en-US" w:eastAsia="zh-CN"/>
              </w:rPr>
              <w:t>得2-0.1；</w:t>
            </w:r>
            <w:r>
              <w:rPr>
                <w:rFonts w:hint="eastAsia" w:ascii="宋体" w:hAnsi="宋体" w:eastAsia="宋体" w:cs="宋体"/>
                <w:b/>
                <w:bCs w:val="0"/>
                <w:sz w:val="24"/>
                <w:szCs w:val="24"/>
                <w:highlight w:val="none"/>
              </w:rPr>
              <w:t>未提供不得分</w:t>
            </w:r>
            <w:r>
              <w:rPr>
                <w:rFonts w:hint="eastAsia" w:ascii="宋体" w:hAnsi="宋体" w:eastAsia="宋体" w:cs="宋体"/>
                <w:b/>
                <w:bCs w:val="0"/>
                <w:sz w:val="24"/>
                <w:szCs w:val="24"/>
                <w:highlight w:val="none"/>
                <w:lang w:eastAsia="zh-CN"/>
              </w:rPr>
              <w:t>。</w:t>
            </w:r>
          </w:p>
        </w:tc>
      </w:tr>
      <w:tr w14:paraId="1729A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1" w:hRule="atLeast"/>
          <w:jc w:val="center"/>
        </w:trPr>
        <w:tc>
          <w:tcPr>
            <w:tcW w:w="752" w:type="dxa"/>
            <w:vMerge w:val="continue"/>
            <w:tcBorders>
              <w:top w:val="single" w:color="auto" w:sz="4" w:space="0"/>
              <w:left w:val="single" w:color="auto" w:sz="4" w:space="0"/>
              <w:bottom w:val="single" w:color="auto" w:sz="4" w:space="0"/>
              <w:right w:val="single" w:color="auto" w:sz="4" w:space="0"/>
            </w:tcBorders>
            <w:vAlign w:val="center"/>
          </w:tcPr>
          <w:p w14:paraId="2A59448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4"/>
                <w:szCs w:val="24"/>
                <w:highlight w:val="none"/>
              </w:rPr>
            </w:pPr>
          </w:p>
        </w:tc>
        <w:tc>
          <w:tcPr>
            <w:tcW w:w="1245" w:type="dxa"/>
            <w:vMerge w:val="continue"/>
            <w:tcBorders>
              <w:top w:val="single" w:color="auto" w:sz="4" w:space="0"/>
              <w:left w:val="single" w:color="auto" w:sz="4" w:space="0"/>
              <w:bottom w:val="single" w:color="auto" w:sz="4" w:space="0"/>
              <w:right w:val="single" w:color="auto" w:sz="4" w:space="0"/>
            </w:tcBorders>
            <w:vAlign w:val="center"/>
          </w:tcPr>
          <w:p w14:paraId="574853B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4"/>
                <w:szCs w:val="24"/>
                <w:highlight w:val="none"/>
              </w:rPr>
            </w:pPr>
          </w:p>
        </w:tc>
        <w:tc>
          <w:tcPr>
            <w:tcW w:w="139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D38B092">
            <w:pPr>
              <w:numPr>
                <w:ilvl w:val="0"/>
                <w:numId w:val="0"/>
              </w:numPr>
              <w:ind w:left="0" w:leftChars="0" w:firstLine="0" w:firstLineChars="0"/>
              <w:jc w:val="center"/>
              <w:rPr>
                <w:rFonts w:hint="default" w:ascii="宋体" w:hAnsi="宋体" w:eastAsia="宋体" w:cs="宋体"/>
                <w:color w:val="auto"/>
                <w:sz w:val="24"/>
                <w:szCs w:val="24"/>
                <w:highlight w:val="none"/>
                <w:lang w:val="en-US"/>
              </w:rPr>
            </w:pPr>
            <w:r>
              <w:rPr>
                <w:rFonts w:hint="eastAsia" w:ascii="宋体" w:hAnsi="宋体" w:cs="宋体"/>
                <w:sz w:val="24"/>
                <w:szCs w:val="24"/>
                <w:highlight w:val="none"/>
                <w:vertAlign w:val="baseline"/>
                <w:lang w:val="en-US" w:eastAsia="zh-CN"/>
              </w:rPr>
              <w:t>10</w:t>
            </w:r>
            <w:r>
              <w:rPr>
                <w:rFonts w:hint="eastAsia" w:ascii="宋体" w:hAnsi="宋体" w:eastAsia="宋体" w:cs="宋体"/>
                <w:sz w:val="24"/>
                <w:szCs w:val="24"/>
                <w:highlight w:val="none"/>
                <w:vertAlign w:val="baseline"/>
              </w:rPr>
              <w:t>分</w:t>
            </w:r>
          </w:p>
        </w:tc>
        <w:tc>
          <w:tcPr>
            <w:tcW w:w="49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top"/>
          </w:tcPr>
          <w:p w14:paraId="5B202DE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sz w:val="24"/>
                <w:szCs w:val="24"/>
                <w:highlight w:val="none"/>
                <w:vertAlign w:val="baseline"/>
                <w:lang w:val="en-US" w:eastAsia="zh-CN"/>
              </w:rPr>
              <w:t>投标人针对本项目制定规范化的质量控制措施：措施细致完整、描述条理清晰，内容齐全，有较高的针对性；包括但不限于（质量目标及质量管理体系</w:t>
            </w:r>
            <w:r>
              <w:rPr>
                <w:rFonts w:hint="eastAsia" w:ascii="宋体" w:hAnsi="宋体" w:cs="宋体"/>
                <w:sz w:val="24"/>
                <w:szCs w:val="24"/>
                <w:highlight w:val="none"/>
                <w:vertAlign w:val="baseline"/>
                <w:lang w:val="en-US" w:eastAsia="zh-CN"/>
              </w:rPr>
              <w:t>、</w:t>
            </w:r>
            <w:r>
              <w:rPr>
                <w:rFonts w:hint="eastAsia" w:ascii="宋体" w:hAnsi="宋体" w:eastAsia="宋体" w:cs="宋体"/>
                <w:sz w:val="24"/>
                <w:szCs w:val="24"/>
                <w:highlight w:val="none"/>
                <w:vertAlign w:val="baseline"/>
                <w:lang w:val="en-US" w:eastAsia="zh-CN"/>
              </w:rPr>
              <w:t>质量保证措施</w:t>
            </w:r>
            <w:r>
              <w:rPr>
                <w:rFonts w:hint="eastAsia" w:ascii="宋体" w:hAnsi="宋体" w:cs="宋体"/>
                <w:sz w:val="24"/>
                <w:szCs w:val="24"/>
                <w:highlight w:val="none"/>
                <w:vertAlign w:val="baseline"/>
                <w:lang w:val="en-US" w:eastAsia="zh-CN"/>
              </w:rPr>
              <w:t>、</w:t>
            </w:r>
            <w:r>
              <w:rPr>
                <w:rFonts w:hint="eastAsia" w:ascii="宋体" w:hAnsi="宋体" w:eastAsia="宋体" w:cs="宋体"/>
                <w:sz w:val="24"/>
                <w:szCs w:val="24"/>
                <w:highlight w:val="none"/>
                <w:vertAlign w:val="baseline"/>
                <w:lang w:val="en-US" w:eastAsia="zh-CN"/>
              </w:rPr>
              <w:t>保密措施及违约承诺</w:t>
            </w:r>
            <w:r>
              <w:rPr>
                <w:rFonts w:hint="eastAsia" w:ascii="宋体" w:hAnsi="宋体" w:cs="宋体"/>
                <w:sz w:val="24"/>
                <w:szCs w:val="24"/>
                <w:highlight w:val="none"/>
                <w:vertAlign w:val="baseline"/>
                <w:lang w:val="en-US" w:eastAsia="zh-CN"/>
              </w:rPr>
              <w:t>等）</w:t>
            </w:r>
            <w:r>
              <w:rPr>
                <w:rFonts w:hint="eastAsia" w:ascii="宋体" w:hAnsi="宋体" w:eastAsia="宋体" w:cs="宋体"/>
                <w:color w:val="auto"/>
                <w:sz w:val="24"/>
                <w:szCs w:val="24"/>
                <w:highlight w:val="none"/>
                <w:lang w:val="en-US" w:eastAsia="zh-CN"/>
              </w:rPr>
              <w:t>方案完整</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可行性高、操作性强的</w:t>
            </w:r>
            <w:r>
              <w:rPr>
                <w:rFonts w:hint="eastAsia" w:ascii="宋体" w:hAnsi="宋体" w:eastAsia="宋体" w:cs="宋体"/>
                <w:b/>
                <w:bCs/>
                <w:color w:val="auto"/>
                <w:sz w:val="24"/>
                <w:szCs w:val="24"/>
                <w:highlight w:val="none"/>
                <w:lang w:val="en-US" w:eastAsia="zh-CN"/>
              </w:rPr>
              <w:t>得</w:t>
            </w:r>
            <w:r>
              <w:rPr>
                <w:rFonts w:hint="eastAsia" w:ascii="宋体" w:hAnsi="宋体" w:cs="宋体"/>
                <w:b/>
                <w:bCs/>
                <w:color w:val="auto"/>
                <w:sz w:val="24"/>
                <w:szCs w:val="24"/>
                <w:highlight w:val="none"/>
                <w:lang w:val="en-US" w:eastAsia="zh-CN"/>
              </w:rPr>
              <w:t>10-5.1</w:t>
            </w:r>
            <w:r>
              <w:rPr>
                <w:rFonts w:hint="eastAsia" w:ascii="宋体" w:hAnsi="宋体" w:eastAsia="宋体" w:cs="宋体"/>
                <w:b/>
                <w:bCs/>
                <w:color w:val="auto"/>
                <w:sz w:val="24"/>
                <w:szCs w:val="24"/>
                <w:highlight w:val="none"/>
                <w:lang w:val="en-US" w:eastAsia="zh-CN"/>
              </w:rPr>
              <w:t>分</w:t>
            </w:r>
            <w:r>
              <w:rPr>
                <w:rFonts w:hint="eastAsia" w:ascii="宋体" w:hAnsi="宋体" w:cs="宋体"/>
                <w:b/>
                <w:bCs/>
                <w:color w:val="auto"/>
                <w:sz w:val="24"/>
                <w:szCs w:val="24"/>
                <w:highlight w:val="none"/>
                <w:lang w:val="en-US" w:eastAsia="zh-CN"/>
              </w:rPr>
              <w:t>；</w:t>
            </w:r>
            <w:r>
              <w:rPr>
                <w:rFonts w:hint="eastAsia" w:ascii="宋体" w:hAnsi="宋体" w:cs="宋体"/>
                <w:color w:val="auto"/>
                <w:sz w:val="24"/>
                <w:szCs w:val="24"/>
                <w:highlight w:val="none"/>
                <w:lang w:val="en-US" w:eastAsia="zh-CN"/>
              </w:rPr>
              <w:t>方案基本完整可行性一般、操作性一般的</w:t>
            </w:r>
            <w:r>
              <w:rPr>
                <w:rFonts w:hint="eastAsia" w:ascii="宋体" w:hAnsi="宋体" w:cs="宋体"/>
                <w:b/>
                <w:bCs/>
                <w:color w:val="auto"/>
                <w:sz w:val="24"/>
                <w:szCs w:val="24"/>
                <w:highlight w:val="none"/>
                <w:lang w:val="en-US" w:eastAsia="zh-CN"/>
              </w:rPr>
              <w:t>得5-2.1；</w:t>
            </w:r>
            <w:r>
              <w:rPr>
                <w:rFonts w:hint="eastAsia" w:ascii="宋体" w:hAnsi="宋体" w:cs="宋体"/>
                <w:color w:val="auto"/>
                <w:sz w:val="24"/>
                <w:szCs w:val="24"/>
                <w:highlight w:val="none"/>
                <w:lang w:val="en-US" w:eastAsia="zh-CN"/>
              </w:rPr>
              <w:t>方案不完整、不合理、可行性低，操作性低</w:t>
            </w:r>
            <w:r>
              <w:rPr>
                <w:rFonts w:hint="eastAsia" w:ascii="宋体" w:hAnsi="宋体" w:cs="宋体"/>
                <w:b/>
                <w:bCs/>
                <w:color w:val="auto"/>
                <w:sz w:val="24"/>
                <w:szCs w:val="24"/>
                <w:highlight w:val="none"/>
                <w:lang w:val="en-US" w:eastAsia="zh-CN"/>
              </w:rPr>
              <w:t>得2-0.1；</w:t>
            </w:r>
            <w:r>
              <w:rPr>
                <w:rFonts w:hint="eastAsia" w:ascii="宋体" w:hAnsi="宋体" w:eastAsia="宋体" w:cs="宋体"/>
                <w:b/>
                <w:bCs w:val="0"/>
                <w:sz w:val="24"/>
                <w:szCs w:val="24"/>
                <w:highlight w:val="none"/>
              </w:rPr>
              <w:t>未提供不得分</w:t>
            </w:r>
            <w:r>
              <w:rPr>
                <w:rFonts w:hint="eastAsia" w:ascii="宋体" w:hAnsi="宋体" w:eastAsia="宋体" w:cs="宋体"/>
                <w:b/>
                <w:bCs w:val="0"/>
                <w:sz w:val="24"/>
                <w:szCs w:val="24"/>
                <w:highlight w:val="none"/>
                <w:lang w:eastAsia="zh-CN"/>
              </w:rPr>
              <w:t>。</w:t>
            </w:r>
          </w:p>
        </w:tc>
      </w:tr>
      <w:tr w14:paraId="7AEC0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01" w:hRule="atLeast"/>
          <w:jc w:val="center"/>
        </w:trPr>
        <w:tc>
          <w:tcPr>
            <w:tcW w:w="752" w:type="dxa"/>
            <w:vMerge w:val="continue"/>
            <w:tcBorders>
              <w:top w:val="single" w:color="auto" w:sz="4" w:space="0"/>
              <w:left w:val="single" w:color="auto" w:sz="4" w:space="0"/>
              <w:bottom w:val="single" w:color="auto" w:sz="4" w:space="0"/>
              <w:right w:val="single" w:color="auto" w:sz="4" w:space="0"/>
            </w:tcBorders>
            <w:vAlign w:val="center"/>
          </w:tcPr>
          <w:p w14:paraId="453CE73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4"/>
                <w:szCs w:val="24"/>
                <w:highlight w:val="none"/>
              </w:rPr>
            </w:pPr>
          </w:p>
        </w:tc>
        <w:tc>
          <w:tcPr>
            <w:tcW w:w="1245" w:type="dxa"/>
            <w:vMerge w:val="continue"/>
            <w:tcBorders>
              <w:top w:val="single" w:color="auto" w:sz="4" w:space="0"/>
              <w:left w:val="single" w:color="auto" w:sz="4" w:space="0"/>
              <w:bottom w:val="single" w:color="auto" w:sz="4" w:space="0"/>
              <w:right w:val="single" w:color="auto" w:sz="4" w:space="0"/>
            </w:tcBorders>
            <w:vAlign w:val="center"/>
          </w:tcPr>
          <w:p w14:paraId="3A53EC4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4"/>
                <w:szCs w:val="24"/>
                <w:highlight w:val="none"/>
              </w:rPr>
            </w:pPr>
          </w:p>
        </w:tc>
        <w:tc>
          <w:tcPr>
            <w:tcW w:w="139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CD5FF11">
            <w:pPr>
              <w:numPr>
                <w:ilvl w:val="0"/>
                <w:numId w:val="0"/>
              </w:numPr>
              <w:ind w:left="0" w:leftChars="0"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sz w:val="24"/>
                <w:szCs w:val="24"/>
                <w:vertAlign w:val="baseline"/>
                <w:lang w:val="en-US" w:eastAsia="zh-CN"/>
              </w:rPr>
              <w:t>10</w:t>
            </w:r>
            <w:r>
              <w:rPr>
                <w:rFonts w:hint="eastAsia" w:ascii="宋体" w:hAnsi="宋体" w:eastAsia="宋体" w:cs="宋体"/>
                <w:sz w:val="24"/>
                <w:szCs w:val="24"/>
                <w:vertAlign w:val="baseline"/>
              </w:rPr>
              <w:t>分</w:t>
            </w:r>
          </w:p>
        </w:tc>
        <w:tc>
          <w:tcPr>
            <w:tcW w:w="49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top"/>
          </w:tcPr>
          <w:p w14:paraId="488F64B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投标人</w:t>
            </w:r>
            <w:r>
              <w:rPr>
                <w:rFonts w:hint="eastAsia" w:ascii="宋体" w:hAnsi="宋体" w:eastAsia="宋体" w:cs="宋体"/>
                <w:sz w:val="24"/>
                <w:szCs w:val="24"/>
                <w:vertAlign w:val="baseline"/>
                <w:lang w:val="en-US" w:eastAsia="zh-CN"/>
              </w:rPr>
              <w:t>针对本项目制定规范化的进度控制措施：措施细致完整、描述条理清晰，内容齐全，有较高的针对性；包括但不限于</w:t>
            </w:r>
            <w:r>
              <w:rPr>
                <w:rFonts w:hint="eastAsia" w:ascii="宋体" w:hAnsi="宋体" w:cs="宋体"/>
                <w:sz w:val="24"/>
                <w:szCs w:val="24"/>
                <w:vertAlign w:val="baseline"/>
                <w:lang w:val="en-US" w:eastAsia="zh-CN"/>
              </w:rPr>
              <w:t>（项目总体进度安排、保证进度工作制度、时间节点控制等）</w:t>
            </w:r>
          </w:p>
          <w:p w14:paraId="6014A85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方案完整</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可行性高、操作性强的</w:t>
            </w:r>
            <w:r>
              <w:rPr>
                <w:rFonts w:hint="eastAsia" w:ascii="宋体" w:hAnsi="宋体" w:eastAsia="宋体" w:cs="宋体"/>
                <w:b/>
                <w:bCs/>
                <w:color w:val="auto"/>
                <w:sz w:val="24"/>
                <w:szCs w:val="24"/>
                <w:highlight w:val="none"/>
                <w:lang w:val="en-US" w:eastAsia="zh-CN"/>
              </w:rPr>
              <w:t>得</w:t>
            </w:r>
            <w:r>
              <w:rPr>
                <w:rFonts w:hint="eastAsia" w:ascii="宋体" w:hAnsi="宋体" w:cs="宋体"/>
                <w:b/>
                <w:bCs/>
                <w:color w:val="auto"/>
                <w:sz w:val="24"/>
                <w:szCs w:val="24"/>
                <w:highlight w:val="none"/>
                <w:lang w:val="en-US" w:eastAsia="zh-CN"/>
              </w:rPr>
              <w:t>10-5.1</w:t>
            </w:r>
            <w:r>
              <w:rPr>
                <w:rFonts w:hint="eastAsia" w:ascii="宋体" w:hAnsi="宋体" w:eastAsia="宋体" w:cs="宋体"/>
                <w:b/>
                <w:bCs/>
                <w:color w:val="auto"/>
                <w:sz w:val="24"/>
                <w:szCs w:val="24"/>
                <w:highlight w:val="none"/>
                <w:lang w:val="en-US" w:eastAsia="zh-CN"/>
              </w:rPr>
              <w:t>分</w:t>
            </w:r>
            <w:r>
              <w:rPr>
                <w:rFonts w:hint="eastAsia" w:ascii="宋体" w:hAnsi="宋体" w:cs="宋体"/>
                <w:b/>
                <w:bCs/>
                <w:color w:val="auto"/>
                <w:sz w:val="24"/>
                <w:szCs w:val="24"/>
                <w:highlight w:val="none"/>
                <w:lang w:val="en-US" w:eastAsia="zh-CN"/>
              </w:rPr>
              <w:t>；</w:t>
            </w:r>
            <w:r>
              <w:rPr>
                <w:rFonts w:hint="eastAsia" w:ascii="宋体" w:hAnsi="宋体" w:cs="宋体"/>
                <w:color w:val="auto"/>
                <w:sz w:val="24"/>
                <w:szCs w:val="24"/>
                <w:highlight w:val="none"/>
                <w:lang w:val="en-US" w:eastAsia="zh-CN"/>
              </w:rPr>
              <w:t>方案基本完整可行性一般、操作性一般的</w:t>
            </w:r>
            <w:r>
              <w:rPr>
                <w:rFonts w:hint="eastAsia" w:ascii="宋体" w:hAnsi="宋体" w:cs="宋体"/>
                <w:b/>
                <w:bCs/>
                <w:color w:val="auto"/>
                <w:sz w:val="24"/>
                <w:szCs w:val="24"/>
                <w:highlight w:val="none"/>
                <w:lang w:val="en-US" w:eastAsia="zh-CN"/>
              </w:rPr>
              <w:t>得5-2.1；</w:t>
            </w:r>
            <w:r>
              <w:rPr>
                <w:rFonts w:hint="eastAsia" w:ascii="宋体" w:hAnsi="宋体" w:cs="宋体"/>
                <w:color w:val="auto"/>
                <w:sz w:val="24"/>
                <w:szCs w:val="24"/>
                <w:highlight w:val="none"/>
                <w:lang w:val="en-US" w:eastAsia="zh-CN"/>
              </w:rPr>
              <w:t>方案不完整、不合理、可行性低，操作性低</w:t>
            </w:r>
            <w:r>
              <w:rPr>
                <w:rFonts w:hint="eastAsia" w:ascii="宋体" w:hAnsi="宋体" w:cs="宋体"/>
                <w:b/>
                <w:bCs/>
                <w:color w:val="auto"/>
                <w:sz w:val="24"/>
                <w:szCs w:val="24"/>
                <w:highlight w:val="none"/>
                <w:lang w:val="en-US" w:eastAsia="zh-CN"/>
              </w:rPr>
              <w:t>得2-0.1；</w:t>
            </w:r>
            <w:r>
              <w:rPr>
                <w:rFonts w:hint="eastAsia" w:ascii="宋体" w:hAnsi="宋体" w:eastAsia="宋体" w:cs="宋体"/>
                <w:b/>
                <w:bCs w:val="0"/>
                <w:sz w:val="24"/>
                <w:szCs w:val="24"/>
                <w:highlight w:val="none"/>
              </w:rPr>
              <w:t>未提供不得分</w:t>
            </w:r>
            <w:r>
              <w:rPr>
                <w:rFonts w:hint="eastAsia" w:ascii="宋体" w:hAnsi="宋体" w:eastAsia="宋体" w:cs="宋体"/>
                <w:b/>
                <w:bCs w:val="0"/>
                <w:sz w:val="24"/>
                <w:szCs w:val="24"/>
                <w:highlight w:val="none"/>
                <w:lang w:eastAsia="zh-CN"/>
              </w:rPr>
              <w:t>。</w:t>
            </w:r>
          </w:p>
        </w:tc>
      </w:tr>
      <w:tr w14:paraId="219F8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60" w:hRule="atLeast"/>
          <w:jc w:val="center"/>
        </w:trPr>
        <w:tc>
          <w:tcPr>
            <w:tcW w:w="752" w:type="dxa"/>
            <w:vMerge w:val="continue"/>
            <w:tcBorders>
              <w:top w:val="single" w:color="auto" w:sz="4" w:space="0"/>
              <w:left w:val="single" w:color="auto" w:sz="4" w:space="0"/>
              <w:bottom w:val="single" w:color="auto" w:sz="4" w:space="0"/>
              <w:right w:val="single" w:color="auto" w:sz="4" w:space="0"/>
            </w:tcBorders>
            <w:vAlign w:val="center"/>
          </w:tcPr>
          <w:p w14:paraId="6DAC578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4"/>
                <w:szCs w:val="24"/>
                <w:highlight w:val="none"/>
              </w:rPr>
            </w:pPr>
          </w:p>
        </w:tc>
        <w:tc>
          <w:tcPr>
            <w:tcW w:w="1245" w:type="dxa"/>
            <w:vMerge w:val="continue"/>
            <w:tcBorders>
              <w:top w:val="single" w:color="auto" w:sz="4" w:space="0"/>
              <w:left w:val="single" w:color="auto" w:sz="4" w:space="0"/>
              <w:bottom w:val="single" w:color="auto" w:sz="4" w:space="0"/>
              <w:right w:val="single" w:color="auto" w:sz="4" w:space="0"/>
            </w:tcBorders>
            <w:vAlign w:val="center"/>
          </w:tcPr>
          <w:p w14:paraId="1BD1B0F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4"/>
                <w:szCs w:val="24"/>
                <w:highlight w:val="none"/>
              </w:rPr>
            </w:pPr>
          </w:p>
        </w:tc>
        <w:tc>
          <w:tcPr>
            <w:tcW w:w="139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039CFCA">
            <w:pPr>
              <w:numPr>
                <w:ilvl w:val="0"/>
                <w:numId w:val="0"/>
              </w:numPr>
              <w:ind w:left="0" w:leftChars="0" w:firstLine="0" w:firstLineChars="0"/>
              <w:jc w:val="center"/>
              <w:rPr>
                <w:rFonts w:hint="eastAsia" w:ascii="宋体" w:hAnsi="宋体" w:eastAsia="宋体" w:cs="宋体"/>
                <w:color w:val="auto"/>
                <w:sz w:val="24"/>
                <w:szCs w:val="24"/>
                <w:highlight w:val="none"/>
              </w:rPr>
            </w:pPr>
            <w:r>
              <w:rPr>
                <w:rFonts w:hint="eastAsia" w:ascii="宋体" w:hAnsi="宋体" w:cs="宋体"/>
                <w:sz w:val="24"/>
                <w:szCs w:val="24"/>
                <w:vertAlign w:val="baseline"/>
                <w:lang w:val="en-US" w:eastAsia="zh-CN"/>
              </w:rPr>
              <w:t>10</w:t>
            </w:r>
            <w:r>
              <w:rPr>
                <w:rFonts w:hint="eastAsia" w:ascii="宋体" w:hAnsi="宋体" w:eastAsia="宋体" w:cs="宋体"/>
                <w:sz w:val="24"/>
                <w:szCs w:val="24"/>
                <w:vertAlign w:val="baseline"/>
              </w:rPr>
              <w:t>分</w:t>
            </w:r>
          </w:p>
        </w:tc>
        <w:tc>
          <w:tcPr>
            <w:tcW w:w="49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top"/>
          </w:tcPr>
          <w:p w14:paraId="364BC1C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sz w:val="24"/>
                <w:szCs w:val="24"/>
                <w:vertAlign w:val="baseline"/>
              </w:rPr>
              <w:t>投标人</w:t>
            </w:r>
            <w:r>
              <w:rPr>
                <w:rFonts w:hint="eastAsia" w:ascii="宋体" w:hAnsi="宋体" w:eastAsia="宋体" w:cs="宋体"/>
                <w:sz w:val="24"/>
                <w:szCs w:val="24"/>
                <w:vertAlign w:val="baseline"/>
                <w:lang w:val="en-US" w:eastAsia="zh-CN"/>
              </w:rPr>
              <w:t>针对本项目制定规范化的应急预案：方案细致完整、描述条理清晰，内容齐全，有较高的针对性；包括但不限于</w:t>
            </w:r>
            <w:r>
              <w:rPr>
                <w:rFonts w:hint="eastAsia" w:ascii="宋体" w:hAnsi="宋体" w:cs="宋体"/>
                <w:sz w:val="24"/>
                <w:szCs w:val="24"/>
                <w:vertAlign w:val="baseline"/>
                <w:lang w:val="en-US" w:eastAsia="zh-CN"/>
              </w:rPr>
              <w:t>（应急预案内容、应急事项的处理流程、处理方法、日常预防机制等），</w:t>
            </w:r>
            <w:r>
              <w:rPr>
                <w:rFonts w:hint="eastAsia" w:ascii="宋体" w:hAnsi="宋体" w:eastAsia="宋体" w:cs="宋体"/>
                <w:color w:val="auto"/>
                <w:sz w:val="24"/>
                <w:szCs w:val="24"/>
                <w:highlight w:val="none"/>
                <w:lang w:val="en-US" w:eastAsia="zh-CN"/>
              </w:rPr>
              <w:t>方案完整</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可行性高、操作性强的</w:t>
            </w:r>
            <w:r>
              <w:rPr>
                <w:rFonts w:hint="eastAsia" w:ascii="宋体" w:hAnsi="宋体" w:eastAsia="宋体" w:cs="宋体"/>
                <w:b/>
                <w:bCs/>
                <w:color w:val="auto"/>
                <w:sz w:val="24"/>
                <w:szCs w:val="24"/>
                <w:highlight w:val="none"/>
                <w:lang w:val="en-US" w:eastAsia="zh-CN"/>
              </w:rPr>
              <w:t>得</w:t>
            </w:r>
            <w:r>
              <w:rPr>
                <w:rFonts w:hint="eastAsia" w:ascii="宋体" w:hAnsi="宋体" w:cs="宋体"/>
                <w:b/>
                <w:bCs/>
                <w:color w:val="auto"/>
                <w:sz w:val="24"/>
                <w:szCs w:val="24"/>
                <w:highlight w:val="none"/>
                <w:lang w:val="en-US" w:eastAsia="zh-CN"/>
              </w:rPr>
              <w:t>10-5.1</w:t>
            </w:r>
            <w:r>
              <w:rPr>
                <w:rFonts w:hint="eastAsia" w:ascii="宋体" w:hAnsi="宋体" w:eastAsia="宋体" w:cs="宋体"/>
                <w:b/>
                <w:bCs/>
                <w:color w:val="auto"/>
                <w:sz w:val="24"/>
                <w:szCs w:val="24"/>
                <w:highlight w:val="none"/>
                <w:lang w:val="en-US" w:eastAsia="zh-CN"/>
              </w:rPr>
              <w:t>分</w:t>
            </w:r>
            <w:r>
              <w:rPr>
                <w:rFonts w:hint="eastAsia" w:ascii="宋体" w:hAnsi="宋体" w:cs="宋体"/>
                <w:b/>
                <w:bCs/>
                <w:color w:val="auto"/>
                <w:sz w:val="24"/>
                <w:szCs w:val="24"/>
                <w:highlight w:val="none"/>
                <w:lang w:val="en-US" w:eastAsia="zh-CN"/>
              </w:rPr>
              <w:t>；</w:t>
            </w:r>
            <w:r>
              <w:rPr>
                <w:rFonts w:hint="eastAsia" w:ascii="宋体" w:hAnsi="宋体" w:cs="宋体"/>
                <w:color w:val="auto"/>
                <w:sz w:val="24"/>
                <w:szCs w:val="24"/>
                <w:highlight w:val="none"/>
                <w:lang w:val="en-US" w:eastAsia="zh-CN"/>
              </w:rPr>
              <w:t>方案基本完整可行性一般、操作性一般的</w:t>
            </w:r>
            <w:r>
              <w:rPr>
                <w:rFonts w:hint="eastAsia" w:ascii="宋体" w:hAnsi="宋体" w:cs="宋体"/>
                <w:b/>
                <w:bCs/>
                <w:color w:val="auto"/>
                <w:sz w:val="24"/>
                <w:szCs w:val="24"/>
                <w:highlight w:val="none"/>
                <w:lang w:val="en-US" w:eastAsia="zh-CN"/>
              </w:rPr>
              <w:t>得5-2.1；</w:t>
            </w:r>
            <w:r>
              <w:rPr>
                <w:rFonts w:hint="eastAsia" w:ascii="宋体" w:hAnsi="宋体" w:cs="宋体"/>
                <w:color w:val="auto"/>
                <w:sz w:val="24"/>
                <w:szCs w:val="24"/>
                <w:highlight w:val="none"/>
                <w:lang w:val="en-US" w:eastAsia="zh-CN"/>
              </w:rPr>
              <w:t>方案不完整、不合理、可行性低，操作性低</w:t>
            </w:r>
            <w:r>
              <w:rPr>
                <w:rFonts w:hint="eastAsia" w:ascii="宋体" w:hAnsi="宋体" w:cs="宋体"/>
                <w:b/>
                <w:bCs/>
                <w:color w:val="auto"/>
                <w:sz w:val="24"/>
                <w:szCs w:val="24"/>
                <w:highlight w:val="none"/>
                <w:lang w:val="en-US" w:eastAsia="zh-CN"/>
              </w:rPr>
              <w:t>得2-0.1；</w:t>
            </w:r>
            <w:r>
              <w:rPr>
                <w:rFonts w:hint="eastAsia" w:ascii="宋体" w:hAnsi="宋体" w:eastAsia="宋体" w:cs="宋体"/>
                <w:b/>
                <w:bCs w:val="0"/>
                <w:sz w:val="24"/>
                <w:szCs w:val="24"/>
                <w:highlight w:val="none"/>
              </w:rPr>
              <w:t>未提供不得分</w:t>
            </w:r>
            <w:r>
              <w:rPr>
                <w:rFonts w:hint="eastAsia" w:ascii="宋体" w:hAnsi="宋体" w:eastAsia="宋体" w:cs="宋体"/>
                <w:b/>
                <w:bCs w:val="0"/>
                <w:sz w:val="24"/>
                <w:szCs w:val="24"/>
                <w:highlight w:val="none"/>
                <w:lang w:eastAsia="zh-CN"/>
              </w:rPr>
              <w:t>。</w:t>
            </w:r>
          </w:p>
        </w:tc>
      </w:tr>
      <w:tr w14:paraId="0F23E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9" w:hRule="atLeast"/>
          <w:jc w:val="center"/>
        </w:trPr>
        <w:tc>
          <w:tcPr>
            <w:tcW w:w="752" w:type="dxa"/>
            <w:vMerge w:val="continue"/>
            <w:tcBorders>
              <w:top w:val="single" w:color="auto" w:sz="4" w:space="0"/>
              <w:left w:val="single" w:color="auto" w:sz="4" w:space="0"/>
              <w:bottom w:val="single" w:color="auto" w:sz="4" w:space="0"/>
              <w:right w:val="single" w:color="auto" w:sz="4" w:space="0"/>
            </w:tcBorders>
            <w:vAlign w:val="center"/>
          </w:tcPr>
          <w:p w14:paraId="2DEC18C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4"/>
                <w:szCs w:val="24"/>
                <w:highlight w:val="none"/>
              </w:rPr>
            </w:pPr>
          </w:p>
        </w:tc>
        <w:tc>
          <w:tcPr>
            <w:tcW w:w="1245" w:type="dxa"/>
            <w:vMerge w:val="continue"/>
            <w:tcBorders>
              <w:top w:val="single" w:color="auto" w:sz="4" w:space="0"/>
              <w:left w:val="single" w:color="auto" w:sz="4" w:space="0"/>
              <w:bottom w:val="single" w:color="auto" w:sz="4" w:space="0"/>
              <w:right w:val="single" w:color="auto" w:sz="4" w:space="0"/>
            </w:tcBorders>
            <w:vAlign w:val="center"/>
          </w:tcPr>
          <w:p w14:paraId="2ECC549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4"/>
                <w:szCs w:val="24"/>
                <w:highlight w:val="none"/>
              </w:rPr>
            </w:pPr>
          </w:p>
        </w:tc>
        <w:tc>
          <w:tcPr>
            <w:tcW w:w="139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7E4C9E6">
            <w:pPr>
              <w:numPr>
                <w:ilvl w:val="0"/>
                <w:numId w:val="0"/>
              </w:numPr>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cs="宋体"/>
                <w:sz w:val="24"/>
                <w:szCs w:val="24"/>
                <w:vertAlign w:val="baseline"/>
                <w:lang w:val="en-US" w:eastAsia="zh-CN"/>
              </w:rPr>
              <w:t>10</w:t>
            </w:r>
            <w:r>
              <w:rPr>
                <w:rFonts w:hint="eastAsia" w:ascii="宋体" w:hAnsi="宋体" w:eastAsia="宋体" w:cs="宋体"/>
                <w:sz w:val="24"/>
                <w:szCs w:val="24"/>
                <w:vertAlign w:val="baseline"/>
              </w:rPr>
              <w:t>分</w:t>
            </w:r>
          </w:p>
        </w:tc>
        <w:tc>
          <w:tcPr>
            <w:tcW w:w="49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top"/>
          </w:tcPr>
          <w:p w14:paraId="57628E9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sz w:val="24"/>
                <w:szCs w:val="24"/>
                <w:vertAlign w:val="baseline"/>
              </w:rPr>
              <w:t>投标人</w:t>
            </w:r>
            <w:r>
              <w:rPr>
                <w:rFonts w:hint="eastAsia" w:ascii="宋体" w:hAnsi="宋体" w:eastAsia="宋体" w:cs="宋体"/>
                <w:sz w:val="24"/>
                <w:szCs w:val="24"/>
                <w:vertAlign w:val="baseline"/>
                <w:lang w:val="en-US" w:eastAsia="zh-CN"/>
              </w:rPr>
              <w:t>针对本项目制定规范化的售后服务保障措施：措施细致完整、描述条理清晰，内容齐全，有较高的针对性；包括但不限于</w:t>
            </w:r>
            <w:r>
              <w:rPr>
                <w:rFonts w:hint="eastAsia" w:ascii="宋体" w:hAnsi="宋体" w:cs="宋体"/>
                <w:sz w:val="24"/>
                <w:szCs w:val="24"/>
                <w:vertAlign w:val="baseline"/>
                <w:lang w:val="en-US" w:eastAsia="zh-CN"/>
              </w:rPr>
              <w:t>（售后服务承诺及后续保障措施、信息档案管理措施、合理化建议等）</w:t>
            </w:r>
            <w:r>
              <w:rPr>
                <w:rFonts w:hint="eastAsia" w:ascii="宋体" w:hAnsi="宋体" w:eastAsia="宋体" w:cs="宋体"/>
                <w:color w:val="auto"/>
                <w:sz w:val="24"/>
                <w:szCs w:val="24"/>
                <w:highlight w:val="none"/>
                <w:lang w:val="en-US" w:eastAsia="zh-CN"/>
              </w:rPr>
              <w:t>方案完整</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可行性高、操作性强的</w:t>
            </w:r>
            <w:r>
              <w:rPr>
                <w:rFonts w:hint="eastAsia" w:ascii="宋体" w:hAnsi="宋体" w:eastAsia="宋体" w:cs="宋体"/>
                <w:b/>
                <w:bCs/>
                <w:color w:val="auto"/>
                <w:sz w:val="24"/>
                <w:szCs w:val="24"/>
                <w:highlight w:val="none"/>
                <w:lang w:val="en-US" w:eastAsia="zh-CN"/>
              </w:rPr>
              <w:t>得</w:t>
            </w:r>
            <w:r>
              <w:rPr>
                <w:rFonts w:hint="eastAsia" w:ascii="宋体" w:hAnsi="宋体" w:cs="宋体"/>
                <w:b/>
                <w:bCs/>
                <w:color w:val="auto"/>
                <w:sz w:val="24"/>
                <w:szCs w:val="24"/>
                <w:highlight w:val="none"/>
                <w:lang w:val="en-US" w:eastAsia="zh-CN"/>
              </w:rPr>
              <w:t>10-5.1</w:t>
            </w:r>
            <w:r>
              <w:rPr>
                <w:rFonts w:hint="eastAsia" w:ascii="宋体" w:hAnsi="宋体" w:eastAsia="宋体" w:cs="宋体"/>
                <w:b/>
                <w:bCs/>
                <w:color w:val="auto"/>
                <w:sz w:val="24"/>
                <w:szCs w:val="24"/>
                <w:highlight w:val="none"/>
                <w:lang w:val="en-US" w:eastAsia="zh-CN"/>
              </w:rPr>
              <w:t>分</w:t>
            </w:r>
            <w:r>
              <w:rPr>
                <w:rFonts w:hint="eastAsia" w:ascii="宋体" w:hAnsi="宋体" w:cs="宋体"/>
                <w:b/>
                <w:bCs/>
                <w:color w:val="auto"/>
                <w:sz w:val="24"/>
                <w:szCs w:val="24"/>
                <w:highlight w:val="none"/>
                <w:lang w:val="en-US" w:eastAsia="zh-CN"/>
              </w:rPr>
              <w:t>；</w:t>
            </w:r>
            <w:r>
              <w:rPr>
                <w:rFonts w:hint="eastAsia" w:ascii="宋体" w:hAnsi="宋体" w:cs="宋体"/>
                <w:color w:val="auto"/>
                <w:sz w:val="24"/>
                <w:szCs w:val="24"/>
                <w:highlight w:val="none"/>
                <w:lang w:val="en-US" w:eastAsia="zh-CN"/>
              </w:rPr>
              <w:t>方案基本完整可行性一般、操作性一般的</w:t>
            </w:r>
            <w:r>
              <w:rPr>
                <w:rFonts w:hint="eastAsia" w:ascii="宋体" w:hAnsi="宋体" w:cs="宋体"/>
                <w:b/>
                <w:bCs/>
                <w:color w:val="auto"/>
                <w:sz w:val="24"/>
                <w:szCs w:val="24"/>
                <w:highlight w:val="none"/>
                <w:lang w:val="en-US" w:eastAsia="zh-CN"/>
              </w:rPr>
              <w:t>得5-2.1；</w:t>
            </w:r>
            <w:r>
              <w:rPr>
                <w:rFonts w:hint="eastAsia" w:ascii="宋体" w:hAnsi="宋体" w:cs="宋体"/>
                <w:color w:val="auto"/>
                <w:sz w:val="24"/>
                <w:szCs w:val="24"/>
                <w:highlight w:val="none"/>
                <w:lang w:val="en-US" w:eastAsia="zh-CN"/>
              </w:rPr>
              <w:t>方案不完整、不合理、可行性低，操作性低</w:t>
            </w:r>
            <w:r>
              <w:rPr>
                <w:rFonts w:hint="eastAsia" w:ascii="宋体" w:hAnsi="宋体" w:cs="宋体"/>
                <w:b/>
                <w:bCs/>
                <w:color w:val="auto"/>
                <w:sz w:val="24"/>
                <w:szCs w:val="24"/>
                <w:highlight w:val="none"/>
                <w:lang w:val="en-US" w:eastAsia="zh-CN"/>
              </w:rPr>
              <w:t>得2-0.1；</w:t>
            </w:r>
            <w:r>
              <w:rPr>
                <w:rFonts w:hint="eastAsia" w:ascii="宋体" w:hAnsi="宋体" w:eastAsia="宋体" w:cs="宋体"/>
                <w:b/>
                <w:bCs w:val="0"/>
                <w:sz w:val="24"/>
                <w:szCs w:val="24"/>
                <w:highlight w:val="none"/>
              </w:rPr>
              <w:t>未提供不得分</w:t>
            </w:r>
            <w:r>
              <w:rPr>
                <w:rFonts w:hint="eastAsia" w:ascii="宋体" w:hAnsi="宋体" w:eastAsia="宋体" w:cs="宋体"/>
                <w:b/>
                <w:bCs w:val="0"/>
                <w:sz w:val="24"/>
                <w:szCs w:val="24"/>
                <w:highlight w:val="none"/>
                <w:lang w:eastAsia="zh-CN"/>
              </w:rPr>
              <w:t>。</w:t>
            </w:r>
          </w:p>
        </w:tc>
      </w:tr>
    </w:tbl>
    <w:p w14:paraId="45961E54">
      <w:pPr>
        <w:rPr>
          <w:rFonts w:hint="eastAsia" w:ascii="宋体" w:hAnsi="宋体"/>
          <w:b/>
          <w:color w:val="000000" w:themeColor="text1"/>
          <w:sz w:val="24"/>
          <w:szCs w:val="24"/>
          <w:highlight w:val="none"/>
          <w14:textFill>
            <w14:solidFill>
              <w14:schemeClr w14:val="tx1"/>
            </w14:solidFill>
          </w14:textFill>
        </w:rPr>
      </w:pPr>
    </w:p>
    <w:p w14:paraId="2589299F">
      <w:pPr>
        <w:adjustRightInd w:val="0"/>
        <w:snapToGrid w:val="0"/>
        <w:spacing w:line="360" w:lineRule="auto"/>
        <w:jc w:val="left"/>
        <w:rPr>
          <w:rFonts w:ascii="宋体" w:hAnsi="宋体"/>
          <w:b/>
          <w:color w:val="000000" w:themeColor="text1"/>
          <w:sz w:val="24"/>
          <w:szCs w:val="24"/>
          <w:highlight w:val="none"/>
          <w14:textFill>
            <w14:solidFill>
              <w14:schemeClr w14:val="tx1"/>
            </w14:solidFill>
          </w14:textFill>
        </w:rPr>
      </w:pPr>
      <w:r>
        <w:rPr>
          <w:rFonts w:hint="eastAsia" w:ascii="宋体" w:hAnsi="宋体"/>
          <w:b/>
          <w:color w:val="000000" w:themeColor="text1"/>
          <w:sz w:val="24"/>
          <w:szCs w:val="24"/>
          <w:highlight w:val="none"/>
          <w14:textFill>
            <w14:solidFill>
              <w14:schemeClr w14:val="tx1"/>
            </w14:solidFill>
          </w14:textFill>
        </w:rPr>
        <w:t>一、评审方法</w:t>
      </w:r>
    </w:p>
    <w:p w14:paraId="04595244">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本次评审采用综合评分法。磋商小组对满足竞争性磋商文件实质性要求的竞争性磋商响应文件，按照本章第2.2款规定的评分标准进行打分，并按得分由高到低顺序推荐成交候选供应商，或根据采购人授权直接确定成交供应商，但磋商报价低于其成本的除外。综合评分相等时，以商务评审得分高的优先；商务评审得分也相等时，采购人可采用递交竞争性磋商响应文件时间较前的供应商优先或其他方法确定第一成交候选供应商。</w:t>
      </w:r>
    </w:p>
    <w:p w14:paraId="3E2D13FD">
      <w:pPr>
        <w:spacing w:line="360" w:lineRule="auto"/>
        <w:rPr>
          <w:rFonts w:ascii="宋体" w:hAnsi="宋体"/>
          <w:b/>
          <w:color w:val="000000" w:themeColor="text1"/>
          <w:sz w:val="24"/>
          <w:szCs w:val="24"/>
          <w:highlight w:val="none"/>
          <w14:textFill>
            <w14:solidFill>
              <w14:schemeClr w14:val="tx1"/>
            </w14:solidFill>
          </w14:textFill>
        </w:rPr>
      </w:pPr>
      <w:r>
        <w:rPr>
          <w:rFonts w:hint="eastAsia" w:ascii="宋体" w:hAnsi="宋体"/>
          <w:b/>
          <w:color w:val="000000" w:themeColor="text1"/>
          <w:sz w:val="24"/>
          <w:szCs w:val="24"/>
          <w:highlight w:val="none"/>
          <w14:textFill>
            <w14:solidFill>
              <w14:schemeClr w14:val="tx1"/>
            </w14:solidFill>
          </w14:textFill>
        </w:rPr>
        <w:t>二、评审标准</w:t>
      </w:r>
    </w:p>
    <w:p w14:paraId="34554463">
      <w:pPr>
        <w:spacing w:line="360" w:lineRule="auto"/>
        <w:ind w:firstLine="480" w:firstLineChars="200"/>
        <w:rPr>
          <w:rFonts w:ascii="宋体" w:hAnsi="宋体"/>
          <w:bCs/>
          <w:color w:val="000000" w:themeColor="text1"/>
          <w:sz w:val="24"/>
          <w:szCs w:val="24"/>
          <w:highlight w:val="none"/>
          <w14:textFill>
            <w14:solidFill>
              <w14:schemeClr w14:val="tx1"/>
            </w14:solidFill>
          </w14:textFill>
        </w:rPr>
      </w:pPr>
      <w:r>
        <w:rPr>
          <w:rFonts w:hint="eastAsia" w:ascii="宋体" w:hAnsi="宋体"/>
          <w:bCs/>
          <w:color w:val="000000" w:themeColor="text1"/>
          <w:sz w:val="24"/>
          <w:szCs w:val="24"/>
          <w:highlight w:val="none"/>
          <w14:textFill>
            <w14:solidFill>
              <w14:schemeClr w14:val="tx1"/>
            </w14:solidFill>
          </w14:textFill>
        </w:rPr>
        <w:t>2.1 初步评审标准</w:t>
      </w:r>
    </w:p>
    <w:p w14:paraId="588BD28E">
      <w:pPr>
        <w:spacing w:line="360" w:lineRule="auto"/>
        <w:ind w:firstLine="720" w:firstLineChars="300"/>
        <w:rPr>
          <w:rFonts w:ascii="宋体" w:hAnsi="宋体"/>
          <w:color w:val="000000" w:themeColor="text1"/>
          <w:sz w:val="24"/>
          <w:szCs w:val="24"/>
          <w:highlight w:val="none"/>
          <w14:textFill>
            <w14:solidFill>
              <w14:schemeClr w14:val="tx1"/>
            </w14:solidFill>
          </w14:textFill>
        </w:rPr>
      </w:pPr>
      <w:r>
        <w:rPr>
          <w:rFonts w:ascii="宋体" w:hAnsi="宋体"/>
          <w:color w:val="000000" w:themeColor="text1"/>
          <w:sz w:val="24"/>
          <w:szCs w:val="24"/>
          <w:highlight w:val="none"/>
          <w14:textFill>
            <w14:solidFill>
              <w14:schemeClr w14:val="tx1"/>
            </w14:solidFill>
          </w14:textFill>
        </w:rPr>
        <w:t>2.1.1</w:t>
      </w:r>
      <w:r>
        <w:rPr>
          <w:rFonts w:hint="eastAsia" w:ascii="宋体" w:hAnsi="宋体"/>
          <w:color w:val="000000" w:themeColor="text1"/>
          <w:sz w:val="24"/>
          <w:szCs w:val="24"/>
          <w:highlight w:val="none"/>
          <w:lang w:eastAsia="zh-CN"/>
          <w14:textFill>
            <w14:solidFill>
              <w14:schemeClr w14:val="tx1"/>
            </w14:solidFill>
          </w14:textFill>
        </w:rPr>
        <w:t>形式</w:t>
      </w:r>
      <w:r>
        <w:rPr>
          <w:rFonts w:hint="eastAsia"/>
          <w:color w:val="000000" w:themeColor="text1"/>
          <w:sz w:val="24"/>
          <w:szCs w:val="24"/>
          <w:highlight w:val="none"/>
          <w14:textFill>
            <w14:solidFill>
              <w14:schemeClr w14:val="tx1"/>
            </w14:solidFill>
          </w14:textFill>
        </w:rPr>
        <w:t>性</w:t>
      </w:r>
      <w:r>
        <w:rPr>
          <w:rFonts w:hint="eastAsia" w:ascii="宋体" w:hAnsi="宋体"/>
          <w:color w:val="000000" w:themeColor="text1"/>
          <w:sz w:val="24"/>
          <w:szCs w:val="24"/>
          <w:highlight w:val="none"/>
          <w14:textFill>
            <w14:solidFill>
              <w14:schemeClr w14:val="tx1"/>
            </w14:solidFill>
          </w14:textFill>
        </w:rPr>
        <w:t>评审：见评标办法前附表。</w:t>
      </w:r>
    </w:p>
    <w:p w14:paraId="5B7456F7">
      <w:pPr>
        <w:spacing w:line="360" w:lineRule="auto"/>
        <w:ind w:firstLine="720" w:firstLineChars="3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2.1.2</w:t>
      </w:r>
      <w:r>
        <w:rPr>
          <w:rFonts w:hint="eastAsia" w:ascii="宋体" w:hAnsi="宋体"/>
          <w:color w:val="000000" w:themeColor="text1"/>
          <w:sz w:val="24"/>
          <w:szCs w:val="24"/>
          <w:highlight w:val="none"/>
          <w:lang w:eastAsia="zh-CN"/>
          <w14:textFill>
            <w14:solidFill>
              <w14:schemeClr w14:val="tx1"/>
            </w14:solidFill>
          </w14:textFill>
        </w:rPr>
        <w:t>资格性</w:t>
      </w:r>
      <w:r>
        <w:rPr>
          <w:rFonts w:hint="eastAsia" w:ascii="宋体" w:hAnsi="宋体"/>
          <w:color w:val="000000" w:themeColor="text1"/>
          <w:sz w:val="24"/>
          <w:szCs w:val="24"/>
          <w:highlight w:val="none"/>
          <w14:textFill>
            <w14:solidFill>
              <w14:schemeClr w14:val="tx1"/>
            </w14:solidFill>
          </w14:textFill>
        </w:rPr>
        <w:t>评审：见评标办法前附表。</w:t>
      </w:r>
    </w:p>
    <w:p w14:paraId="1F4B45A2">
      <w:pPr>
        <w:spacing w:line="360" w:lineRule="auto"/>
        <w:ind w:firstLine="720" w:firstLineChars="300"/>
        <w:rPr>
          <w:rFonts w:hint="eastAsia" w:ascii="宋体" w:hAnsi="宋体"/>
          <w:bCs/>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2.1.</w:t>
      </w:r>
      <w:r>
        <w:rPr>
          <w:rFonts w:hint="eastAsia" w:ascii="宋体" w:hAnsi="宋体"/>
          <w:color w:val="000000" w:themeColor="text1"/>
          <w:sz w:val="24"/>
          <w:szCs w:val="24"/>
          <w:highlight w:val="none"/>
          <w:lang w:val="en-US" w:eastAsia="zh-CN"/>
          <w14:textFill>
            <w14:solidFill>
              <w14:schemeClr w14:val="tx1"/>
            </w14:solidFill>
          </w14:textFill>
        </w:rPr>
        <w:t>3响应</w:t>
      </w:r>
      <w:r>
        <w:rPr>
          <w:rFonts w:hint="eastAsia" w:ascii="宋体" w:hAnsi="宋体"/>
          <w:color w:val="000000" w:themeColor="text1"/>
          <w:sz w:val="24"/>
          <w:szCs w:val="24"/>
          <w:highlight w:val="none"/>
          <w:lang w:eastAsia="zh-CN"/>
          <w14:textFill>
            <w14:solidFill>
              <w14:schemeClr w14:val="tx1"/>
            </w14:solidFill>
          </w14:textFill>
        </w:rPr>
        <w:t>性</w:t>
      </w:r>
      <w:r>
        <w:rPr>
          <w:rFonts w:hint="eastAsia" w:ascii="宋体" w:hAnsi="宋体"/>
          <w:color w:val="000000" w:themeColor="text1"/>
          <w:sz w:val="24"/>
          <w:szCs w:val="24"/>
          <w:highlight w:val="none"/>
          <w14:textFill>
            <w14:solidFill>
              <w14:schemeClr w14:val="tx1"/>
            </w14:solidFill>
          </w14:textFill>
        </w:rPr>
        <w:t>评审：见评标办法前附表。</w:t>
      </w:r>
    </w:p>
    <w:p w14:paraId="397BAFDF">
      <w:pPr>
        <w:spacing w:line="360" w:lineRule="auto"/>
        <w:ind w:firstLine="480" w:firstLineChars="200"/>
        <w:rPr>
          <w:rFonts w:ascii="宋体" w:hAnsi="宋体"/>
          <w:bCs/>
          <w:color w:val="000000" w:themeColor="text1"/>
          <w:sz w:val="24"/>
          <w:szCs w:val="24"/>
          <w:highlight w:val="none"/>
          <w14:textFill>
            <w14:solidFill>
              <w14:schemeClr w14:val="tx1"/>
            </w14:solidFill>
          </w14:textFill>
        </w:rPr>
      </w:pPr>
      <w:r>
        <w:rPr>
          <w:rFonts w:hint="eastAsia" w:ascii="宋体" w:hAnsi="宋体"/>
          <w:bCs/>
          <w:color w:val="000000" w:themeColor="text1"/>
          <w:sz w:val="24"/>
          <w:szCs w:val="24"/>
          <w:highlight w:val="none"/>
          <w14:textFill>
            <w14:solidFill>
              <w14:schemeClr w14:val="tx1"/>
            </w14:solidFill>
          </w14:textFill>
        </w:rPr>
        <w:t>2.2详细评审标准</w:t>
      </w:r>
    </w:p>
    <w:p w14:paraId="4C5AE4A9">
      <w:pPr>
        <w:spacing w:line="360" w:lineRule="auto"/>
        <w:ind w:firstLine="720" w:firstLineChars="300"/>
        <w:rPr>
          <w:rFonts w:ascii="宋体" w:hAnsi="宋体"/>
          <w:color w:val="000000" w:themeColor="text1"/>
          <w:sz w:val="24"/>
          <w:szCs w:val="24"/>
          <w:highlight w:val="none"/>
          <w14:textFill>
            <w14:solidFill>
              <w14:schemeClr w14:val="tx1"/>
            </w14:solidFill>
          </w14:textFill>
        </w:rPr>
      </w:pPr>
      <w:bookmarkStart w:id="154" w:name="_Toc144974570"/>
      <w:bookmarkStart w:id="155" w:name="_Toc179632621"/>
      <w:bookmarkStart w:id="156" w:name="_Toc152042380"/>
      <w:bookmarkStart w:id="157" w:name="_Toc152045603"/>
      <w:r>
        <w:rPr>
          <w:rFonts w:ascii="宋体" w:hAnsi="宋体"/>
          <w:color w:val="000000" w:themeColor="text1"/>
          <w:sz w:val="24"/>
          <w:szCs w:val="24"/>
          <w:highlight w:val="none"/>
          <w14:textFill>
            <w14:solidFill>
              <w14:schemeClr w14:val="tx1"/>
            </w14:solidFill>
          </w14:textFill>
        </w:rPr>
        <w:t>2.2</w:t>
      </w:r>
      <w:r>
        <w:rPr>
          <w:rFonts w:hint="eastAsia" w:ascii="宋体" w:hAnsi="宋体"/>
          <w:color w:val="000000" w:themeColor="text1"/>
          <w:sz w:val="24"/>
          <w:szCs w:val="24"/>
          <w:highlight w:val="none"/>
          <w14:textFill>
            <w14:solidFill>
              <w14:schemeClr w14:val="tx1"/>
            </w14:solidFill>
          </w14:textFill>
        </w:rPr>
        <w:t>.1分值构成与评分标准</w:t>
      </w:r>
      <w:bookmarkEnd w:id="154"/>
      <w:bookmarkEnd w:id="155"/>
      <w:bookmarkEnd w:id="156"/>
      <w:bookmarkEnd w:id="157"/>
    </w:p>
    <w:p w14:paraId="3ABEE044">
      <w:pPr>
        <w:spacing w:line="360" w:lineRule="auto"/>
        <w:ind w:firstLine="720" w:firstLineChars="300"/>
        <w:rPr>
          <w:rFonts w:ascii="宋体"/>
          <w:color w:val="000000" w:themeColor="text1"/>
          <w:sz w:val="24"/>
          <w:szCs w:val="24"/>
          <w:highlight w:val="none"/>
          <w14:textFill>
            <w14:solidFill>
              <w14:schemeClr w14:val="tx1"/>
            </w14:solidFill>
          </w14:textFill>
        </w:rPr>
      </w:pPr>
      <w:r>
        <w:rPr>
          <w:rFonts w:ascii="宋体" w:hAnsi="宋体" w:cs="宋体"/>
          <w:color w:val="000000" w:themeColor="text1"/>
          <w:sz w:val="24"/>
          <w:szCs w:val="24"/>
          <w:highlight w:val="none"/>
          <w14:textFill>
            <w14:solidFill>
              <w14:schemeClr w14:val="tx1"/>
            </w14:solidFill>
          </w14:textFill>
        </w:rPr>
        <w:t>2.2.</w:t>
      </w:r>
      <w:r>
        <w:rPr>
          <w:rFonts w:hint="eastAsia" w:ascii="宋体" w:hAnsi="宋体" w:cs="宋体"/>
          <w:color w:val="000000" w:themeColor="text1"/>
          <w:sz w:val="24"/>
          <w:szCs w:val="24"/>
          <w:highlight w:val="none"/>
          <w14:textFill>
            <w14:solidFill>
              <w14:schemeClr w14:val="tx1"/>
            </w14:solidFill>
          </w14:textFill>
        </w:rPr>
        <w:t>2分值构成</w:t>
      </w:r>
    </w:p>
    <w:p w14:paraId="0D2CA5DE">
      <w:pPr>
        <w:spacing w:line="360" w:lineRule="auto"/>
        <w:ind w:firstLine="720" w:firstLineChars="300"/>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w:t>
      </w:r>
      <w:r>
        <w:rPr>
          <w:rFonts w:ascii="宋体" w:hAnsi="宋体" w:cs="宋体"/>
          <w:color w:val="000000" w:themeColor="text1"/>
          <w:sz w:val="24"/>
          <w:szCs w:val="24"/>
          <w:highlight w:val="none"/>
          <w14:textFill>
            <w14:solidFill>
              <w14:schemeClr w14:val="tx1"/>
            </w14:solidFill>
          </w14:textFill>
        </w:rPr>
        <w:t>1</w:t>
      </w: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eastAsia="zh-CN"/>
          <w14:textFill>
            <w14:solidFill>
              <w14:schemeClr w14:val="tx1"/>
            </w14:solidFill>
          </w14:textFill>
        </w:rPr>
        <w:t>报价部分</w:t>
      </w:r>
      <w:r>
        <w:rPr>
          <w:rFonts w:hint="eastAsia" w:ascii="宋体" w:hAnsi="宋体" w:cs="宋体"/>
          <w:color w:val="000000" w:themeColor="text1"/>
          <w:sz w:val="24"/>
          <w:szCs w:val="24"/>
          <w:highlight w:val="none"/>
          <w14:textFill>
            <w14:solidFill>
              <w14:schemeClr w14:val="tx1"/>
            </w14:solidFill>
          </w14:textFill>
        </w:rPr>
        <w:t>：见评标办法前附表；</w:t>
      </w:r>
    </w:p>
    <w:p w14:paraId="6F0A2991">
      <w:pPr>
        <w:spacing w:line="360" w:lineRule="auto"/>
        <w:ind w:firstLine="720" w:firstLineChars="300"/>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w:t>
      </w:r>
      <w:r>
        <w:rPr>
          <w:rFonts w:ascii="宋体" w:hAnsi="宋体" w:cs="宋体"/>
          <w:color w:val="000000" w:themeColor="text1"/>
          <w:sz w:val="24"/>
          <w:szCs w:val="24"/>
          <w:highlight w:val="none"/>
          <w14:textFill>
            <w14:solidFill>
              <w14:schemeClr w14:val="tx1"/>
            </w14:solidFill>
          </w14:textFill>
        </w:rPr>
        <w:t>2</w:t>
      </w:r>
      <w:r>
        <w:rPr>
          <w:rFonts w:hint="eastAsia" w:ascii="宋体" w:hAnsi="宋体" w:cs="宋体"/>
          <w:color w:val="000000" w:themeColor="text1"/>
          <w:sz w:val="24"/>
          <w:szCs w:val="24"/>
          <w:highlight w:val="none"/>
          <w14:textFill>
            <w14:solidFill>
              <w14:schemeClr w14:val="tx1"/>
            </w14:solidFill>
          </w14:textFill>
        </w:rPr>
        <w:t>）商务部分：见评标办法前附表；</w:t>
      </w:r>
    </w:p>
    <w:p w14:paraId="2812E11E">
      <w:pPr>
        <w:spacing w:line="360" w:lineRule="auto"/>
        <w:ind w:firstLine="720" w:firstLineChars="3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w:t>
      </w:r>
      <w:r>
        <w:rPr>
          <w:rFonts w:ascii="宋体" w:hAnsi="宋体" w:cs="宋体"/>
          <w:color w:val="000000" w:themeColor="text1"/>
          <w:sz w:val="24"/>
          <w:szCs w:val="24"/>
          <w:highlight w:val="none"/>
          <w14:textFill>
            <w14:solidFill>
              <w14:schemeClr w14:val="tx1"/>
            </w14:solidFill>
          </w14:textFill>
        </w:rPr>
        <w:t>3</w:t>
      </w:r>
      <w:r>
        <w:rPr>
          <w:rFonts w:hint="eastAsia" w:ascii="宋体" w:hAnsi="宋体" w:cs="宋体"/>
          <w:color w:val="000000" w:themeColor="text1"/>
          <w:sz w:val="24"/>
          <w:szCs w:val="24"/>
          <w:highlight w:val="none"/>
          <w14:textFill>
            <w14:solidFill>
              <w14:schemeClr w14:val="tx1"/>
            </w14:solidFill>
          </w14:textFill>
        </w:rPr>
        <w:t>）技术部分：见评标办法前附表</w:t>
      </w:r>
      <w:r>
        <w:rPr>
          <w:rFonts w:hint="eastAsia" w:ascii="宋体" w:hAnsi="宋体" w:cs="宋体"/>
          <w:color w:val="000000" w:themeColor="text1"/>
          <w:sz w:val="24"/>
          <w:szCs w:val="24"/>
          <w:highlight w:val="none"/>
          <w:lang w:eastAsia="zh-CN"/>
          <w14:textFill>
            <w14:solidFill>
              <w14:schemeClr w14:val="tx1"/>
            </w14:solidFill>
          </w14:textFill>
        </w:rPr>
        <w:t>。</w:t>
      </w:r>
    </w:p>
    <w:p w14:paraId="7FA0CE8A">
      <w:pPr>
        <w:spacing w:line="360" w:lineRule="auto"/>
        <w:ind w:firstLine="720" w:firstLineChars="3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2.2.3评审基准价计算</w:t>
      </w:r>
    </w:p>
    <w:p w14:paraId="1AC257A9">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评审基准价计算方法：见评审办法前附表。</w:t>
      </w:r>
    </w:p>
    <w:p w14:paraId="127E6827">
      <w:pPr>
        <w:spacing w:line="360" w:lineRule="auto"/>
        <w:ind w:firstLine="720" w:firstLineChars="3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2.2.4评分标准</w:t>
      </w:r>
    </w:p>
    <w:p w14:paraId="0922E881">
      <w:pPr>
        <w:spacing w:line="360" w:lineRule="auto"/>
        <w:ind w:firstLine="720" w:firstLineChars="3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（1）</w:t>
      </w:r>
      <w:r>
        <w:rPr>
          <w:rFonts w:hint="eastAsia" w:ascii="宋体" w:hAnsi="宋体" w:cs="宋体"/>
          <w:color w:val="000000" w:themeColor="text1"/>
          <w:sz w:val="24"/>
          <w:szCs w:val="24"/>
          <w:highlight w:val="none"/>
          <w:lang w:eastAsia="zh-CN"/>
          <w14:textFill>
            <w14:solidFill>
              <w14:schemeClr w14:val="tx1"/>
            </w14:solidFill>
          </w14:textFill>
        </w:rPr>
        <w:t>报价部分</w:t>
      </w:r>
      <w:r>
        <w:rPr>
          <w:rFonts w:hint="eastAsia" w:ascii="宋体" w:hAnsi="宋体"/>
          <w:color w:val="000000" w:themeColor="text1"/>
          <w:sz w:val="24"/>
          <w:szCs w:val="24"/>
          <w:highlight w:val="none"/>
          <w14:textFill>
            <w14:solidFill>
              <w14:schemeClr w14:val="tx1"/>
            </w14:solidFill>
          </w14:textFill>
        </w:rPr>
        <w:t>评审评分标准：见评审办法前附表；</w:t>
      </w:r>
    </w:p>
    <w:p w14:paraId="0E49F43E">
      <w:pPr>
        <w:spacing w:line="360" w:lineRule="auto"/>
        <w:ind w:firstLine="720" w:firstLineChars="3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（2）商务部分评分标准：见评审办法前附表；</w:t>
      </w:r>
    </w:p>
    <w:p w14:paraId="4B3A942F">
      <w:pPr>
        <w:spacing w:line="360" w:lineRule="auto"/>
        <w:ind w:firstLine="720" w:firstLineChars="300"/>
        <w:rPr>
          <w:rFonts w:hint="eastAsia" w:ascii="宋体" w:hAnsi="宋体" w:eastAsia="宋体" w:cs="宋体"/>
          <w:b w:val="0"/>
          <w:bCs w:val="0"/>
          <w:highlight w:val="none"/>
          <w:lang w:eastAsia="zh-CN"/>
        </w:rPr>
      </w:pPr>
      <w:r>
        <w:rPr>
          <w:rFonts w:hint="eastAsia" w:ascii="宋体" w:hAnsi="宋体"/>
          <w:color w:val="000000" w:themeColor="text1"/>
          <w:sz w:val="24"/>
          <w:szCs w:val="24"/>
          <w:highlight w:val="none"/>
          <w14:textFill>
            <w14:solidFill>
              <w14:schemeClr w14:val="tx1"/>
            </w14:solidFill>
          </w14:textFill>
        </w:rPr>
        <w:t>（3）技术部分评分标准：见评审办法前附表</w:t>
      </w:r>
      <w:r>
        <w:rPr>
          <w:rFonts w:hint="eastAsia" w:ascii="宋体" w:hAnsi="宋体"/>
          <w:color w:val="000000" w:themeColor="text1"/>
          <w:sz w:val="24"/>
          <w:szCs w:val="24"/>
          <w:highlight w:val="none"/>
          <w:lang w:eastAsia="zh-CN"/>
          <w14:textFill>
            <w14:solidFill>
              <w14:schemeClr w14:val="tx1"/>
            </w14:solidFill>
          </w14:textFill>
        </w:rPr>
        <w:t>。</w:t>
      </w:r>
    </w:p>
    <w:p w14:paraId="4500AF9A">
      <w:pPr>
        <w:spacing w:line="360" w:lineRule="auto"/>
        <w:rPr>
          <w:rFonts w:ascii="宋体" w:hAnsi="宋体"/>
          <w:b/>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三、</w:t>
      </w:r>
      <w:r>
        <w:rPr>
          <w:rFonts w:hint="eastAsia" w:ascii="宋体" w:hAnsi="宋体"/>
          <w:b/>
          <w:color w:val="000000" w:themeColor="text1"/>
          <w:sz w:val="24"/>
          <w:szCs w:val="24"/>
          <w:highlight w:val="none"/>
          <w14:textFill>
            <w14:solidFill>
              <w14:schemeClr w14:val="tx1"/>
            </w14:solidFill>
          </w14:textFill>
        </w:rPr>
        <w:t>评审程序</w:t>
      </w:r>
    </w:p>
    <w:p w14:paraId="27D60591">
      <w:pPr>
        <w:spacing w:line="360" w:lineRule="auto"/>
        <w:ind w:firstLine="720" w:firstLineChars="300"/>
        <w:rPr>
          <w:rFonts w:ascii="宋体" w:hAnsi="宋体"/>
          <w:color w:val="000000" w:themeColor="text1"/>
          <w:sz w:val="24"/>
          <w:szCs w:val="24"/>
          <w:highlight w:val="none"/>
          <w14:textFill>
            <w14:solidFill>
              <w14:schemeClr w14:val="tx1"/>
            </w14:solidFill>
          </w14:textFill>
        </w:rPr>
      </w:pPr>
      <w:r>
        <w:rPr>
          <w:rFonts w:ascii="宋体" w:hAnsi="宋体"/>
          <w:color w:val="000000" w:themeColor="text1"/>
          <w:sz w:val="24"/>
          <w:szCs w:val="24"/>
          <w:highlight w:val="none"/>
          <w14:textFill>
            <w14:solidFill>
              <w14:schemeClr w14:val="tx1"/>
            </w14:solidFill>
          </w14:textFill>
        </w:rPr>
        <w:t>3.1.1</w:t>
      </w:r>
      <w:r>
        <w:rPr>
          <w:rFonts w:hint="eastAsia" w:ascii="宋体" w:hAnsi="宋体"/>
          <w:color w:val="000000" w:themeColor="text1"/>
          <w:sz w:val="24"/>
          <w:szCs w:val="24"/>
          <w:highlight w:val="none"/>
          <w14:textFill>
            <w14:solidFill>
              <w14:schemeClr w14:val="tx1"/>
            </w14:solidFill>
          </w14:textFill>
        </w:rPr>
        <w:t>竞争性磋商小组</w:t>
      </w:r>
      <w:r>
        <w:rPr>
          <w:rFonts w:ascii="宋体" w:hAnsi="宋体"/>
          <w:color w:val="000000" w:themeColor="text1"/>
          <w:sz w:val="24"/>
          <w:szCs w:val="24"/>
          <w:highlight w:val="none"/>
          <w14:textFill>
            <w14:solidFill>
              <w14:schemeClr w14:val="tx1"/>
            </w14:solidFill>
          </w14:textFill>
        </w:rPr>
        <w:t>可以要求</w:t>
      </w:r>
      <w:r>
        <w:rPr>
          <w:rFonts w:hint="eastAsia" w:ascii="宋体" w:hAnsi="宋体"/>
          <w:color w:val="000000" w:themeColor="text1"/>
          <w:sz w:val="24"/>
          <w:szCs w:val="24"/>
          <w:highlight w:val="none"/>
          <w14:textFill>
            <w14:solidFill>
              <w14:schemeClr w14:val="tx1"/>
            </w14:solidFill>
          </w14:textFill>
        </w:rPr>
        <w:t>供应商</w:t>
      </w:r>
      <w:r>
        <w:rPr>
          <w:rFonts w:ascii="宋体" w:hAnsi="宋体"/>
          <w:color w:val="000000" w:themeColor="text1"/>
          <w:sz w:val="24"/>
          <w:szCs w:val="24"/>
          <w:highlight w:val="none"/>
          <w14:textFill>
            <w14:solidFill>
              <w14:schemeClr w14:val="tx1"/>
            </w14:solidFill>
          </w14:textFill>
        </w:rPr>
        <w:t>提交第二章“</w:t>
      </w:r>
      <w:r>
        <w:rPr>
          <w:rFonts w:hint="eastAsia" w:ascii="宋体" w:hAnsi="宋体"/>
          <w:color w:val="000000" w:themeColor="text1"/>
          <w:sz w:val="24"/>
          <w:szCs w:val="24"/>
          <w:highlight w:val="none"/>
          <w14:textFill>
            <w14:solidFill>
              <w14:schemeClr w14:val="tx1"/>
            </w14:solidFill>
          </w14:textFill>
        </w:rPr>
        <w:t>供应商</w:t>
      </w:r>
      <w:r>
        <w:rPr>
          <w:rFonts w:ascii="宋体" w:hAnsi="宋体"/>
          <w:color w:val="000000" w:themeColor="text1"/>
          <w:sz w:val="24"/>
          <w:szCs w:val="24"/>
          <w:highlight w:val="none"/>
          <w14:textFill>
            <w14:solidFill>
              <w14:schemeClr w14:val="tx1"/>
            </w14:solidFill>
          </w14:textFill>
        </w:rPr>
        <w:t>须知”规定的有关证明和证件的原件，以便核验。</w:t>
      </w:r>
      <w:r>
        <w:rPr>
          <w:rFonts w:hint="eastAsia" w:ascii="宋体" w:hAnsi="宋体"/>
          <w:color w:val="000000" w:themeColor="text1"/>
          <w:sz w:val="24"/>
          <w:szCs w:val="24"/>
          <w:highlight w:val="none"/>
          <w14:textFill>
            <w14:solidFill>
              <w14:schemeClr w14:val="tx1"/>
            </w14:solidFill>
          </w14:textFill>
        </w:rPr>
        <w:t>竞争性磋商小组</w:t>
      </w:r>
      <w:r>
        <w:rPr>
          <w:rFonts w:ascii="宋体" w:hAnsi="宋体"/>
          <w:color w:val="000000" w:themeColor="text1"/>
          <w:sz w:val="24"/>
          <w:szCs w:val="24"/>
          <w:highlight w:val="none"/>
          <w14:textFill>
            <w14:solidFill>
              <w14:schemeClr w14:val="tx1"/>
            </w14:solidFill>
          </w14:textFill>
        </w:rPr>
        <w:t>依据本章第 2.1 款规定的标准对</w:t>
      </w:r>
      <w:r>
        <w:rPr>
          <w:rFonts w:hint="eastAsia" w:ascii="宋体" w:hAnsi="宋体"/>
          <w:color w:val="000000" w:themeColor="text1"/>
          <w:sz w:val="24"/>
          <w:szCs w:val="24"/>
          <w:highlight w:val="none"/>
          <w14:textFill>
            <w14:solidFill>
              <w14:schemeClr w14:val="tx1"/>
            </w14:solidFill>
          </w14:textFill>
        </w:rPr>
        <w:t>磋商</w:t>
      </w:r>
      <w:r>
        <w:rPr>
          <w:rFonts w:ascii="宋体" w:hAnsi="宋体"/>
          <w:color w:val="000000" w:themeColor="text1"/>
          <w:sz w:val="24"/>
          <w:szCs w:val="24"/>
          <w:highlight w:val="none"/>
          <w14:textFill>
            <w14:solidFill>
              <w14:schemeClr w14:val="tx1"/>
            </w14:solidFill>
          </w14:textFill>
        </w:rPr>
        <w:t>响应文件进行初步评审。有一项不符合评审标准的，</w:t>
      </w:r>
      <w:r>
        <w:rPr>
          <w:rFonts w:hint="eastAsia" w:ascii="宋体" w:hAnsi="宋体"/>
          <w:color w:val="000000" w:themeColor="text1"/>
          <w:sz w:val="24"/>
          <w:szCs w:val="24"/>
          <w:highlight w:val="none"/>
          <w14:textFill>
            <w14:solidFill>
              <w14:schemeClr w14:val="tx1"/>
            </w14:solidFill>
          </w14:textFill>
        </w:rPr>
        <w:t>竞争性磋商小组</w:t>
      </w:r>
      <w:r>
        <w:rPr>
          <w:rFonts w:ascii="宋体" w:hAnsi="宋体"/>
          <w:color w:val="000000" w:themeColor="text1"/>
          <w:sz w:val="24"/>
          <w:szCs w:val="24"/>
          <w:highlight w:val="none"/>
          <w14:textFill>
            <w14:solidFill>
              <w14:schemeClr w14:val="tx1"/>
            </w14:solidFill>
          </w14:textFill>
        </w:rPr>
        <w:t>应当否决其投标。</w:t>
      </w:r>
    </w:p>
    <w:p w14:paraId="42E9DC20">
      <w:pPr>
        <w:spacing w:line="360" w:lineRule="auto"/>
        <w:ind w:left="-2" w:leftChars="-1" w:firstLine="720" w:firstLineChars="300"/>
        <w:rPr>
          <w:rFonts w:ascii="宋体" w:hAnsi="宋体"/>
          <w:color w:val="000000" w:themeColor="text1"/>
          <w:sz w:val="24"/>
          <w:szCs w:val="24"/>
          <w:highlight w:val="none"/>
          <w14:textFill>
            <w14:solidFill>
              <w14:schemeClr w14:val="tx1"/>
            </w14:solidFill>
          </w14:textFill>
        </w:rPr>
      </w:pPr>
      <w:r>
        <w:rPr>
          <w:rFonts w:ascii="宋体" w:hAnsi="宋体"/>
          <w:color w:val="000000" w:themeColor="text1"/>
          <w:sz w:val="24"/>
          <w:szCs w:val="24"/>
          <w:highlight w:val="none"/>
          <w14:textFill>
            <w14:solidFill>
              <w14:schemeClr w14:val="tx1"/>
            </w14:solidFill>
          </w14:textFill>
        </w:rPr>
        <w:t>3.1.2</w:t>
      </w:r>
      <w:r>
        <w:rPr>
          <w:rFonts w:hint="eastAsia" w:ascii="宋体" w:hAnsi="宋体"/>
          <w:color w:val="000000" w:themeColor="text1"/>
          <w:sz w:val="24"/>
          <w:szCs w:val="24"/>
          <w:highlight w:val="none"/>
          <w14:textFill>
            <w14:solidFill>
              <w14:schemeClr w14:val="tx1"/>
            </w14:solidFill>
          </w14:textFill>
        </w:rPr>
        <w:t>供应商</w:t>
      </w:r>
      <w:r>
        <w:rPr>
          <w:rFonts w:ascii="宋体" w:hAnsi="宋体"/>
          <w:color w:val="000000" w:themeColor="text1"/>
          <w:sz w:val="24"/>
          <w:szCs w:val="24"/>
          <w:highlight w:val="none"/>
          <w14:textFill>
            <w14:solidFill>
              <w14:schemeClr w14:val="tx1"/>
            </w14:solidFill>
          </w14:textFill>
        </w:rPr>
        <w:t>有以下情形之一的，</w:t>
      </w:r>
      <w:r>
        <w:rPr>
          <w:rFonts w:hint="eastAsia" w:ascii="宋体" w:hAnsi="宋体"/>
          <w:color w:val="000000" w:themeColor="text1"/>
          <w:sz w:val="24"/>
          <w:szCs w:val="24"/>
          <w:highlight w:val="none"/>
          <w14:textFill>
            <w14:solidFill>
              <w14:schemeClr w14:val="tx1"/>
            </w14:solidFill>
          </w14:textFill>
        </w:rPr>
        <w:t>竞争性磋商小组</w:t>
      </w:r>
      <w:r>
        <w:rPr>
          <w:rFonts w:ascii="宋体" w:hAnsi="宋体"/>
          <w:color w:val="000000" w:themeColor="text1"/>
          <w:sz w:val="24"/>
          <w:szCs w:val="24"/>
          <w:highlight w:val="none"/>
          <w14:textFill>
            <w14:solidFill>
              <w14:schemeClr w14:val="tx1"/>
            </w14:solidFill>
          </w14:textFill>
        </w:rPr>
        <w:t>应当否决其投标：</w:t>
      </w:r>
    </w:p>
    <w:p w14:paraId="2A12F2A1">
      <w:pPr>
        <w:spacing w:line="360" w:lineRule="auto"/>
        <w:ind w:left="-2" w:leftChars="-1" w:firstLine="720" w:firstLineChars="300"/>
        <w:rPr>
          <w:rFonts w:ascii="宋体" w:hAnsi="宋体"/>
          <w:color w:val="000000" w:themeColor="text1"/>
          <w:sz w:val="24"/>
          <w:szCs w:val="24"/>
          <w:highlight w:val="none"/>
          <w14:textFill>
            <w14:solidFill>
              <w14:schemeClr w14:val="tx1"/>
            </w14:solidFill>
          </w14:textFill>
        </w:rPr>
      </w:pPr>
      <w:r>
        <w:rPr>
          <w:rFonts w:ascii="宋体" w:hAnsi="宋体"/>
          <w:color w:val="000000" w:themeColor="text1"/>
          <w:sz w:val="24"/>
          <w:szCs w:val="24"/>
          <w:highlight w:val="none"/>
          <w14:textFill>
            <w14:solidFill>
              <w14:schemeClr w14:val="tx1"/>
            </w14:solidFill>
          </w14:textFill>
        </w:rPr>
        <w:t>（1）</w:t>
      </w:r>
      <w:r>
        <w:rPr>
          <w:rFonts w:hint="eastAsia" w:ascii="宋体" w:hAnsi="宋体"/>
          <w:color w:val="000000" w:themeColor="text1"/>
          <w:sz w:val="24"/>
          <w:szCs w:val="24"/>
          <w:highlight w:val="none"/>
          <w14:textFill>
            <w14:solidFill>
              <w14:schemeClr w14:val="tx1"/>
            </w14:solidFill>
          </w14:textFill>
        </w:rPr>
        <w:t>磋商</w:t>
      </w:r>
      <w:r>
        <w:rPr>
          <w:rFonts w:ascii="宋体" w:hAnsi="宋体"/>
          <w:color w:val="000000" w:themeColor="text1"/>
          <w:sz w:val="24"/>
          <w:szCs w:val="24"/>
          <w:highlight w:val="none"/>
          <w14:textFill>
            <w14:solidFill>
              <w14:schemeClr w14:val="tx1"/>
            </w14:solidFill>
          </w14:textFill>
        </w:rPr>
        <w:t>响应文件没有对</w:t>
      </w:r>
      <w:r>
        <w:rPr>
          <w:rFonts w:hint="eastAsia" w:ascii="宋体" w:hAnsi="宋体"/>
          <w:color w:val="000000" w:themeColor="text1"/>
          <w:sz w:val="24"/>
          <w:szCs w:val="24"/>
          <w:highlight w:val="none"/>
          <w14:textFill>
            <w14:solidFill>
              <w14:schemeClr w14:val="tx1"/>
            </w14:solidFill>
          </w14:textFill>
        </w:rPr>
        <w:t>竞争性磋商文件</w:t>
      </w:r>
      <w:r>
        <w:rPr>
          <w:rFonts w:ascii="宋体" w:hAnsi="宋体"/>
          <w:color w:val="000000" w:themeColor="text1"/>
          <w:sz w:val="24"/>
          <w:szCs w:val="24"/>
          <w:highlight w:val="none"/>
          <w14:textFill>
            <w14:solidFill>
              <w14:schemeClr w14:val="tx1"/>
            </w14:solidFill>
          </w14:textFill>
        </w:rPr>
        <w:t>的实质性要求和条件作出响应，或者对竞争性</w:t>
      </w:r>
      <w:r>
        <w:rPr>
          <w:rFonts w:hint="eastAsia" w:ascii="宋体" w:hAnsi="宋体"/>
          <w:color w:val="000000" w:themeColor="text1"/>
          <w:sz w:val="24"/>
          <w:szCs w:val="24"/>
          <w:highlight w:val="none"/>
          <w14:textFill>
            <w14:solidFill>
              <w14:schemeClr w14:val="tx1"/>
            </w14:solidFill>
          </w14:textFill>
        </w:rPr>
        <w:t>磋商</w:t>
      </w:r>
      <w:r>
        <w:rPr>
          <w:rFonts w:ascii="宋体" w:hAnsi="宋体"/>
          <w:color w:val="000000" w:themeColor="text1"/>
          <w:sz w:val="24"/>
          <w:szCs w:val="24"/>
          <w:highlight w:val="none"/>
          <w14:textFill>
            <w14:solidFill>
              <w14:schemeClr w14:val="tx1"/>
            </w14:solidFill>
          </w14:textFill>
        </w:rPr>
        <w:t>文件的偏差超出竞争性</w:t>
      </w:r>
      <w:r>
        <w:rPr>
          <w:rFonts w:hint="eastAsia" w:ascii="宋体" w:hAnsi="宋体"/>
          <w:color w:val="000000" w:themeColor="text1"/>
          <w:sz w:val="24"/>
          <w:szCs w:val="24"/>
          <w:highlight w:val="none"/>
          <w14:textFill>
            <w14:solidFill>
              <w14:schemeClr w14:val="tx1"/>
            </w14:solidFill>
          </w14:textFill>
        </w:rPr>
        <w:t>磋商</w:t>
      </w:r>
      <w:r>
        <w:rPr>
          <w:rFonts w:ascii="宋体" w:hAnsi="宋体"/>
          <w:color w:val="000000" w:themeColor="text1"/>
          <w:sz w:val="24"/>
          <w:szCs w:val="24"/>
          <w:highlight w:val="none"/>
          <w14:textFill>
            <w14:solidFill>
              <w14:schemeClr w14:val="tx1"/>
            </w14:solidFill>
          </w14:textFill>
        </w:rPr>
        <w:t>文件规定的偏差范围或最高项数；</w:t>
      </w:r>
    </w:p>
    <w:p w14:paraId="1D6B4715">
      <w:pPr>
        <w:spacing w:line="360" w:lineRule="auto"/>
        <w:ind w:left="-2" w:leftChars="-1" w:firstLine="720" w:firstLineChars="300"/>
        <w:rPr>
          <w:rFonts w:ascii="宋体" w:hAnsi="宋体"/>
          <w:color w:val="000000" w:themeColor="text1"/>
          <w:sz w:val="24"/>
          <w:szCs w:val="24"/>
          <w:highlight w:val="none"/>
          <w14:textFill>
            <w14:solidFill>
              <w14:schemeClr w14:val="tx1"/>
            </w14:solidFill>
          </w14:textFill>
        </w:rPr>
      </w:pPr>
      <w:r>
        <w:rPr>
          <w:rFonts w:ascii="宋体" w:hAnsi="宋体"/>
          <w:color w:val="000000" w:themeColor="text1"/>
          <w:sz w:val="24"/>
          <w:szCs w:val="24"/>
          <w:highlight w:val="none"/>
          <w14:textFill>
            <w14:solidFill>
              <w14:schemeClr w14:val="tx1"/>
            </w14:solidFill>
          </w14:textFill>
        </w:rPr>
        <w:t>（2）有串通投标、弄虚作假、行贿等违法行为。</w:t>
      </w:r>
    </w:p>
    <w:p w14:paraId="426166F5">
      <w:pPr>
        <w:spacing w:line="360" w:lineRule="auto"/>
        <w:ind w:left="-2" w:leftChars="-1" w:firstLine="720" w:firstLineChars="300"/>
        <w:rPr>
          <w:rFonts w:ascii="宋体" w:hAnsi="宋体"/>
          <w:color w:val="000000" w:themeColor="text1"/>
          <w:sz w:val="24"/>
          <w:szCs w:val="24"/>
          <w:highlight w:val="none"/>
          <w14:textFill>
            <w14:solidFill>
              <w14:schemeClr w14:val="tx1"/>
            </w14:solidFill>
          </w14:textFill>
        </w:rPr>
      </w:pPr>
      <w:r>
        <w:rPr>
          <w:rFonts w:ascii="宋体" w:hAnsi="宋体"/>
          <w:color w:val="000000" w:themeColor="text1"/>
          <w:sz w:val="24"/>
          <w:szCs w:val="24"/>
          <w:highlight w:val="none"/>
          <w14:textFill>
            <w14:solidFill>
              <w14:schemeClr w14:val="tx1"/>
            </w14:solidFill>
          </w14:textFill>
        </w:rPr>
        <w:t>3.1.3</w:t>
      </w:r>
      <w:r>
        <w:rPr>
          <w:rFonts w:hint="eastAsia" w:ascii="宋体" w:hAnsi="宋体"/>
          <w:color w:val="000000" w:themeColor="text1"/>
          <w:sz w:val="24"/>
          <w:szCs w:val="24"/>
          <w:highlight w:val="none"/>
          <w14:textFill>
            <w14:solidFill>
              <w14:schemeClr w14:val="tx1"/>
            </w14:solidFill>
          </w14:textFill>
        </w:rPr>
        <w:t>磋商</w:t>
      </w:r>
      <w:r>
        <w:rPr>
          <w:rFonts w:ascii="宋体" w:hAnsi="宋体"/>
          <w:color w:val="000000" w:themeColor="text1"/>
          <w:sz w:val="24"/>
          <w:szCs w:val="24"/>
          <w:highlight w:val="none"/>
          <w14:textFill>
            <w14:solidFill>
              <w14:schemeClr w14:val="tx1"/>
            </w14:solidFill>
          </w14:textFill>
        </w:rPr>
        <w:t>报价有算术错误及其他错误的，</w:t>
      </w:r>
      <w:r>
        <w:rPr>
          <w:rFonts w:hint="eastAsia" w:ascii="宋体" w:hAnsi="宋体"/>
          <w:color w:val="000000" w:themeColor="text1"/>
          <w:sz w:val="24"/>
          <w:szCs w:val="24"/>
          <w:highlight w:val="none"/>
          <w14:textFill>
            <w14:solidFill>
              <w14:schemeClr w14:val="tx1"/>
            </w14:solidFill>
          </w14:textFill>
        </w:rPr>
        <w:t>竞争性磋商小组</w:t>
      </w:r>
      <w:r>
        <w:rPr>
          <w:rFonts w:ascii="宋体" w:hAnsi="宋体"/>
          <w:color w:val="000000" w:themeColor="text1"/>
          <w:sz w:val="24"/>
          <w:szCs w:val="24"/>
          <w:highlight w:val="none"/>
          <w14:textFill>
            <w14:solidFill>
              <w14:schemeClr w14:val="tx1"/>
            </w14:solidFill>
          </w14:textFill>
        </w:rPr>
        <w:t>按以下原则要求</w:t>
      </w:r>
      <w:r>
        <w:rPr>
          <w:rFonts w:hint="eastAsia" w:ascii="宋体" w:hAnsi="宋体"/>
          <w:color w:val="000000" w:themeColor="text1"/>
          <w:sz w:val="24"/>
          <w:szCs w:val="24"/>
          <w:highlight w:val="none"/>
          <w14:textFill>
            <w14:solidFill>
              <w14:schemeClr w14:val="tx1"/>
            </w14:solidFill>
          </w14:textFill>
        </w:rPr>
        <w:t>供应商</w:t>
      </w:r>
      <w:r>
        <w:rPr>
          <w:rFonts w:ascii="宋体" w:hAnsi="宋体"/>
          <w:color w:val="000000" w:themeColor="text1"/>
          <w:sz w:val="24"/>
          <w:szCs w:val="24"/>
          <w:highlight w:val="none"/>
          <w14:textFill>
            <w14:solidFill>
              <w14:schemeClr w14:val="tx1"/>
            </w14:solidFill>
          </w14:textFill>
        </w:rPr>
        <w:t>对</w:t>
      </w:r>
      <w:r>
        <w:rPr>
          <w:rFonts w:hint="eastAsia" w:ascii="宋体" w:hAnsi="宋体"/>
          <w:color w:val="000000" w:themeColor="text1"/>
          <w:sz w:val="24"/>
          <w:szCs w:val="24"/>
          <w:highlight w:val="none"/>
          <w14:textFill>
            <w14:solidFill>
              <w14:schemeClr w14:val="tx1"/>
            </w14:solidFill>
          </w14:textFill>
        </w:rPr>
        <w:t>磋商</w:t>
      </w:r>
      <w:r>
        <w:rPr>
          <w:rFonts w:ascii="宋体" w:hAnsi="宋体"/>
          <w:color w:val="000000" w:themeColor="text1"/>
          <w:sz w:val="24"/>
          <w:szCs w:val="24"/>
          <w:highlight w:val="none"/>
          <w14:textFill>
            <w14:solidFill>
              <w14:schemeClr w14:val="tx1"/>
            </w14:solidFill>
          </w14:textFill>
        </w:rPr>
        <w:t>报价进行修正，并要求</w:t>
      </w:r>
      <w:r>
        <w:rPr>
          <w:rFonts w:hint="eastAsia" w:ascii="宋体" w:hAnsi="宋体"/>
          <w:color w:val="000000" w:themeColor="text1"/>
          <w:sz w:val="24"/>
          <w:szCs w:val="24"/>
          <w:highlight w:val="none"/>
          <w14:textFill>
            <w14:solidFill>
              <w14:schemeClr w14:val="tx1"/>
            </w14:solidFill>
          </w14:textFill>
        </w:rPr>
        <w:t>供应商</w:t>
      </w:r>
      <w:r>
        <w:rPr>
          <w:rFonts w:ascii="宋体" w:hAnsi="宋体"/>
          <w:color w:val="000000" w:themeColor="text1"/>
          <w:sz w:val="24"/>
          <w:szCs w:val="24"/>
          <w:highlight w:val="none"/>
          <w14:textFill>
            <w14:solidFill>
              <w14:schemeClr w14:val="tx1"/>
            </w14:solidFill>
          </w14:textFill>
        </w:rPr>
        <w:t>书面澄清确认。</w:t>
      </w:r>
      <w:r>
        <w:rPr>
          <w:rFonts w:hint="eastAsia" w:ascii="宋体" w:hAnsi="宋体"/>
          <w:color w:val="000000" w:themeColor="text1"/>
          <w:sz w:val="24"/>
          <w:szCs w:val="24"/>
          <w:highlight w:val="none"/>
          <w14:textFill>
            <w14:solidFill>
              <w14:schemeClr w14:val="tx1"/>
            </w14:solidFill>
          </w14:textFill>
        </w:rPr>
        <w:t>供应商</w:t>
      </w:r>
      <w:r>
        <w:rPr>
          <w:rFonts w:ascii="宋体" w:hAnsi="宋体"/>
          <w:color w:val="000000" w:themeColor="text1"/>
          <w:sz w:val="24"/>
          <w:szCs w:val="24"/>
          <w:highlight w:val="none"/>
          <w14:textFill>
            <w14:solidFill>
              <w14:schemeClr w14:val="tx1"/>
            </w14:solidFill>
          </w14:textFill>
        </w:rPr>
        <w:t>拒不澄清确认的，</w:t>
      </w:r>
      <w:r>
        <w:rPr>
          <w:rFonts w:hint="eastAsia" w:ascii="宋体" w:hAnsi="宋体"/>
          <w:color w:val="000000" w:themeColor="text1"/>
          <w:sz w:val="24"/>
          <w:szCs w:val="24"/>
          <w:highlight w:val="none"/>
          <w14:textFill>
            <w14:solidFill>
              <w14:schemeClr w14:val="tx1"/>
            </w14:solidFill>
          </w14:textFill>
        </w:rPr>
        <w:t>竞争性磋商小组</w:t>
      </w:r>
      <w:r>
        <w:rPr>
          <w:rFonts w:ascii="宋体" w:hAnsi="宋体"/>
          <w:color w:val="000000" w:themeColor="text1"/>
          <w:sz w:val="24"/>
          <w:szCs w:val="24"/>
          <w:highlight w:val="none"/>
          <w14:textFill>
            <w14:solidFill>
              <w14:schemeClr w14:val="tx1"/>
            </w14:solidFill>
          </w14:textFill>
        </w:rPr>
        <w:t>应当否决其投标：</w:t>
      </w:r>
    </w:p>
    <w:p w14:paraId="5DA6BBF5">
      <w:pPr>
        <w:spacing w:line="360" w:lineRule="auto"/>
        <w:ind w:left="-2" w:leftChars="-1" w:firstLine="720" w:firstLineChars="300"/>
        <w:rPr>
          <w:rFonts w:ascii="宋体" w:hAnsi="宋体"/>
          <w:color w:val="000000" w:themeColor="text1"/>
          <w:sz w:val="24"/>
          <w:szCs w:val="24"/>
          <w:highlight w:val="none"/>
          <w14:textFill>
            <w14:solidFill>
              <w14:schemeClr w14:val="tx1"/>
            </w14:solidFill>
          </w14:textFill>
        </w:rPr>
      </w:pPr>
      <w:r>
        <w:rPr>
          <w:rFonts w:ascii="宋体" w:hAnsi="宋体"/>
          <w:color w:val="000000" w:themeColor="text1"/>
          <w:sz w:val="24"/>
          <w:szCs w:val="24"/>
          <w:highlight w:val="none"/>
          <w14:textFill>
            <w14:solidFill>
              <w14:schemeClr w14:val="tx1"/>
            </w14:solidFill>
          </w14:textFill>
        </w:rPr>
        <w:t>（1）</w:t>
      </w:r>
      <w:r>
        <w:rPr>
          <w:rFonts w:hint="eastAsia" w:ascii="宋体" w:hAnsi="宋体"/>
          <w:color w:val="000000" w:themeColor="text1"/>
          <w:sz w:val="24"/>
          <w:szCs w:val="24"/>
          <w:highlight w:val="none"/>
          <w14:textFill>
            <w14:solidFill>
              <w14:schemeClr w14:val="tx1"/>
            </w14:solidFill>
          </w14:textFill>
        </w:rPr>
        <w:t>磋商</w:t>
      </w:r>
      <w:r>
        <w:rPr>
          <w:rFonts w:ascii="宋体" w:hAnsi="宋体"/>
          <w:color w:val="000000" w:themeColor="text1"/>
          <w:sz w:val="24"/>
          <w:szCs w:val="24"/>
          <w:highlight w:val="none"/>
          <w14:textFill>
            <w14:solidFill>
              <w14:schemeClr w14:val="tx1"/>
            </w14:solidFill>
          </w14:textFill>
        </w:rPr>
        <w:t>响应文件中的大写金额与小写金额不一致的，以大写金额为准；</w:t>
      </w:r>
    </w:p>
    <w:p w14:paraId="11B5DB9C">
      <w:pPr>
        <w:spacing w:line="360" w:lineRule="auto"/>
        <w:ind w:left="-2" w:leftChars="-1" w:firstLine="720" w:firstLineChars="300"/>
        <w:rPr>
          <w:rFonts w:ascii="宋体" w:hAnsi="宋体"/>
          <w:color w:val="000000" w:themeColor="text1"/>
          <w:sz w:val="24"/>
          <w:szCs w:val="24"/>
          <w:highlight w:val="none"/>
          <w14:textFill>
            <w14:solidFill>
              <w14:schemeClr w14:val="tx1"/>
            </w14:solidFill>
          </w14:textFill>
        </w:rPr>
      </w:pPr>
      <w:r>
        <w:rPr>
          <w:rFonts w:ascii="宋体" w:hAnsi="宋体"/>
          <w:color w:val="000000" w:themeColor="text1"/>
          <w:sz w:val="24"/>
          <w:szCs w:val="24"/>
          <w:highlight w:val="none"/>
          <w14:textFill>
            <w14:solidFill>
              <w14:schemeClr w14:val="tx1"/>
            </w14:solidFill>
          </w14:textFill>
        </w:rPr>
        <w:t>（2）总价金额与单价金额不一致的，以单价金额为准，但单价金额小数点有明显错误的除外。</w:t>
      </w:r>
    </w:p>
    <w:p w14:paraId="72B4B9BD">
      <w:pPr>
        <w:spacing w:line="360" w:lineRule="auto"/>
        <w:ind w:firstLine="482" w:firstLineChars="200"/>
        <w:rPr>
          <w:rFonts w:eastAsia="Times New Roman"/>
          <w:color w:val="000000" w:themeColor="text1"/>
          <w:sz w:val="24"/>
          <w:szCs w:val="24"/>
          <w:highlight w:val="none"/>
          <w14:textFill>
            <w14:solidFill>
              <w14:schemeClr w14:val="tx1"/>
            </w14:solidFill>
          </w14:textFill>
        </w:rPr>
      </w:pPr>
      <w:r>
        <w:rPr>
          <w:rFonts w:ascii="宋体" w:hAnsi="宋体"/>
          <w:b/>
          <w:color w:val="000000" w:themeColor="text1"/>
          <w:sz w:val="24"/>
          <w:szCs w:val="24"/>
          <w:highlight w:val="none"/>
          <w14:textFill>
            <w14:solidFill>
              <w14:schemeClr w14:val="tx1"/>
            </w14:solidFill>
          </w14:textFill>
        </w:rPr>
        <w:t>3.2 详细评审</w:t>
      </w:r>
    </w:p>
    <w:p w14:paraId="751F4265">
      <w:pPr>
        <w:spacing w:line="360" w:lineRule="auto"/>
        <w:ind w:left="-2" w:leftChars="-1" w:firstLine="720" w:firstLineChars="300"/>
        <w:rPr>
          <w:rFonts w:ascii="宋体" w:hAnsi="宋体"/>
          <w:color w:val="000000" w:themeColor="text1"/>
          <w:sz w:val="24"/>
          <w:szCs w:val="24"/>
          <w:highlight w:val="none"/>
          <w14:textFill>
            <w14:solidFill>
              <w14:schemeClr w14:val="tx1"/>
            </w14:solidFill>
          </w14:textFill>
        </w:rPr>
      </w:pPr>
      <w:r>
        <w:rPr>
          <w:rFonts w:ascii="宋体" w:hAnsi="宋体"/>
          <w:color w:val="000000" w:themeColor="text1"/>
          <w:sz w:val="24"/>
          <w:szCs w:val="24"/>
          <w:highlight w:val="none"/>
          <w14:textFill>
            <w14:solidFill>
              <w14:schemeClr w14:val="tx1"/>
            </w14:solidFill>
          </w14:textFill>
        </w:rPr>
        <w:t xml:space="preserve">3.2.1 </w:t>
      </w:r>
      <w:r>
        <w:rPr>
          <w:rFonts w:hint="eastAsia" w:ascii="宋体" w:hAnsi="宋体"/>
          <w:color w:val="000000" w:themeColor="text1"/>
          <w:sz w:val="24"/>
          <w:szCs w:val="24"/>
          <w:highlight w:val="none"/>
          <w14:textFill>
            <w14:solidFill>
              <w14:schemeClr w14:val="tx1"/>
            </w14:solidFill>
          </w14:textFill>
        </w:rPr>
        <w:t>竞争性磋商小组</w:t>
      </w:r>
      <w:r>
        <w:rPr>
          <w:rFonts w:ascii="宋体" w:hAnsi="宋体"/>
          <w:color w:val="000000" w:themeColor="text1"/>
          <w:sz w:val="24"/>
          <w:szCs w:val="24"/>
          <w:highlight w:val="none"/>
          <w14:textFill>
            <w14:solidFill>
              <w14:schemeClr w14:val="tx1"/>
            </w14:solidFill>
          </w14:textFill>
        </w:rPr>
        <w:t>按本章第 2.2 款规定的量化因素和分值进行打分，并计算出综合评估得分。</w:t>
      </w:r>
    </w:p>
    <w:p w14:paraId="1575FA16">
      <w:pPr>
        <w:spacing w:line="360" w:lineRule="auto"/>
        <w:ind w:left="-2" w:leftChars="-1" w:firstLine="720" w:firstLineChars="300"/>
        <w:rPr>
          <w:rFonts w:ascii="宋体" w:hAnsi="宋体"/>
          <w:color w:val="000000" w:themeColor="text1"/>
          <w:sz w:val="24"/>
          <w:szCs w:val="24"/>
          <w:highlight w:val="none"/>
          <w14:textFill>
            <w14:solidFill>
              <w14:schemeClr w14:val="tx1"/>
            </w14:solidFill>
          </w14:textFill>
        </w:rPr>
      </w:pPr>
      <w:r>
        <w:rPr>
          <w:rFonts w:ascii="宋体" w:hAnsi="宋体"/>
          <w:color w:val="000000" w:themeColor="text1"/>
          <w:sz w:val="24"/>
          <w:szCs w:val="24"/>
          <w:highlight w:val="none"/>
          <w14:textFill>
            <w14:solidFill>
              <w14:schemeClr w14:val="tx1"/>
            </w14:solidFill>
          </w14:textFill>
        </w:rPr>
        <w:t>（1）按本章第 2.2.</w:t>
      </w:r>
      <w:r>
        <w:rPr>
          <w:rFonts w:hint="eastAsia" w:ascii="宋体" w:hAnsi="宋体"/>
          <w:color w:val="000000" w:themeColor="text1"/>
          <w:sz w:val="24"/>
          <w:szCs w:val="24"/>
          <w:highlight w:val="none"/>
          <w14:textFill>
            <w14:solidFill>
              <w14:schemeClr w14:val="tx1"/>
            </w14:solidFill>
          </w14:textFill>
        </w:rPr>
        <w:t>3</w:t>
      </w:r>
      <w:r>
        <w:rPr>
          <w:rFonts w:ascii="宋体" w:hAnsi="宋体"/>
          <w:color w:val="000000" w:themeColor="text1"/>
          <w:sz w:val="24"/>
          <w:szCs w:val="24"/>
          <w:highlight w:val="none"/>
          <w14:textFill>
            <w14:solidFill>
              <w14:schemeClr w14:val="tx1"/>
            </w14:solidFill>
          </w14:textFill>
        </w:rPr>
        <w:t>（1）目规定的评审因素和分值对</w:t>
      </w:r>
      <w:r>
        <w:rPr>
          <w:rFonts w:hint="eastAsia" w:ascii="宋体" w:hAnsi="宋体" w:cs="宋体"/>
          <w:color w:val="000000" w:themeColor="text1"/>
          <w:sz w:val="24"/>
          <w:szCs w:val="24"/>
          <w:highlight w:val="none"/>
          <w:lang w:eastAsia="zh-CN"/>
          <w14:textFill>
            <w14:solidFill>
              <w14:schemeClr w14:val="tx1"/>
            </w14:solidFill>
          </w14:textFill>
        </w:rPr>
        <w:t>报价部分</w:t>
      </w:r>
      <w:r>
        <w:rPr>
          <w:rFonts w:ascii="宋体" w:hAnsi="宋体"/>
          <w:color w:val="000000" w:themeColor="text1"/>
          <w:sz w:val="24"/>
          <w:szCs w:val="24"/>
          <w:highlight w:val="none"/>
          <w14:textFill>
            <w14:solidFill>
              <w14:schemeClr w14:val="tx1"/>
            </w14:solidFill>
          </w14:textFill>
        </w:rPr>
        <w:t>计算出得分A；</w:t>
      </w:r>
    </w:p>
    <w:p w14:paraId="38902C95">
      <w:pPr>
        <w:spacing w:line="360" w:lineRule="auto"/>
        <w:ind w:left="-2" w:leftChars="-1" w:firstLine="720" w:firstLineChars="300"/>
        <w:rPr>
          <w:rFonts w:ascii="宋体" w:hAnsi="宋体"/>
          <w:color w:val="000000" w:themeColor="text1"/>
          <w:sz w:val="24"/>
          <w:szCs w:val="24"/>
          <w:highlight w:val="none"/>
          <w14:textFill>
            <w14:solidFill>
              <w14:schemeClr w14:val="tx1"/>
            </w14:solidFill>
          </w14:textFill>
        </w:rPr>
      </w:pPr>
      <w:r>
        <w:rPr>
          <w:rFonts w:ascii="宋体" w:hAnsi="宋体"/>
          <w:color w:val="000000" w:themeColor="text1"/>
          <w:sz w:val="24"/>
          <w:szCs w:val="24"/>
          <w:highlight w:val="none"/>
          <w14:textFill>
            <w14:solidFill>
              <w14:schemeClr w14:val="tx1"/>
            </w14:solidFill>
          </w14:textFill>
        </w:rPr>
        <w:t>（2）按本章第 2.2.</w:t>
      </w:r>
      <w:r>
        <w:rPr>
          <w:rFonts w:hint="eastAsia" w:ascii="宋体" w:hAnsi="宋体"/>
          <w:color w:val="000000" w:themeColor="text1"/>
          <w:sz w:val="24"/>
          <w:szCs w:val="24"/>
          <w:highlight w:val="none"/>
          <w14:textFill>
            <w14:solidFill>
              <w14:schemeClr w14:val="tx1"/>
            </w14:solidFill>
          </w14:textFill>
        </w:rPr>
        <w:t>3</w:t>
      </w:r>
      <w:r>
        <w:rPr>
          <w:rFonts w:ascii="宋体" w:hAnsi="宋体"/>
          <w:color w:val="000000" w:themeColor="text1"/>
          <w:sz w:val="24"/>
          <w:szCs w:val="24"/>
          <w:highlight w:val="none"/>
          <w14:textFill>
            <w14:solidFill>
              <w14:schemeClr w14:val="tx1"/>
            </w14:solidFill>
          </w14:textFill>
        </w:rPr>
        <w:t>（2）目规定的评审因素和分值对</w:t>
      </w:r>
      <w:r>
        <w:rPr>
          <w:rFonts w:hint="eastAsia" w:ascii="宋体" w:hAnsi="宋体"/>
          <w:color w:val="000000" w:themeColor="text1"/>
          <w:sz w:val="24"/>
          <w:szCs w:val="24"/>
          <w:highlight w:val="none"/>
          <w14:textFill>
            <w14:solidFill>
              <w14:schemeClr w14:val="tx1"/>
            </w14:solidFill>
          </w14:textFill>
        </w:rPr>
        <w:t>商务部分</w:t>
      </w:r>
      <w:r>
        <w:rPr>
          <w:rFonts w:ascii="宋体" w:hAnsi="宋体"/>
          <w:color w:val="000000" w:themeColor="text1"/>
          <w:sz w:val="24"/>
          <w:szCs w:val="24"/>
          <w:highlight w:val="none"/>
          <w14:textFill>
            <w14:solidFill>
              <w14:schemeClr w14:val="tx1"/>
            </w14:solidFill>
          </w14:textFill>
        </w:rPr>
        <w:t>计算出得分B；</w:t>
      </w:r>
    </w:p>
    <w:p w14:paraId="74110080">
      <w:pPr>
        <w:spacing w:line="360" w:lineRule="auto"/>
        <w:ind w:left="-2" w:right="-101" w:rightChars="-48" w:firstLine="720" w:firstLineChars="300"/>
        <w:rPr>
          <w:rFonts w:hint="eastAsia" w:ascii="宋体" w:hAnsi="宋体"/>
          <w:color w:val="000000" w:themeColor="text1"/>
          <w:sz w:val="24"/>
          <w:szCs w:val="24"/>
          <w:highlight w:val="none"/>
          <w:lang w:eastAsia="zh-CN"/>
          <w14:textFill>
            <w14:solidFill>
              <w14:schemeClr w14:val="tx1"/>
            </w14:solidFill>
          </w14:textFill>
        </w:rPr>
      </w:pPr>
      <w:r>
        <w:rPr>
          <w:rFonts w:ascii="宋体" w:hAnsi="宋体"/>
          <w:color w:val="000000" w:themeColor="text1"/>
          <w:sz w:val="24"/>
          <w:szCs w:val="24"/>
          <w:highlight w:val="none"/>
          <w14:textFill>
            <w14:solidFill>
              <w14:schemeClr w14:val="tx1"/>
            </w14:solidFill>
          </w14:textFill>
        </w:rPr>
        <w:t>（3）按本章第 2.2.</w:t>
      </w:r>
      <w:r>
        <w:rPr>
          <w:rFonts w:hint="eastAsia" w:ascii="宋体" w:hAnsi="宋体"/>
          <w:color w:val="000000" w:themeColor="text1"/>
          <w:sz w:val="24"/>
          <w:szCs w:val="24"/>
          <w:highlight w:val="none"/>
          <w14:textFill>
            <w14:solidFill>
              <w14:schemeClr w14:val="tx1"/>
            </w14:solidFill>
          </w14:textFill>
        </w:rPr>
        <w:t>3</w:t>
      </w:r>
      <w:r>
        <w:rPr>
          <w:rFonts w:ascii="宋体" w:hAnsi="宋体"/>
          <w:color w:val="000000" w:themeColor="text1"/>
          <w:sz w:val="24"/>
          <w:szCs w:val="24"/>
          <w:highlight w:val="none"/>
          <w14:textFill>
            <w14:solidFill>
              <w14:schemeClr w14:val="tx1"/>
            </w14:solidFill>
          </w14:textFill>
        </w:rPr>
        <w:t>（3）目规定的评审因素和分值对</w:t>
      </w:r>
      <w:r>
        <w:rPr>
          <w:rFonts w:hint="eastAsia" w:ascii="宋体" w:hAnsi="宋体"/>
          <w:color w:val="000000" w:themeColor="text1"/>
          <w:sz w:val="24"/>
          <w:szCs w:val="24"/>
          <w:highlight w:val="none"/>
          <w14:textFill>
            <w14:solidFill>
              <w14:schemeClr w14:val="tx1"/>
            </w14:solidFill>
          </w14:textFill>
        </w:rPr>
        <w:t>技术部分</w:t>
      </w:r>
      <w:r>
        <w:rPr>
          <w:rFonts w:ascii="宋体" w:hAnsi="宋体"/>
          <w:color w:val="000000" w:themeColor="text1"/>
          <w:sz w:val="24"/>
          <w:szCs w:val="24"/>
          <w:highlight w:val="none"/>
          <w14:textFill>
            <w14:solidFill>
              <w14:schemeClr w14:val="tx1"/>
            </w14:solidFill>
          </w14:textFill>
        </w:rPr>
        <w:t>计算出得分C</w:t>
      </w:r>
      <w:r>
        <w:rPr>
          <w:rFonts w:hint="eastAsia" w:ascii="宋体" w:hAnsi="宋体"/>
          <w:color w:val="000000" w:themeColor="text1"/>
          <w:sz w:val="24"/>
          <w:szCs w:val="24"/>
          <w:highlight w:val="none"/>
          <w:lang w:eastAsia="zh-CN"/>
          <w14:textFill>
            <w14:solidFill>
              <w14:schemeClr w14:val="tx1"/>
            </w14:solidFill>
          </w14:textFill>
        </w:rPr>
        <w:t>。</w:t>
      </w:r>
    </w:p>
    <w:p w14:paraId="18FA27BF">
      <w:pPr>
        <w:spacing w:line="360" w:lineRule="auto"/>
        <w:ind w:left="-2" w:leftChars="-1" w:firstLine="720" w:firstLineChars="300"/>
        <w:rPr>
          <w:rFonts w:ascii="宋体" w:hAnsi="宋体"/>
          <w:color w:val="000000" w:themeColor="text1"/>
          <w:sz w:val="24"/>
          <w:szCs w:val="24"/>
          <w:highlight w:val="none"/>
          <w14:textFill>
            <w14:solidFill>
              <w14:schemeClr w14:val="tx1"/>
            </w14:solidFill>
          </w14:textFill>
        </w:rPr>
      </w:pPr>
      <w:r>
        <w:rPr>
          <w:rFonts w:ascii="宋体" w:hAnsi="宋体"/>
          <w:color w:val="000000" w:themeColor="text1"/>
          <w:sz w:val="24"/>
          <w:szCs w:val="24"/>
          <w:highlight w:val="none"/>
          <w14:textFill>
            <w14:solidFill>
              <w14:schemeClr w14:val="tx1"/>
            </w14:solidFill>
          </w14:textFill>
        </w:rPr>
        <w:t>3.2.2 评分分值计算保留小数点后两位，小数点后第三位“四舍五入”。</w:t>
      </w:r>
    </w:p>
    <w:p w14:paraId="42BD9F9D">
      <w:pPr>
        <w:spacing w:line="360" w:lineRule="auto"/>
        <w:ind w:left="-2" w:leftChars="-1" w:firstLine="720" w:firstLineChars="300"/>
        <w:rPr>
          <w:rFonts w:ascii="宋体" w:hAnsi="宋体"/>
          <w:color w:val="000000" w:themeColor="text1"/>
          <w:sz w:val="24"/>
          <w:szCs w:val="24"/>
          <w:highlight w:val="none"/>
          <w14:textFill>
            <w14:solidFill>
              <w14:schemeClr w14:val="tx1"/>
            </w14:solidFill>
          </w14:textFill>
        </w:rPr>
      </w:pPr>
      <w:r>
        <w:rPr>
          <w:rFonts w:ascii="宋体" w:hAnsi="宋体"/>
          <w:color w:val="000000" w:themeColor="text1"/>
          <w:sz w:val="24"/>
          <w:szCs w:val="24"/>
          <w:highlight w:val="none"/>
          <w14:textFill>
            <w14:solidFill>
              <w14:schemeClr w14:val="tx1"/>
            </w14:solidFill>
          </w14:textFill>
        </w:rPr>
        <w:t xml:space="preserve">3.2.3 </w:t>
      </w:r>
      <w:r>
        <w:rPr>
          <w:rFonts w:hint="eastAsia" w:ascii="宋体" w:hAnsi="宋体"/>
          <w:color w:val="000000" w:themeColor="text1"/>
          <w:sz w:val="24"/>
          <w:szCs w:val="24"/>
          <w:highlight w:val="none"/>
          <w14:textFill>
            <w14:solidFill>
              <w14:schemeClr w14:val="tx1"/>
            </w14:solidFill>
          </w14:textFill>
        </w:rPr>
        <w:t>供应商</w:t>
      </w:r>
      <w:r>
        <w:rPr>
          <w:rFonts w:ascii="宋体" w:hAnsi="宋体"/>
          <w:color w:val="000000" w:themeColor="text1"/>
          <w:sz w:val="24"/>
          <w:szCs w:val="24"/>
          <w:highlight w:val="none"/>
          <w14:textFill>
            <w14:solidFill>
              <w14:schemeClr w14:val="tx1"/>
            </w14:solidFill>
          </w14:textFill>
        </w:rPr>
        <w:t>得分=A+B+C。</w:t>
      </w:r>
    </w:p>
    <w:p w14:paraId="4AF669E1">
      <w:pPr>
        <w:spacing w:line="360" w:lineRule="auto"/>
        <w:ind w:firstLine="720" w:firstLineChars="3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3.2.4 竞争性磋商小组发现供应商的报价明显低于其他磋商报价，使得其磋商报价可能低于其个别成本的，应当要求该供应商作出书面说明并提供相应的证明材料。供应商不能合理说明或者不能提供相应证明材料的，竞争性磋商小组应当认定该供应商以低于成本报价竞标，并否决其投标。</w:t>
      </w:r>
    </w:p>
    <w:p w14:paraId="3CFE73D7">
      <w:pPr>
        <w:spacing w:line="360" w:lineRule="auto"/>
        <w:ind w:firstLine="482" w:firstLineChars="200"/>
        <w:rPr>
          <w:rFonts w:ascii="宋体" w:hAnsi="宋体"/>
          <w:b/>
          <w:color w:val="000000" w:themeColor="text1"/>
          <w:sz w:val="24"/>
          <w:szCs w:val="24"/>
          <w:highlight w:val="none"/>
          <w14:textFill>
            <w14:solidFill>
              <w14:schemeClr w14:val="tx1"/>
            </w14:solidFill>
          </w14:textFill>
        </w:rPr>
      </w:pPr>
      <w:r>
        <w:rPr>
          <w:rFonts w:ascii="宋体" w:hAnsi="宋体"/>
          <w:b/>
          <w:color w:val="000000" w:themeColor="text1"/>
          <w:sz w:val="24"/>
          <w:szCs w:val="24"/>
          <w:highlight w:val="none"/>
          <w14:textFill>
            <w14:solidFill>
              <w14:schemeClr w14:val="tx1"/>
            </w14:solidFill>
          </w14:textFill>
        </w:rPr>
        <w:t xml:space="preserve">3.3 </w:t>
      </w:r>
      <w:r>
        <w:rPr>
          <w:rFonts w:hint="eastAsia" w:ascii="宋体" w:hAnsi="宋体"/>
          <w:b/>
          <w:color w:val="000000" w:themeColor="text1"/>
          <w:sz w:val="24"/>
          <w:szCs w:val="24"/>
          <w:highlight w:val="none"/>
          <w14:textFill>
            <w14:solidFill>
              <w14:schemeClr w14:val="tx1"/>
            </w14:solidFill>
          </w14:textFill>
        </w:rPr>
        <w:t>磋商</w:t>
      </w:r>
      <w:r>
        <w:rPr>
          <w:rFonts w:ascii="宋体" w:hAnsi="宋体"/>
          <w:b/>
          <w:color w:val="000000" w:themeColor="text1"/>
          <w:sz w:val="24"/>
          <w:szCs w:val="24"/>
          <w:highlight w:val="none"/>
          <w14:textFill>
            <w14:solidFill>
              <w14:schemeClr w14:val="tx1"/>
            </w14:solidFill>
          </w14:textFill>
        </w:rPr>
        <w:t>响应文件的澄清</w:t>
      </w:r>
    </w:p>
    <w:p w14:paraId="2A7D9D5E">
      <w:pPr>
        <w:spacing w:line="360" w:lineRule="auto"/>
        <w:ind w:left="-2" w:leftChars="-1" w:firstLine="720" w:firstLineChars="300"/>
        <w:rPr>
          <w:rFonts w:ascii="宋体" w:hAnsi="宋体"/>
          <w:color w:val="000000" w:themeColor="text1"/>
          <w:sz w:val="24"/>
          <w:szCs w:val="24"/>
          <w:highlight w:val="none"/>
          <w14:textFill>
            <w14:solidFill>
              <w14:schemeClr w14:val="tx1"/>
            </w14:solidFill>
          </w14:textFill>
        </w:rPr>
      </w:pPr>
      <w:r>
        <w:rPr>
          <w:rFonts w:ascii="宋体" w:hAnsi="宋体"/>
          <w:color w:val="000000" w:themeColor="text1"/>
          <w:sz w:val="24"/>
          <w:szCs w:val="24"/>
          <w:highlight w:val="none"/>
          <w14:textFill>
            <w14:solidFill>
              <w14:schemeClr w14:val="tx1"/>
            </w14:solidFill>
          </w14:textFill>
        </w:rPr>
        <w:t>3.3.1 在评标过程中，</w:t>
      </w:r>
      <w:r>
        <w:rPr>
          <w:rFonts w:hint="eastAsia" w:ascii="宋体" w:hAnsi="宋体"/>
          <w:color w:val="000000" w:themeColor="text1"/>
          <w:sz w:val="24"/>
          <w:szCs w:val="24"/>
          <w:highlight w:val="none"/>
          <w14:textFill>
            <w14:solidFill>
              <w14:schemeClr w14:val="tx1"/>
            </w14:solidFill>
          </w14:textFill>
        </w:rPr>
        <w:t>竞争性磋商小组</w:t>
      </w:r>
      <w:r>
        <w:rPr>
          <w:rFonts w:ascii="宋体" w:hAnsi="宋体"/>
          <w:color w:val="000000" w:themeColor="text1"/>
          <w:sz w:val="24"/>
          <w:szCs w:val="24"/>
          <w:highlight w:val="none"/>
          <w14:textFill>
            <w14:solidFill>
              <w14:schemeClr w14:val="tx1"/>
            </w14:solidFill>
          </w14:textFill>
        </w:rPr>
        <w:t>可以书面形式要求</w:t>
      </w:r>
      <w:r>
        <w:rPr>
          <w:rFonts w:hint="eastAsia" w:ascii="宋体" w:hAnsi="宋体"/>
          <w:color w:val="000000" w:themeColor="text1"/>
          <w:sz w:val="24"/>
          <w:szCs w:val="24"/>
          <w:highlight w:val="none"/>
          <w14:textFill>
            <w14:solidFill>
              <w14:schemeClr w14:val="tx1"/>
            </w14:solidFill>
          </w14:textFill>
        </w:rPr>
        <w:t>供应商</w:t>
      </w:r>
      <w:r>
        <w:rPr>
          <w:rFonts w:ascii="宋体" w:hAnsi="宋体"/>
          <w:color w:val="000000" w:themeColor="text1"/>
          <w:sz w:val="24"/>
          <w:szCs w:val="24"/>
          <w:highlight w:val="none"/>
          <w14:textFill>
            <w14:solidFill>
              <w14:schemeClr w14:val="tx1"/>
            </w14:solidFill>
          </w14:textFill>
        </w:rPr>
        <w:t>对</w:t>
      </w:r>
      <w:r>
        <w:rPr>
          <w:rFonts w:hint="eastAsia" w:ascii="宋体" w:hAnsi="宋体"/>
          <w:color w:val="000000" w:themeColor="text1"/>
          <w:sz w:val="24"/>
          <w:szCs w:val="24"/>
          <w:highlight w:val="none"/>
          <w14:textFill>
            <w14:solidFill>
              <w14:schemeClr w14:val="tx1"/>
            </w14:solidFill>
          </w14:textFill>
        </w:rPr>
        <w:t>磋商</w:t>
      </w:r>
      <w:r>
        <w:rPr>
          <w:rFonts w:ascii="宋体" w:hAnsi="宋体"/>
          <w:color w:val="000000" w:themeColor="text1"/>
          <w:sz w:val="24"/>
          <w:szCs w:val="24"/>
          <w:highlight w:val="none"/>
          <w14:textFill>
            <w14:solidFill>
              <w14:schemeClr w14:val="tx1"/>
            </w14:solidFill>
          </w14:textFill>
        </w:rPr>
        <w:t>响应文件中含义不明确、对同类问题表述不一致或者有明显文字和计算错误的内容作必要的澄清、说明或补正。澄清、说明或补正应以书面方式进行。</w:t>
      </w:r>
      <w:r>
        <w:rPr>
          <w:rFonts w:hint="eastAsia" w:ascii="宋体" w:hAnsi="宋体"/>
          <w:color w:val="000000" w:themeColor="text1"/>
          <w:sz w:val="24"/>
          <w:szCs w:val="24"/>
          <w:highlight w:val="none"/>
          <w14:textFill>
            <w14:solidFill>
              <w14:schemeClr w14:val="tx1"/>
            </w14:solidFill>
          </w14:textFill>
        </w:rPr>
        <w:t>竞争性磋商小组</w:t>
      </w:r>
      <w:r>
        <w:rPr>
          <w:rFonts w:ascii="宋体" w:hAnsi="宋体"/>
          <w:color w:val="000000" w:themeColor="text1"/>
          <w:sz w:val="24"/>
          <w:szCs w:val="24"/>
          <w:highlight w:val="none"/>
          <w14:textFill>
            <w14:solidFill>
              <w14:schemeClr w14:val="tx1"/>
            </w14:solidFill>
          </w14:textFill>
        </w:rPr>
        <w:t>不接受</w:t>
      </w:r>
      <w:r>
        <w:rPr>
          <w:rFonts w:hint="eastAsia" w:ascii="宋体" w:hAnsi="宋体"/>
          <w:color w:val="000000" w:themeColor="text1"/>
          <w:sz w:val="24"/>
          <w:szCs w:val="24"/>
          <w:highlight w:val="none"/>
          <w14:textFill>
            <w14:solidFill>
              <w14:schemeClr w14:val="tx1"/>
            </w14:solidFill>
          </w14:textFill>
        </w:rPr>
        <w:t>供应商</w:t>
      </w:r>
      <w:r>
        <w:rPr>
          <w:rFonts w:ascii="宋体" w:hAnsi="宋体"/>
          <w:color w:val="000000" w:themeColor="text1"/>
          <w:sz w:val="24"/>
          <w:szCs w:val="24"/>
          <w:highlight w:val="none"/>
          <w14:textFill>
            <w14:solidFill>
              <w14:schemeClr w14:val="tx1"/>
            </w14:solidFill>
          </w14:textFill>
        </w:rPr>
        <w:t>主动提出的澄清、说明或补正。</w:t>
      </w:r>
    </w:p>
    <w:p w14:paraId="28B0377C">
      <w:pPr>
        <w:spacing w:line="360" w:lineRule="auto"/>
        <w:ind w:left="-2" w:leftChars="-1" w:firstLine="720" w:firstLineChars="300"/>
        <w:rPr>
          <w:rFonts w:ascii="宋体" w:hAnsi="宋体"/>
          <w:color w:val="000000" w:themeColor="text1"/>
          <w:sz w:val="24"/>
          <w:szCs w:val="24"/>
          <w:highlight w:val="none"/>
          <w14:textFill>
            <w14:solidFill>
              <w14:schemeClr w14:val="tx1"/>
            </w14:solidFill>
          </w14:textFill>
        </w:rPr>
      </w:pPr>
      <w:r>
        <w:rPr>
          <w:rFonts w:ascii="宋体" w:hAnsi="宋体"/>
          <w:color w:val="000000" w:themeColor="text1"/>
          <w:sz w:val="24"/>
          <w:szCs w:val="24"/>
          <w:highlight w:val="none"/>
          <w14:textFill>
            <w14:solidFill>
              <w14:schemeClr w14:val="tx1"/>
            </w14:solidFill>
          </w14:textFill>
        </w:rPr>
        <w:t>3.3.2 澄清、说明或补正不得超出</w:t>
      </w:r>
      <w:r>
        <w:rPr>
          <w:rFonts w:hint="eastAsia" w:ascii="宋体" w:hAnsi="宋体"/>
          <w:color w:val="000000" w:themeColor="text1"/>
          <w:sz w:val="24"/>
          <w:szCs w:val="24"/>
          <w:highlight w:val="none"/>
          <w14:textFill>
            <w14:solidFill>
              <w14:schemeClr w14:val="tx1"/>
            </w14:solidFill>
          </w14:textFill>
        </w:rPr>
        <w:t>磋商</w:t>
      </w:r>
      <w:r>
        <w:rPr>
          <w:rFonts w:ascii="宋体" w:hAnsi="宋体"/>
          <w:color w:val="000000" w:themeColor="text1"/>
          <w:sz w:val="24"/>
          <w:szCs w:val="24"/>
          <w:highlight w:val="none"/>
          <w14:textFill>
            <w14:solidFill>
              <w14:schemeClr w14:val="tx1"/>
            </w14:solidFill>
          </w14:textFill>
        </w:rPr>
        <w:t>响应文件的范围且不得改变</w:t>
      </w:r>
      <w:r>
        <w:rPr>
          <w:rFonts w:hint="eastAsia" w:ascii="宋体" w:hAnsi="宋体"/>
          <w:color w:val="000000" w:themeColor="text1"/>
          <w:sz w:val="24"/>
          <w:szCs w:val="24"/>
          <w:highlight w:val="none"/>
          <w14:textFill>
            <w14:solidFill>
              <w14:schemeClr w14:val="tx1"/>
            </w14:solidFill>
          </w14:textFill>
        </w:rPr>
        <w:t>磋商</w:t>
      </w:r>
      <w:r>
        <w:rPr>
          <w:rFonts w:ascii="宋体" w:hAnsi="宋体"/>
          <w:color w:val="000000" w:themeColor="text1"/>
          <w:sz w:val="24"/>
          <w:szCs w:val="24"/>
          <w:highlight w:val="none"/>
          <w14:textFill>
            <w14:solidFill>
              <w14:schemeClr w14:val="tx1"/>
            </w14:solidFill>
          </w14:textFill>
        </w:rPr>
        <w:t>响应文件的实质性内容，并构成</w:t>
      </w:r>
      <w:r>
        <w:rPr>
          <w:rFonts w:hint="eastAsia" w:ascii="宋体" w:hAnsi="宋体"/>
          <w:color w:val="000000" w:themeColor="text1"/>
          <w:sz w:val="24"/>
          <w:szCs w:val="24"/>
          <w:highlight w:val="none"/>
          <w14:textFill>
            <w14:solidFill>
              <w14:schemeClr w14:val="tx1"/>
            </w14:solidFill>
          </w14:textFill>
        </w:rPr>
        <w:t>磋商</w:t>
      </w:r>
      <w:r>
        <w:rPr>
          <w:rFonts w:ascii="宋体" w:hAnsi="宋体"/>
          <w:color w:val="000000" w:themeColor="text1"/>
          <w:sz w:val="24"/>
          <w:szCs w:val="24"/>
          <w:highlight w:val="none"/>
          <w14:textFill>
            <w14:solidFill>
              <w14:schemeClr w14:val="tx1"/>
            </w14:solidFill>
          </w14:textFill>
        </w:rPr>
        <w:t>响应文件的组成部分。</w:t>
      </w:r>
    </w:p>
    <w:p w14:paraId="6A43579F">
      <w:pPr>
        <w:spacing w:line="360" w:lineRule="auto"/>
        <w:ind w:left="-2" w:leftChars="-1" w:firstLine="720" w:firstLineChars="300"/>
        <w:rPr>
          <w:rFonts w:ascii="宋体" w:hAnsi="宋体"/>
          <w:color w:val="000000" w:themeColor="text1"/>
          <w:sz w:val="24"/>
          <w:szCs w:val="24"/>
          <w:highlight w:val="none"/>
          <w14:textFill>
            <w14:solidFill>
              <w14:schemeClr w14:val="tx1"/>
            </w14:solidFill>
          </w14:textFill>
        </w:rPr>
      </w:pPr>
      <w:r>
        <w:rPr>
          <w:rFonts w:ascii="宋体" w:hAnsi="宋体"/>
          <w:color w:val="000000" w:themeColor="text1"/>
          <w:sz w:val="24"/>
          <w:szCs w:val="24"/>
          <w:highlight w:val="none"/>
          <w14:textFill>
            <w14:solidFill>
              <w14:schemeClr w14:val="tx1"/>
            </w14:solidFill>
          </w14:textFill>
        </w:rPr>
        <w:t xml:space="preserve">3.3.3 </w:t>
      </w:r>
      <w:r>
        <w:rPr>
          <w:rFonts w:hint="eastAsia" w:ascii="宋体" w:hAnsi="宋体"/>
          <w:color w:val="000000" w:themeColor="text1"/>
          <w:sz w:val="24"/>
          <w:szCs w:val="24"/>
          <w:highlight w:val="none"/>
          <w14:textFill>
            <w14:solidFill>
              <w14:schemeClr w14:val="tx1"/>
            </w14:solidFill>
          </w14:textFill>
        </w:rPr>
        <w:t>竞争性磋商小组</w:t>
      </w:r>
      <w:r>
        <w:rPr>
          <w:rFonts w:ascii="宋体" w:hAnsi="宋体"/>
          <w:color w:val="000000" w:themeColor="text1"/>
          <w:sz w:val="24"/>
          <w:szCs w:val="24"/>
          <w:highlight w:val="none"/>
          <w14:textFill>
            <w14:solidFill>
              <w14:schemeClr w14:val="tx1"/>
            </w14:solidFill>
          </w14:textFill>
        </w:rPr>
        <w:t>对</w:t>
      </w:r>
      <w:r>
        <w:rPr>
          <w:rFonts w:hint="eastAsia" w:ascii="宋体" w:hAnsi="宋体"/>
          <w:color w:val="000000" w:themeColor="text1"/>
          <w:sz w:val="24"/>
          <w:szCs w:val="24"/>
          <w:highlight w:val="none"/>
          <w14:textFill>
            <w14:solidFill>
              <w14:schemeClr w14:val="tx1"/>
            </w14:solidFill>
          </w14:textFill>
        </w:rPr>
        <w:t>供应商</w:t>
      </w:r>
      <w:r>
        <w:rPr>
          <w:rFonts w:ascii="宋体" w:hAnsi="宋体"/>
          <w:color w:val="000000" w:themeColor="text1"/>
          <w:sz w:val="24"/>
          <w:szCs w:val="24"/>
          <w:highlight w:val="none"/>
          <w14:textFill>
            <w14:solidFill>
              <w14:schemeClr w14:val="tx1"/>
            </w14:solidFill>
          </w14:textFill>
        </w:rPr>
        <w:t>提交的澄清、说明或补正有疑问的，可以要求</w:t>
      </w:r>
      <w:r>
        <w:rPr>
          <w:rFonts w:hint="eastAsia" w:ascii="宋体" w:hAnsi="宋体"/>
          <w:color w:val="000000" w:themeColor="text1"/>
          <w:sz w:val="24"/>
          <w:szCs w:val="24"/>
          <w:highlight w:val="none"/>
          <w14:textFill>
            <w14:solidFill>
              <w14:schemeClr w14:val="tx1"/>
            </w14:solidFill>
          </w14:textFill>
        </w:rPr>
        <w:t>供应商</w:t>
      </w:r>
      <w:r>
        <w:rPr>
          <w:rFonts w:ascii="宋体" w:hAnsi="宋体"/>
          <w:color w:val="000000" w:themeColor="text1"/>
          <w:sz w:val="24"/>
          <w:szCs w:val="24"/>
          <w:highlight w:val="none"/>
          <w14:textFill>
            <w14:solidFill>
              <w14:schemeClr w14:val="tx1"/>
            </w14:solidFill>
          </w14:textFill>
        </w:rPr>
        <w:t>进一步澄清、说明或补正，直至满足</w:t>
      </w:r>
      <w:r>
        <w:rPr>
          <w:rFonts w:hint="eastAsia" w:ascii="宋体" w:hAnsi="宋体"/>
          <w:color w:val="000000" w:themeColor="text1"/>
          <w:sz w:val="24"/>
          <w:szCs w:val="24"/>
          <w:highlight w:val="none"/>
          <w14:textFill>
            <w14:solidFill>
              <w14:schemeClr w14:val="tx1"/>
            </w14:solidFill>
          </w14:textFill>
        </w:rPr>
        <w:t>竞争性磋商小组</w:t>
      </w:r>
      <w:r>
        <w:rPr>
          <w:rFonts w:ascii="宋体" w:hAnsi="宋体"/>
          <w:color w:val="000000" w:themeColor="text1"/>
          <w:sz w:val="24"/>
          <w:szCs w:val="24"/>
          <w:highlight w:val="none"/>
          <w14:textFill>
            <w14:solidFill>
              <w14:schemeClr w14:val="tx1"/>
            </w14:solidFill>
          </w14:textFill>
        </w:rPr>
        <w:t>的要求。</w:t>
      </w:r>
    </w:p>
    <w:p w14:paraId="1727381E">
      <w:pPr>
        <w:spacing w:line="360" w:lineRule="auto"/>
        <w:ind w:firstLine="241" w:firstLineChars="100"/>
        <w:rPr>
          <w:rFonts w:ascii="宋体" w:hAnsi="宋体"/>
          <w:b/>
          <w:color w:val="000000" w:themeColor="text1"/>
          <w:sz w:val="24"/>
          <w:szCs w:val="24"/>
          <w:highlight w:val="none"/>
          <w14:textFill>
            <w14:solidFill>
              <w14:schemeClr w14:val="tx1"/>
            </w14:solidFill>
          </w14:textFill>
        </w:rPr>
      </w:pPr>
      <w:r>
        <w:rPr>
          <w:rFonts w:ascii="宋体" w:hAnsi="宋体"/>
          <w:b/>
          <w:color w:val="000000" w:themeColor="text1"/>
          <w:sz w:val="24"/>
          <w:szCs w:val="24"/>
          <w:highlight w:val="none"/>
          <w14:textFill>
            <w14:solidFill>
              <w14:schemeClr w14:val="tx1"/>
            </w14:solidFill>
          </w14:textFill>
        </w:rPr>
        <w:t>3.4 评标结果</w:t>
      </w:r>
    </w:p>
    <w:p w14:paraId="0819DE2E">
      <w:pPr>
        <w:spacing w:line="360" w:lineRule="auto"/>
        <w:ind w:left="-2" w:leftChars="-1" w:firstLine="720" w:firstLineChars="300"/>
        <w:rPr>
          <w:rFonts w:ascii="宋体" w:hAnsi="宋体"/>
          <w:color w:val="000000" w:themeColor="text1"/>
          <w:sz w:val="24"/>
          <w:szCs w:val="24"/>
          <w:highlight w:val="none"/>
          <w14:textFill>
            <w14:solidFill>
              <w14:schemeClr w14:val="tx1"/>
            </w14:solidFill>
          </w14:textFill>
        </w:rPr>
      </w:pPr>
      <w:r>
        <w:rPr>
          <w:rFonts w:ascii="宋体" w:hAnsi="宋体"/>
          <w:color w:val="000000" w:themeColor="text1"/>
          <w:sz w:val="24"/>
          <w:szCs w:val="24"/>
          <w:highlight w:val="none"/>
          <w14:textFill>
            <w14:solidFill>
              <w14:schemeClr w14:val="tx1"/>
            </w14:solidFill>
          </w14:textFill>
        </w:rPr>
        <w:t>3.4.1 除第二章“</w:t>
      </w:r>
      <w:r>
        <w:rPr>
          <w:rFonts w:hint="eastAsia" w:ascii="宋体" w:hAnsi="宋体"/>
          <w:color w:val="000000" w:themeColor="text1"/>
          <w:sz w:val="24"/>
          <w:szCs w:val="24"/>
          <w:highlight w:val="none"/>
          <w14:textFill>
            <w14:solidFill>
              <w14:schemeClr w14:val="tx1"/>
            </w14:solidFill>
          </w14:textFill>
        </w:rPr>
        <w:t>供应商</w:t>
      </w:r>
      <w:r>
        <w:rPr>
          <w:rFonts w:ascii="宋体" w:hAnsi="宋体"/>
          <w:color w:val="000000" w:themeColor="text1"/>
          <w:sz w:val="24"/>
          <w:szCs w:val="24"/>
          <w:highlight w:val="none"/>
          <w14:textFill>
            <w14:solidFill>
              <w14:schemeClr w14:val="tx1"/>
            </w14:solidFill>
          </w14:textFill>
        </w:rPr>
        <w:t>须知”前附表授权直接确定</w:t>
      </w:r>
      <w:r>
        <w:rPr>
          <w:rFonts w:hint="eastAsia" w:ascii="宋体" w:hAnsi="宋体"/>
          <w:color w:val="000000" w:themeColor="text1"/>
          <w:sz w:val="24"/>
          <w:szCs w:val="24"/>
          <w:highlight w:val="none"/>
          <w14:textFill>
            <w14:solidFill>
              <w14:schemeClr w14:val="tx1"/>
            </w14:solidFill>
          </w14:textFill>
        </w:rPr>
        <w:t>成交</w:t>
      </w:r>
      <w:r>
        <w:rPr>
          <w:rFonts w:ascii="宋体" w:hAnsi="宋体"/>
          <w:color w:val="000000" w:themeColor="text1"/>
          <w:sz w:val="24"/>
          <w:szCs w:val="24"/>
          <w:highlight w:val="none"/>
          <w14:textFill>
            <w14:solidFill>
              <w14:schemeClr w14:val="tx1"/>
            </w14:solidFill>
          </w14:textFill>
        </w:rPr>
        <w:t>人外，</w:t>
      </w:r>
      <w:r>
        <w:rPr>
          <w:rFonts w:hint="eastAsia" w:ascii="宋体" w:hAnsi="宋体"/>
          <w:color w:val="000000" w:themeColor="text1"/>
          <w:sz w:val="24"/>
          <w:szCs w:val="24"/>
          <w:highlight w:val="none"/>
          <w14:textFill>
            <w14:solidFill>
              <w14:schemeClr w14:val="tx1"/>
            </w14:solidFill>
          </w14:textFill>
        </w:rPr>
        <w:t>竞争性磋商小组</w:t>
      </w:r>
      <w:r>
        <w:rPr>
          <w:rFonts w:ascii="宋体" w:hAnsi="宋体"/>
          <w:color w:val="000000" w:themeColor="text1"/>
          <w:sz w:val="24"/>
          <w:szCs w:val="24"/>
          <w:highlight w:val="none"/>
          <w14:textFill>
            <w14:solidFill>
              <w14:schemeClr w14:val="tx1"/>
            </w14:solidFill>
          </w14:textFill>
        </w:rPr>
        <w:t>按照得分由高到低的顺序推荐成交候选人，并标明排序。</w:t>
      </w:r>
    </w:p>
    <w:p w14:paraId="3BD49EF9">
      <w:pPr>
        <w:spacing w:line="360" w:lineRule="auto"/>
        <w:ind w:left="-2" w:leftChars="-1" w:firstLine="720" w:firstLineChars="300"/>
        <w:rPr>
          <w:rFonts w:ascii="宋体" w:hAnsi="宋体"/>
          <w:color w:val="000000" w:themeColor="text1"/>
          <w:sz w:val="24"/>
          <w:szCs w:val="24"/>
          <w:highlight w:val="none"/>
          <w14:textFill>
            <w14:solidFill>
              <w14:schemeClr w14:val="tx1"/>
            </w14:solidFill>
          </w14:textFill>
        </w:rPr>
      </w:pPr>
      <w:r>
        <w:rPr>
          <w:rFonts w:ascii="宋体" w:hAnsi="宋体"/>
          <w:color w:val="000000" w:themeColor="text1"/>
          <w:sz w:val="24"/>
          <w:szCs w:val="24"/>
          <w:highlight w:val="none"/>
          <w14:textFill>
            <w14:solidFill>
              <w14:schemeClr w14:val="tx1"/>
            </w14:solidFill>
          </w14:textFill>
        </w:rPr>
        <w:t xml:space="preserve">3.4.2 </w:t>
      </w:r>
      <w:r>
        <w:rPr>
          <w:rFonts w:hint="eastAsia" w:ascii="宋体" w:hAnsi="宋体"/>
          <w:color w:val="000000" w:themeColor="text1"/>
          <w:sz w:val="24"/>
          <w:szCs w:val="24"/>
          <w:highlight w:val="none"/>
          <w14:textFill>
            <w14:solidFill>
              <w14:schemeClr w14:val="tx1"/>
            </w14:solidFill>
          </w14:textFill>
        </w:rPr>
        <w:t>评审完成后，磋商小组向采购人提出评审报告，评审报告由磋商小组全体成员签字确认。</w:t>
      </w:r>
    </w:p>
    <w:p w14:paraId="042DD956">
      <w:pPr>
        <w:spacing w:line="360" w:lineRule="auto"/>
        <w:ind w:left="-2" w:leftChars="-1" w:firstLine="720" w:firstLineChars="3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3.4.3磋商小组按综合得分从高到低进行排序，推荐前三名为成交候选供应商。综合得分排名第一的供应商为第一成交候选供应商，排名第二的供应商为第二成交候选供应商，排名第三的供应商为第三成交候选供应商。综合评分相等时，以商务评审得分高的优先；商务评审得分也相等时，采购人可采用递交竞争性磋商响应文件时间较前的供应商优先或由采购人自行确定。</w:t>
      </w:r>
    </w:p>
    <w:p w14:paraId="2CFA461F">
      <w:pPr>
        <w:spacing w:line="360" w:lineRule="auto"/>
        <w:ind w:left="-2" w:leftChars="-1" w:firstLine="720" w:firstLineChars="300"/>
        <w:rPr>
          <w:color w:val="000000" w:themeColor="text1"/>
          <w:sz w:val="24"/>
          <w:szCs w:val="24"/>
          <w:highlight w:val="none"/>
          <w14:textFill>
            <w14:solidFill>
              <w14:schemeClr w14:val="tx1"/>
            </w14:solidFill>
          </w14:textFill>
        </w:rPr>
        <w:sectPr>
          <w:footerReference r:id="rId13" w:type="default"/>
          <w:pgSz w:w="11905" w:h="16838"/>
          <w:pgMar w:top="1440" w:right="1803" w:bottom="1440" w:left="1803" w:header="1140" w:footer="720" w:gutter="0"/>
          <w:pgNumType w:fmt="decimal"/>
          <w:cols w:space="0" w:num="1"/>
          <w:docGrid w:type="lines" w:linePitch="317" w:charSpace="0"/>
        </w:sectPr>
      </w:pPr>
      <w:r>
        <w:rPr>
          <w:rFonts w:hint="eastAsia" w:ascii="宋体" w:hAnsi="宋体"/>
          <w:color w:val="000000" w:themeColor="text1"/>
          <w:sz w:val="24"/>
          <w:szCs w:val="24"/>
          <w:highlight w:val="none"/>
          <w14:textFill>
            <w14:solidFill>
              <w14:schemeClr w14:val="tx1"/>
            </w14:solidFill>
          </w14:textFill>
        </w:rPr>
        <w:t>3.4.4采购人授权磋商小组</w:t>
      </w:r>
      <w:r>
        <w:rPr>
          <w:rFonts w:ascii="宋体" w:hAnsi="宋体"/>
          <w:color w:val="000000" w:themeColor="text1"/>
          <w:sz w:val="24"/>
          <w:szCs w:val="24"/>
          <w:highlight w:val="none"/>
          <w14:textFill>
            <w14:solidFill>
              <w14:schemeClr w14:val="tx1"/>
            </w14:solidFill>
          </w14:textFill>
        </w:rPr>
        <w:t>确定排名第一的成交候选供应商为成交供应商。排名第一的成交候选供应商放弃</w:t>
      </w:r>
      <w:r>
        <w:rPr>
          <w:rFonts w:hint="eastAsia" w:ascii="宋体" w:hAnsi="宋体"/>
          <w:color w:val="000000" w:themeColor="text1"/>
          <w:sz w:val="24"/>
          <w:szCs w:val="24"/>
          <w:highlight w:val="none"/>
          <w14:textFill>
            <w14:solidFill>
              <w14:schemeClr w14:val="tx1"/>
            </w14:solidFill>
          </w14:textFill>
        </w:rPr>
        <w:t>成交</w:t>
      </w:r>
      <w:r>
        <w:rPr>
          <w:rFonts w:ascii="宋体" w:hAnsi="宋体"/>
          <w:color w:val="000000" w:themeColor="text1"/>
          <w:sz w:val="24"/>
          <w:szCs w:val="24"/>
          <w:highlight w:val="none"/>
          <w14:textFill>
            <w14:solidFill>
              <w14:schemeClr w14:val="tx1"/>
            </w14:solidFill>
          </w14:textFill>
        </w:rPr>
        <w:t>、因不可抗力不能履行合同、不按照竞争性磋商文件要求递交履约保证金，或者被查实存在影响</w:t>
      </w:r>
      <w:r>
        <w:rPr>
          <w:rFonts w:hint="eastAsia" w:ascii="宋体" w:hAnsi="宋体"/>
          <w:color w:val="000000" w:themeColor="text1"/>
          <w:sz w:val="24"/>
          <w:szCs w:val="24"/>
          <w:highlight w:val="none"/>
          <w14:textFill>
            <w14:solidFill>
              <w14:schemeClr w14:val="tx1"/>
            </w14:solidFill>
          </w14:textFill>
        </w:rPr>
        <w:t>成交</w:t>
      </w:r>
      <w:r>
        <w:rPr>
          <w:rFonts w:ascii="宋体" w:hAnsi="宋体"/>
          <w:color w:val="000000" w:themeColor="text1"/>
          <w:sz w:val="24"/>
          <w:szCs w:val="24"/>
          <w:highlight w:val="none"/>
          <w14:textFill>
            <w14:solidFill>
              <w14:schemeClr w14:val="tx1"/>
            </w14:solidFill>
          </w14:textFill>
        </w:rPr>
        <w:t>结果的违法行为等情形，不符合</w:t>
      </w:r>
      <w:r>
        <w:rPr>
          <w:rFonts w:hint="eastAsia" w:ascii="宋体" w:hAnsi="宋体"/>
          <w:color w:val="000000" w:themeColor="text1"/>
          <w:sz w:val="24"/>
          <w:szCs w:val="24"/>
          <w:highlight w:val="none"/>
          <w14:textFill>
            <w14:solidFill>
              <w14:schemeClr w14:val="tx1"/>
            </w14:solidFill>
          </w14:textFill>
        </w:rPr>
        <w:t>成交</w:t>
      </w:r>
      <w:r>
        <w:rPr>
          <w:rFonts w:ascii="宋体" w:hAnsi="宋体"/>
          <w:color w:val="000000" w:themeColor="text1"/>
          <w:sz w:val="24"/>
          <w:szCs w:val="24"/>
          <w:highlight w:val="none"/>
          <w14:textFill>
            <w14:solidFill>
              <w14:schemeClr w14:val="tx1"/>
            </w14:solidFill>
          </w14:textFill>
        </w:rPr>
        <w:t>条件的，采购人可以按照磋商小组提出的成交候选供应商名单排序依次确定其他成交候选供应商为成交供应商，也可以重新招标</w:t>
      </w:r>
      <w:r>
        <w:rPr>
          <w:rFonts w:hint="eastAsia" w:ascii="宋体" w:hAnsi="宋体"/>
          <w:color w:val="000000" w:themeColor="text1"/>
          <w:sz w:val="24"/>
          <w:szCs w:val="24"/>
          <w:highlight w:val="none"/>
          <w14:textFill>
            <w14:solidFill>
              <w14:schemeClr w14:val="tx1"/>
            </w14:solidFill>
          </w14:textFill>
        </w:rPr>
        <w:t>。</w:t>
      </w:r>
    </w:p>
    <w:p w14:paraId="20A2486C">
      <w:pPr>
        <w:widowControl/>
        <w:shd w:val="clear" w:color="auto" w:fill="FFFFFF"/>
        <w:spacing w:line="360" w:lineRule="atLeast"/>
        <w:jc w:val="center"/>
        <w:rPr>
          <w:rFonts w:ascii="宋体" w:hAnsi="宋体"/>
          <w:color w:val="000000" w:themeColor="text1"/>
          <w:sz w:val="40"/>
          <w:szCs w:val="40"/>
          <w:highlight w:val="none"/>
          <w14:textFill>
            <w14:solidFill>
              <w14:schemeClr w14:val="tx1"/>
            </w14:solidFill>
          </w14:textFill>
        </w:rPr>
      </w:pPr>
      <w:bookmarkStart w:id="158" w:name="_Toc530036533"/>
    </w:p>
    <w:p w14:paraId="2992E8CF">
      <w:pPr>
        <w:widowControl/>
        <w:shd w:val="clear" w:color="auto" w:fill="FFFFFF"/>
        <w:spacing w:line="360" w:lineRule="atLeast"/>
        <w:jc w:val="center"/>
        <w:rPr>
          <w:rFonts w:ascii="宋体" w:hAnsi="宋体"/>
          <w:color w:val="000000" w:themeColor="text1"/>
          <w:sz w:val="40"/>
          <w:szCs w:val="40"/>
          <w:highlight w:val="none"/>
          <w14:textFill>
            <w14:solidFill>
              <w14:schemeClr w14:val="tx1"/>
            </w14:solidFill>
          </w14:textFill>
        </w:rPr>
      </w:pPr>
    </w:p>
    <w:p w14:paraId="64CE073A">
      <w:pPr>
        <w:widowControl/>
        <w:shd w:val="clear" w:color="auto" w:fill="FFFFFF"/>
        <w:spacing w:line="360" w:lineRule="atLeast"/>
        <w:jc w:val="center"/>
        <w:rPr>
          <w:rFonts w:ascii="宋体" w:hAnsi="宋体"/>
          <w:color w:val="000000" w:themeColor="text1"/>
          <w:sz w:val="40"/>
          <w:szCs w:val="40"/>
          <w:highlight w:val="none"/>
          <w14:textFill>
            <w14:solidFill>
              <w14:schemeClr w14:val="tx1"/>
            </w14:solidFill>
          </w14:textFill>
        </w:rPr>
      </w:pPr>
    </w:p>
    <w:p w14:paraId="79911FC8">
      <w:pPr>
        <w:widowControl/>
        <w:shd w:val="clear" w:color="auto" w:fill="FFFFFF"/>
        <w:spacing w:line="360" w:lineRule="atLeast"/>
        <w:jc w:val="center"/>
        <w:rPr>
          <w:rFonts w:ascii="宋体" w:hAnsi="宋体"/>
          <w:color w:val="000000" w:themeColor="text1"/>
          <w:sz w:val="40"/>
          <w:szCs w:val="40"/>
          <w:highlight w:val="none"/>
          <w14:textFill>
            <w14:solidFill>
              <w14:schemeClr w14:val="tx1"/>
            </w14:solidFill>
          </w14:textFill>
        </w:rPr>
      </w:pPr>
    </w:p>
    <w:p w14:paraId="406165F5">
      <w:pPr>
        <w:widowControl/>
        <w:shd w:val="clear" w:color="auto" w:fill="FFFFFF"/>
        <w:spacing w:line="360" w:lineRule="atLeast"/>
        <w:jc w:val="center"/>
        <w:rPr>
          <w:rFonts w:ascii="宋体" w:hAnsi="宋体"/>
          <w:color w:val="000000" w:themeColor="text1"/>
          <w:sz w:val="40"/>
          <w:szCs w:val="40"/>
          <w:highlight w:val="none"/>
          <w14:textFill>
            <w14:solidFill>
              <w14:schemeClr w14:val="tx1"/>
            </w14:solidFill>
          </w14:textFill>
        </w:rPr>
      </w:pPr>
    </w:p>
    <w:p w14:paraId="7A341F37">
      <w:pPr>
        <w:widowControl/>
        <w:shd w:val="clear" w:color="auto" w:fill="FFFFFF"/>
        <w:spacing w:line="360" w:lineRule="atLeast"/>
        <w:jc w:val="center"/>
        <w:rPr>
          <w:rFonts w:ascii="宋体" w:hAnsi="宋体"/>
          <w:color w:val="000000" w:themeColor="text1"/>
          <w:sz w:val="40"/>
          <w:szCs w:val="40"/>
          <w:highlight w:val="none"/>
          <w14:textFill>
            <w14:solidFill>
              <w14:schemeClr w14:val="tx1"/>
            </w14:solidFill>
          </w14:textFill>
        </w:rPr>
      </w:pPr>
    </w:p>
    <w:p w14:paraId="1E61D964">
      <w:pPr>
        <w:widowControl/>
        <w:shd w:val="clear" w:color="auto" w:fill="FFFFFF"/>
        <w:spacing w:line="360" w:lineRule="atLeast"/>
        <w:jc w:val="center"/>
        <w:rPr>
          <w:rFonts w:ascii="宋体" w:hAnsi="宋体"/>
          <w:color w:val="000000" w:themeColor="text1"/>
          <w:sz w:val="40"/>
          <w:szCs w:val="40"/>
          <w:highlight w:val="none"/>
          <w14:textFill>
            <w14:solidFill>
              <w14:schemeClr w14:val="tx1"/>
            </w14:solidFill>
          </w14:textFill>
        </w:rPr>
      </w:pPr>
    </w:p>
    <w:p w14:paraId="070DF9F7">
      <w:pPr>
        <w:widowControl/>
        <w:shd w:val="clear" w:color="auto" w:fill="FFFFFF"/>
        <w:spacing w:line="360" w:lineRule="atLeast"/>
        <w:jc w:val="center"/>
        <w:rPr>
          <w:rFonts w:ascii="宋体" w:hAnsi="宋体"/>
          <w:color w:val="000000" w:themeColor="text1"/>
          <w:sz w:val="40"/>
          <w:szCs w:val="40"/>
          <w:highlight w:val="none"/>
          <w14:textFill>
            <w14:solidFill>
              <w14:schemeClr w14:val="tx1"/>
            </w14:solidFill>
          </w14:textFill>
        </w:rPr>
      </w:pPr>
    </w:p>
    <w:p w14:paraId="197195E9">
      <w:pPr>
        <w:widowControl/>
        <w:shd w:val="clear" w:color="auto" w:fill="FFFFFF"/>
        <w:spacing w:line="360" w:lineRule="atLeast"/>
        <w:jc w:val="center"/>
        <w:rPr>
          <w:rFonts w:ascii="宋体" w:hAnsi="宋体"/>
          <w:color w:val="000000" w:themeColor="text1"/>
          <w:sz w:val="40"/>
          <w:szCs w:val="40"/>
          <w:highlight w:val="none"/>
          <w14:textFill>
            <w14:solidFill>
              <w14:schemeClr w14:val="tx1"/>
            </w14:solidFill>
          </w14:textFill>
        </w:rPr>
      </w:pPr>
    </w:p>
    <w:p w14:paraId="0F055538">
      <w:pPr>
        <w:widowControl/>
        <w:shd w:val="clear" w:color="auto" w:fill="FFFFFF"/>
        <w:spacing w:line="360" w:lineRule="atLeast"/>
        <w:jc w:val="center"/>
        <w:outlineLvl w:val="1"/>
        <w:rPr>
          <w:rFonts w:ascii="宋体" w:hAnsi="宋体"/>
          <w:color w:val="000000" w:themeColor="text1"/>
          <w:sz w:val="36"/>
          <w:szCs w:val="36"/>
          <w:highlight w:val="none"/>
          <w14:textFill>
            <w14:solidFill>
              <w14:schemeClr w14:val="tx1"/>
            </w14:solidFill>
          </w14:textFill>
        </w:rPr>
      </w:pPr>
      <w:bookmarkStart w:id="159" w:name="_Toc4024"/>
      <w:r>
        <w:rPr>
          <w:rFonts w:hint="eastAsia" w:ascii="宋体" w:hAnsi="宋体"/>
          <w:color w:val="000000" w:themeColor="text1"/>
          <w:sz w:val="36"/>
          <w:szCs w:val="36"/>
          <w:highlight w:val="none"/>
          <w14:textFill>
            <w14:solidFill>
              <w14:schemeClr w14:val="tx1"/>
            </w14:solidFill>
          </w14:textFill>
        </w:rPr>
        <w:t>第二轮磋商报价（最终报价）格式</w:t>
      </w:r>
      <w:bookmarkEnd w:id="158"/>
      <w:bookmarkEnd w:id="159"/>
    </w:p>
    <w:p w14:paraId="039C2D4B">
      <w:pPr>
        <w:widowControl/>
        <w:shd w:val="clear" w:color="auto" w:fill="FFFFFF"/>
        <w:spacing w:line="360" w:lineRule="atLeast"/>
        <w:rPr>
          <w:b/>
          <w:bCs/>
          <w:color w:val="000000" w:themeColor="text1"/>
          <w:highlight w:val="none"/>
          <w14:textFill>
            <w14:solidFill>
              <w14:schemeClr w14:val="tx1"/>
            </w14:solidFill>
          </w14:textFill>
        </w:rPr>
      </w:pPr>
      <w:r>
        <w:rPr>
          <w:rFonts w:ascii="宋体" w:hAnsi="宋体"/>
          <w:color w:val="000000" w:themeColor="text1"/>
          <w:sz w:val="52"/>
          <w:szCs w:val="52"/>
          <w:highlight w:val="none"/>
          <w14:textFill>
            <w14:solidFill>
              <w14:schemeClr w14:val="tx1"/>
            </w14:solidFill>
          </w14:textFill>
        </w:rPr>
        <w:br w:type="page"/>
      </w:r>
    </w:p>
    <w:p w14:paraId="31F08827">
      <w:pPr>
        <w:widowControl/>
        <w:autoSpaceDE w:val="0"/>
        <w:autoSpaceDN w:val="0"/>
        <w:adjustRightInd w:val="0"/>
        <w:jc w:val="right"/>
        <w:rPr>
          <w:rFonts w:ascii="宋体" w:hAnsi="宋体"/>
          <w:color w:val="000000" w:themeColor="text1"/>
          <w:sz w:val="52"/>
          <w:szCs w:val="52"/>
          <w:highlight w:val="none"/>
          <w14:textFill>
            <w14:solidFill>
              <w14:schemeClr w14:val="tx1"/>
            </w14:solidFill>
          </w14:textFill>
        </w:rPr>
      </w:pPr>
      <w:r>
        <w:rPr>
          <w:rFonts w:ascii="宋体" w:hAnsi="宋体" w:cs="宋体"/>
          <w:bCs/>
          <w:color w:val="000000" w:themeColor="text1"/>
          <w:kern w:val="0"/>
          <w:sz w:val="32"/>
          <w:szCs w:val="32"/>
          <w:highlight w:val="none"/>
          <w14:textFill>
            <w14:solidFill>
              <w14:schemeClr w14:val="tx1"/>
            </w14:solidFill>
          </w14:textFill>
        </w:rPr>
        <w:t>正本或副本</w:t>
      </w:r>
    </w:p>
    <w:p w14:paraId="1ACD55BE">
      <w:pPr>
        <w:widowControl/>
        <w:shd w:val="clear" w:color="auto" w:fill="FFFFFF"/>
        <w:spacing w:line="360" w:lineRule="atLeast"/>
        <w:jc w:val="center"/>
        <w:rPr>
          <w:rFonts w:ascii="宋体" w:hAnsi="宋体"/>
          <w:color w:val="000000" w:themeColor="text1"/>
          <w:sz w:val="52"/>
          <w:szCs w:val="52"/>
          <w:highlight w:val="none"/>
          <w14:textFill>
            <w14:solidFill>
              <w14:schemeClr w14:val="tx1"/>
            </w14:solidFill>
          </w14:textFill>
        </w:rPr>
      </w:pPr>
      <w:r>
        <w:rPr>
          <w:rFonts w:hint="eastAsia" w:ascii="宋体" w:hAnsi="宋体"/>
          <w:color w:val="000000" w:themeColor="text1"/>
          <w:sz w:val="52"/>
          <w:szCs w:val="52"/>
          <w:highlight w:val="none"/>
          <w14:textFill>
            <w14:solidFill>
              <w14:schemeClr w14:val="tx1"/>
            </w14:solidFill>
          </w14:textFill>
        </w:rPr>
        <w:t>第二轮磋商报价（最终报价）</w:t>
      </w:r>
    </w:p>
    <w:p w14:paraId="1360FCA8">
      <w:pPr>
        <w:spacing w:before="317" w:beforeLines="100" w:after="317" w:afterLines="100" w:line="500" w:lineRule="exact"/>
        <w:rPr>
          <w:rFonts w:hint="default" w:ascii="宋体" w:hAnsi="宋体" w:eastAsia="宋体"/>
          <w:b/>
          <w:color w:val="000000" w:themeColor="text1"/>
          <w:sz w:val="24"/>
          <w:szCs w:val="24"/>
          <w:highlight w:val="none"/>
          <w:u w:val="single"/>
          <w:lang w:val="en-US" w:eastAsia="zh-CN"/>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项目名称</w:t>
      </w:r>
      <w:r>
        <w:rPr>
          <w:rFonts w:hint="eastAsia" w:ascii="宋体" w:hAnsi="宋体"/>
          <w:b/>
          <w:color w:val="000000" w:themeColor="text1"/>
          <w:sz w:val="24"/>
          <w:szCs w:val="24"/>
          <w:highlight w:val="none"/>
          <w14:textFill>
            <w14:solidFill>
              <w14:schemeClr w14:val="tx1"/>
            </w14:solidFill>
          </w14:textFill>
        </w:rPr>
        <w:t>：</w:t>
      </w:r>
      <w:r>
        <w:rPr>
          <w:rFonts w:hint="eastAsia" w:ascii="宋体" w:hAnsi="宋体"/>
          <w:b/>
          <w:color w:val="000000" w:themeColor="text1"/>
          <w:sz w:val="24"/>
          <w:szCs w:val="24"/>
          <w:highlight w:val="none"/>
          <w:u w:val="single"/>
          <w14:textFill>
            <w14:solidFill>
              <w14:schemeClr w14:val="tx1"/>
            </w14:solidFill>
          </w14:textFill>
        </w:rPr>
        <w:t xml:space="preserve"> </w:t>
      </w:r>
      <w:r>
        <w:rPr>
          <w:rFonts w:hint="eastAsia" w:ascii="宋体" w:hAnsi="宋体"/>
          <w:b/>
          <w:color w:val="000000" w:themeColor="text1"/>
          <w:sz w:val="24"/>
          <w:szCs w:val="24"/>
          <w:highlight w:val="none"/>
          <w:u w:val="single"/>
          <w:lang w:val="en-US" w:eastAsia="zh-CN"/>
          <w14:textFill>
            <w14:solidFill>
              <w14:schemeClr w14:val="tx1"/>
            </w14:solidFill>
          </w14:textFill>
        </w:rPr>
        <w:t xml:space="preserve">                           </w:t>
      </w:r>
    </w:p>
    <w:p w14:paraId="0434A534">
      <w:pPr>
        <w:spacing w:line="400" w:lineRule="exac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项目编号：</w:t>
      </w:r>
      <w:r>
        <w:rPr>
          <w:rFonts w:hint="eastAsia" w:ascii="宋体" w:hAnsi="宋体"/>
          <w:b/>
          <w:color w:val="000000" w:themeColor="text1"/>
          <w:sz w:val="24"/>
          <w:szCs w:val="24"/>
          <w:highlight w:val="none"/>
          <w:u w:val="single"/>
          <w14:textFill>
            <w14:solidFill>
              <w14:schemeClr w14:val="tx1"/>
            </w14:solidFill>
          </w14:textFill>
        </w:rPr>
        <w:t xml:space="preserve"> </w:t>
      </w:r>
      <w:r>
        <w:rPr>
          <w:rFonts w:hint="eastAsia" w:ascii="宋体" w:hAnsi="宋体"/>
          <w:b/>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 xml:space="preserve"> </w:t>
      </w:r>
    </w:p>
    <w:p w14:paraId="3D300B11">
      <w:pPr>
        <w:spacing w:line="400" w:lineRule="exact"/>
        <w:rPr>
          <w:rFonts w:ascii="宋体" w:hAnsi="宋体"/>
          <w:color w:val="000000" w:themeColor="text1"/>
          <w:sz w:val="24"/>
          <w:szCs w:val="24"/>
          <w:highlight w:val="none"/>
          <w14:textFill>
            <w14:solidFill>
              <w14:schemeClr w14:val="tx1"/>
            </w14:solidFill>
          </w14:textFill>
        </w:rPr>
      </w:pPr>
    </w:p>
    <w:tbl>
      <w:tblPr>
        <w:tblStyle w:val="32"/>
        <w:tblW w:w="859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1"/>
        <w:gridCol w:w="3272"/>
        <w:gridCol w:w="1983"/>
        <w:gridCol w:w="1896"/>
      </w:tblGrid>
      <w:tr w14:paraId="215EA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89" w:hRule="atLeast"/>
        </w:trPr>
        <w:tc>
          <w:tcPr>
            <w:tcW w:w="1441" w:type="dxa"/>
            <w:vAlign w:val="center"/>
          </w:tcPr>
          <w:p w14:paraId="13BC0260">
            <w:pPr>
              <w:spacing w:line="0" w:lineRule="atLeas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供应商名称</w:t>
            </w:r>
          </w:p>
        </w:tc>
        <w:tc>
          <w:tcPr>
            <w:tcW w:w="3272" w:type="dxa"/>
            <w:vAlign w:val="center"/>
          </w:tcPr>
          <w:p w14:paraId="7D25F68F">
            <w:pPr>
              <w:spacing w:line="0" w:lineRule="atLeas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磋商报价（元）</w:t>
            </w:r>
          </w:p>
        </w:tc>
        <w:tc>
          <w:tcPr>
            <w:tcW w:w="1983" w:type="dxa"/>
            <w:vAlign w:val="center"/>
          </w:tcPr>
          <w:p w14:paraId="780D28F8">
            <w:pPr>
              <w:spacing w:line="0" w:lineRule="atLeas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合同履行期限</w:t>
            </w:r>
          </w:p>
        </w:tc>
        <w:tc>
          <w:tcPr>
            <w:tcW w:w="1896" w:type="dxa"/>
            <w:vAlign w:val="center"/>
          </w:tcPr>
          <w:p w14:paraId="1190E49B">
            <w:pPr>
              <w:spacing w:line="0" w:lineRule="atLeast"/>
              <w:jc w:val="center"/>
              <w:rPr>
                <w:rFonts w:hint="eastAsia" w:ascii="宋体" w:hAnsi="宋体" w:eastAsia="宋体"/>
                <w:color w:val="000000" w:themeColor="text1"/>
                <w:sz w:val="24"/>
                <w:szCs w:val="24"/>
                <w:highlight w:val="none"/>
                <w:lang w:eastAsia="zh-CN"/>
                <w14:textFill>
                  <w14:solidFill>
                    <w14:schemeClr w14:val="tx1"/>
                  </w14:solidFill>
                </w14:textFill>
              </w:rPr>
            </w:pPr>
            <w:r>
              <w:rPr>
                <w:rFonts w:hint="eastAsia" w:ascii="宋体" w:hAnsi="宋体"/>
                <w:color w:val="000000" w:themeColor="text1"/>
                <w:sz w:val="24"/>
                <w:szCs w:val="24"/>
                <w:highlight w:val="none"/>
                <w:lang w:eastAsia="zh-CN"/>
                <w14:textFill>
                  <w14:solidFill>
                    <w14:schemeClr w14:val="tx1"/>
                  </w14:solidFill>
                </w14:textFill>
              </w:rPr>
              <w:t>服务要求</w:t>
            </w:r>
          </w:p>
        </w:tc>
      </w:tr>
      <w:tr w14:paraId="567B0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1441" w:type="dxa"/>
            <w:vMerge w:val="restart"/>
            <w:vAlign w:val="center"/>
          </w:tcPr>
          <w:p w14:paraId="0ADA9BFD">
            <w:pPr>
              <w:spacing w:line="460" w:lineRule="exact"/>
              <w:ind w:left="57" w:right="57" w:firstLine="57"/>
              <w:jc w:val="center"/>
              <w:rPr>
                <w:rFonts w:ascii="宋体" w:hAnsi="宋体"/>
                <w:color w:val="000000" w:themeColor="text1"/>
                <w:sz w:val="24"/>
                <w:szCs w:val="24"/>
                <w:highlight w:val="none"/>
                <w14:textFill>
                  <w14:solidFill>
                    <w14:schemeClr w14:val="tx1"/>
                  </w14:solidFill>
                </w14:textFill>
              </w:rPr>
            </w:pPr>
          </w:p>
        </w:tc>
        <w:tc>
          <w:tcPr>
            <w:tcW w:w="3272" w:type="dxa"/>
            <w:vAlign w:val="center"/>
          </w:tcPr>
          <w:p w14:paraId="1C5A17B5">
            <w:pPr>
              <w:spacing w:line="0" w:lineRule="atLeast"/>
              <w:jc w:val="lef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大写：</w:t>
            </w:r>
          </w:p>
        </w:tc>
        <w:tc>
          <w:tcPr>
            <w:tcW w:w="1983" w:type="dxa"/>
            <w:vMerge w:val="restart"/>
            <w:vAlign w:val="center"/>
          </w:tcPr>
          <w:p w14:paraId="3F222C7F">
            <w:pPr>
              <w:spacing w:line="460" w:lineRule="exact"/>
              <w:ind w:left="57" w:right="57" w:firstLine="57"/>
              <w:jc w:val="center"/>
              <w:rPr>
                <w:rFonts w:ascii="宋体" w:hAnsi="宋体"/>
                <w:color w:val="000000" w:themeColor="text1"/>
                <w:sz w:val="24"/>
                <w:szCs w:val="24"/>
                <w:highlight w:val="none"/>
                <w14:textFill>
                  <w14:solidFill>
                    <w14:schemeClr w14:val="tx1"/>
                  </w14:solidFill>
                </w14:textFill>
              </w:rPr>
            </w:pPr>
          </w:p>
        </w:tc>
        <w:tc>
          <w:tcPr>
            <w:tcW w:w="1896" w:type="dxa"/>
            <w:vMerge w:val="restart"/>
            <w:vAlign w:val="center"/>
          </w:tcPr>
          <w:p w14:paraId="706AA0EC">
            <w:pPr>
              <w:spacing w:line="460" w:lineRule="exact"/>
              <w:ind w:left="57" w:right="57" w:firstLine="57"/>
              <w:jc w:val="center"/>
              <w:rPr>
                <w:rFonts w:ascii="宋体" w:hAnsi="宋体"/>
                <w:color w:val="000000" w:themeColor="text1"/>
                <w:sz w:val="24"/>
                <w:szCs w:val="24"/>
                <w:highlight w:val="none"/>
                <w14:textFill>
                  <w14:solidFill>
                    <w14:schemeClr w14:val="tx1"/>
                  </w14:solidFill>
                </w14:textFill>
              </w:rPr>
            </w:pPr>
          </w:p>
        </w:tc>
      </w:tr>
      <w:tr w14:paraId="16181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1441" w:type="dxa"/>
            <w:vMerge w:val="continue"/>
            <w:vAlign w:val="center"/>
          </w:tcPr>
          <w:p w14:paraId="4FE0054E">
            <w:pPr>
              <w:spacing w:line="460" w:lineRule="exact"/>
              <w:ind w:left="57" w:right="57" w:firstLine="57"/>
              <w:jc w:val="center"/>
              <w:rPr>
                <w:rFonts w:ascii="宋体" w:hAnsi="宋体"/>
                <w:color w:val="000000" w:themeColor="text1"/>
                <w:sz w:val="24"/>
                <w:szCs w:val="24"/>
                <w:highlight w:val="none"/>
                <w14:textFill>
                  <w14:solidFill>
                    <w14:schemeClr w14:val="tx1"/>
                  </w14:solidFill>
                </w14:textFill>
              </w:rPr>
            </w:pPr>
          </w:p>
        </w:tc>
        <w:tc>
          <w:tcPr>
            <w:tcW w:w="3272" w:type="dxa"/>
            <w:vAlign w:val="center"/>
          </w:tcPr>
          <w:p w14:paraId="043C9419">
            <w:pPr>
              <w:spacing w:line="0" w:lineRule="atLeast"/>
              <w:jc w:val="lef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小写：</w:t>
            </w:r>
          </w:p>
        </w:tc>
        <w:tc>
          <w:tcPr>
            <w:tcW w:w="1983" w:type="dxa"/>
            <w:vMerge w:val="continue"/>
            <w:vAlign w:val="center"/>
          </w:tcPr>
          <w:p w14:paraId="54CD8E07">
            <w:pPr>
              <w:spacing w:line="460" w:lineRule="exact"/>
              <w:ind w:left="57" w:right="57" w:firstLine="57"/>
              <w:jc w:val="center"/>
              <w:rPr>
                <w:rFonts w:ascii="宋体" w:hAnsi="宋体"/>
                <w:color w:val="000000" w:themeColor="text1"/>
                <w:sz w:val="24"/>
                <w:szCs w:val="24"/>
                <w:highlight w:val="none"/>
                <w14:textFill>
                  <w14:solidFill>
                    <w14:schemeClr w14:val="tx1"/>
                  </w14:solidFill>
                </w14:textFill>
              </w:rPr>
            </w:pPr>
          </w:p>
        </w:tc>
        <w:tc>
          <w:tcPr>
            <w:tcW w:w="1896" w:type="dxa"/>
            <w:vMerge w:val="continue"/>
            <w:vAlign w:val="center"/>
          </w:tcPr>
          <w:p w14:paraId="12578E67">
            <w:pPr>
              <w:spacing w:line="460" w:lineRule="exact"/>
              <w:ind w:left="57" w:right="57" w:firstLine="57"/>
              <w:jc w:val="center"/>
              <w:rPr>
                <w:rFonts w:ascii="宋体" w:hAnsi="宋体"/>
                <w:color w:val="000000" w:themeColor="text1"/>
                <w:sz w:val="24"/>
                <w:szCs w:val="24"/>
                <w:highlight w:val="none"/>
                <w14:textFill>
                  <w14:solidFill>
                    <w14:schemeClr w14:val="tx1"/>
                  </w14:solidFill>
                </w14:textFill>
              </w:rPr>
            </w:pPr>
          </w:p>
        </w:tc>
      </w:tr>
      <w:tr w14:paraId="0DD9A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441" w:type="dxa"/>
            <w:vAlign w:val="center"/>
          </w:tcPr>
          <w:p w14:paraId="17C1028F">
            <w:pPr>
              <w:spacing w:line="0" w:lineRule="atLeas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备注</w:t>
            </w:r>
          </w:p>
        </w:tc>
        <w:tc>
          <w:tcPr>
            <w:tcW w:w="7151" w:type="dxa"/>
            <w:gridSpan w:val="3"/>
            <w:vAlign w:val="center"/>
          </w:tcPr>
          <w:p w14:paraId="56BC99E1">
            <w:pPr>
              <w:spacing w:line="0" w:lineRule="atLeas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报价中包含利润、管理费、税金及合同包含的所有风险、责任等各项应有费用。</w:t>
            </w:r>
          </w:p>
        </w:tc>
      </w:tr>
    </w:tbl>
    <w:p w14:paraId="12169325">
      <w:pPr>
        <w:spacing w:line="400" w:lineRule="exac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 xml:space="preserve">                                                   </w:t>
      </w:r>
    </w:p>
    <w:p w14:paraId="2F04E76B">
      <w:pPr>
        <w:autoSpaceDE w:val="0"/>
        <w:autoSpaceDN w:val="0"/>
        <w:adjustRightInd w:val="0"/>
        <w:spacing w:line="360" w:lineRule="auto"/>
        <w:ind w:firstLine="480" w:firstLineChars="200"/>
        <w:jc w:val="righ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供应商名称</w:t>
      </w:r>
      <w:r>
        <w:rPr>
          <w:rFonts w:ascii="宋体" w:hAnsi="宋体" w:cs="宋体"/>
          <w:color w:val="000000" w:themeColor="text1"/>
          <w:sz w:val="24"/>
          <w:szCs w:val="24"/>
          <w:highlight w:val="none"/>
          <w:lang w:val="zh-CN"/>
          <w14:textFill>
            <w14:solidFill>
              <w14:schemeClr w14:val="tx1"/>
            </w14:solidFill>
          </w14:textFill>
        </w:rPr>
        <w:t>：</w:t>
      </w:r>
      <w:r>
        <w:rPr>
          <w:rFonts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ascii="宋体" w:hAnsi="宋体" w:cs="宋体"/>
          <w:color w:val="000000" w:themeColor="text1"/>
          <w:sz w:val="24"/>
          <w:szCs w:val="24"/>
          <w:highlight w:val="none"/>
          <w:lang w:val="zh-CN"/>
          <w14:textFill>
            <w14:solidFill>
              <w14:schemeClr w14:val="tx1"/>
            </w14:solidFill>
          </w14:textFill>
        </w:rPr>
        <w:t>(</w:t>
      </w:r>
      <w:r>
        <w:rPr>
          <w:rFonts w:hint="eastAsia" w:ascii="宋体" w:hAnsi="宋体" w:cs="宋体"/>
          <w:color w:val="000000" w:themeColor="text1"/>
          <w:sz w:val="24"/>
          <w:szCs w:val="24"/>
          <w:highlight w:val="none"/>
          <w:lang w:val="zh-CN"/>
          <w14:textFill>
            <w14:solidFill>
              <w14:schemeClr w14:val="tx1"/>
            </w14:solidFill>
          </w14:textFill>
        </w:rPr>
        <w:t>盖单位公章</w:t>
      </w:r>
      <w:r>
        <w:rPr>
          <w:rFonts w:ascii="宋体" w:hAnsi="宋体" w:cs="宋体"/>
          <w:color w:val="000000" w:themeColor="text1"/>
          <w:sz w:val="24"/>
          <w:szCs w:val="24"/>
          <w:highlight w:val="none"/>
          <w:lang w:val="zh-CN"/>
          <w14:textFill>
            <w14:solidFill>
              <w14:schemeClr w14:val="tx1"/>
            </w14:solidFill>
          </w14:textFill>
        </w:rPr>
        <w:t>)</w:t>
      </w:r>
    </w:p>
    <w:p w14:paraId="53289DC5">
      <w:pPr>
        <w:autoSpaceDE w:val="0"/>
        <w:autoSpaceDN w:val="0"/>
        <w:adjustRightInd w:val="0"/>
        <w:spacing w:line="360" w:lineRule="auto"/>
        <w:jc w:val="left"/>
        <w:rPr>
          <w:rFonts w:ascii="宋体" w:hAnsi="宋体" w:cs="宋体"/>
          <w:color w:val="000000" w:themeColor="text1"/>
          <w:sz w:val="24"/>
          <w:szCs w:val="24"/>
          <w:highlight w:val="none"/>
          <w:lang w:val="zh-CN"/>
          <w14:textFill>
            <w14:solidFill>
              <w14:schemeClr w14:val="tx1"/>
            </w14:solidFill>
          </w14:textFill>
        </w:rPr>
      </w:pPr>
    </w:p>
    <w:p w14:paraId="7875610F">
      <w:pPr>
        <w:autoSpaceDE w:val="0"/>
        <w:autoSpaceDN w:val="0"/>
        <w:adjustRightInd w:val="0"/>
        <w:spacing w:line="360" w:lineRule="auto"/>
        <w:ind w:firstLine="480" w:firstLineChars="200"/>
        <w:jc w:val="righ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法定代表人或其委托代理人</w:t>
      </w:r>
      <w:r>
        <w:rPr>
          <w:rFonts w:ascii="宋体" w:hAnsi="宋体" w:cs="宋体"/>
          <w:color w:val="000000" w:themeColor="text1"/>
          <w:sz w:val="24"/>
          <w:szCs w:val="24"/>
          <w:highlight w:val="none"/>
          <w:lang w:val="zh-CN"/>
          <w14:textFill>
            <w14:solidFill>
              <w14:schemeClr w14:val="tx1"/>
            </w14:solidFill>
          </w14:textFill>
        </w:rPr>
        <w:t>：</w:t>
      </w: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ascii="宋体" w:hAnsi="宋体" w:cs="宋体"/>
          <w:color w:val="000000" w:themeColor="text1"/>
          <w:sz w:val="24"/>
          <w:szCs w:val="24"/>
          <w:highlight w:val="none"/>
          <w:lang w:val="zh-CN"/>
          <w14:textFill>
            <w14:solidFill>
              <w14:schemeClr w14:val="tx1"/>
            </w14:solidFill>
          </w14:textFill>
        </w:rPr>
        <w:t>(</w:t>
      </w:r>
      <w:r>
        <w:rPr>
          <w:rFonts w:hint="eastAsia" w:ascii="宋体" w:hAnsi="宋体" w:cs="宋体"/>
          <w:color w:val="000000" w:themeColor="text1"/>
          <w:sz w:val="24"/>
          <w:szCs w:val="24"/>
          <w:highlight w:val="none"/>
          <w:lang w:val="zh-CN"/>
          <w14:textFill>
            <w14:solidFill>
              <w14:schemeClr w14:val="tx1"/>
            </w14:solidFill>
          </w14:textFill>
        </w:rPr>
        <w:t>签字</w:t>
      </w:r>
      <w:r>
        <w:rPr>
          <w:rFonts w:ascii="宋体" w:hAnsi="宋体" w:cs="宋体"/>
          <w:color w:val="000000" w:themeColor="text1"/>
          <w:sz w:val="24"/>
          <w:szCs w:val="24"/>
          <w:highlight w:val="none"/>
          <w:lang w:val="zh-CN"/>
          <w14:textFill>
            <w14:solidFill>
              <w14:schemeClr w14:val="tx1"/>
            </w14:solidFill>
          </w14:textFill>
        </w:rPr>
        <w:t>)</w:t>
      </w:r>
    </w:p>
    <w:p w14:paraId="2D497F95">
      <w:pPr>
        <w:autoSpaceDE w:val="0"/>
        <w:autoSpaceDN w:val="0"/>
        <w:adjustRightInd w:val="0"/>
        <w:spacing w:line="360" w:lineRule="auto"/>
        <w:ind w:firstLine="240" w:firstLineChars="100"/>
        <w:jc w:val="left"/>
        <w:rPr>
          <w:rFonts w:ascii="宋体" w:hAnsi="宋体" w:cs="宋体"/>
          <w:color w:val="000000" w:themeColor="text1"/>
          <w:sz w:val="24"/>
          <w:szCs w:val="24"/>
          <w:highlight w:val="none"/>
          <w:u w:val="single"/>
          <w:lang w:val="zh-CN"/>
          <w14:textFill>
            <w14:solidFill>
              <w14:schemeClr w14:val="tx1"/>
            </w14:solidFill>
          </w14:textFill>
        </w:rPr>
      </w:pPr>
    </w:p>
    <w:p w14:paraId="29B84C15">
      <w:pPr>
        <w:autoSpaceDE w:val="0"/>
        <w:autoSpaceDN w:val="0"/>
        <w:adjustRightInd w:val="0"/>
        <w:spacing w:line="360" w:lineRule="auto"/>
        <w:ind w:firstLine="1800" w:firstLineChars="750"/>
        <w:jc w:val="righ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年</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月</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日</w:t>
      </w:r>
    </w:p>
    <w:p w14:paraId="5E5F05BD">
      <w:pPr>
        <w:spacing w:line="360" w:lineRule="auto"/>
        <w:rPr>
          <w:b/>
          <w:bCs/>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14:textFill>
            <w14:solidFill>
              <w14:schemeClr w14:val="tx1"/>
            </w14:solidFill>
          </w14:textFill>
        </w:rPr>
        <w:t>第二轮报价说明：</w:t>
      </w:r>
    </w:p>
    <w:p w14:paraId="428DDE3C">
      <w:pPr>
        <w:widowControl/>
        <w:shd w:val="clear" w:color="auto" w:fill="FFFFFF"/>
        <w:spacing w:line="360" w:lineRule="auto"/>
        <w:ind w:firstLine="480"/>
        <w:jc w:val="lef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1.</w:t>
      </w:r>
      <w:r>
        <w:rPr>
          <w:rFonts w:hint="eastAsia" w:ascii="宋体" w:hAnsi="宋体"/>
          <w:color w:val="000000" w:themeColor="text1"/>
          <w:sz w:val="24"/>
          <w:szCs w:val="24"/>
          <w:highlight w:val="none"/>
          <w:lang w:val="en-US" w:eastAsia="zh-CN"/>
          <w14:textFill>
            <w14:solidFill>
              <w14:schemeClr w14:val="tx1"/>
            </w14:solidFill>
          </w14:textFill>
        </w:rPr>
        <w:t>以实际“政采云”平台生成为准</w:t>
      </w:r>
      <w:r>
        <w:rPr>
          <w:rFonts w:hint="eastAsia" w:ascii="宋体" w:hAnsi="宋体"/>
          <w:b/>
          <w:color w:val="000000" w:themeColor="text1"/>
          <w:sz w:val="24"/>
          <w:szCs w:val="24"/>
          <w:highlight w:val="none"/>
          <w14:textFill>
            <w14:solidFill>
              <w14:schemeClr w14:val="tx1"/>
            </w14:solidFill>
          </w14:textFill>
        </w:rPr>
        <w:t>。</w:t>
      </w:r>
    </w:p>
    <w:p w14:paraId="1110A66B">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3.参加磋商的供应商最终报价不得高于其首轮报</w:t>
      </w:r>
      <w:r>
        <w:rPr>
          <w:rFonts w:hint="eastAsia" w:ascii="宋体" w:hAnsi="宋体"/>
          <w:color w:val="000000" w:themeColor="text1"/>
          <w:sz w:val="24"/>
          <w:szCs w:val="24"/>
          <w:highlight w:val="none"/>
          <w:lang w:val="en-US" w:eastAsia="zh-CN"/>
          <w14:textFill>
            <w14:solidFill>
              <w14:schemeClr w14:val="tx1"/>
            </w14:solidFill>
          </w14:textFill>
        </w:rPr>
        <w:t>价</w:t>
      </w:r>
      <w:r>
        <w:rPr>
          <w:rFonts w:hint="eastAsia" w:ascii="宋体" w:hAnsi="宋体"/>
          <w:color w:val="000000" w:themeColor="text1"/>
          <w:sz w:val="24"/>
          <w:szCs w:val="24"/>
          <w:highlight w:val="none"/>
          <w14:textFill>
            <w14:solidFill>
              <w14:schemeClr w14:val="tx1"/>
            </w14:solidFill>
          </w14:textFill>
        </w:rPr>
        <w:t>。</w:t>
      </w:r>
    </w:p>
    <w:p w14:paraId="2253ED99">
      <w:pPr>
        <w:ind w:firstLine="723" w:firstLineChars="200"/>
        <w:rPr>
          <w:rFonts w:hint="eastAsia" w:ascii="宋体" w:hAnsi="宋体" w:cs="宋体"/>
          <w:b/>
          <w:bCs/>
          <w:color w:val="000000" w:themeColor="text1"/>
          <w:sz w:val="36"/>
          <w:szCs w:val="36"/>
          <w:highlight w:val="none"/>
          <w14:textFill>
            <w14:solidFill>
              <w14:schemeClr w14:val="tx1"/>
            </w14:solidFill>
          </w14:textFill>
        </w:rPr>
      </w:pPr>
      <w:bookmarkStart w:id="160" w:name="_Toc4043"/>
      <w:bookmarkStart w:id="161" w:name="_Toc4201"/>
      <w:bookmarkStart w:id="162" w:name="_Toc32455"/>
      <w:r>
        <w:rPr>
          <w:rFonts w:hint="eastAsia" w:ascii="宋体" w:hAnsi="宋体" w:cs="宋体"/>
          <w:b/>
          <w:bCs/>
          <w:color w:val="000000" w:themeColor="text1"/>
          <w:sz w:val="36"/>
          <w:szCs w:val="36"/>
          <w:highlight w:val="none"/>
          <w14:textFill>
            <w14:solidFill>
              <w14:schemeClr w14:val="tx1"/>
            </w14:solidFill>
          </w14:textFill>
        </w:rPr>
        <w:br w:type="page"/>
      </w:r>
    </w:p>
    <w:p w14:paraId="3A9FB57B">
      <w:pPr>
        <w:pStyle w:val="31"/>
        <w:keepNext w:val="0"/>
        <w:keepLines w:val="0"/>
        <w:pageBreakBefore w:val="0"/>
        <w:widowControl w:val="0"/>
        <w:kinsoku/>
        <w:wordWrap/>
        <w:overflowPunct/>
        <w:topLinePunct w:val="0"/>
        <w:autoSpaceDE/>
        <w:autoSpaceDN/>
        <w:bidi w:val="0"/>
        <w:adjustRightInd/>
        <w:snapToGrid/>
        <w:ind w:left="0" w:leftChars="0" w:firstLine="0" w:firstLineChars="0"/>
        <w:jc w:val="center"/>
        <w:textAlignment w:val="auto"/>
        <w:outlineLvl w:val="0"/>
        <w:rPr>
          <w:rFonts w:ascii="宋体" w:hAnsi="宋体" w:cs="宋体"/>
          <w:b/>
          <w:bCs/>
          <w:color w:val="000000" w:themeColor="text1"/>
          <w:highlight w:val="none"/>
          <w14:textFill>
            <w14:solidFill>
              <w14:schemeClr w14:val="tx1"/>
            </w14:solidFill>
          </w14:textFill>
        </w:rPr>
      </w:pPr>
      <w:bookmarkStart w:id="163" w:name="_Toc25825"/>
      <w:r>
        <w:rPr>
          <w:rFonts w:hint="eastAsia" w:ascii="宋体" w:hAnsi="宋体" w:cs="宋体"/>
          <w:b/>
          <w:bCs/>
          <w:color w:val="000000" w:themeColor="text1"/>
          <w:sz w:val="36"/>
          <w:szCs w:val="36"/>
          <w:highlight w:val="none"/>
          <w14:textFill>
            <w14:solidFill>
              <w14:schemeClr w14:val="tx1"/>
            </w14:solidFill>
          </w14:textFill>
        </w:rPr>
        <w:t xml:space="preserve">第四章 </w:t>
      </w:r>
      <w:r>
        <w:rPr>
          <w:rFonts w:hint="eastAsia" w:ascii="宋体" w:hAnsi="宋体" w:cs="宋体"/>
          <w:b/>
          <w:bCs/>
          <w:color w:val="000000" w:themeColor="text1"/>
          <w:sz w:val="36"/>
          <w:szCs w:val="36"/>
          <w:highlight w:val="none"/>
          <w:lang w:eastAsia="zh-CN"/>
          <w14:textFill>
            <w14:solidFill>
              <w14:schemeClr w14:val="tx1"/>
            </w14:solidFill>
          </w14:textFill>
        </w:rPr>
        <w:t>政府采购合同书格式</w:t>
      </w:r>
      <w:r>
        <w:rPr>
          <w:rFonts w:hint="eastAsia" w:ascii="宋体" w:hAnsi="宋体" w:cs="宋体"/>
          <w:b/>
          <w:bCs/>
          <w:color w:val="000000" w:themeColor="text1"/>
          <w:sz w:val="36"/>
          <w:szCs w:val="36"/>
          <w:highlight w:val="none"/>
          <w14:textFill>
            <w14:solidFill>
              <w14:schemeClr w14:val="tx1"/>
            </w14:solidFill>
          </w14:textFill>
        </w:rPr>
        <w:t>及条款</w:t>
      </w:r>
      <w:bookmarkEnd w:id="160"/>
      <w:bookmarkEnd w:id="161"/>
      <w:bookmarkEnd w:id="162"/>
      <w:bookmarkEnd w:id="163"/>
    </w:p>
    <w:p w14:paraId="10EECCEE">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（以双方签订实际合同书、条款为准）</w:t>
      </w:r>
    </w:p>
    <w:p w14:paraId="24B81493">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outlineLvl w:val="1"/>
        <w:rPr>
          <w:rFonts w:ascii="宋体" w:hAnsi="宋体"/>
          <w:color w:val="000000" w:themeColor="text1"/>
          <w:sz w:val="36"/>
          <w:szCs w:val="36"/>
          <w:highlight w:val="none"/>
          <w:lang w:val="zh-CN"/>
          <w14:textFill>
            <w14:solidFill>
              <w14:schemeClr w14:val="tx1"/>
            </w14:solidFill>
          </w14:textFill>
        </w:rPr>
      </w:pPr>
      <w:bookmarkStart w:id="164" w:name="_Toc2421"/>
      <w:bookmarkStart w:id="165" w:name="_Toc4569"/>
      <w:bookmarkStart w:id="166" w:name="_Toc13236"/>
      <w:bookmarkStart w:id="167" w:name="_Toc24855"/>
      <w:r>
        <w:rPr>
          <w:rFonts w:hint="eastAsia" w:ascii="宋体" w:hAnsi="宋体" w:cs="黑体"/>
          <w:b/>
          <w:bCs/>
          <w:color w:val="000000" w:themeColor="text1"/>
          <w:sz w:val="32"/>
          <w:szCs w:val="32"/>
          <w:highlight w:val="none"/>
          <w14:textFill>
            <w14:solidFill>
              <w14:schemeClr w14:val="tx1"/>
            </w14:solidFill>
          </w14:textFill>
        </w:rPr>
        <w:t xml:space="preserve">第一节 </w:t>
      </w:r>
      <w:bookmarkEnd w:id="164"/>
      <w:bookmarkEnd w:id="165"/>
      <w:r>
        <w:rPr>
          <w:rFonts w:hint="eastAsia" w:ascii="宋体" w:hAnsi="宋体" w:cs="黑体"/>
          <w:b/>
          <w:bCs/>
          <w:color w:val="000000" w:themeColor="text1"/>
          <w:sz w:val="32"/>
          <w:szCs w:val="32"/>
          <w:highlight w:val="none"/>
          <w:lang w:val="zh-CN"/>
          <w14:textFill>
            <w14:solidFill>
              <w14:schemeClr w14:val="tx1"/>
            </w14:solidFill>
          </w14:textFill>
        </w:rPr>
        <w:t>政府采购合同书格式</w:t>
      </w:r>
      <w:bookmarkEnd w:id="166"/>
      <w:bookmarkEnd w:id="167"/>
    </w:p>
    <w:p w14:paraId="117820EF">
      <w:pPr>
        <w:keepNext w:val="0"/>
        <w:keepLines w:val="0"/>
        <w:pageBreakBefore w:val="0"/>
        <w:widowControl w:val="0"/>
        <w:kinsoku/>
        <w:wordWrap/>
        <w:overflowPunct/>
        <w:topLinePunct w:val="0"/>
        <w:autoSpaceDE w:val="0"/>
        <w:autoSpaceDN w:val="0"/>
        <w:bidi w:val="0"/>
        <w:adjustRightInd w:val="0"/>
        <w:snapToGrid/>
        <w:spacing w:line="400" w:lineRule="exact"/>
        <w:ind w:firstLine="1205" w:firstLineChars="500"/>
        <w:textAlignment w:val="auto"/>
        <w:rPr>
          <w:rFonts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合同编号：</w:t>
      </w:r>
      <w:r>
        <w:rPr>
          <w:rFonts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u w:val="single"/>
          <w14:textFill>
            <w14:solidFill>
              <w14:schemeClr w14:val="tx1"/>
            </w14:solidFill>
          </w14:textFill>
        </w:rPr>
        <w:t xml:space="preserve">                                   </w:t>
      </w:r>
    </w:p>
    <w:p w14:paraId="31CC6297">
      <w:pPr>
        <w:keepNext w:val="0"/>
        <w:keepLines w:val="0"/>
        <w:pageBreakBefore w:val="0"/>
        <w:widowControl w:val="0"/>
        <w:kinsoku/>
        <w:wordWrap/>
        <w:overflowPunct/>
        <w:topLinePunct w:val="0"/>
        <w:autoSpaceDE w:val="0"/>
        <w:autoSpaceDN w:val="0"/>
        <w:bidi w:val="0"/>
        <w:adjustRightInd w:val="0"/>
        <w:snapToGrid/>
        <w:spacing w:line="400" w:lineRule="exact"/>
        <w:ind w:firstLine="1205" w:firstLineChars="500"/>
        <w:textAlignment w:val="auto"/>
        <w:rPr>
          <w:rFonts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签订地点：</w:t>
      </w:r>
      <w:r>
        <w:rPr>
          <w:rFonts w:hint="eastAsia" w:ascii="宋体" w:hAnsi="宋体" w:cs="宋体"/>
          <w:b/>
          <w:bCs/>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single"/>
          <w14:textFill>
            <w14:solidFill>
              <w14:schemeClr w14:val="tx1"/>
            </w14:solidFill>
          </w14:textFill>
        </w:rPr>
        <w:t xml:space="preserve">                                   </w:t>
      </w:r>
    </w:p>
    <w:p w14:paraId="529B042D">
      <w:pPr>
        <w:keepNext w:val="0"/>
        <w:keepLines w:val="0"/>
        <w:pageBreakBefore w:val="0"/>
        <w:widowControl w:val="0"/>
        <w:kinsoku/>
        <w:wordWrap/>
        <w:overflowPunct/>
        <w:topLinePunct w:val="0"/>
        <w:autoSpaceDE w:val="0"/>
        <w:autoSpaceDN w:val="0"/>
        <w:bidi w:val="0"/>
        <w:adjustRightInd w:val="0"/>
        <w:snapToGrid/>
        <w:spacing w:line="400" w:lineRule="exact"/>
        <w:ind w:firstLine="1205" w:firstLineChars="500"/>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签订日期：</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年</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月</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日</w:t>
      </w:r>
      <w:r>
        <w:rPr>
          <w:rFonts w:ascii="宋体" w:hAnsi="宋体" w:cs="宋体"/>
          <w:color w:val="000000" w:themeColor="text1"/>
          <w:sz w:val="24"/>
          <w:szCs w:val="24"/>
          <w:highlight w:val="none"/>
          <w:lang w:val="zh-CN"/>
          <w14:textFill>
            <w14:solidFill>
              <w14:schemeClr w14:val="tx1"/>
            </w14:solidFill>
          </w14:textFill>
        </w:rPr>
        <w:t xml:space="preserve"> </w:t>
      </w:r>
    </w:p>
    <w:p w14:paraId="0B935C14">
      <w:pPr>
        <w:keepNext w:val="0"/>
        <w:keepLines w:val="0"/>
        <w:pageBreakBefore w:val="0"/>
        <w:widowControl w:val="0"/>
        <w:kinsoku/>
        <w:wordWrap/>
        <w:overflowPunct/>
        <w:topLinePunct w:val="0"/>
        <w:autoSpaceDE w:val="0"/>
        <w:autoSpaceDN w:val="0"/>
        <w:bidi w:val="0"/>
        <w:adjustRightInd w:val="0"/>
        <w:snapToGrid/>
        <w:spacing w:line="400" w:lineRule="exact"/>
        <w:ind w:firstLine="1205" w:firstLineChars="500"/>
        <w:textAlignment w:val="auto"/>
        <w:rPr>
          <w:rFonts w:ascii="宋体" w:hAnsi="宋体"/>
          <w:color w:val="000000" w:themeColor="text1"/>
          <w:sz w:val="24"/>
          <w:szCs w:val="24"/>
          <w:highlight w:val="none"/>
          <w:u w:val="single"/>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采购任务通知书编号：</w:t>
      </w:r>
      <w:r>
        <w:rPr>
          <w:rFonts w:hint="eastAsia" w:ascii="宋体" w:cs="宋体"/>
          <w:color w:val="000000" w:themeColor="text1"/>
          <w:sz w:val="24"/>
          <w:szCs w:val="24"/>
          <w:highlight w:val="none"/>
          <w:u w:val="single"/>
          <w14:textFill>
            <w14:solidFill>
              <w14:schemeClr w14:val="tx1"/>
            </w14:solidFill>
          </w14:textFill>
        </w:rPr>
        <w:t xml:space="preserve">                          </w:t>
      </w:r>
    </w:p>
    <w:p w14:paraId="2C057576">
      <w:pPr>
        <w:keepNext w:val="0"/>
        <w:keepLines w:val="0"/>
        <w:pageBreakBefore w:val="0"/>
        <w:widowControl w:val="0"/>
        <w:kinsoku/>
        <w:wordWrap/>
        <w:overflowPunct/>
        <w:topLinePunct w:val="0"/>
        <w:bidi w:val="0"/>
        <w:snapToGrid/>
        <w:spacing w:line="400" w:lineRule="exact"/>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（需方）需求的</w:t>
      </w: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（项目名称）经</w:t>
      </w: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以编号为</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的磋商文件在国内公开招标，评标委员会评定（供方）为中标供应商。供需双方按照《中华人民共和国</w:t>
      </w:r>
      <w:r>
        <w:rPr>
          <w:rFonts w:hint="eastAsia" w:ascii="宋体" w:hAnsi="宋体" w:cs="宋体"/>
          <w:color w:val="000000" w:themeColor="text1"/>
          <w:sz w:val="24"/>
          <w:szCs w:val="24"/>
          <w:highlight w:val="none"/>
          <w14:textFill>
            <w14:solidFill>
              <w14:schemeClr w14:val="tx1"/>
            </w14:solidFill>
          </w14:textFill>
        </w:rPr>
        <w:t>民法典</w:t>
      </w:r>
      <w:r>
        <w:rPr>
          <w:rFonts w:hint="eastAsia" w:ascii="宋体" w:hAnsi="宋体" w:cs="宋体"/>
          <w:color w:val="000000" w:themeColor="text1"/>
          <w:sz w:val="24"/>
          <w:szCs w:val="24"/>
          <w:highlight w:val="none"/>
          <w:lang w:val="zh-CN"/>
          <w14:textFill>
            <w14:solidFill>
              <w14:schemeClr w14:val="tx1"/>
            </w14:solidFill>
          </w14:textFill>
        </w:rPr>
        <w:t>》和有关法律法规，遵循平等、自愿、公平和诚实信用原则，同意按照下面的条款和条件订立本合同，共同信守。</w:t>
      </w:r>
    </w:p>
    <w:p w14:paraId="3618F778">
      <w:pPr>
        <w:keepNext w:val="0"/>
        <w:keepLines w:val="0"/>
        <w:pageBreakBefore w:val="0"/>
        <w:widowControl w:val="0"/>
        <w:kinsoku/>
        <w:wordWrap/>
        <w:overflowPunct/>
        <w:topLinePunct w:val="0"/>
        <w:bidi w:val="0"/>
        <w:snapToGrid/>
        <w:spacing w:line="400" w:lineRule="exact"/>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1.合同标的</w:t>
      </w:r>
      <w:r>
        <w:rPr>
          <w:rFonts w:hint="eastAsia" w:ascii="宋体" w:hAnsi="宋体" w:cs="宋体"/>
          <w:color w:val="000000" w:themeColor="text1"/>
          <w:sz w:val="24"/>
          <w:szCs w:val="24"/>
          <w:highlight w:val="none"/>
          <w:lang w:val="zh-CN"/>
          <w14:textFill>
            <w14:solidFill>
              <w14:schemeClr w14:val="tx1"/>
            </w14:solidFill>
          </w14:textFill>
        </w:rPr>
        <w:t xml:space="preserve">： </w:t>
      </w:r>
    </w:p>
    <w:tbl>
      <w:tblPr>
        <w:tblStyle w:val="32"/>
        <w:tblW w:w="8400" w:type="dxa"/>
        <w:jc w:val="center"/>
        <w:tblLayout w:type="fixed"/>
        <w:tblCellMar>
          <w:top w:w="0" w:type="dxa"/>
          <w:left w:w="10" w:type="dxa"/>
          <w:bottom w:w="0" w:type="dxa"/>
          <w:right w:w="10" w:type="dxa"/>
        </w:tblCellMar>
      </w:tblPr>
      <w:tblGrid>
        <w:gridCol w:w="1960"/>
        <w:gridCol w:w="3236"/>
        <w:gridCol w:w="1936"/>
        <w:gridCol w:w="1268"/>
      </w:tblGrid>
      <w:tr w14:paraId="279194F8">
        <w:tblPrEx>
          <w:tblCellMar>
            <w:top w:w="0" w:type="dxa"/>
            <w:left w:w="10" w:type="dxa"/>
            <w:bottom w:w="0" w:type="dxa"/>
            <w:right w:w="10" w:type="dxa"/>
          </w:tblCellMar>
        </w:tblPrEx>
        <w:trPr>
          <w:trHeight w:val="510" w:hRule="atLeast"/>
          <w:jc w:val="center"/>
        </w:trPr>
        <w:tc>
          <w:tcPr>
            <w:tcW w:w="1960" w:type="dxa"/>
            <w:tcBorders>
              <w:top w:val="single" w:color="000000" w:sz="6" w:space="0"/>
              <w:left w:val="single" w:color="000000" w:sz="6" w:space="0"/>
              <w:bottom w:val="single" w:color="000000" w:sz="6" w:space="0"/>
              <w:right w:val="single" w:color="000000" w:sz="6" w:space="0"/>
            </w:tcBorders>
            <w:vAlign w:val="center"/>
          </w:tcPr>
          <w:p w14:paraId="742E89F9">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服务名称</w:t>
            </w:r>
          </w:p>
        </w:tc>
        <w:tc>
          <w:tcPr>
            <w:tcW w:w="3236" w:type="dxa"/>
            <w:tcBorders>
              <w:top w:val="single" w:color="000000" w:sz="6" w:space="0"/>
              <w:left w:val="single" w:color="000000" w:sz="6" w:space="0"/>
              <w:bottom w:val="single" w:color="000000" w:sz="6" w:space="0"/>
              <w:right w:val="single" w:color="000000" w:sz="6" w:space="0"/>
            </w:tcBorders>
            <w:vAlign w:val="center"/>
          </w:tcPr>
          <w:p w14:paraId="6428F995">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服务内容</w:t>
            </w:r>
          </w:p>
        </w:tc>
        <w:tc>
          <w:tcPr>
            <w:tcW w:w="1936" w:type="dxa"/>
            <w:tcBorders>
              <w:top w:val="single" w:color="000000" w:sz="6" w:space="0"/>
              <w:left w:val="single" w:color="000000" w:sz="6" w:space="0"/>
              <w:bottom w:val="single" w:color="000000" w:sz="6" w:space="0"/>
              <w:right w:val="single" w:color="000000" w:sz="6" w:space="0"/>
            </w:tcBorders>
            <w:vAlign w:val="center"/>
          </w:tcPr>
          <w:p w14:paraId="2E20943F">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服务期限</w:t>
            </w:r>
          </w:p>
        </w:tc>
        <w:tc>
          <w:tcPr>
            <w:tcW w:w="1268" w:type="dxa"/>
            <w:tcBorders>
              <w:top w:val="single" w:color="000000" w:sz="6" w:space="0"/>
              <w:left w:val="single" w:color="000000" w:sz="6" w:space="0"/>
              <w:bottom w:val="single" w:color="000000" w:sz="6" w:space="0"/>
              <w:right w:val="single" w:color="000000" w:sz="6" w:space="0"/>
            </w:tcBorders>
            <w:vAlign w:val="center"/>
          </w:tcPr>
          <w:p w14:paraId="13D0FB4E">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金额</w:t>
            </w: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zh-CN"/>
                <w14:textFill>
                  <w14:solidFill>
                    <w14:schemeClr w14:val="tx1"/>
                  </w14:solidFill>
                </w14:textFill>
              </w:rPr>
              <w:t>元</w:t>
            </w:r>
            <w:r>
              <w:rPr>
                <w:rFonts w:hint="eastAsia" w:ascii="宋体" w:hAnsi="宋体" w:cs="宋体"/>
                <w:color w:val="000000" w:themeColor="text1"/>
                <w:sz w:val="24"/>
                <w:szCs w:val="24"/>
                <w:highlight w:val="none"/>
                <w14:textFill>
                  <w14:solidFill>
                    <w14:schemeClr w14:val="tx1"/>
                  </w14:solidFill>
                </w14:textFill>
              </w:rPr>
              <w:t>)</w:t>
            </w:r>
          </w:p>
        </w:tc>
      </w:tr>
      <w:tr w14:paraId="2D26EC8F">
        <w:tblPrEx>
          <w:tblCellMar>
            <w:top w:w="0" w:type="dxa"/>
            <w:left w:w="10" w:type="dxa"/>
            <w:bottom w:w="0" w:type="dxa"/>
            <w:right w:w="10" w:type="dxa"/>
          </w:tblCellMar>
        </w:tblPrEx>
        <w:trPr>
          <w:trHeight w:val="510" w:hRule="atLeast"/>
          <w:jc w:val="center"/>
        </w:trPr>
        <w:tc>
          <w:tcPr>
            <w:tcW w:w="1960" w:type="dxa"/>
            <w:tcBorders>
              <w:top w:val="single" w:color="000000" w:sz="6" w:space="0"/>
              <w:left w:val="single" w:color="000000" w:sz="6" w:space="0"/>
              <w:bottom w:val="single" w:color="000000" w:sz="6" w:space="0"/>
              <w:right w:val="single" w:color="000000" w:sz="6" w:space="0"/>
            </w:tcBorders>
            <w:vAlign w:val="center"/>
          </w:tcPr>
          <w:p w14:paraId="2A380F28">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p>
        </w:tc>
        <w:tc>
          <w:tcPr>
            <w:tcW w:w="3236" w:type="dxa"/>
            <w:tcBorders>
              <w:top w:val="single" w:color="000000" w:sz="6" w:space="0"/>
              <w:left w:val="single" w:color="000000" w:sz="6" w:space="0"/>
              <w:bottom w:val="single" w:color="000000" w:sz="6" w:space="0"/>
              <w:right w:val="single" w:color="000000" w:sz="6" w:space="0"/>
            </w:tcBorders>
            <w:vAlign w:val="center"/>
          </w:tcPr>
          <w:p w14:paraId="6F0DBF4B">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p>
        </w:tc>
        <w:tc>
          <w:tcPr>
            <w:tcW w:w="1936" w:type="dxa"/>
            <w:tcBorders>
              <w:top w:val="single" w:color="000000" w:sz="6" w:space="0"/>
              <w:left w:val="single" w:color="000000" w:sz="6" w:space="0"/>
              <w:bottom w:val="single" w:color="000000" w:sz="6" w:space="0"/>
              <w:right w:val="single" w:color="000000" w:sz="6" w:space="0"/>
            </w:tcBorders>
            <w:vAlign w:val="center"/>
          </w:tcPr>
          <w:p w14:paraId="55E33CB6">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p>
        </w:tc>
        <w:tc>
          <w:tcPr>
            <w:tcW w:w="1268" w:type="dxa"/>
            <w:tcBorders>
              <w:top w:val="single" w:color="000000" w:sz="6" w:space="0"/>
              <w:left w:val="single" w:color="000000" w:sz="6" w:space="0"/>
              <w:bottom w:val="single" w:color="000000" w:sz="6" w:space="0"/>
              <w:right w:val="single" w:color="000000" w:sz="6" w:space="0"/>
            </w:tcBorders>
            <w:vAlign w:val="center"/>
          </w:tcPr>
          <w:p w14:paraId="39776356">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p>
        </w:tc>
      </w:tr>
      <w:tr w14:paraId="3EA5643B">
        <w:tblPrEx>
          <w:tblCellMar>
            <w:top w:w="0" w:type="dxa"/>
            <w:left w:w="10" w:type="dxa"/>
            <w:bottom w:w="0" w:type="dxa"/>
            <w:right w:w="10" w:type="dxa"/>
          </w:tblCellMar>
        </w:tblPrEx>
        <w:trPr>
          <w:trHeight w:val="510" w:hRule="atLeast"/>
          <w:jc w:val="center"/>
        </w:trPr>
        <w:tc>
          <w:tcPr>
            <w:tcW w:w="1960" w:type="dxa"/>
            <w:tcBorders>
              <w:top w:val="single" w:color="000000" w:sz="6" w:space="0"/>
              <w:left w:val="single" w:color="000000" w:sz="6" w:space="0"/>
              <w:bottom w:val="single" w:color="000000" w:sz="6" w:space="0"/>
              <w:right w:val="single" w:color="000000" w:sz="6" w:space="0"/>
            </w:tcBorders>
            <w:vAlign w:val="center"/>
          </w:tcPr>
          <w:p w14:paraId="50E3C2A1">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p>
        </w:tc>
        <w:tc>
          <w:tcPr>
            <w:tcW w:w="3236" w:type="dxa"/>
            <w:tcBorders>
              <w:top w:val="single" w:color="000000" w:sz="6" w:space="0"/>
              <w:left w:val="single" w:color="000000" w:sz="6" w:space="0"/>
              <w:bottom w:val="single" w:color="000000" w:sz="6" w:space="0"/>
              <w:right w:val="single" w:color="000000" w:sz="6" w:space="0"/>
            </w:tcBorders>
            <w:vAlign w:val="center"/>
          </w:tcPr>
          <w:p w14:paraId="02726830">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p>
        </w:tc>
        <w:tc>
          <w:tcPr>
            <w:tcW w:w="1936" w:type="dxa"/>
            <w:tcBorders>
              <w:top w:val="single" w:color="000000" w:sz="6" w:space="0"/>
              <w:left w:val="single" w:color="000000" w:sz="6" w:space="0"/>
              <w:bottom w:val="single" w:color="000000" w:sz="6" w:space="0"/>
              <w:right w:val="single" w:color="000000" w:sz="6" w:space="0"/>
            </w:tcBorders>
            <w:vAlign w:val="center"/>
          </w:tcPr>
          <w:p w14:paraId="136E02E2">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p>
        </w:tc>
        <w:tc>
          <w:tcPr>
            <w:tcW w:w="1268" w:type="dxa"/>
            <w:tcBorders>
              <w:top w:val="single" w:color="000000" w:sz="6" w:space="0"/>
              <w:left w:val="single" w:color="000000" w:sz="6" w:space="0"/>
              <w:bottom w:val="single" w:color="000000" w:sz="6" w:space="0"/>
              <w:right w:val="single" w:color="000000" w:sz="6" w:space="0"/>
            </w:tcBorders>
            <w:vAlign w:val="center"/>
          </w:tcPr>
          <w:p w14:paraId="58944BC7">
            <w:pPr>
              <w:keepNext w:val="0"/>
              <w:keepLines w:val="0"/>
              <w:pageBreakBefore w:val="0"/>
              <w:widowControl w:val="0"/>
              <w:kinsoku/>
              <w:wordWrap/>
              <w:overflowPunct/>
              <w:topLinePunct w:val="0"/>
              <w:bidi w:val="0"/>
              <w:snapToGrid/>
              <w:spacing w:line="400" w:lineRule="exact"/>
              <w:jc w:val="center"/>
              <w:textAlignment w:val="auto"/>
              <w:rPr>
                <w:rFonts w:ascii="宋体" w:hAnsi="宋体" w:cs="宋体"/>
                <w:color w:val="000000" w:themeColor="text1"/>
                <w:sz w:val="24"/>
                <w:szCs w:val="24"/>
                <w:highlight w:val="none"/>
                <w14:textFill>
                  <w14:solidFill>
                    <w14:schemeClr w14:val="tx1"/>
                  </w14:solidFill>
                </w14:textFill>
              </w:rPr>
            </w:pPr>
          </w:p>
        </w:tc>
      </w:tr>
    </w:tbl>
    <w:p w14:paraId="33F2E57A">
      <w:pPr>
        <w:keepNext w:val="0"/>
        <w:keepLines w:val="0"/>
        <w:pageBreakBefore w:val="0"/>
        <w:widowControl w:val="0"/>
        <w:kinsoku/>
        <w:wordWrap/>
        <w:overflowPunct/>
        <w:topLinePunct w:val="0"/>
        <w:bidi w:val="0"/>
        <w:snapToGrid/>
        <w:spacing w:line="400" w:lineRule="exact"/>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2.合同</w:t>
      </w:r>
      <w:r>
        <w:rPr>
          <w:rFonts w:hint="eastAsia" w:ascii="宋体" w:hAnsi="宋体" w:cs="宋体"/>
          <w:b/>
          <w:bCs/>
          <w:color w:val="000000" w:themeColor="text1"/>
          <w:sz w:val="24"/>
          <w:szCs w:val="24"/>
          <w:highlight w:val="none"/>
          <w14:textFill>
            <w14:solidFill>
              <w14:schemeClr w14:val="tx1"/>
            </w14:solidFill>
          </w14:textFill>
        </w:rPr>
        <w:t>价格</w:t>
      </w:r>
      <w:r>
        <w:rPr>
          <w:rFonts w:hint="eastAsia" w:ascii="宋体" w:hAnsi="宋体" w:cs="宋体"/>
          <w:color w:val="000000" w:themeColor="text1"/>
          <w:sz w:val="24"/>
          <w:szCs w:val="24"/>
          <w:highlight w:val="none"/>
          <w:lang w:val="zh-CN"/>
          <w14:textFill>
            <w14:solidFill>
              <w14:schemeClr w14:val="tx1"/>
            </w14:solidFill>
          </w14:textFill>
        </w:rPr>
        <w:t>：人民币（大写）</w:t>
      </w: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元，（小写）¥:</w:t>
      </w: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元。</w:t>
      </w:r>
    </w:p>
    <w:p w14:paraId="6518CFCE">
      <w:pPr>
        <w:keepNext w:val="0"/>
        <w:keepLines w:val="0"/>
        <w:pageBreakBefore w:val="0"/>
        <w:widowControl w:val="0"/>
        <w:kinsoku/>
        <w:wordWrap/>
        <w:overflowPunct/>
        <w:topLinePunct w:val="0"/>
        <w:bidi w:val="0"/>
        <w:snapToGrid/>
        <w:spacing w:line="400" w:lineRule="exact"/>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3.服务周期、地点、方式</w:t>
      </w:r>
    </w:p>
    <w:p w14:paraId="63B57D1D">
      <w:pPr>
        <w:keepNext w:val="0"/>
        <w:keepLines w:val="0"/>
        <w:pageBreakBefore w:val="0"/>
        <w:widowControl w:val="0"/>
        <w:kinsoku/>
        <w:wordWrap/>
        <w:overflowPunct/>
        <w:topLinePunct w:val="0"/>
        <w:bidi w:val="0"/>
        <w:snapToGrid/>
        <w:spacing w:line="400" w:lineRule="exact"/>
        <w:ind w:firstLine="240" w:firstLineChars="100"/>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3.1服务周期：</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single"/>
          <w:lang w:eastAsia="zh-CN"/>
          <w14:textFill>
            <w14:solidFill>
              <w14:schemeClr w14:val="tx1"/>
            </w14:solidFill>
          </w14:textFill>
        </w:rPr>
        <w:t xml:space="preserve">    </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single"/>
          <w:lang w:eastAsia="zh-CN"/>
          <w14:textFill>
            <w14:solidFill>
              <w14:schemeClr w14:val="tx1"/>
            </w14:solidFill>
          </w14:textFill>
        </w:rPr>
        <w:t xml:space="preserve"> </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w:t>
      </w:r>
    </w:p>
    <w:p w14:paraId="66F403F9">
      <w:pPr>
        <w:keepNext w:val="0"/>
        <w:keepLines w:val="0"/>
        <w:pageBreakBefore w:val="0"/>
        <w:widowControl w:val="0"/>
        <w:kinsoku/>
        <w:wordWrap/>
        <w:overflowPunct/>
        <w:topLinePunct w:val="0"/>
        <w:bidi w:val="0"/>
        <w:snapToGrid/>
        <w:spacing w:line="400" w:lineRule="exact"/>
        <w:ind w:firstLine="240" w:firstLineChars="100"/>
        <w:textAlignment w:val="auto"/>
        <w:rPr>
          <w:rFonts w:hint="eastAsia" w:ascii="宋体" w:hAnsi="宋体" w:eastAsia="宋体" w:cs="宋体"/>
          <w:color w:val="000000" w:themeColor="text1"/>
          <w:sz w:val="24"/>
          <w:szCs w:val="24"/>
          <w:highlight w:val="none"/>
          <w:u w:val="single"/>
          <w:lang w:eastAsia="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3.2服务地点：</w:t>
      </w:r>
      <w:r>
        <w:rPr>
          <w:rFonts w:hint="eastAsia" w:ascii="宋体" w:hAnsi="宋体" w:cs="宋体"/>
          <w:color w:val="000000" w:themeColor="text1"/>
          <w:sz w:val="24"/>
          <w:szCs w:val="24"/>
          <w:highlight w:val="none"/>
          <w:u w:val="single"/>
          <w14:textFill>
            <w14:solidFill>
              <w14:schemeClr w14:val="tx1"/>
            </w14:solidFill>
          </w14:textFill>
        </w:rPr>
        <w:t xml:space="preserve"> 采购人指定地点</w:t>
      </w:r>
      <w:r>
        <w:rPr>
          <w:rFonts w:hint="eastAsia" w:ascii="宋体" w:hAnsi="宋体" w:cs="宋体"/>
          <w:color w:val="000000" w:themeColor="text1"/>
          <w:sz w:val="24"/>
          <w:szCs w:val="24"/>
          <w:highlight w:val="none"/>
          <w:u w:val="single"/>
          <w:lang w:eastAsia="zh-CN"/>
          <w14:textFill>
            <w14:solidFill>
              <w14:schemeClr w14:val="tx1"/>
            </w14:solidFill>
          </w14:textFill>
        </w:rPr>
        <w:t xml:space="preserve"> </w:t>
      </w:r>
      <w:r>
        <w:rPr>
          <w:rFonts w:hint="eastAsia" w:ascii="宋体" w:hAnsi="宋体" w:cs="宋体"/>
          <w:color w:val="000000" w:themeColor="text1"/>
          <w:sz w:val="24"/>
          <w:szCs w:val="24"/>
          <w:highlight w:val="none"/>
          <w:u w:val="none"/>
          <w:lang w:eastAsia="zh-CN"/>
          <w14:textFill>
            <w14:solidFill>
              <w14:schemeClr w14:val="tx1"/>
            </w14:solidFill>
          </w14:textFill>
        </w:rPr>
        <w:t>。</w:t>
      </w:r>
    </w:p>
    <w:p w14:paraId="4CC18499">
      <w:pPr>
        <w:keepNext w:val="0"/>
        <w:keepLines w:val="0"/>
        <w:pageBreakBefore w:val="0"/>
        <w:widowControl w:val="0"/>
        <w:kinsoku/>
        <w:wordWrap/>
        <w:overflowPunct/>
        <w:topLinePunct w:val="0"/>
        <w:bidi w:val="0"/>
        <w:snapToGrid/>
        <w:spacing w:line="400" w:lineRule="exact"/>
        <w:textAlignment w:val="auto"/>
        <w:rPr>
          <w:rFonts w:ascii="宋体" w:hAnsi="宋体" w:cs="宋体"/>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4.付款方式：</w:t>
      </w:r>
    </w:p>
    <w:p w14:paraId="6AF1F389">
      <w:pPr>
        <w:keepNext w:val="0"/>
        <w:keepLines w:val="0"/>
        <w:pageBreakBefore w:val="0"/>
        <w:widowControl w:val="0"/>
        <w:kinsoku/>
        <w:wordWrap/>
        <w:overflowPunct/>
        <w:topLinePunct w:val="0"/>
        <w:bidi w:val="0"/>
        <w:snapToGrid/>
        <w:spacing w:line="400" w:lineRule="exact"/>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 xml:space="preserve">  按合同约定。如果需方届时不能支付或者不能全额支付，由需方承担违约责任，供方承担全部收款责任，与招标机构无关。</w:t>
      </w:r>
    </w:p>
    <w:p w14:paraId="5A8B4444">
      <w:pPr>
        <w:keepNext w:val="0"/>
        <w:keepLines w:val="0"/>
        <w:pageBreakBefore w:val="0"/>
        <w:widowControl w:val="0"/>
        <w:kinsoku/>
        <w:wordWrap/>
        <w:overflowPunct/>
        <w:topLinePunct w:val="0"/>
        <w:bidi w:val="0"/>
        <w:snapToGrid/>
        <w:spacing w:line="400" w:lineRule="exact"/>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5.履约保证金</w:t>
      </w:r>
      <w:r>
        <w:rPr>
          <w:rFonts w:hint="eastAsia" w:ascii="宋体" w:hAnsi="宋体" w:cs="宋体"/>
          <w:color w:val="000000" w:themeColor="text1"/>
          <w:sz w:val="24"/>
          <w:szCs w:val="24"/>
          <w:highlight w:val="none"/>
          <w:lang w:val="zh-CN"/>
          <w14:textFill>
            <w14:solidFill>
              <w14:schemeClr w14:val="tx1"/>
            </w14:solidFill>
          </w14:textFill>
        </w:rPr>
        <w:t>：</w:t>
      </w:r>
    </w:p>
    <w:p w14:paraId="2E0D1E03">
      <w:pPr>
        <w:spacing w:line="400" w:lineRule="exact"/>
        <w:ind w:firstLine="240" w:firstLineChars="1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5.1 在签署本合同之前，供方应向需方提交合同总价0%的履约保证金（人民币，取整数位到百元）。履约保证金可以采用银行转帐。</w:t>
      </w:r>
    </w:p>
    <w:p w14:paraId="10AD7C7D">
      <w:pPr>
        <w:spacing w:line="400" w:lineRule="exact"/>
        <w:ind w:firstLine="240" w:firstLineChars="1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5.2 履约保证金的有效期到供方提供的服务经需方验收合格并交付给需方之日止，以银行转帐方式返还，不计利息。</w:t>
      </w:r>
    </w:p>
    <w:p w14:paraId="614529E2">
      <w:pPr>
        <w:spacing w:line="400" w:lineRule="exac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6.质量保证金</w:t>
      </w:r>
      <w:r>
        <w:rPr>
          <w:rFonts w:hint="eastAsia" w:ascii="宋体" w:hAnsi="宋体" w:cs="宋体"/>
          <w:color w:val="000000" w:themeColor="text1"/>
          <w:sz w:val="24"/>
          <w:szCs w:val="24"/>
          <w:highlight w:val="none"/>
          <w:lang w:val="zh-CN"/>
          <w14:textFill>
            <w14:solidFill>
              <w14:schemeClr w14:val="tx1"/>
            </w14:solidFill>
          </w14:textFill>
        </w:rPr>
        <w:t xml:space="preserve"> </w:t>
      </w:r>
    </w:p>
    <w:p w14:paraId="4427A181">
      <w:pPr>
        <w:spacing w:line="400" w:lineRule="exact"/>
        <w:ind w:firstLine="240" w:firstLineChars="1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6.1质量保证金为合同总价款的</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w:t>
      </w:r>
    </w:p>
    <w:p w14:paraId="50B1B00D">
      <w:pPr>
        <w:spacing w:line="400" w:lineRule="exact"/>
        <w:ind w:firstLine="240" w:firstLineChars="1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6.2供方提交的履约保证金到期后转作质量保证金。</w:t>
      </w:r>
    </w:p>
    <w:p w14:paraId="44B887AD">
      <w:pPr>
        <w:spacing w:line="400" w:lineRule="exact"/>
        <w:ind w:firstLine="240" w:firstLineChars="1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6.3质量保证金的有效期到合同规定的质量保证期期满之日止，扣除供方承担质量保证责任的费用后，剩余部分在质量保证期期满后</w:t>
      </w:r>
      <w:r>
        <w:rPr>
          <w:rFonts w:hint="eastAsia" w:ascii="宋体" w:hAnsi="宋体" w:cs="宋体"/>
          <w:color w:val="000000" w:themeColor="text1"/>
          <w:sz w:val="24"/>
          <w:szCs w:val="24"/>
          <w:highlight w:val="none"/>
          <w:u w:val="single"/>
          <w:lang w:val="zh-CN"/>
          <w14:textFill>
            <w14:solidFill>
              <w14:schemeClr w14:val="tx1"/>
            </w14:solidFill>
          </w14:textFill>
        </w:rPr>
        <w:t>20个</w:t>
      </w:r>
      <w:r>
        <w:rPr>
          <w:rFonts w:hint="eastAsia" w:ascii="宋体" w:hAnsi="宋体" w:cs="宋体"/>
          <w:color w:val="000000" w:themeColor="text1"/>
          <w:sz w:val="24"/>
          <w:szCs w:val="24"/>
          <w:highlight w:val="none"/>
          <w:lang w:val="zh-CN"/>
          <w14:textFill>
            <w14:solidFill>
              <w14:schemeClr w14:val="tx1"/>
            </w14:solidFill>
          </w14:textFill>
        </w:rPr>
        <w:t>工作日内返还，不计利息。</w:t>
      </w:r>
    </w:p>
    <w:p w14:paraId="5D643892">
      <w:pPr>
        <w:spacing w:line="400" w:lineRule="exact"/>
        <w:rPr>
          <w:rFonts w:ascii="宋体" w:hAnsi="宋体" w:cs="宋体"/>
          <w:b/>
          <w:bCs/>
          <w:color w:val="000000" w:themeColor="text1"/>
          <w:sz w:val="24"/>
          <w:szCs w:val="24"/>
          <w:highlight w:val="none"/>
          <w:lang w:val="zh-CN"/>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7.合同补充条款：</w:t>
      </w:r>
    </w:p>
    <w:p w14:paraId="1F33CE46">
      <w:pPr>
        <w:spacing w:line="400" w:lineRule="exac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8.争议解决方式：</w:t>
      </w:r>
      <w:r>
        <w:rPr>
          <w:rFonts w:hint="eastAsia" w:ascii="宋体" w:hAnsi="宋体" w:cs="宋体"/>
          <w:color w:val="000000" w:themeColor="text1"/>
          <w:sz w:val="24"/>
          <w:szCs w:val="24"/>
          <w:highlight w:val="none"/>
          <w:lang w:val="zh-CN"/>
          <w14:textFill>
            <w14:solidFill>
              <w14:schemeClr w14:val="tx1"/>
            </w14:solidFill>
          </w14:textFill>
        </w:rPr>
        <w:t>供需双方达成仲裁协议，向</w:t>
      </w:r>
      <w:r>
        <w:rPr>
          <w:rFonts w:hint="eastAsia" w:ascii="宋体" w:hAnsi="宋体" w:cs="宋体"/>
          <w:color w:val="000000" w:themeColor="text1"/>
          <w:sz w:val="24"/>
          <w:szCs w:val="24"/>
          <w:highlight w:val="none"/>
          <w14:textFill>
            <w14:solidFill>
              <w14:schemeClr w14:val="tx1"/>
            </w14:solidFill>
          </w14:textFill>
        </w:rPr>
        <w:t>延吉市</w:t>
      </w:r>
      <w:r>
        <w:rPr>
          <w:rFonts w:hint="eastAsia" w:ascii="宋体" w:hAnsi="宋体" w:cs="宋体"/>
          <w:color w:val="000000" w:themeColor="text1"/>
          <w:sz w:val="24"/>
          <w:szCs w:val="24"/>
          <w:highlight w:val="none"/>
          <w:lang w:val="zh-CN"/>
          <w14:textFill>
            <w14:solidFill>
              <w14:schemeClr w14:val="tx1"/>
            </w14:solidFill>
          </w14:textFill>
        </w:rPr>
        <w:t>仲裁委员会申请仲裁（向合同签定地人民法院提起诉讼）。</w:t>
      </w:r>
    </w:p>
    <w:p w14:paraId="5FC39CB2">
      <w:pPr>
        <w:spacing w:line="400" w:lineRule="exac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9合同构成：</w:t>
      </w:r>
      <w:r>
        <w:rPr>
          <w:rFonts w:hint="eastAsia" w:ascii="宋体" w:hAnsi="宋体" w:cs="宋体"/>
          <w:color w:val="000000" w:themeColor="text1"/>
          <w:sz w:val="24"/>
          <w:szCs w:val="24"/>
          <w:highlight w:val="none"/>
          <w:lang w:val="zh-CN"/>
          <w14:textFill>
            <w14:solidFill>
              <w14:schemeClr w14:val="tx1"/>
            </w14:solidFill>
          </w14:textFill>
        </w:rPr>
        <w:t>下列文件构成本合同不可分割的组成部分，与本合同具有同等法律效力：</w:t>
      </w:r>
    </w:p>
    <w:p w14:paraId="1E433B5E">
      <w:pPr>
        <w:spacing w:line="400" w:lineRule="exact"/>
        <w:ind w:firstLine="240" w:firstLineChars="1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9.1本合同书；</w:t>
      </w:r>
    </w:p>
    <w:p w14:paraId="259F49EE">
      <w:pPr>
        <w:spacing w:line="400" w:lineRule="exact"/>
        <w:ind w:firstLine="240" w:firstLineChars="1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9.2中标通知书；</w:t>
      </w:r>
    </w:p>
    <w:p w14:paraId="780931CF">
      <w:pPr>
        <w:spacing w:line="400" w:lineRule="exact"/>
        <w:ind w:firstLine="240" w:firstLineChars="1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9.3磋商文件及澄清、修改、补遗文件；</w:t>
      </w:r>
    </w:p>
    <w:p w14:paraId="4210E2F4">
      <w:pPr>
        <w:spacing w:line="400" w:lineRule="exact"/>
        <w:ind w:firstLine="240" w:firstLineChars="1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9.4供方的响应文件及书面澄清、说明、补正文件；</w:t>
      </w:r>
    </w:p>
    <w:p w14:paraId="27AD87F2">
      <w:pPr>
        <w:spacing w:line="400" w:lineRule="exact"/>
        <w:ind w:firstLine="240" w:firstLineChars="1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9.5</w:t>
      </w:r>
      <w:r>
        <w:rPr>
          <w:rFonts w:hint="eastAsia" w:ascii="宋体" w:hAnsi="宋体" w:cs="宋体"/>
          <w:color w:val="000000" w:themeColor="text1"/>
          <w:sz w:val="24"/>
          <w:szCs w:val="24"/>
          <w:highlight w:val="none"/>
          <w14:textFill>
            <w14:solidFill>
              <w14:schemeClr w14:val="tx1"/>
            </w14:solidFill>
          </w14:textFill>
        </w:rPr>
        <w:t>延吉市</w:t>
      </w:r>
      <w:r>
        <w:rPr>
          <w:rFonts w:hint="eastAsia" w:ascii="宋体" w:hAnsi="宋体" w:cs="宋体"/>
          <w:color w:val="000000" w:themeColor="text1"/>
          <w:sz w:val="24"/>
          <w:szCs w:val="24"/>
          <w:highlight w:val="none"/>
          <w:lang w:val="zh-CN"/>
          <w14:textFill>
            <w14:solidFill>
              <w14:schemeClr w14:val="tx1"/>
            </w14:solidFill>
          </w14:textFill>
        </w:rPr>
        <w:t>政府采购验收报告单；</w:t>
      </w:r>
    </w:p>
    <w:p w14:paraId="6BDBCFB3">
      <w:pPr>
        <w:spacing w:line="400" w:lineRule="exact"/>
        <w:ind w:firstLine="240" w:firstLineChars="1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9.6合同的其它附件。</w:t>
      </w:r>
    </w:p>
    <w:p w14:paraId="0DF5A964">
      <w:pPr>
        <w:spacing w:line="400" w:lineRule="exact"/>
        <w:ind w:firstLine="240" w:firstLineChars="1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上述组成合同的文件如有不一致之处，以日期在后的为准。</w:t>
      </w:r>
    </w:p>
    <w:p w14:paraId="6DE7FCAF">
      <w:pPr>
        <w:spacing w:line="400" w:lineRule="exac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10.合同份数</w:t>
      </w:r>
      <w:r>
        <w:rPr>
          <w:rFonts w:hint="eastAsia" w:ascii="宋体" w:hAnsi="宋体" w:cs="宋体"/>
          <w:color w:val="000000" w:themeColor="text1"/>
          <w:sz w:val="24"/>
          <w:szCs w:val="24"/>
          <w:highlight w:val="none"/>
          <w:lang w:val="zh-CN"/>
          <w14:textFill>
            <w14:solidFill>
              <w14:schemeClr w14:val="tx1"/>
            </w14:solidFill>
          </w14:textFill>
        </w:rPr>
        <w:t>：本合同一式</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single"/>
          <w:lang w:val="zh-CN"/>
          <w14:textFill>
            <w14:solidFill>
              <w14:schemeClr w14:val="tx1"/>
            </w14:solidFill>
          </w14:textFill>
        </w:rPr>
        <w:t>三</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份，供需双方各执</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single"/>
          <w:lang w:val="zh-CN"/>
          <w14:textFill>
            <w14:solidFill>
              <w14:schemeClr w14:val="tx1"/>
            </w14:solidFill>
          </w14:textFill>
        </w:rPr>
        <w:t>一</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 xml:space="preserve">份，另一份作为需方向相关主管部门提请付款的凭证。 </w:t>
      </w:r>
    </w:p>
    <w:p w14:paraId="4BE7A33B">
      <w:pPr>
        <w:spacing w:line="400" w:lineRule="exac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11.合同生效：</w:t>
      </w:r>
      <w:r>
        <w:rPr>
          <w:rFonts w:hint="eastAsia" w:ascii="宋体" w:hAnsi="宋体" w:cs="宋体"/>
          <w:color w:val="000000" w:themeColor="text1"/>
          <w:sz w:val="24"/>
          <w:szCs w:val="24"/>
          <w:highlight w:val="none"/>
          <w:lang w:val="zh-CN"/>
          <w14:textFill>
            <w14:solidFill>
              <w14:schemeClr w14:val="tx1"/>
            </w14:solidFill>
          </w14:textFill>
        </w:rPr>
        <w:t>本合同在供需双方法定代表人或其授权代理人签字、加盖双方公章或者合同专用章，并且需方收到供方提交的履约保证金后生效。</w:t>
      </w:r>
    </w:p>
    <w:p w14:paraId="4890ABAD">
      <w:pPr>
        <w:spacing w:line="400" w:lineRule="exac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12.合同修改：</w:t>
      </w:r>
      <w:r>
        <w:rPr>
          <w:rFonts w:hint="eastAsia" w:ascii="宋体" w:hAnsi="宋体" w:cs="宋体"/>
          <w:color w:val="000000" w:themeColor="text1"/>
          <w:sz w:val="24"/>
          <w:szCs w:val="24"/>
          <w:highlight w:val="none"/>
          <w:lang w:val="zh-CN"/>
          <w14:textFill>
            <w14:solidFill>
              <w14:schemeClr w14:val="tx1"/>
            </w14:solidFill>
          </w14:textFill>
        </w:rPr>
        <w:t xml:space="preserve">除供需双方签署书面修改、补充协议外，本合同条件不得有任何变化或修改。      </w:t>
      </w:r>
    </w:p>
    <w:p w14:paraId="618F1B79">
      <w:pPr>
        <w:spacing w:line="400" w:lineRule="exact"/>
        <w:rPr>
          <w:rFonts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需方</w:t>
      </w: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b/>
          <w:bCs/>
          <w:color w:val="000000" w:themeColor="text1"/>
          <w:sz w:val="24"/>
          <w:szCs w:val="24"/>
          <w:highlight w:val="none"/>
          <w:lang w:val="zh-CN"/>
          <w14:textFill>
            <w14:solidFill>
              <w14:schemeClr w14:val="tx1"/>
            </w14:solidFill>
          </w14:textFill>
        </w:rPr>
        <w:t>供方</w:t>
      </w: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cs="宋体"/>
          <w:color w:val="000000" w:themeColor="text1"/>
          <w:sz w:val="24"/>
          <w:szCs w:val="24"/>
          <w:highlight w:val="none"/>
          <w:u w:val="single"/>
          <w14:textFill>
            <w14:solidFill>
              <w14:schemeClr w14:val="tx1"/>
            </w14:solidFill>
          </w14:textFill>
        </w:rPr>
        <w:t xml:space="preserve">                        </w:t>
      </w:r>
    </w:p>
    <w:p w14:paraId="3D351762">
      <w:pPr>
        <w:spacing w:line="400" w:lineRule="exact"/>
        <w:ind w:firstLine="720" w:firstLineChars="300"/>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 xml:space="preserve">（加盖公章或合同专用章）  </w:t>
      </w:r>
      <w:r>
        <w:rPr>
          <w:rFonts w:hint="eastAsia"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（加盖公章或合同专用章）</w:t>
      </w:r>
    </w:p>
    <w:p w14:paraId="5CAD5896">
      <w:pPr>
        <w:spacing w:line="400" w:lineRule="exact"/>
        <w:rPr>
          <w:rFonts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地址：</w:t>
      </w: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地址：</w:t>
      </w:r>
      <w:r>
        <w:rPr>
          <w:rFonts w:hint="eastAsia" w:ascii="宋体" w:hAnsi="宋体" w:cs="宋体"/>
          <w:color w:val="000000" w:themeColor="text1"/>
          <w:sz w:val="24"/>
          <w:szCs w:val="24"/>
          <w:highlight w:val="none"/>
          <w:u w:val="single"/>
          <w14:textFill>
            <w14:solidFill>
              <w14:schemeClr w14:val="tx1"/>
            </w14:solidFill>
          </w14:textFill>
        </w:rPr>
        <w:t xml:space="preserve">                        </w:t>
      </w:r>
    </w:p>
    <w:p w14:paraId="7F20800D">
      <w:pPr>
        <w:spacing w:line="400" w:lineRule="exac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 xml:space="preserve">法定代表人               </w:t>
      </w:r>
      <w:r>
        <w:rPr>
          <w:rFonts w:hint="eastAsia"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 xml:space="preserve">法定代表人               </w:t>
      </w:r>
    </w:p>
    <w:p w14:paraId="19B5B844">
      <w:pPr>
        <w:spacing w:line="400" w:lineRule="exact"/>
        <w:rPr>
          <w:rFonts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或授权代理人签字：</w:t>
      </w: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或授权代理人签字：</w:t>
      </w:r>
      <w:r>
        <w:rPr>
          <w:rFonts w:hint="eastAsia" w:ascii="宋体" w:hAnsi="宋体" w:cs="宋体"/>
          <w:color w:val="000000" w:themeColor="text1"/>
          <w:sz w:val="24"/>
          <w:szCs w:val="24"/>
          <w:highlight w:val="none"/>
          <w:u w:val="single"/>
          <w14:textFill>
            <w14:solidFill>
              <w14:schemeClr w14:val="tx1"/>
            </w14:solidFill>
          </w14:textFill>
        </w:rPr>
        <w:t xml:space="preserve">            </w:t>
      </w:r>
    </w:p>
    <w:p w14:paraId="4B435BB9">
      <w:pPr>
        <w:spacing w:line="400" w:lineRule="exact"/>
        <w:rPr>
          <w:rFonts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签字日期：</w:t>
      </w:r>
      <w:r>
        <w:rPr>
          <w:rFonts w:hint="eastAsia" w:ascii="宋体" w:hAnsi="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签字日期：</w:t>
      </w:r>
      <w:r>
        <w:rPr>
          <w:rFonts w:hint="eastAsia" w:ascii="宋体" w:hAnsi="宋体" w:cs="宋体"/>
          <w:color w:val="000000" w:themeColor="text1"/>
          <w:sz w:val="24"/>
          <w:szCs w:val="24"/>
          <w:highlight w:val="none"/>
          <w:u w:val="single"/>
          <w14:textFill>
            <w14:solidFill>
              <w14:schemeClr w14:val="tx1"/>
            </w14:solidFill>
          </w14:textFill>
        </w:rPr>
        <w:t xml:space="preserve">                    </w:t>
      </w:r>
    </w:p>
    <w:p w14:paraId="100CED1E">
      <w:pPr>
        <w:spacing w:line="400" w:lineRule="exact"/>
        <w:rPr>
          <w:rFonts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邮政编码：</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 xml:space="preserve">      邮政编码：</w:t>
      </w:r>
      <w:r>
        <w:rPr>
          <w:rFonts w:hint="eastAsia" w:ascii="宋体" w:hAnsi="宋体" w:cs="宋体"/>
          <w:color w:val="000000" w:themeColor="text1"/>
          <w:sz w:val="24"/>
          <w:szCs w:val="24"/>
          <w:highlight w:val="none"/>
          <w:u w:val="single"/>
          <w14:textFill>
            <w14:solidFill>
              <w14:schemeClr w14:val="tx1"/>
            </w14:solidFill>
          </w14:textFill>
        </w:rPr>
        <w:t xml:space="preserve">                    </w:t>
      </w:r>
    </w:p>
    <w:p w14:paraId="46E574F4">
      <w:pPr>
        <w:spacing w:line="400" w:lineRule="exact"/>
        <w:rPr>
          <w:rFonts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电话：</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电话：</w:t>
      </w:r>
      <w:r>
        <w:rPr>
          <w:rFonts w:hint="eastAsia" w:ascii="宋体" w:hAnsi="宋体" w:cs="宋体"/>
          <w:color w:val="000000" w:themeColor="text1"/>
          <w:sz w:val="24"/>
          <w:szCs w:val="24"/>
          <w:highlight w:val="none"/>
          <w:u w:val="single"/>
          <w14:textFill>
            <w14:solidFill>
              <w14:schemeClr w14:val="tx1"/>
            </w14:solidFill>
          </w14:textFill>
        </w:rPr>
        <w:t xml:space="preserve">                        </w:t>
      </w:r>
    </w:p>
    <w:p w14:paraId="023DB9CA">
      <w:pPr>
        <w:spacing w:line="400" w:lineRule="exact"/>
        <w:rPr>
          <w:rFonts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传真：</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传真：</w:t>
      </w:r>
      <w:r>
        <w:rPr>
          <w:rFonts w:hint="eastAsia" w:ascii="宋体" w:hAnsi="宋体" w:cs="宋体"/>
          <w:color w:val="000000" w:themeColor="text1"/>
          <w:sz w:val="24"/>
          <w:szCs w:val="24"/>
          <w:highlight w:val="none"/>
          <w:u w:val="single"/>
          <w14:textFill>
            <w14:solidFill>
              <w14:schemeClr w14:val="tx1"/>
            </w14:solidFill>
          </w14:textFill>
        </w:rPr>
        <w:t xml:space="preserve">                        </w:t>
      </w:r>
    </w:p>
    <w:p w14:paraId="01B1503A">
      <w:pPr>
        <w:spacing w:line="400" w:lineRule="exact"/>
        <w:rPr>
          <w:rFonts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联系人：</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联系人：</w:t>
      </w:r>
      <w:r>
        <w:rPr>
          <w:rFonts w:hint="eastAsia" w:ascii="宋体" w:hAnsi="宋体" w:cs="宋体"/>
          <w:color w:val="000000" w:themeColor="text1"/>
          <w:sz w:val="24"/>
          <w:szCs w:val="24"/>
          <w:highlight w:val="none"/>
          <w:u w:val="single"/>
          <w14:textFill>
            <w14:solidFill>
              <w14:schemeClr w14:val="tx1"/>
            </w14:solidFill>
          </w14:textFill>
        </w:rPr>
        <w:t xml:space="preserve">                      </w:t>
      </w:r>
    </w:p>
    <w:p w14:paraId="5921E3E1">
      <w:pPr>
        <w:spacing w:line="400" w:lineRule="exact"/>
        <w:rPr>
          <w:rFonts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开户银行：</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开户银行：</w:t>
      </w:r>
      <w:r>
        <w:rPr>
          <w:rFonts w:hint="eastAsia" w:ascii="宋体" w:hAnsi="宋体" w:cs="宋体"/>
          <w:color w:val="000000" w:themeColor="text1"/>
          <w:sz w:val="24"/>
          <w:szCs w:val="24"/>
          <w:highlight w:val="none"/>
          <w:u w:val="single"/>
          <w14:textFill>
            <w14:solidFill>
              <w14:schemeClr w14:val="tx1"/>
            </w14:solidFill>
          </w14:textFill>
        </w:rPr>
        <w:t xml:space="preserve">                    </w:t>
      </w:r>
    </w:p>
    <w:p w14:paraId="053CE73E">
      <w:pPr>
        <w:spacing w:line="400" w:lineRule="exact"/>
        <w:rPr>
          <w:rFonts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帐户名称：</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帐户名称：</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 xml:space="preserve">    </w:t>
      </w:r>
    </w:p>
    <w:p w14:paraId="7E770983">
      <w:pPr>
        <w:spacing w:line="400" w:lineRule="exact"/>
        <w:rPr>
          <w:rFonts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帐号：</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帐号：</w:t>
      </w:r>
      <w:r>
        <w:rPr>
          <w:rFonts w:hint="eastAsia" w:ascii="宋体" w:hAnsi="宋体" w:cs="宋体"/>
          <w:color w:val="000000" w:themeColor="text1"/>
          <w:sz w:val="24"/>
          <w:szCs w:val="24"/>
          <w:highlight w:val="none"/>
          <w:u w:val="single"/>
          <w14:textFill>
            <w14:solidFill>
              <w14:schemeClr w14:val="tx1"/>
            </w14:solidFill>
          </w14:textFill>
        </w:rPr>
        <w:t xml:space="preserve">                        </w:t>
      </w:r>
    </w:p>
    <w:p w14:paraId="6B707F03">
      <w:pPr>
        <w:spacing w:line="500" w:lineRule="exac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br w:type="page"/>
      </w:r>
    </w:p>
    <w:p w14:paraId="31ED5108">
      <w:pPr>
        <w:jc w:val="center"/>
        <w:outlineLvl w:val="1"/>
        <w:rPr>
          <w:rFonts w:ascii="宋体" w:hAnsi="宋体" w:cs="宋体"/>
          <w:color w:val="000000" w:themeColor="text1"/>
          <w:sz w:val="24"/>
          <w:szCs w:val="24"/>
          <w:highlight w:val="none"/>
          <w14:textFill>
            <w14:solidFill>
              <w14:schemeClr w14:val="tx1"/>
            </w14:solidFill>
          </w14:textFill>
        </w:rPr>
      </w:pPr>
      <w:bookmarkStart w:id="168" w:name="_Toc28753"/>
      <w:bookmarkStart w:id="169" w:name="_Toc24703"/>
      <w:r>
        <w:rPr>
          <w:rFonts w:hint="eastAsia" w:ascii="宋体" w:hAnsi="宋体" w:cs="宋体"/>
          <w:b/>
          <w:bCs/>
          <w:color w:val="000000" w:themeColor="text1"/>
          <w:sz w:val="32"/>
          <w:szCs w:val="32"/>
          <w:highlight w:val="none"/>
          <w14:textFill>
            <w14:solidFill>
              <w14:schemeClr w14:val="tx1"/>
            </w14:solidFill>
          </w14:textFill>
        </w:rPr>
        <w:t>第二节 通用合同条款</w:t>
      </w:r>
      <w:bookmarkEnd w:id="168"/>
      <w:bookmarkEnd w:id="169"/>
    </w:p>
    <w:p w14:paraId="00399843">
      <w:pPr>
        <w:pStyle w:val="84"/>
        <w:spacing w:line="500" w:lineRule="exact"/>
        <w:ind w:left="0" w:right="0" w:firstLine="480" w:firstLineChars="200"/>
        <w:rPr>
          <w:rFonts w:ascii="宋体" w:hAnsi="宋体" w:eastAsia="宋体" w:cs="宋体"/>
          <w:b w:val="0"/>
          <w:bCs w:val="0"/>
          <w:color w:val="000000" w:themeColor="text1"/>
          <w:sz w:val="24"/>
          <w:szCs w:val="24"/>
          <w:highlight w:val="none"/>
          <w14:textFill>
            <w14:solidFill>
              <w14:schemeClr w14:val="tx1"/>
            </w14:solidFill>
          </w14:textFill>
        </w:rPr>
      </w:pPr>
      <w:bookmarkStart w:id="170" w:name="_bookmark105"/>
      <w:bookmarkEnd w:id="170"/>
      <w:r>
        <w:rPr>
          <w:rFonts w:hint="eastAsia" w:ascii="宋体" w:hAnsi="宋体" w:eastAsia="宋体" w:cs="宋体"/>
          <w:b w:val="0"/>
          <w:bCs w:val="0"/>
          <w:color w:val="000000" w:themeColor="text1"/>
          <w:sz w:val="24"/>
          <w:szCs w:val="24"/>
          <w:highlight w:val="none"/>
          <w14:textFill>
            <w14:solidFill>
              <w14:schemeClr w14:val="tx1"/>
            </w14:solidFill>
          </w14:textFill>
        </w:rPr>
        <w:t>1.一般约定</w:t>
      </w:r>
      <w:bookmarkStart w:id="171" w:name="_bookmark106"/>
      <w:bookmarkEnd w:id="171"/>
    </w:p>
    <w:p w14:paraId="79473CA2">
      <w:pPr>
        <w:pStyle w:val="84"/>
        <w:spacing w:line="500" w:lineRule="exact"/>
        <w:ind w:left="0" w:right="0" w:firstLine="480" w:firstLineChars="200"/>
        <w:outlineLvl w:val="3"/>
        <w:rPr>
          <w:rFonts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1.1 词语定义</w:t>
      </w:r>
    </w:p>
    <w:p w14:paraId="42130A76">
      <w:pPr>
        <w:pStyle w:val="84"/>
        <w:spacing w:line="500" w:lineRule="exact"/>
        <w:ind w:left="0" w:right="0" w:firstLine="480" w:firstLineChars="200"/>
        <w:outlineLvl w:val="9"/>
        <w:rPr>
          <w:rFonts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除专用合同条款另有约定外，合同中的下列词语应具有本款所赋予的含义。</w:t>
      </w:r>
    </w:p>
    <w:p w14:paraId="73649C48">
      <w:pPr>
        <w:pStyle w:val="85"/>
        <w:numPr>
          <w:ilvl w:val="2"/>
          <w:numId w:val="1"/>
        </w:numPr>
        <w:spacing w:line="500" w:lineRule="exact"/>
        <w:ind w:right="0" w:firstLine="480" w:firstLineChars="200"/>
        <w:outlineLvl w:val="9"/>
        <w:rPr>
          <w:rFonts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 xml:space="preserve"> 合同</w:t>
      </w:r>
    </w:p>
    <w:p w14:paraId="024B5281">
      <w:pPr>
        <w:pStyle w:val="85"/>
        <w:spacing w:line="500" w:lineRule="exact"/>
        <w:ind w:left="210" w:leftChars="100" w:right="0" w:firstLine="480" w:firstLineChars="200"/>
        <w:outlineLvl w:val="9"/>
        <w:rPr>
          <w:rFonts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 xml:space="preserve">1.1.1.1  </w:t>
      </w:r>
      <w:r>
        <w:rPr>
          <w:rFonts w:hint="eastAsia" w:ascii="宋体" w:hAnsi="宋体" w:eastAsia="宋体" w:cs="宋体"/>
          <w:b w:val="0"/>
          <w:bCs w:val="0"/>
          <w:color w:val="000000" w:themeColor="text1"/>
          <w:spacing w:val="-3"/>
          <w:sz w:val="24"/>
          <w:szCs w:val="24"/>
          <w:highlight w:val="none"/>
          <w14:textFill>
            <w14:solidFill>
              <w14:schemeClr w14:val="tx1"/>
            </w14:solidFill>
          </w14:textFill>
        </w:rPr>
        <w:t>合</w:t>
      </w:r>
      <w:r>
        <w:rPr>
          <w:rFonts w:hint="eastAsia" w:ascii="宋体" w:hAnsi="宋体" w:eastAsia="宋体" w:cs="宋体"/>
          <w:b w:val="0"/>
          <w:bCs w:val="0"/>
          <w:color w:val="000000" w:themeColor="text1"/>
          <w:sz w:val="24"/>
          <w:szCs w:val="24"/>
          <w:highlight w:val="none"/>
          <w14:textFill>
            <w14:solidFill>
              <w14:schemeClr w14:val="tx1"/>
            </w14:solidFill>
          </w14:textFill>
        </w:rPr>
        <w:t>同</w:t>
      </w:r>
      <w:r>
        <w:rPr>
          <w:rFonts w:hint="eastAsia" w:ascii="宋体" w:hAnsi="宋体" w:eastAsia="宋体" w:cs="宋体"/>
          <w:b w:val="0"/>
          <w:bCs w:val="0"/>
          <w:color w:val="000000" w:themeColor="text1"/>
          <w:spacing w:val="-3"/>
          <w:sz w:val="24"/>
          <w:szCs w:val="24"/>
          <w:highlight w:val="none"/>
          <w14:textFill>
            <w14:solidFill>
              <w14:schemeClr w14:val="tx1"/>
            </w14:solidFill>
          </w14:textFill>
        </w:rPr>
        <w:t>文</w:t>
      </w:r>
      <w:r>
        <w:rPr>
          <w:rFonts w:hint="eastAsia" w:ascii="宋体" w:hAnsi="宋体" w:eastAsia="宋体" w:cs="宋体"/>
          <w:b w:val="0"/>
          <w:bCs w:val="0"/>
          <w:color w:val="000000" w:themeColor="text1"/>
          <w:spacing w:val="-27"/>
          <w:sz w:val="24"/>
          <w:szCs w:val="24"/>
          <w:highlight w:val="none"/>
          <w14:textFill>
            <w14:solidFill>
              <w14:schemeClr w14:val="tx1"/>
            </w14:solidFill>
          </w14:textFill>
        </w:rPr>
        <w:t>件</w:t>
      </w:r>
      <w:r>
        <w:rPr>
          <w:rFonts w:hint="eastAsia" w:ascii="宋体" w:hAnsi="宋体" w:eastAsia="宋体" w:cs="宋体"/>
          <w:b w:val="0"/>
          <w:bCs w:val="0"/>
          <w:color w:val="000000" w:themeColor="text1"/>
          <w:sz w:val="24"/>
          <w:szCs w:val="24"/>
          <w:highlight w:val="none"/>
          <w14:textFill>
            <w14:solidFill>
              <w14:schemeClr w14:val="tx1"/>
            </w14:solidFill>
          </w14:textFill>
        </w:rPr>
        <w:t>（</w:t>
      </w:r>
      <w:r>
        <w:rPr>
          <w:rFonts w:hint="eastAsia" w:ascii="宋体" w:hAnsi="宋体" w:eastAsia="宋体" w:cs="宋体"/>
          <w:b w:val="0"/>
          <w:bCs w:val="0"/>
          <w:color w:val="000000" w:themeColor="text1"/>
          <w:spacing w:val="-3"/>
          <w:sz w:val="24"/>
          <w:szCs w:val="24"/>
          <w:highlight w:val="none"/>
          <w14:textFill>
            <w14:solidFill>
              <w14:schemeClr w14:val="tx1"/>
            </w14:solidFill>
          </w14:textFill>
        </w:rPr>
        <w:t>或</w:t>
      </w:r>
      <w:r>
        <w:rPr>
          <w:rFonts w:hint="eastAsia" w:ascii="宋体" w:hAnsi="宋体" w:eastAsia="宋体" w:cs="宋体"/>
          <w:b w:val="0"/>
          <w:bCs w:val="0"/>
          <w:color w:val="000000" w:themeColor="text1"/>
          <w:sz w:val="24"/>
          <w:szCs w:val="24"/>
          <w:highlight w:val="none"/>
          <w14:textFill>
            <w14:solidFill>
              <w14:schemeClr w14:val="tx1"/>
            </w14:solidFill>
          </w14:textFill>
        </w:rPr>
        <w:t>称</w:t>
      </w:r>
      <w:r>
        <w:rPr>
          <w:rFonts w:hint="eastAsia" w:ascii="宋体" w:hAnsi="宋体" w:eastAsia="宋体" w:cs="宋体"/>
          <w:b w:val="0"/>
          <w:bCs w:val="0"/>
          <w:color w:val="000000" w:themeColor="text1"/>
          <w:spacing w:val="-3"/>
          <w:sz w:val="24"/>
          <w:szCs w:val="24"/>
          <w:highlight w:val="none"/>
          <w14:textFill>
            <w14:solidFill>
              <w14:schemeClr w14:val="tx1"/>
            </w14:solidFill>
          </w14:textFill>
        </w:rPr>
        <w:t>合</w:t>
      </w:r>
      <w:r>
        <w:rPr>
          <w:rFonts w:hint="eastAsia" w:ascii="宋体" w:hAnsi="宋体" w:eastAsia="宋体" w:cs="宋体"/>
          <w:b w:val="0"/>
          <w:bCs w:val="0"/>
          <w:color w:val="000000" w:themeColor="text1"/>
          <w:sz w:val="24"/>
          <w:szCs w:val="24"/>
          <w:highlight w:val="none"/>
          <w14:textFill>
            <w14:solidFill>
              <w14:schemeClr w14:val="tx1"/>
            </w14:solidFill>
          </w14:textFill>
        </w:rPr>
        <w:t>同</w:t>
      </w:r>
      <w:r>
        <w:rPr>
          <w:rFonts w:hint="eastAsia" w:ascii="宋体" w:hAnsi="宋体" w:eastAsia="宋体" w:cs="宋体"/>
          <w:b w:val="0"/>
          <w:bCs w:val="0"/>
          <w:color w:val="000000" w:themeColor="text1"/>
          <w:spacing w:val="-106"/>
          <w:sz w:val="24"/>
          <w:szCs w:val="24"/>
          <w:highlight w:val="none"/>
          <w14:textFill>
            <w14:solidFill>
              <w14:schemeClr w14:val="tx1"/>
            </w14:solidFill>
          </w14:textFill>
        </w:rPr>
        <w:t>）</w:t>
      </w:r>
      <w:r>
        <w:rPr>
          <w:rFonts w:hint="eastAsia" w:ascii="宋体" w:hAnsi="宋体" w:eastAsia="宋体" w:cs="宋体"/>
          <w:b w:val="0"/>
          <w:bCs w:val="0"/>
          <w:color w:val="000000" w:themeColor="text1"/>
          <w:spacing w:val="-27"/>
          <w:sz w:val="24"/>
          <w:szCs w:val="24"/>
          <w:highlight w:val="none"/>
          <w14:textFill>
            <w14:solidFill>
              <w14:schemeClr w14:val="tx1"/>
            </w14:solidFill>
          </w14:textFill>
        </w:rPr>
        <w:t>：</w:t>
      </w:r>
      <w:r>
        <w:rPr>
          <w:rFonts w:hint="eastAsia" w:ascii="宋体" w:hAnsi="宋体" w:eastAsia="宋体" w:cs="宋体"/>
          <w:b w:val="0"/>
          <w:bCs w:val="0"/>
          <w:color w:val="000000" w:themeColor="text1"/>
          <w:spacing w:val="-3"/>
          <w:sz w:val="24"/>
          <w:szCs w:val="24"/>
          <w:highlight w:val="none"/>
          <w14:textFill>
            <w14:solidFill>
              <w14:schemeClr w14:val="tx1"/>
            </w14:solidFill>
          </w14:textFill>
        </w:rPr>
        <w:t>指</w:t>
      </w:r>
      <w:r>
        <w:rPr>
          <w:rFonts w:hint="eastAsia" w:ascii="宋体" w:hAnsi="宋体" w:eastAsia="宋体" w:cs="宋体"/>
          <w:b w:val="0"/>
          <w:bCs w:val="0"/>
          <w:color w:val="000000" w:themeColor="text1"/>
          <w:sz w:val="24"/>
          <w:szCs w:val="24"/>
          <w:highlight w:val="none"/>
          <w14:textFill>
            <w14:solidFill>
              <w14:schemeClr w14:val="tx1"/>
            </w14:solidFill>
          </w14:textFill>
        </w:rPr>
        <w:t>合</w:t>
      </w:r>
      <w:r>
        <w:rPr>
          <w:rFonts w:hint="eastAsia" w:ascii="宋体" w:hAnsi="宋体" w:eastAsia="宋体" w:cs="宋体"/>
          <w:b w:val="0"/>
          <w:bCs w:val="0"/>
          <w:color w:val="000000" w:themeColor="text1"/>
          <w:spacing w:val="-3"/>
          <w:sz w:val="24"/>
          <w:szCs w:val="24"/>
          <w:highlight w:val="none"/>
          <w14:textFill>
            <w14:solidFill>
              <w14:schemeClr w14:val="tx1"/>
            </w14:solidFill>
          </w14:textFill>
        </w:rPr>
        <w:t>同</w:t>
      </w:r>
      <w:r>
        <w:rPr>
          <w:rFonts w:hint="eastAsia" w:ascii="宋体" w:hAnsi="宋体" w:eastAsia="宋体" w:cs="宋体"/>
          <w:b w:val="0"/>
          <w:bCs w:val="0"/>
          <w:color w:val="000000" w:themeColor="text1"/>
          <w:sz w:val="24"/>
          <w:szCs w:val="24"/>
          <w:highlight w:val="none"/>
          <w14:textFill>
            <w14:solidFill>
              <w14:schemeClr w14:val="tx1"/>
            </w14:solidFill>
          </w14:textFill>
        </w:rPr>
        <w:t>协</w:t>
      </w:r>
      <w:r>
        <w:rPr>
          <w:rFonts w:hint="eastAsia" w:ascii="宋体" w:hAnsi="宋体" w:eastAsia="宋体" w:cs="宋体"/>
          <w:b w:val="0"/>
          <w:bCs w:val="0"/>
          <w:color w:val="000000" w:themeColor="text1"/>
          <w:spacing w:val="-3"/>
          <w:sz w:val="24"/>
          <w:szCs w:val="24"/>
          <w:highlight w:val="none"/>
          <w14:textFill>
            <w14:solidFill>
              <w14:schemeClr w14:val="tx1"/>
            </w14:solidFill>
          </w14:textFill>
        </w:rPr>
        <w:t>议</w:t>
      </w:r>
      <w:r>
        <w:rPr>
          <w:rFonts w:hint="eastAsia" w:ascii="宋体" w:hAnsi="宋体" w:eastAsia="宋体" w:cs="宋体"/>
          <w:b w:val="0"/>
          <w:bCs w:val="0"/>
          <w:color w:val="000000" w:themeColor="text1"/>
          <w:sz w:val="24"/>
          <w:szCs w:val="24"/>
          <w:highlight w:val="none"/>
          <w14:textFill>
            <w14:solidFill>
              <w14:schemeClr w14:val="tx1"/>
            </w14:solidFill>
          </w14:textFill>
        </w:rPr>
        <w:t>书</w:t>
      </w:r>
      <w:r>
        <w:rPr>
          <w:rFonts w:hint="eastAsia" w:ascii="宋体" w:hAnsi="宋体" w:eastAsia="宋体" w:cs="宋体"/>
          <w:b w:val="0"/>
          <w:bCs w:val="0"/>
          <w:color w:val="000000" w:themeColor="text1"/>
          <w:spacing w:val="-27"/>
          <w:sz w:val="24"/>
          <w:szCs w:val="24"/>
          <w:highlight w:val="none"/>
          <w14:textFill>
            <w14:solidFill>
              <w14:schemeClr w14:val="tx1"/>
            </w14:solidFill>
          </w14:textFill>
        </w:rPr>
        <w:t>、</w:t>
      </w:r>
      <w:r>
        <w:rPr>
          <w:rFonts w:hint="eastAsia" w:ascii="宋体" w:hAnsi="宋体" w:eastAsia="宋体" w:cs="宋体"/>
          <w:b w:val="0"/>
          <w:bCs w:val="0"/>
          <w:color w:val="000000" w:themeColor="text1"/>
          <w:spacing w:val="-3"/>
          <w:sz w:val="24"/>
          <w:szCs w:val="24"/>
          <w:highlight w:val="none"/>
          <w14:textFill>
            <w14:solidFill>
              <w14:schemeClr w14:val="tx1"/>
            </w14:solidFill>
          </w14:textFill>
        </w:rPr>
        <w:t>中标</w:t>
      </w:r>
      <w:r>
        <w:rPr>
          <w:rFonts w:hint="eastAsia" w:ascii="宋体" w:hAnsi="宋体" w:eastAsia="宋体" w:cs="宋体"/>
          <w:b w:val="0"/>
          <w:bCs w:val="0"/>
          <w:color w:val="000000" w:themeColor="text1"/>
          <w:sz w:val="24"/>
          <w:szCs w:val="24"/>
          <w:highlight w:val="none"/>
          <w14:textFill>
            <w14:solidFill>
              <w14:schemeClr w14:val="tx1"/>
            </w14:solidFill>
          </w14:textFill>
        </w:rPr>
        <w:t>通知</w:t>
      </w:r>
      <w:r>
        <w:rPr>
          <w:rFonts w:hint="eastAsia" w:ascii="宋体" w:hAnsi="宋体" w:eastAsia="宋体" w:cs="宋体"/>
          <w:b w:val="0"/>
          <w:bCs w:val="0"/>
          <w:color w:val="000000" w:themeColor="text1"/>
          <w:spacing w:val="-3"/>
          <w:sz w:val="24"/>
          <w:szCs w:val="24"/>
          <w:highlight w:val="none"/>
          <w14:textFill>
            <w14:solidFill>
              <w14:schemeClr w14:val="tx1"/>
            </w14:solidFill>
          </w14:textFill>
        </w:rPr>
        <w:t>书</w:t>
      </w:r>
      <w:r>
        <w:rPr>
          <w:rFonts w:hint="eastAsia" w:ascii="宋体" w:hAnsi="宋体" w:eastAsia="宋体" w:cs="宋体"/>
          <w:b w:val="0"/>
          <w:bCs w:val="0"/>
          <w:color w:val="000000" w:themeColor="text1"/>
          <w:spacing w:val="-27"/>
          <w:sz w:val="24"/>
          <w:szCs w:val="24"/>
          <w:highlight w:val="none"/>
          <w14:textFill>
            <w14:solidFill>
              <w14:schemeClr w14:val="tx1"/>
            </w14:solidFill>
          </w14:textFill>
        </w:rPr>
        <w:t>、</w:t>
      </w:r>
      <w:r>
        <w:rPr>
          <w:rFonts w:hint="eastAsia" w:ascii="宋体" w:hAnsi="宋体" w:eastAsia="宋体" w:cs="宋体"/>
          <w:b w:val="0"/>
          <w:bCs w:val="0"/>
          <w:color w:val="000000" w:themeColor="text1"/>
          <w:spacing w:val="-3"/>
          <w:sz w:val="24"/>
          <w:szCs w:val="24"/>
          <w:highlight w:val="none"/>
          <w14:textFill>
            <w14:solidFill>
              <w14:schemeClr w14:val="tx1"/>
            </w14:solidFill>
          </w14:textFill>
        </w:rPr>
        <w:t>投</w:t>
      </w:r>
      <w:r>
        <w:rPr>
          <w:rFonts w:hint="eastAsia" w:ascii="宋体" w:hAnsi="宋体" w:eastAsia="宋体" w:cs="宋体"/>
          <w:b w:val="0"/>
          <w:bCs w:val="0"/>
          <w:color w:val="000000" w:themeColor="text1"/>
          <w:sz w:val="24"/>
          <w:szCs w:val="24"/>
          <w:highlight w:val="none"/>
          <w14:textFill>
            <w14:solidFill>
              <w14:schemeClr w14:val="tx1"/>
            </w14:solidFill>
          </w14:textFill>
        </w:rPr>
        <w:t>标函</w:t>
      </w:r>
      <w:r>
        <w:rPr>
          <w:rFonts w:hint="eastAsia" w:ascii="宋体" w:hAnsi="宋体" w:eastAsia="宋体" w:cs="宋体"/>
          <w:b w:val="0"/>
          <w:bCs w:val="0"/>
          <w:color w:val="000000" w:themeColor="text1"/>
          <w:spacing w:val="-29"/>
          <w:sz w:val="24"/>
          <w:szCs w:val="24"/>
          <w:highlight w:val="none"/>
          <w14:textFill>
            <w14:solidFill>
              <w14:schemeClr w14:val="tx1"/>
            </w14:solidFill>
          </w14:textFill>
        </w:rPr>
        <w:t>、</w:t>
      </w:r>
      <w:r>
        <w:rPr>
          <w:rFonts w:hint="eastAsia" w:ascii="宋体" w:hAnsi="宋体" w:eastAsia="宋体" w:cs="宋体"/>
          <w:b w:val="0"/>
          <w:bCs w:val="0"/>
          <w:color w:val="000000" w:themeColor="text1"/>
          <w:sz w:val="24"/>
          <w:szCs w:val="24"/>
          <w:highlight w:val="none"/>
          <w14:textFill>
            <w14:solidFill>
              <w14:schemeClr w14:val="tx1"/>
            </w14:solidFill>
          </w14:textFill>
        </w:rPr>
        <w:t>商</w:t>
      </w:r>
      <w:r>
        <w:rPr>
          <w:rFonts w:hint="eastAsia" w:ascii="宋体" w:hAnsi="宋体" w:eastAsia="宋体" w:cs="宋体"/>
          <w:b w:val="0"/>
          <w:bCs w:val="0"/>
          <w:color w:val="000000" w:themeColor="text1"/>
          <w:spacing w:val="-3"/>
          <w:sz w:val="24"/>
          <w:szCs w:val="24"/>
          <w:highlight w:val="none"/>
          <w14:textFill>
            <w14:solidFill>
              <w14:schemeClr w14:val="tx1"/>
            </w14:solidFill>
          </w14:textFill>
        </w:rPr>
        <w:t>务和</w:t>
      </w:r>
      <w:r>
        <w:rPr>
          <w:rFonts w:hint="eastAsia" w:ascii="宋体" w:hAnsi="宋体" w:eastAsia="宋体" w:cs="宋体"/>
          <w:b w:val="0"/>
          <w:bCs w:val="0"/>
          <w:color w:val="000000" w:themeColor="text1"/>
          <w:sz w:val="24"/>
          <w:szCs w:val="24"/>
          <w:highlight w:val="none"/>
          <w14:textFill>
            <w14:solidFill>
              <w14:schemeClr w14:val="tx1"/>
            </w14:solidFill>
          </w14:textFill>
        </w:rPr>
        <w:t>技术</w:t>
      </w:r>
      <w:r>
        <w:rPr>
          <w:rFonts w:hint="eastAsia" w:ascii="宋体" w:hAnsi="宋体" w:eastAsia="宋体" w:cs="宋体"/>
          <w:b w:val="0"/>
          <w:bCs w:val="0"/>
          <w:color w:val="000000" w:themeColor="text1"/>
          <w:spacing w:val="-3"/>
          <w:sz w:val="24"/>
          <w:szCs w:val="24"/>
          <w:highlight w:val="none"/>
          <w14:textFill>
            <w14:solidFill>
              <w14:schemeClr w14:val="tx1"/>
            </w14:solidFill>
          </w14:textFill>
        </w:rPr>
        <w:t>偏</w:t>
      </w:r>
      <w:r>
        <w:rPr>
          <w:rFonts w:hint="eastAsia" w:ascii="宋体" w:hAnsi="宋体" w:eastAsia="宋体" w:cs="宋体"/>
          <w:b w:val="0"/>
          <w:bCs w:val="0"/>
          <w:color w:val="000000" w:themeColor="text1"/>
          <w:sz w:val="24"/>
          <w:szCs w:val="24"/>
          <w:highlight w:val="none"/>
          <w14:textFill>
            <w14:solidFill>
              <w14:schemeClr w14:val="tx1"/>
            </w14:solidFill>
          </w14:textFill>
        </w:rPr>
        <w:t>差</w:t>
      </w:r>
      <w:r>
        <w:rPr>
          <w:rFonts w:hint="eastAsia" w:ascii="宋体" w:hAnsi="宋体" w:eastAsia="宋体" w:cs="宋体"/>
          <w:b w:val="0"/>
          <w:bCs w:val="0"/>
          <w:color w:val="000000" w:themeColor="text1"/>
          <w:spacing w:val="-3"/>
          <w:sz w:val="24"/>
          <w:szCs w:val="24"/>
          <w:highlight w:val="none"/>
          <w14:textFill>
            <w14:solidFill>
              <w14:schemeClr w14:val="tx1"/>
            </w14:solidFill>
          </w14:textFill>
        </w:rPr>
        <w:t>表</w:t>
      </w:r>
      <w:r>
        <w:rPr>
          <w:rFonts w:hint="eastAsia" w:ascii="宋体" w:hAnsi="宋体" w:eastAsia="宋体" w:cs="宋体"/>
          <w:b w:val="0"/>
          <w:bCs w:val="0"/>
          <w:color w:val="000000" w:themeColor="text1"/>
          <w:sz w:val="24"/>
          <w:szCs w:val="24"/>
          <w:highlight w:val="none"/>
          <w14:textFill>
            <w14:solidFill>
              <w14:schemeClr w14:val="tx1"/>
            </w14:solidFill>
          </w14:textFill>
        </w:rPr>
        <w:t>、</w:t>
      </w:r>
      <w:r>
        <w:rPr>
          <w:rFonts w:hint="eastAsia" w:ascii="宋体" w:hAnsi="宋体" w:eastAsia="宋体" w:cs="宋体"/>
          <w:b w:val="0"/>
          <w:bCs w:val="0"/>
          <w:color w:val="000000" w:themeColor="text1"/>
          <w:spacing w:val="-1"/>
          <w:sz w:val="24"/>
          <w:szCs w:val="24"/>
          <w:highlight w:val="none"/>
          <w14:textFill>
            <w14:solidFill>
              <w14:schemeClr w14:val="tx1"/>
            </w14:solidFill>
          </w14:textFill>
        </w:rPr>
        <w:t>专用合同条款、通用合同条款、供货要求、分项报价表、中标设备技术性能指标的详细描述、</w:t>
      </w:r>
      <w:r>
        <w:rPr>
          <w:rFonts w:hint="eastAsia" w:ascii="宋体" w:hAnsi="宋体" w:eastAsia="宋体" w:cs="宋体"/>
          <w:b w:val="0"/>
          <w:bCs w:val="0"/>
          <w:color w:val="000000" w:themeColor="text1"/>
          <w:sz w:val="24"/>
          <w:szCs w:val="24"/>
          <w:highlight w:val="none"/>
          <w14:textFill>
            <w14:solidFill>
              <w14:schemeClr w14:val="tx1"/>
            </w14:solidFill>
          </w14:textFill>
        </w:rPr>
        <w:t>技术服务和质保期服务计划，以及其他构成合同组成部分的文件。</w:t>
      </w:r>
    </w:p>
    <w:p w14:paraId="70BB9BF2">
      <w:pPr>
        <w:pStyle w:val="13"/>
        <w:spacing w:line="500" w:lineRule="exact"/>
        <w:ind w:left="210" w:leftChars="100"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1.1.1.2 合同协议书：指买方和卖方共同签署的合同协议书。</w:t>
      </w:r>
    </w:p>
    <w:p w14:paraId="605AEBDE">
      <w:pPr>
        <w:pStyle w:val="13"/>
        <w:spacing w:line="500" w:lineRule="exact"/>
        <w:ind w:left="210" w:leftChars="100"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1.1.1.3 中标通知书：指买方通知卖方中标的函件。</w:t>
      </w:r>
    </w:p>
    <w:p w14:paraId="0A99BCF0">
      <w:pPr>
        <w:pStyle w:val="13"/>
        <w:spacing w:line="500" w:lineRule="exact"/>
        <w:ind w:left="210" w:leftChars="100"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1.1.1.4 投标函：指由卖方填写并签署的，名为“投标函”的函件。</w:t>
      </w:r>
    </w:p>
    <w:p w14:paraId="3EB1CDC2">
      <w:pPr>
        <w:pStyle w:val="13"/>
        <w:spacing w:line="500" w:lineRule="exact"/>
        <w:ind w:left="210" w:leftChars="100"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1.1.1.5 商务和技术偏差表：指卖方</w:t>
      </w:r>
      <w:r>
        <w:rPr>
          <w:rFonts w:hint="eastAsia" w:ascii="宋体" w:eastAsia="宋体" w:cs="宋体"/>
          <w:b w:val="0"/>
          <w:bCs w:val="0"/>
          <w:color w:val="000000" w:themeColor="text1"/>
          <w:szCs w:val="24"/>
          <w:highlight w:val="none"/>
          <w:lang w:eastAsia="zh-CN"/>
          <w14:textFill>
            <w14:solidFill>
              <w14:schemeClr w14:val="tx1"/>
            </w14:solidFill>
          </w14:textFill>
        </w:rPr>
        <w:t>响应文件</w:t>
      </w:r>
      <w:r>
        <w:rPr>
          <w:rFonts w:hint="eastAsia" w:ascii="宋体" w:eastAsia="宋体" w:cs="宋体"/>
          <w:b w:val="0"/>
          <w:bCs w:val="0"/>
          <w:color w:val="000000" w:themeColor="text1"/>
          <w:szCs w:val="24"/>
          <w:highlight w:val="none"/>
          <w14:textFill>
            <w14:solidFill>
              <w14:schemeClr w14:val="tx1"/>
            </w14:solidFill>
          </w14:textFill>
        </w:rPr>
        <w:t>中的商务和技术偏差表。</w:t>
      </w:r>
    </w:p>
    <w:p w14:paraId="166F375A">
      <w:pPr>
        <w:pStyle w:val="13"/>
        <w:spacing w:line="500" w:lineRule="exact"/>
        <w:ind w:left="210" w:leftChars="100"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1.1.1.6 供货要求：指合同文件中名为“供货要求”的文件。</w:t>
      </w:r>
    </w:p>
    <w:p w14:paraId="634ECB3D">
      <w:pPr>
        <w:pStyle w:val="13"/>
        <w:spacing w:line="500" w:lineRule="exact"/>
        <w:ind w:left="210" w:leftChars="100"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1.1.1.7 中标设备技术性能指标的详细描述：指卖方</w:t>
      </w:r>
      <w:r>
        <w:rPr>
          <w:rFonts w:hint="eastAsia" w:ascii="宋体" w:eastAsia="宋体" w:cs="宋体"/>
          <w:b w:val="0"/>
          <w:bCs w:val="0"/>
          <w:color w:val="000000" w:themeColor="text1"/>
          <w:szCs w:val="24"/>
          <w:highlight w:val="none"/>
          <w:lang w:eastAsia="zh-CN"/>
          <w14:textFill>
            <w14:solidFill>
              <w14:schemeClr w14:val="tx1"/>
            </w14:solidFill>
          </w14:textFill>
        </w:rPr>
        <w:t>响应文件</w:t>
      </w:r>
      <w:r>
        <w:rPr>
          <w:rFonts w:hint="eastAsia" w:ascii="宋体" w:eastAsia="宋体" w:cs="宋体"/>
          <w:b w:val="0"/>
          <w:bCs w:val="0"/>
          <w:color w:val="000000" w:themeColor="text1"/>
          <w:szCs w:val="24"/>
          <w:highlight w:val="none"/>
          <w14:textFill>
            <w14:solidFill>
              <w14:schemeClr w14:val="tx1"/>
            </w14:solidFill>
          </w14:textFill>
        </w:rPr>
        <w:t>中的投标设备技术性能指标的详细描述。</w:t>
      </w:r>
    </w:p>
    <w:p w14:paraId="13BCE93A">
      <w:pPr>
        <w:pStyle w:val="13"/>
        <w:spacing w:line="500" w:lineRule="exact"/>
        <w:ind w:left="210" w:leftChars="100"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1.1.1.8 技术服务和质保期服务计划：指卖方</w:t>
      </w:r>
      <w:r>
        <w:rPr>
          <w:rFonts w:hint="eastAsia" w:ascii="宋体" w:eastAsia="宋体" w:cs="宋体"/>
          <w:b w:val="0"/>
          <w:bCs w:val="0"/>
          <w:color w:val="000000" w:themeColor="text1"/>
          <w:szCs w:val="24"/>
          <w:highlight w:val="none"/>
          <w:lang w:eastAsia="zh-CN"/>
          <w14:textFill>
            <w14:solidFill>
              <w14:schemeClr w14:val="tx1"/>
            </w14:solidFill>
          </w14:textFill>
        </w:rPr>
        <w:t>响应文件</w:t>
      </w:r>
      <w:r>
        <w:rPr>
          <w:rFonts w:hint="eastAsia" w:ascii="宋体" w:eastAsia="宋体" w:cs="宋体"/>
          <w:b w:val="0"/>
          <w:bCs w:val="0"/>
          <w:color w:val="000000" w:themeColor="text1"/>
          <w:szCs w:val="24"/>
          <w:highlight w:val="none"/>
          <w14:textFill>
            <w14:solidFill>
              <w14:schemeClr w14:val="tx1"/>
            </w14:solidFill>
          </w14:textFill>
        </w:rPr>
        <w:t>中的技术服务和质保期服务计划。</w:t>
      </w:r>
    </w:p>
    <w:p w14:paraId="69355817">
      <w:pPr>
        <w:pStyle w:val="13"/>
        <w:spacing w:line="500" w:lineRule="exact"/>
        <w:ind w:left="210" w:leftChars="100"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1.1.1.9 分项报价表：指卖方</w:t>
      </w:r>
      <w:r>
        <w:rPr>
          <w:rFonts w:hint="eastAsia" w:ascii="宋体" w:eastAsia="宋体" w:cs="宋体"/>
          <w:b w:val="0"/>
          <w:bCs w:val="0"/>
          <w:color w:val="000000" w:themeColor="text1"/>
          <w:szCs w:val="24"/>
          <w:highlight w:val="none"/>
          <w:lang w:eastAsia="zh-CN"/>
          <w14:textFill>
            <w14:solidFill>
              <w14:schemeClr w14:val="tx1"/>
            </w14:solidFill>
          </w14:textFill>
        </w:rPr>
        <w:t>响应文件</w:t>
      </w:r>
      <w:r>
        <w:rPr>
          <w:rFonts w:hint="eastAsia" w:ascii="宋体" w:eastAsia="宋体" w:cs="宋体"/>
          <w:b w:val="0"/>
          <w:bCs w:val="0"/>
          <w:color w:val="000000" w:themeColor="text1"/>
          <w:szCs w:val="24"/>
          <w:highlight w:val="none"/>
          <w14:textFill>
            <w14:solidFill>
              <w14:schemeClr w14:val="tx1"/>
            </w14:solidFill>
          </w14:textFill>
        </w:rPr>
        <w:t>中的分项报价表。</w:t>
      </w:r>
    </w:p>
    <w:p w14:paraId="0CB57B90">
      <w:pPr>
        <w:pStyle w:val="13"/>
        <w:spacing w:line="500" w:lineRule="exact"/>
        <w:ind w:left="210" w:leftChars="100"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1.1.1.10 其他合同文件：指经合同双方当事人确认构成合同文件的其他文件。</w:t>
      </w:r>
    </w:p>
    <w:p w14:paraId="3E08DA8F">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1.1.2  合同当事人</w:t>
      </w:r>
    </w:p>
    <w:p w14:paraId="2549C23F">
      <w:pPr>
        <w:pStyle w:val="13"/>
        <w:spacing w:line="500" w:lineRule="exact"/>
        <w:ind w:left="210" w:leftChars="100"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1.1.2.1 合同当事人：指买方和（或）卖方。</w:t>
      </w:r>
    </w:p>
    <w:p w14:paraId="63F3F253">
      <w:pPr>
        <w:pStyle w:val="13"/>
        <w:spacing w:line="500" w:lineRule="exact"/>
        <w:ind w:left="210" w:leftChars="100"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1.1.2.2 买方：指与卖方签订合同协议书，购买合同设备和技术服务和质保期服务的当事人，及其合法继承人。</w:t>
      </w:r>
    </w:p>
    <w:p w14:paraId="01B70F4C">
      <w:pPr>
        <w:pStyle w:val="13"/>
        <w:spacing w:line="500" w:lineRule="exact"/>
        <w:ind w:left="210" w:leftChars="100"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1.1.2.3 卖方：指与买方签订合同协议书，提供合同设备和技术服务和质保期服务的当事人，及其合法继承人。</w:t>
      </w:r>
    </w:p>
    <w:p w14:paraId="28CC0417">
      <w:pPr>
        <w:pStyle w:val="85"/>
        <w:spacing w:line="500" w:lineRule="exact"/>
        <w:ind w:left="0" w:right="0" w:firstLine="480" w:firstLineChars="200"/>
        <w:outlineLvl w:val="9"/>
        <w:rPr>
          <w:rFonts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1.1.3  合同价格</w:t>
      </w:r>
    </w:p>
    <w:p w14:paraId="27B4D9FA">
      <w:pPr>
        <w:pStyle w:val="13"/>
        <w:spacing w:line="500" w:lineRule="exact"/>
        <w:ind w:left="210" w:leftChars="100"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1.1.3.1 签约合同价：是签订合同时合同协议书中写明的合同总金额。</w:t>
      </w:r>
    </w:p>
    <w:p w14:paraId="7F6FE9C8">
      <w:pPr>
        <w:pStyle w:val="13"/>
        <w:spacing w:line="500" w:lineRule="exact"/>
        <w:ind w:left="210" w:leftChars="100"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1.1.3.2 合同价格：指卖方按合同约定履行了全部合同义务后，买方应付给卖方的金额。</w:t>
      </w:r>
    </w:p>
    <w:p w14:paraId="1C3E6095">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1.1.4 </w:t>
      </w:r>
      <w:r>
        <w:rPr>
          <w:rFonts w:hint="eastAsia" w:ascii="宋体" w:eastAsia="宋体" w:cs="宋体"/>
          <w:b w:val="0"/>
          <w:bCs w:val="0"/>
          <w:color w:val="000000" w:themeColor="text1"/>
          <w:spacing w:val="-9"/>
          <w:szCs w:val="24"/>
          <w:highlight w:val="none"/>
          <w14:textFill>
            <w14:solidFill>
              <w14:schemeClr w14:val="tx1"/>
            </w14:solidFill>
          </w14:textFill>
        </w:rPr>
        <w:t>合同设备：指卖方按合同约定应向买方提供的设备、装置、备品、备件、易损易耗件、</w:t>
      </w:r>
      <w:r>
        <w:rPr>
          <w:rFonts w:hint="eastAsia" w:ascii="宋体" w:eastAsia="宋体" w:cs="宋体"/>
          <w:b w:val="0"/>
          <w:bCs w:val="0"/>
          <w:color w:val="000000" w:themeColor="text1"/>
          <w:szCs w:val="24"/>
          <w:highlight w:val="none"/>
          <w14:textFill>
            <w14:solidFill>
              <w14:schemeClr w14:val="tx1"/>
            </w14:solidFill>
          </w14:textFill>
        </w:rPr>
        <w:t>配套使用的软件或其他辅助电子应用程序及技术资料，或其中任何一部分。</w:t>
      </w:r>
    </w:p>
    <w:p w14:paraId="0CD2FD59">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1.1.5 技术资料：指各种纸质及电子载体的与合同设备的设计、检验、安装、调试、考核、操作、维修以及保养等有关的技术指标、规格、图纸和说明文件。</w:t>
      </w:r>
    </w:p>
    <w:p w14:paraId="6AC12C3D">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1.1.6 </w:t>
      </w:r>
      <w:r>
        <w:rPr>
          <w:rFonts w:hint="eastAsia" w:ascii="宋体" w:eastAsia="宋体" w:cs="宋体"/>
          <w:b w:val="0"/>
          <w:bCs w:val="0"/>
          <w:color w:val="000000" w:themeColor="text1"/>
          <w:spacing w:val="-4"/>
          <w:szCs w:val="24"/>
          <w:highlight w:val="none"/>
          <w14:textFill>
            <w14:solidFill>
              <w14:schemeClr w14:val="tx1"/>
            </w14:solidFill>
          </w14:textFill>
        </w:rPr>
        <w:t>安装：指对合同设备进行的组装、连接以及根据需要将合同设备固定在施工场地内一</w:t>
      </w:r>
      <w:r>
        <w:rPr>
          <w:rFonts w:hint="eastAsia" w:ascii="宋体" w:eastAsia="宋体" w:cs="宋体"/>
          <w:b w:val="0"/>
          <w:bCs w:val="0"/>
          <w:color w:val="000000" w:themeColor="text1"/>
          <w:szCs w:val="24"/>
          <w:highlight w:val="none"/>
          <w14:textFill>
            <w14:solidFill>
              <w14:schemeClr w14:val="tx1"/>
            </w14:solidFill>
          </w14:textFill>
        </w:rPr>
        <w:t>定的位置上，使其就位并与相关设备、工程实现连接。</w:t>
      </w:r>
    </w:p>
    <w:p w14:paraId="07F9A788">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1.1.7 调试：指在合同设备安装完成后，对合同设备所进行的调校和测试。</w:t>
      </w:r>
    </w:p>
    <w:p w14:paraId="747655D0">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1.1.8 </w:t>
      </w:r>
      <w:r>
        <w:rPr>
          <w:rFonts w:hint="eastAsia" w:ascii="宋体" w:eastAsia="宋体" w:cs="宋体"/>
          <w:b w:val="0"/>
          <w:bCs w:val="0"/>
          <w:color w:val="000000" w:themeColor="text1"/>
          <w:spacing w:val="-4"/>
          <w:szCs w:val="24"/>
          <w:highlight w:val="none"/>
          <w14:textFill>
            <w14:solidFill>
              <w14:schemeClr w14:val="tx1"/>
            </w14:solidFill>
          </w14:textFill>
        </w:rPr>
        <w:t>考核：指在合同设备调试完成后，对合同设备进行的用于确定其是否达到合同约定的</w:t>
      </w:r>
      <w:r>
        <w:rPr>
          <w:rFonts w:hint="eastAsia" w:ascii="宋体" w:eastAsia="宋体" w:cs="宋体"/>
          <w:b w:val="0"/>
          <w:bCs w:val="0"/>
          <w:color w:val="000000" w:themeColor="text1"/>
          <w:szCs w:val="24"/>
          <w:highlight w:val="none"/>
          <w14:textFill>
            <w14:solidFill>
              <w14:schemeClr w14:val="tx1"/>
            </w14:solidFill>
          </w14:textFill>
        </w:rPr>
        <w:t>技术性能考核指标的考核。</w:t>
      </w:r>
    </w:p>
    <w:p w14:paraId="213B6331">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1.1.9 </w:t>
      </w:r>
      <w:r>
        <w:rPr>
          <w:rFonts w:hint="eastAsia" w:ascii="宋体" w:eastAsia="宋体" w:cs="宋体"/>
          <w:b w:val="0"/>
          <w:bCs w:val="0"/>
          <w:color w:val="000000" w:themeColor="text1"/>
          <w:spacing w:val="-4"/>
          <w:szCs w:val="24"/>
          <w:highlight w:val="none"/>
          <w14:textFill>
            <w14:solidFill>
              <w14:schemeClr w14:val="tx1"/>
            </w14:solidFill>
          </w14:textFill>
        </w:rPr>
        <w:t>验收：指合同设备通过考核达到合同约定的技术性能考核指标后，买方作出接受合同</w:t>
      </w:r>
      <w:r>
        <w:rPr>
          <w:rFonts w:hint="eastAsia" w:ascii="宋体" w:eastAsia="宋体" w:cs="宋体"/>
          <w:b w:val="0"/>
          <w:bCs w:val="0"/>
          <w:color w:val="000000" w:themeColor="text1"/>
          <w:szCs w:val="24"/>
          <w:highlight w:val="none"/>
          <w14:textFill>
            <w14:solidFill>
              <w14:schemeClr w14:val="tx1"/>
            </w14:solidFill>
          </w14:textFill>
        </w:rPr>
        <w:t>设备的确认。</w:t>
      </w:r>
    </w:p>
    <w:p w14:paraId="14D85B7F">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1.1.10 </w:t>
      </w:r>
      <w:r>
        <w:rPr>
          <w:rFonts w:hint="eastAsia" w:ascii="宋体" w:eastAsia="宋体" w:cs="宋体"/>
          <w:b w:val="0"/>
          <w:bCs w:val="0"/>
          <w:color w:val="000000" w:themeColor="text1"/>
          <w:spacing w:val="-7"/>
          <w:szCs w:val="24"/>
          <w:highlight w:val="none"/>
          <w14:textFill>
            <w14:solidFill>
              <w14:schemeClr w14:val="tx1"/>
            </w14:solidFill>
          </w14:textFill>
        </w:rPr>
        <w:t>技术服务：指卖方按合同约定，在合同设备验收前，向买方提供的安装、调试服务，</w:t>
      </w:r>
      <w:r>
        <w:rPr>
          <w:rFonts w:hint="eastAsia" w:ascii="宋体" w:eastAsia="宋体" w:cs="宋体"/>
          <w:b w:val="0"/>
          <w:bCs w:val="0"/>
          <w:color w:val="000000" w:themeColor="text1"/>
          <w:szCs w:val="24"/>
          <w:highlight w:val="none"/>
          <w14:textFill>
            <w14:solidFill>
              <w14:schemeClr w14:val="tx1"/>
            </w14:solidFill>
          </w14:textFill>
        </w:rPr>
        <w:t>或者在由买方负责的安装、调试、考核中对买方进行的技术指导、协助、监督和培训等。</w:t>
      </w:r>
    </w:p>
    <w:p w14:paraId="330DD0DD">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1.1.11 质量保证期：指合同设备验收后，卖方按合同约定保证合同设备适当、稳定运行，并负责消除合同设备故障的期限。</w:t>
      </w:r>
    </w:p>
    <w:p w14:paraId="2C8DBFD2">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1.1.12 </w:t>
      </w:r>
      <w:r>
        <w:rPr>
          <w:rFonts w:hint="eastAsia" w:ascii="宋体" w:eastAsia="宋体" w:cs="宋体"/>
          <w:b w:val="0"/>
          <w:bCs w:val="0"/>
          <w:color w:val="000000" w:themeColor="text1"/>
          <w:spacing w:val="-7"/>
          <w:szCs w:val="24"/>
          <w:highlight w:val="none"/>
          <w14:textFill>
            <w14:solidFill>
              <w14:schemeClr w14:val="tx1"/>
            </w14:solidFill>
          </w14:textFill>
        </w:rPr>
        <w:t>质保期服务：指在质量保证期内，卖方向买方提供的合同设备维护服务、咨询服务、</w:t>
      </w:r>
      <w:r>
        <w:rPr>
          <w:rFonts w:hint="eastAsia" w:ascii="宋体" w:eastAsia="宋体" w:cs="宋体"/>
          <w:b w:val="0"/>
          <w:bCs w:val="0"/>
          <w:color w:val="000000" w:themeColor="text1"/>
          <w:szCs w:val="24"/>
          <w:highlight w:val="none"/>
          <w14:textFill>
            <w14:solidFill>
              <w14:schemeClr w14:val="tx1"/>
            </w14:solidFill>
          </w14:textFill>
        </w:rPr>
        <w:t>技术指导、协助以及对出现故障的合同设备进行修理或更换的服务。</w:t>
      </w:r>
    </w:p>
    <w:p w14:paraId="6EDCBFB9">
      <w:pPr>
        <w:pStyle w:val="85"/>
        <w:spacing w:line="500" w:lineRule="exact"/>
        <w:ind w:left="0" w:right="0" w:firstLine="480" w:firstLineChars="200"/>
        <w:outlineLvl w:val="9"/>
        <w:rPr>
          <w:rFonts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1.1.13  工程</w:t>
      </w:r>
    </w:p>
    <w:p w14:paraId="57AC643E">
      <w:pPr>
        <w:pStyle w:val="13"/>
        <w:spacing w:line="500" w:lineRule="exact"/>
        <w:ind w:left="210" w:leftChars="100"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1.1.13.1 工程：指在专用合同条款中指明的，安装运行合同设备的工程。</w:t>
      </w:r>
    </w:p>
    <w:p w14:paraId="25EEF2ED">
      <w:pPr>
        <w:pStyle w:val="13"/>
        <w:spacing w:line="500" w:lineRule="exact"/>
        <w:ind w:left="210" w:leftChars="100"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1.1.13</w:t>
      </w:r>
      <w:r>
        <w:rPr>
          <w:rFonts w:hint="eastAsia" w:ascii="宋体" w:eastAsia="宋体" w:cs="宋体"/>
          <w:b w:val="0"/>
          <w:bCs w:val="0"/>
          <w:color w:val="000000" w:themeColor="text1"/>
          <w:spacing w:val="-3"/>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 xml:space="preserve">2 </w:t>
      </w:r>
      <w:r>
        <w:rPr>
          <w:rFonts w:hint="eastAsia" w:ascii="宋体" w:eastAsia="宋体" w:cs="宋体"/>
          <w:b w:val="0"/>
          <w:bCs w:val="0"/>
          <w:color w:val="000000" w:themeColor="text1"/>
          <w:spacing w:val="-3"/>
          <w:szCs w:val="24"/>
          <w:highlight w:val="none"/>
          <w14:textFill>
            <w14:solidFill>
              <w14:schemeClr w14:val="tx1"/>
            </w14:solidFill>
          </w14:textFill>
        </w:rPr>
        <w:t>施</w:t>
      </w:r>
      <w:r>
        <w:rPr>
          <w:rFonts w:hint="eastAsia" w:ascii="宋体" w:eastAsia="宋体" w:cs="宋体"/>
          <w:b w:val="0"/>
          <w:bCs w:val="0"/>
          <w:color w:val="000000" w:themeColor="text1"/>
          <w:szCs w:val="24"/>
          <w:highlight w:val="none"/>
          <w14:textFill>
            <w14:solidFill>
              <w14:schemeClr w14:val="tx1"/>
            </w14:solidFill>
          </w14:textFill>
        </w:rPr>
        <w:t>工</w:t>
      </w:r>
      <w:r>
        <w:rPr>
          <w:rFonts w:hint="eastAsia" w:ascii="宋体" w:eastAsia="宋体" w:cs="宋体"/>
          <w:b w:val="0"/>
          <w:bCs w:val="0"/>
          <w:color w:val="000000" w:themeColor="text1"/>
          <w:spacing w:val="-3"/>
          <w:szCs w:val="24"/>
          <w:highlight w:val="none"/>
          <w14:textFill>
            <w14:solidFill>
              <w14:schemeClr w14:val="tx1"/>
            </w14:solidFill>
          </w14:textFill>
        </w:rPr>
        <w:t>场</w:t>
      </w:r>
      <w:r>
        <w:rPr>
          <w:rFonts w:hint="eastAsia" w:ascii="宋体" w:eastAsia="宋体" w:cs="宋体"/>
          <w:b w:val="0"/>
          <w:bCs w:val="0"/>
          <w:color w:val="000000" w:themeColor="text1"/>
          <w:szCs w:val="24"/>
          <w:highlight w:val="none"/>
          <w14:textFill>
            <w14:solidFill>
              <w14:schemeClr w14:val="tx1"/>
            </w14:solidFill>
          </w14:textFill>
        </w:rPr>
        <w:t>地</w:t>
      </w:r>
      <w:r>
        <w:rPr>
          <w:rFonts w:hint="eastAsia" w:ascii="宋体" w:eastAsia="宋体" w:cs="宋体"/>
          <w:b w:val="0"/>
          <w:bCs w:val="0"/>
          <w:color w:val="000000" w:themeColor="text1"/>
          <w:spacing w:val="-3"/>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或</w:t>
      </w:r>
      <w:r>
        <w:rPr>
          <w:rFonts w:hint="eastAsia" w:ascii="宋体" w:eastAsia="宋体" w:cs="宋体"/>
          <w:b w:val="0"/>
          <w:bCs w:val="0"/>
          <w:color w:val="000000" w:themeColor="text1"/>
          <w:spacing w:val="-3"/>
          <w:szCs w:val="24"/>
          <w:highlight w:val="none"/>
          <w14:textFill>
            <w14:solidFill>
              <w14:schemeClr w14:val="tx1"/>
            </w14:solidFill>
          </w14:textFill>
        </w:rPr>
        <w:t>称</w:t>
      </w:r>
      <w:r>
        <w:rPr>
          <w:rFonts w:hint="eastAsia" w:ascii="宋体" w:eastAsia="宋体" w:cs="宋体"/>
          <w:b w:val="0"/>
          <w:bCs w:val="0"/>
          <w:color w:val="000000" w:themeColor="text1"/>
          <w:szCs w:val="24"/>
          <w:highlight w:val="none"/>
          <w14:textFill>
            <w14:solidFill>
              <w14:schemeClr w14:val="tx1"/>
            </w14:solidFill>
          </w14:textFill>
        </w:rPr>
        <w:t>工地</w:t>
      </w:r>
      <w:r>
        <w:rPr>
          <w:rFonts w:hint="eastAsia" w:ascii="宋体" w:eastAsia="宋体" w:cs="宋体"/>
          <w:b w:val="0"/>
          <w:bCs w:val="0"/>
          <w:color w:val="000000" w:themeColor="text1"/>
          <w:spacing w:val="-3"/>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施</w:t>
      </w:r>
      <w:r>
        <w:rPr>
          <w:rFonts w:hint="eastAsia" w:ascii="宋体" w:eastAsia="宋体" w:cs="宋体"/>
          <w:b w:val="0"/>
          <w:bCs w:val="0"/>
          <w:color w:val="000000" w:themeColor="text1"/>
          <w:spacing w:val="-3"/>
          <w:szCs w:val="24"/>
          <w:highlight w:val="none"/>
          <w14:textFill>
            <w14:solidFill>
              <w14:schemeClr w14:val="tx1"/>
            </w14:solidFill>
          </w14:textFill>
        </w:rPr>
        <w:t>工</w:t>
      </w:r>
      <w:r>
        <w:rPr>
          <w:rFonts w:hint="eastAsia" w:ascii="宋体" w:eastAsia="宋体" w:cs="宋体"/>
          <w:b w:val="0"/>
          <w:bCs w:val="0"/>
          <w:color w:val="000000" w:themeColor="text1"/>
          <w:szCs w:val="24"/>
          <w:highlight w:val="none"/>
          <w14:textFill>
            <w14:solidFill>
              <w14:schemeClr w14:val="tx1"/>
            </w14:solidFill>
          </w14:textFill>
        </w:rPr>
        <w:t>现</w:t>
      </w:r>
      <w:r>
        <w:rPr>
          <w:rFonts w:hint="eastAsia" w:ascii="宋体" w:eastAsia="宋体" w:cs="宋体"/>
          <w:b w:val="0"/>
          <w:bCs w:val="0"/>
          <w:color w:val="000000" w:themeColor="text1"/>
          <w:spacing w:val="-3"/>
          <w:szCs w:val="24"/>
          <w:highlight w:val="none"/>
          <w14:textFill>
            <w14:solidFill>
              <w14:schemeClr w14:val="tx1"/>
            </w14:solidFill>
          </w14:textFill>
        </w:rPr>
        <w:t>场</w:t>
      </w:r>
      <w:r>
        <w:rPr>
          <w:rFonts w:hint="eastAsia" w:ascii="宋体" w:eastAsia="宋体" w:cs="宋体"/>
          <w:b w:val="0"/>
          <w:bCs w:val="0"/>
          <w:color w:val="000000" w:themeColor="text1"/>
          <w:spacing w:val="-106"/>
          <w:szCs w:val="24"/>
          <w:highlight w:val="none"/>
          <w14:textFill>
            <w14:solidFill>
              <w14:schemeClr w14:val="tx1"/>
            </w14:solidFill>
          </w14:textFill>
        </w:rPr>
        <w:t>）</w:t>
      </w:r>
      <w:r>
        <w:rPr>
          <w:rFonts w:hint="eastAsia" w:ascii="宋体" w:eastAsia="宋体" w:cs="宋体"/>
          <w:b w:val="0"/>
          <w:bCs w:val="0"/>
          <w:color w:val="000000" w:themeColor="text1"/>
          <w:spacing w:val="-3"/>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指</w:t>
      </w:r>
      <w:r>
        <w:rPr>
          <w:rFonts w:hint="eastAsia" w:ascii="宋体" w:eastAsia="宋体" w:cs="宋体"/>
          <w:b w:val="0"/>
          <w:bCs w:val="0"/>
          <w:color w:val="000000" w:themeColor="text1"/>
          <w:spacing w:val="-3"/>
          <w:szCs w:val="24"/>
          <w:highlight w:val="none"/>
          <w14:textFill>
            <w14:solidFill>
              <w14:schemeClr w14:val="tx1"/>
            </w14:solidFill>
          </w14:textFill>
        </w:rPr>
        <w:t>专用</w:t>
      </w:r>
      <w:r>
        <w:rPr>
          <w:rFonts w:hint="eastAsia" w:ascii="宋体" w:eastAsia="宋体" w:cs="宋体"/>
          <w:b w:val="0"/>
          <w:bCs w:val="0"/>
          <w:color w:val="000000" w:themeColor="text1"/>
          <w:szCs w:val="24"/>
          <w:highlight w:val="none"/>
          <w14:textFill>
            <w14:solidFill>
              <w14:schemeClr w14:val="tx1"/>
            </w14:solidFill>
          </w14:textFill>
        </w:rPr>
        <w:t>合同</w:t>
      </w:r>
      <w:r>
        <w:rPr>
          <w:rFonts w:hint="eastAsia" w:ascii="宋体" w:eastAsia="宋体" w:cs="宋体"/>
          <w:b w:val="0"/>
          <w:bCs w:val="0"/>
          <w:color w:val="000000" w:themeColor="text1"/>
          <w:spacing w:val="-3"/>
          <w:szCs w:val="24"/>
          <w:highlight w:val="none"/>
          <w14:textFill>
            <w14:solidFill>
              <w14:schemeClr w14:val="tx1"/>
            </w14:solidFill>
          </w14:textFill>
        </w:rPr>
        <w:t>条</w:t>
      </w:r>
      <w:r>
        <w:rPr>
          <w:rFonts w:hint="eastAsia" w:ascii="宋体" w:eastAsia="宋体" w:cs="宋体"/>
          <w:b w:val="0"/>
          <w:bCs w:val="0"/>
          <w:color w:val="000000" w:themeColor="text1"/>
          <w:szCs w:val="24"/>
          <w:highlight w:val="none"/>
          <w14:textFill>
            <w14:solidFill>
              <w14:schemeClr w14:val="tx1"/>
            </w14:solidFill>
          </w14:textFill>
        </w:rPr>
        <w:t>款</w:t>
      </w:r>
      <w:r>
        <w:rPr>
          <w:rFonts w:hint="eastAsia" w:ascii="宋体" w:eastAsia="宋体" w:cs="宋体"/>
          <w:b w:val="0"/>
          <w:bCs w:val="0"/>
          <w:color w:val="000000" w:themeColor="text1"/>
          <w:spacing w:val="-3"/>
          <w:szCs w:val="24"/>
          <w:highlight w:val="none"/>
          <w14:textFill>
            <w14:solidFill>
              <w14:schemeClr w14:val="tx1"/>
            </w14:solidFill>
          </w14:textFill>
        </w:rPr>
        <w:t>中</w:t>
      </w:r>
      <w:r>
        <w:rPr>
          <w:rFonts w:hint="eastAsia" w:ascii="宋体" w:eastAsia="宋体" w:cs="宋体"/>
          <w:b w:val="0"/>
          <w:bCs w:val="0"/>
          <w:color w:val="000000" w:themeColor="text1"/>
          <w:szCs w:val="24"/>
          <w:highlight w:val="none"/>
          <w14:textFill>
            <w14:solidFill>
              <w14:schemeClr w14:val="tx1"/>
            </w14:solidFill>
          </w14:textFill>
        </w:rPr>
        <w:t>指</w:t>
      </w:r>
      <w:r>
        <w:rPr>
          <w:rFonts w:hint="eastAsia" w:ascii="宋体" w:eastAsia="宋体" w:cs="宋体"/>
          <w:b w:val="0"/>
          <w:bCs w:val="0"/>
          <w:color w:val="000000" w:themeColor="text1"/>
          <w:spacing w:val="-3"/>
          <w:szCs w:val="24"/>
          <w:highlight w:val="none"/>
          <w14:textFill>
            <w14:solidFill>
              <w14:schemeClr w14:val="tx1"/>
            </w14:solidFill>
          </w14:textFill>
        </w:rPr>
        <w:t>明</w:t>
      </w:r>
      <w:r>
        <w:rPr>
          <w:rFonts w:hint="eastAsia" w:ascii="宋体" w:eastAsia="宋体" w:cs="宋体"/>
          <w:b w:val="0"/>
          <w:bCs w:val="0"/>
          <w:color w:val="000000" w:themeColor="text1"/>
          <w:szCs w:val="24"/>
          <w:highlight w:val="none"/>
          <w14:textFill>
            <w14:solidFill>
              <w14:schemeClr w14:val="tx1"/>
            </w14:solidFill>
          </w14:textFill>
        </w:rPr>
        <w:t>的</w:t>
      </w:r>
      <w:r>
        <w:rPr>
          <w:rFonts w:hint="eastAsia" w:ascii="宋体" w:eastAsia="宋体" w:cs="宋体"/>
          <w:b w:val="0"/>
          <w:bCs w:val="0"/>
          <w:color w:val="000000" w:themeColor="text1"/>
          <w:spacing w:val="-3"/>
          <w:szCs w:val="24"/>
          <w:highlight w:val="none"/>
          <w14:textFill>
            <w14:solidFill>
              <w14:schemeClr w14:val="tx1"/>
            </w14:solidFill>
          </w14:textFill>
        </w:rPr>
        <w:t>工</w:t>
      </w:r>
      <w:r>
        <w:rPr>
          <w:rFonts w:hint="eastAsia" w:ascii="宋体" w:eastAsia="宋体" w:cs="宋体"/>
          <w:b w:val="0"/>
          <w:bCs w:val="0"/>
          <w:color w:val="000000" w:themeColor="text1"/>
          <w:szCs w:val="24"/>
          <w:highlight w:val="none"/>
          <w14:textFill>
            <w14:solidFill>
              <w14:schemeClr w14:val="tx1"/>
            </w14:solidFill>
          </w14:textFill>
        </w:rPr>
        <w:t>程</w:t>
      </w:r>
      <w:r>
        <w:rPr>
          <w:rFonts w:hint="eastAsia" w:ascii="宋体" w:eastAsia="宋体" w:cs="宋体"/>
          <w:b w:val="0"/>
          <w:bCs w:val="0"/>
          <w:color w:val="000000" w:themeColor="text1"/>
          <w:spacing w:val="-3"/>
          <w:szCs w:val="24"/>
          <w:highlight w:val="none"/>
          <w14:textFill>
            <w14:solidFill>
              <w14:schemeClr w14:val="tx1"/>
            </w14:solidFill>
          </w14:textFill>
        </w:rPr>
        <w:t>所</w:t>
      </w:r>
      <w:r>
        <w:rPr>
          <w:rFonts w:hint="eastAsia" w:ascii="宋体" w:eastAsia="宋体" w:cs="宋体"/>
          <w:b w:val="0"/>
          <w:bCs w:val="0"/>
          <w:color w:val="000000" w:themeColor="text1"/>
          <w:szCs w:val="24"/>
          <w:highlight w:val="none"/>
          <w14:textFill>
            <w14:solidFill>
              <w14:schemeClr w14:val="tx1"/>
            </w14:solidFill>
          </w14:textFill>
        </w:rPr>
        <w:t>在场</w:t>
      </w:r>
      <w:r>
        <w:rPr>
          <w:rFonts w:hint="eastAsia" w:ascii="宋体" w:eastAsia="宋体" w:cs="宋体"/>
          <w:b w:val="0"/>
          <w:bCs w:val="0"/>
          <w:color w:val="000000" w:themeColor="text1"/>
          <w:spacing w:val="-3"/>
          <w:szCs w:val="24"/>
          <w:highlight w:val="none"/>
          <w14:textFill>
            <w14:solidFill>
              <w14:schemeClr w14:val="tx1"/>
            </w14:solidFill>
          </w14:textFill>
        </w:rPr>
        <w:t>所</w:t>
      </w:r>
      <w:r>
        <w:rPr>
          <w:rFonts w:hint="eastAsia" w:ascii="宋体" w:eastAsia="宋体" w:cs="宋体"/>
          <w:b w:val="0"/>
          <w:bCs w:val="0"/>
          <w:color w:val="000000" w:themeColor="text1"/>
          <w:szCs w:val="24"/>
          <w:highlight w:val="none"/>
          <w14:textFill>
            <w14:solidFill>
              <w14:schemeClr w14:val="tx1"/>
            </w14:solidFill>
          </w14:textFill>
        </w:rPr>
        <w:t>。</w:t>
      </w:r>
    </w:p>
    <w:p w14:paraId="03010DD3">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1.1.14 </w:t>
      </w:r>
      <w:r>
        <w:rPr>
          <w:rFonts w:hint="eastAsia" w:ascii="宋体" w:eastAsia="宋体" w:cs="宋体"/>
          <w:b w:val="0"/>
          <w:bCs w:val="0"/>
          <w:color w:val="000000" w:themeColor="text1"/>
          <w:spacing w:val="-58"/>
          <w:szCs w:val="24"/>
          <w:highlight w:val="none"/>
          <w14:textFill>
            <w14:solidFill>
              <w14:schemeClr w14:val="tx1"/>
            </w14:solidFill>
          </w14:textFill>
        </w:rPr>
        <w:t>天</w:t>
      </w:r>
      <w:r>
        <w:rPr>
          <w:rFonts w:hint="eastAsia" w:ascii="宋体" w:eastAsia="宋体" w:cs="宋体"/>
          <w:b w:val="0"/>
          <w:bCs w:val="0"/>
          <w:color w:val="000000" w:themeColor="text1"/>
          <w:spacing w:val="-3"/>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或</w:t>
      </w:r>
      <w:r>
        <w:rPr>
          <w:rFonts w:hint="eastAsia" w:ascii="宋体" w:eastAsia="宋体" w:cs="宋体"/>
          <w:b w:val="0"/>
          <w:bCs w:val="0"/>
          <w:color w:val="000000" w:themeColor="text1"/>
          <w:spacing w:val="-3"/>
          <w:szCs w:val="24"/>
          <w:highlight w:val="none"/>
          <w14:textFill>
            <w14:solidFill>
              <w14:schemeClr w14:val="tx1"/>
            </w14:solidFill>
          </w14:textFill>
        </w:rPr>
        <w:t>称</w:t>
      </w:r>
      <w:r>
        <w:rPr>
          <w:rFonts w:hint="eastAsia" w:ascii="宋体" w:eastAsia="宋体" w:cs="宋体"/>
          <w:b w:val="0"/>
          <w:bCs w:val="0"/>
          <w:color w:val="000000" w:themeColor="text1"/>
          <w:szCs w:val="24"/>
          <w:highlight w:val="none"/>
          <w14:textFill>
            <w14:solidFill>
              <w14:schemeClr w14:val="tx1"/>
            </w14:solidFill>
          </w14:textFill>
        </w:rPr>
        <w:t>日</w:t>
      </w:r>
      <w:r>
        <w:rPr>
          <w:rFonts w:hint="eastAsia" w:ascii="宋体" w:eastAsia="宋体" w:cs="宋体"/>
          <w:b w:val="0"/>
          <w:bCs w:val="0"/>
          <w:color w:val="000000" w:themeColor="text1"/>
          <w:spacing w:val="-106"/>
          <w:szCs w:val="24"/>
          <w:highlight w:val="none"/>
          <w14:textFill>
            <w14:solidFill>
              <w14:schemeClr w14:val="tx1"/>
            </w14:solidFill>
          </w14:textFill>
        </w:rPr>
        <w:t>）</w:t>
      </w:r>
      <w:r>
        <w:rPr>
          <w:rFonts w:hint="eastAsia" w:ascii="宋体" w:eastAsia="宋体" w:cs="宋体"/>
          <w:b w:val="0"/>
          <w:bCs w:val="0"/>
          <w:color w:val="000000" w:themeColor="text1"/>
          <w:spacing w:val="-60"/>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除</w:t>
      </w:r>
      <w:r>
        <w:rPr>
          <w:rFonts w:hint="eastAsia" w:ascii="宋体" w:eastAsia="宋体" w:cs="宋体"/>
          <w:b w:val="0"/>
          <w:bCs w:val="0"/>
          <w:color w:val="000000" w:themeColor="text1"/>
          <w:spacing w:val="-3"/>
          <w:szCs w:val="24"/>
          <w:highlight w:val="none"/>
          <w14:textFill>
            <w14:solidFill>
              <w14:schemeClr w14:val="tx1"/>
            </w14:solidFill>
          </w14:textFill>
        </w:rPr>
        <w:t>特</w:t>
      </w:r>
      <w:r>
        <w:rPr>
          <w:rFonts w:hint="eastAsia" w:ascii="宋体" w:eastAsia="宋体" w:cs="宋体"/>
          <w:b w:val="0"/>
          <w:bCs w:val="0"/>
          <w:color w:val="000000" w:themeColor="text1"/>
          <w:szCs w:val="24"/>
          <w:highlight w:val="none"/>
          <w14:textFill>
            <w14:solidFill>
              <w14:schemeClr w14:val="tx1"/>
            </w14:solidFill>
          </w14:textFill>
        </w:rPr>
        <w:t>别指</w:t>
      </w:r>
      <w:r>
        <w:rPr>
          <w:rFonts w:hint="eastAsia" w:ascii="宋体" w:eastAsia="宋体" w:cs="宋体"/>
          <w:b w:val="0"/>
          <w:bCs w:val="0"/>
          <w:color w:val="000000" w:themeColor="text1"/>
          <w:spacing w:val="-3"/>
          <w:szCs w:val="24"/>
          <w:highlight w:val="none"/>
          <w14:textFill>
            <w14:solidFill>
              <w14:schemeClr w14:val="tx1"/>
            </w14:solidFill>
          </w14:textFill>
        </w:rPr>
        <w:t>明</w:t>
      </w:r>
      <w:r>
        <w:rPr>
          <w:rFonts w:hint="eastAsia" w:ascii="宋体" w:eastAsia="宋体" w:cs="宋体"/>
          <w:b w:val="0"/>
          <w:bCs w:val="0"/>
          <w:color w:val="000000" w:themeColor="text1"/>
          <w:szCs w:val="24"/>
          <w:highlight w:val="none"/>
          <w14:textFill>
            <w14:solidFill>
              <w14:schemeClr w14:val="tx1"/>
            </w14:solidFill>
          </w14:textFill>
        </w:rPr>
        <w:t>外</w:t>
      </w:r>
      <w:r>
        <w:rPr>
          <w:rFonts w:hint="eastAsia" w:ascii="宋体" w:eastAsia="宋体" w:cs="宋体"/>
          <w:b w:val="0"/>
          <w:bCs w:val="0"/>
          <w:color w:val="000000" w:themeColor="text1"/>
          <w:spacing w:val="-60"/>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指</w:t>
      </w:r>
      <w:r>
        <w:rPr>
          <w:rFonts w:hint="eastAsia" w:ascii="宋体" w:eastAsia="宋体" w:cs="宋体"/>
          <w:b w:val="0"/>
          <w:bCs w:val="0"/>
          <w:color w:val="000000" w:themeColor="text1"/>
          <w:spacing w:val="-3"/>
          <w:szCs w:val="24"/>
          <w:highlight w:val="none"/>
          <w14:textFill>
            <w14:solidFill>
              <w14:schemeClr w14:val="tx1"/>
            </w14:solidFill>
          </w14:textFill>
        </w:rPr>
        <w:t>日</w:t>
      </w:r>
      <w:r>
        <w:rPr>
          <w:rFonts w:hint="eastAsia" w:ascii="宋体" w:eastAsia="宋体" w:cs="宋体"/>
          <w:b w:val="0"/>
          <w:bCs w:val="0"/>
          <w:color w:val="000000" w:themeColor="text1"/>
          <w:szCs w:val="24"/>
          <w:highlight w:val="none"/>
          <w14:textFill>
            <w14:solidFill>
              <w14:schemeClr w14:val="tx1"/>
            </w14:solidFill>
          </w14:textFill>
        </w:rPr>
        <w:t>历天</w:t>
      </w:r>
      <w:r>
        <w:rPr>
          <w:rFonts w:hint="eastAsia" w:ascii="宋体" w:eastAsia="宋体" w:cs="宋体"/>
          <w:b w:val="0"/>
          <w:bCs w:val="0"/>
          <w:color w:val="000000" w:themeColor="text1"/>
          <w:spacing w:val="-60"/>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合</w:t>
      </w:r>
      <w:r>
        <w:rPr>
          <w:rFonts w:hint="eastAsia" w:ascii="宋体" w:eastAsia="宋体" w:cs="宋体"/>
          <w:b w:val="0"/>
          <w:bCs w:val="0"/>
          <w:color w:val="000000" w:themeColor="text1"/>
          <w:spacing w:val="-3"/>
          <w:szCs w:val="24"/>
          <w:highlight w:val="none"/>
          <w14:textFill>
            <w14:solidFill>
              <w14:schemeClr w14:val="tx1"/>
            </w14:solidFill>
          </w14:textFill>
        </w:rPr>
        <w:t>同</w:t>
      </w:r>
      <w:r>
        <w:rPr>
          <w:rFonts w:hint="eastAsia" w:ascii="宋体" w:eastAsia="宋体" w:cs="宋体"/>
          <w:b w:val="0"/>
          <w:bCs w:val="0"/>
          <w:color w:val="000000" w:themeColor="text1"/>
          <w:szCs w:val="24"/>
          <w:highlight w:val="none"/>
          <w14:textFill>
            <w14:solidFill>
              <w14:schemeClr w14:val="tx1"/>
            </w14:solidFill>
          </w14:textFill>
        </w:rPr>
        <w:t>中按</w:t>
      </w:r>
      <w:r>
        <w:rPr>
          <w:rFonts w:hint="eastAsia" w:ascii="宋体" w:eastAsia="宋体" w:cs="宋体"/>
          <w:b w:val="0"/>
          <w:bCs w:val="0"/>
          <w:color w:val="000000" w:themeColor="text1"/>
          <w:spacing w:val="-3"/>
          <w:szCs w:val="24"/>
          <w:highlight w:val="none"/>
          <w14:textFill>
            <w14:solidFill>
              <w14:schemeClr w14:val="tx1"/>
            </w14:solidFill>
          </w14:textFill>
        </w:rPr>
        <w:t>天</w:t>
      </w:r>
      <w:r>
        <w:rPr>
          <w:rFonts w:hint="eastAsia" w:ascii="宋体" w:eastAsia="宋体" w:cs="宋体"/>
          <w:b w:val="0"/>
          <w:bCs w:val="0"/>
          <w:color w:val="000000" w:themeColor="text1"/>
          <w:szCs w:val="24"/>
          <w:highlight w:val="none"/>
          <w14:textFill>
            <w14:solidFill>
              <w14:schemeClr w14:val="tx1"/>
            </w14:solidFill>
          </w14:textFill>
        </w:rPr>
        <w:t>计</w:t>
      </w:r>
      <w:r>
        <w:rPr>
          <w:rFonts w:hint="eastAsia" w:ascii="宋体" w:eastAsia="宋体" w:cs="宋体"/>
          <w:b w:val="0"/>
          <w:bCs w:val="0"/>
          <w:color w:val="000000" w:themeColor="text1"/>
          <w:spacing w:val="-3"/>
          <w:szCs w:val="24"/>
          <w:highlight w:val="none"/>
          <w14:textFill>
            <w14:solidFill>
              <w14:schemeClr w14:val="tx1"/>
            </w14:solidFill>
          </w14:textFill>
        </w:rPr>
        <w:t>算</w:t>
      </w:r>
      <w:r>
        <w:rPr>
          <w:rFonts w:hint="eastAsia" w:ascii="宋体" w:eastAsia="宋体" w:cs="宋体"/>
          <w:b w:val="0"/>
          <w:bCs w:val="0"/>
          <w:color w:val="000000" w:themeColor="text1"/>
          <w:szCs w:val="24"/>
          <w:highlight w:val="none"/>
          <w14:textFill>
            <w14:solidFill>
              <w14:schemeClr w14:val="tx1"/>
            </w14:solidFill>
          </w14:textFill>
        </w:rPr>
        <w:t>时</w:t>
      </w:r>
      <w:r>
        <w:rPr>
          <w:rFonts w:hint="eastAsia" w:ascii="宋体" w:eastAsia="宋体" w:cs="宋体"/>
          <w:b w:val="0"/>
          <w:bCs w:val="0"/>
          <w:color w:val="000000" w:themeColor="text1"/>
          <w:spacing w:val="-3"/>
          <w:szCs w:val="24"/>
          <w:highlight w:val="none"/>
          <w14:textFill>
            <w14:solidFill>
              <w14:schemeClr w14:val="tx1"/>
            </w14:solidFill>
          </w14:textFill>
        </w:rPr>
        <w:t>间</w:t>
      </w:r>
      <w:r>
        <w:rPr>
          <w:rFonts w:hint="eastAsia" w:ascii="宋体" w:eastAsia="宋体" w:cs="宋体"/>
          <w:b w:val="0"/>
          <w:bCs w:val="0"/>
          <w:color w:val="000000" w:themeColor="text1"/>
          <w:szCs w:val="24"/>
          <w:highlight w:val="none"/>
          <w14:textFill>
            <w14:solidFill>
              <w14:schemeClr w14:val="tx1"/>
            </w14:solidFill>
          </w14:textFill>
        </w:rPr>
        <w:t>的</w:t>
      </w:r>
      <w:r>
        <w:rPr>
          <w:rFonts w:hint="eastAsia" w:ascii="宋体" w:eastAsia="宋体" w:cs="宋体"/>
          <w:b w:val="0"/>
          <w:bCs w:val="0"/>
          <w:color w:val="000000" w:themeColor="text1"/>
          <w:spacing w:val="-60"/>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开</w:t>
      </w:r>
      <w:r>
        <w:rPr>
          <w:rFonts w:hint="eastAsia" w:ascii="宋体" w:eastAsia="宋体" w:cs="宋体"/>
          <w:b w:val="0"/>
          <w:bCs w:val="0"/>
          <w:color w:val="000000" w:themeColor="text1"/>
          <w:spacing w:val="-3"/>
          <w:szCs w:val="24"/>
          <w:highlight w:val="none"/>
          <w14:textFill>
            <w14:solidFill>
              <w14:schemeClr w14:val="tx1"/>
            </w14:solidFill>
          </w14:textFill>
        </w:rPr>
        <w:t>始</w:t>
      </w:r>
      <w:r>
        <w:rPr>
          <w:rFonts w:hint="eastAsia" w:ascii="宋体" w:eastAsia="宋体" w:cs="宋体"/>
          <w:b w:val="0"/>
          <w:bCs w:val="0"/>
          <w:color w:val="000000" w:themeColor="text1"/>
          <w:szCs w:val="24"/>
          <w:highlight w:val="none"/>
          <w14:textFill>
            <w14:solidFill>
              <w14:schemeClr w14:val="tx1"/>
            </w14:solidFill>
          </w14:textFill>
        </w:rPr>
        <w:t>当天</w:t>
      </w:r>
      <w:r>
        <w:rPr>
          <w:rFonts w:hint="eastAsia" w:ascii="宋体" w:eastAsia="宋体" w:cs="宋体"/>
          <w:b w:val="0"/>
          <w:bCs w:val="0"/>
          <w:color w:val="000000" w:themeColor="text1"/>
          <w:spacing w:val="-3"/>
          <w:szCs w:val="24"/>
          <w:highlight w:val="none"/>
          <w14:textFill>
            <w14:solidFill>
              <w14:schemeClr w14:val="tx1"/>
            </w14:solidFill>
          </w14:textFill>
        </w:rPr>
        <w:t>不</w:t>
      </w:r>
      <w:r>
        <w:rPr>
          <w:rFonts w:hint="eastAsia" w:ascii="宋体" w:eastAsia="宋体" w:cs="宋体"/>
          <w:b w:val="0"/>
          <w:bCs w:val="0"/>
          <w:color w:val="000000" w:themeColor="text1"/>
          <w:szCs w:val="24"/>
          <w:highlight w:val="none"/>
          <w14:textFill>
            <w14:solidFill>
              <w14:schemeClr w14:val="tx1"/>
            </w14:solidFill>
          </w14:textFill>
        </w:rPr>
        <w:t>计</w:t>
      </w:r>
      <w:r>
        <w:rPr>
          <w:rFonts w:hint="eastAsia" w:ascii="宋体" w:eastAsia="宋体" w:cs="宋体"/>
          <w:b w:val="0"/>
          <w:bCs w:val="0"/>
          <w:color w:val="000000" w:themeColor="text1"/>
          <w:spacing w:val="-3"/>
          <w:szCs w:val="24"/>
          <w:highlight w:val="none"/>
          <w14:textFill>
            <w14:solidFill>
              <w14:schemeClr w14:val="tx1"/>
            </w14:solidFill>
          </w14:textFill>
        </w:rPr>
        <w:t>入</w:t>
      </w:r>
      <w:r>
        <w:rPr>
          <w:rFonts w:hint="eastAsia" w:ascii="宋体" w:eastAsia="宋体" w:cs="宋体"/>
          <w:b w:val="0"/>
          <w:bCs w:val="0"/>
          <w:color w:val="000000" w:themeColor="text1"/>
          <w:szCs w:val="24"/>
          <w:highlight w:val="none"/>
          <w14:textFill>
            <w14:solidFill>
              <w14:schemeClr w14:val="tx1"/>
            </w14:solidFill>
          </w14:textFill>
        </w:rPr>
        <w:t>，</w:t>
      </w:r>
      <w:r>
        <w:rPr>
          <w:rFonts w:hint="eastAsia" w:ascii="宋体" w:eastAsia="宋体" w:cs="宋体"/>
          <w:b w:val="0"/>
          <w:bCs w:val="0"/>
          <w:color w:val="000000" w:themeColor="text1"/>
          <w:spacing w:val="-1"/>
          <w:szCs w:val="24"/>
          <w:highlight w:val="none"/>
          <w14:textFill>
            <w14:solidFill>
              <w14:schemeClr w14:val="tx1"/>
            </w14:solidFill>
          </w14:textFill>
        </w:rPr>
        <w:t>从次日开始计算。合同约定的期间的最后一天是星期日或者其他法定休假日的，以休假日的次</w:t>
      </w:r>
      <w:r>
        <w:rPr>
          <w:rFonts w:hint="eastAsia" w:ascii="宋体" w:eastAsia="宋体" w:cs="宋体"/>
          <w:b w:val="0"/>
          <w:bCs w:val="0"/>
          <w:color w:val="000000" w:themeColor="text1"/>
          <w:szCs w:val="24"/>
          <w:highlight w:val="none"/>
          <w14:textFill>
            <w14:solidFill>
              <w14:schemeClr w14:val="tx1"/>
            </w14:solidFill>
          </w14:textFill>
        </w:rPr>
        <w:t>日为期间的最后一天。</w:t>
      </w:r>
    </w:p>
    <w:p w14:paraId="7A60176C">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1.1.15 </w:t>
      </w:r>
      <w:r>
        <w:rPr>
          <w:rFonts w:hint="eastAsia" w:ascii="宋体" w:eastAsia="宋体" w:cs="宋体"/>
          <w:b w:val="0"/>
          <w:bCs w:val="0"/>
          <w:color w:val="000000" w:themeColor="text1"/>
          <w:spacing w:val="-7"/>
          <w:szCs w:val="24"/>
          <w:highlight w:val="none"/>
          <w14:textFill>
            <w14:solidFill>
              <w14:schemeClr w14:val="tx1"/>
            </w14:solidFill>
          </w14:textFill>
        </w:rPr>
        <w:t>月：按照公历月计算。合同中按月计算时间的，开始当天不计入，从次日开始计算。</w:t>
      </w:r>
      <w:r>
        <w:rPr>
          <w:rFonts w:hint="eastAsia" w:ascii="宋体" w:eastAsia="宋体" w:cs="宋体"/>
          <w:b w:val="0"/>
          <w:bCs w:val="0"/>
          <w:color w:val="000000" w:themeColor="text1"/>
          <w:spacing w:val="-1"/>
          <w:szCs w:val="24"/>
          <w:highlight w:val="none"/>
          <w14:textFill>
            <w14:solidFill>
              <w14:schemeClr w14:val="tx1"/>
            </w14:solidFill>
          </w14:textFill>
        </w:rPr>
        <w:t xml:space="preserve">合同约定的期间的最后一天是星期日或者其他法定休假日的，以休假日的次日为期间的最后一 </w:t>
      </w:r>
      <w:r>
        <w:rPr>
          <w:rFonts w:hint="eastAsia" w:ascii="宋体" w:eastAsia="宋体" w:cs="宋体"/>
          <w:b w:val="0"/>
          <w:bCs w:val="0"/>
          <w:color w:val="000000" w:themeColor="text1"/>
          <w:szCs w:val="24"/>
          <w:highlight w:val="none"/>
          <w14:textFill>
            <w14:solidFill>
              <w14:schemeClr w14:val="tx1"/>
            </w14:solidFill>
          </w14:textFill>
        </w:rPr>
        <w:t>天。</w:t>
      </w:r>
    </w:p>
    <w:p w14:paraId="5F5DEBAE">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1.1.16 书面形式：指合同文件、信件和数据电文（包括电报、电传、传真、电子数据交换和电子邮件）等可以有形地表现所载内容的形式。</w:t>
      </w:r>
      <w:bookmarkStart w:id="172" w:name="_bookmark107"/>
      <w:bookmarkEnd w:id="172"/>
    </w:p>
    <w:p w14:paraId="28BD9E88">
      <w:pPr>
        <w:pStyle w:val="13"/>
        <w:spacing w:line="500" w:lineRule="exact"/>
        <w:ind w:firstLine="496" w:firstLineChars="200"/>
        <w:outlineLvl w:val="3"/>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1.2 语言文字</w:t>
      </w:r>
    </w:p>
    <w:p w14:paraId="19D8C060">
      <w:pPr>
        <w:pStyle w:val="86"/>
        <w:spacing w:line="500" w:lineRule="exact"/>
        <w:ind w:left="0"/>
        <w:outlineLvl w:val="9"/>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pacing w:val="4"/>
          <w:sz w:val="24"/>
          <w:szCs w:val="24"/>
          <w:highlight w:val="none"/>
          <w14:textFill>
            <w14:solidFill>
              <w14:schemeClr w14:val="tx1"/>
            </w14:solidFill>
          </w14:textFill>
        </w:rPr>
        <w:t>合同使用的语言文字为中文。专用术语使用外文的，应附有中文注释。</w:t>
      </w:r>
      <w:bookmarkStart w:id="173" w:name="_bookmark108"/>
      <w:bookmarkEnd w:id="173"/>
    </w:p>
    <w:p w14:paraId="5E4ED349">
      <w:pPr>
        <w:pStyle w:val="86"/>
        <w:spacing w:line="500" w:lineRule="exact"/>
        <w:ind w:left="0" w:right="0"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1.3 合同文件的优先顺序</w:t>
      </w:r>
    </w:p>
    <w:p w14:paraId="15C97F9C">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组成合同的各项文件应互相解释，互为说明。除专用合同条款另有约定外，解释合同文件的优先顺序如下：</w:t>
      </w:r>
    </w:p>
    <w:p w14:paraId="5503EFAB">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（1）合同协议书；</w:t>
      </w:r>
    </w:p>
    <w:p w14:paraId="7E4AD941">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（2）中标通知书；</w:t>
      </w:r>
    </w:p>
    <w:p w14:paraId="4D71423F">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（3）投标函；</w:t>
      </w:r>
    </w:p>
    <w:p w14:paraId="5E79E632">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（4）商务和技术偏差表；</w:t>
      </w:r>
    </w:p>
    <w:p w14:paraId="06945A76">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（5）专用合同条款；</w:t>
      </w:r>
    </w:p>
    <w:p w14:paraId="4D37DA39">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（6）通用合同条款；</w:t>
      </w:r>
    </w:p>
    <w:p w14:paraId="3B221032">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（7）供货要求；</w:t>
      </w:r>
    </w:p>
    <w:p w14:paraId="65BAFF01">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（8）分项报价表；</w:t>
      </w:r>
    </w:p>
    <w:p w14:paraId="1873A5DD">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（9）中标设备技术性能指标的详细描述；</w:t>
      </w:r>
    </w:p>
    <w:p w14:paraId="48B39E2B">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（10）技术服务和质保期服务计划；</w:t>
      </w:r>
    </w:p>
    <w:p w14:paraId="0393D7DE">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（11）其他合同文件。</w:t>
      </w:r>
    </w:p>
    <w:p w14:paraId="3D623C59">
      <w:pPr>
        <w:spacing w:line="500" w:lineRule="exact"/>
        <w:ind w:firstLine="480" w:firstLineChars="200"/>
        <w:jc w:val="left"/>
        <w:outlineLvl w:val="3"/>
        <w:rPr>
          <w:rFonts w:ascii="宋体" w:hAnsi="宋体" w:cs="宋体"/>
          <w:color w:val="000000" w:themeColor="text1"/>
          <w:sz w:val="24"/>
          <w:szCs w:val="24"/>
          <w:highlight w:val="none"/>
          <w14:textFill>
            <w14:solidFill>
              <w14:schemeClr w14:val="tx1"/>
            </w14:solidFill>
          </w14:textFill>
        </w:rPr>
      </w:pPr>
      <w:bookmarkStart w:id="174" w:name="_bookmark109"/>
      <w:bookmarkEnd w:id="174"/>
      <w:r>
        <w:rPr>
          <w:rFonts w:hint="eastAsia" w:ascii="宋体" w:hAnsi="宋体" w:cs="宋体"/>
          <w:color w:val="000000" w:themeColor="text1"/>
          <w:sz w:val="24"/>
          <w:szCs w:val="24"/>
          <w:highlight w:val="none"/>
          <w14:textFill>
            <w14:solidFill>
              <w14:schemeClr w14:val="tx1"/>
            </w14:solidFill>
          </w14:textFill>
        </w:rPr>
        <w:t>1.4</w:t>
      </w:r>
      <w:r>
        <w:rPr>
          <w:rFonts w:hint="eastAsia" w:ascii="宋体" w:hAnsi="宋体" w:cs="宋体"/>
          <w:color w:val="000000" w:themeColor="text1"/>
          <w:spacing w:val="68"/>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合同的生效及变更</w:t>
      </w:r>
    </w:p>
    <w:p w14:paraId="4EA3E4C6">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1.4.1 除专用合同条款另有约定外，买方和卖方的法定代表人（单位负责人）或其授权代表在合同协议书上签字并加</w:t>
      </w:r>
      <w:r>
        <w:rPr>
          <w:rFonts w:hint="eastAsia" w:ascii="宋体" w:eastAsia="宋体" w:cs="宋体"/>
          <w:b w:val="0"/>
          <w:bCs w:val="0"/>
          <w:color w:val="000000" w:themeColor="text1"/>
          <w:szCs w:val="24"/>
          <w:highlight w:val="none"/>
          <w:lang w:eastAsia="zh-CN"/>
          <w14:textFill>
            <w14:solidFill>
              <w14:schemeClr w14:val="tx1"/>
            </w14:solidFill>
          </w14:textFill>
        </w:rPr>
        <w:t>盖单位公章</w:t>
      </w:r>
      <w:r>
        <w:rPr>
          <w:rFonts w:hint="eastAsia" w:ascii="宋体" w:eastAsia="宋体" w:cs="宋体"/>
          <w:b w:val="0"/>
          <w:bCs w:val="0"/>
          <w:color w:val="000000" w:themeColor="text1"/>
          <w:szCs w:val="24"/>
          <w:highlight w:val="none"/>
          <w14:textFill>
            <w14:solidFill>
              <w14:schemeClr w14:val="tx1"/>
            </w14:solidFill>
          </w14:textFill>
        </w:rPr>
        <w:t>后，合同生效。</w:t>
      </w:r>
    </w:p>
    <w:p w14:paraId="77552581">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1.4.2 除专用合同条款另有约定外，在合同履行过程中，如需对合同进行变更，双方应签订书面协议，并经双方法定代表人（单位负责人）或其授权代表签字并加</w:t>
      </w:r>
      <w:r>
        <w:rPr>
          <w:rFonts w:hint="eastAsia" w:ascii="宋体" w:eastAsia="宋体" w:cs="宋体"/>
          <w:b w:val="0"/>
          <w:bCs w:val="0"/>
          <w:color w:val="000000" w:themeColor="text1"/>
          <w:szCs w:val="24"/>
          <w:highlight w:val="none"/>
          <w:lang w:eastAsia="zh-CN"/>
          <w14:textFill>
            <w14:solidFill>
              <w14:schemeClr w14:val="tx1"/>
            </w14:solidFill>
          </w14:textFill>
        </w:rPr>
        <w:t>盖单位公章</w:t>
      </w:r>
      <w:r>
        <w:rPr>
          <w:rFonts w:hint="eastAsia" w:ascii="宋体" w:eastAsia="宋体" w:cs="宋体"/>
          <w:b w:val="0"/>
          <w:bCs w:val="0"/>
          <w:color w:val="000000" w:themeColor="text1"/>
          <w:szCs w:val="24"/>
          <w:highlight w:val="none"/>
          <w14:textFill>
            <w14:solidFill>
              <w14:schemeClr w14:val="tx1"/>
            </w14:solidFill>
          </w14:textFill>
        </w:rPr>
        <w:t>后生效。</w:t>
      </w:r>
    </w:p>
    <w:p w14:paraId="065662B3">
      <w:pPr>
        <w:pStyle w:val="86"/>
        <w:spacing w:line="500" w:lineRule="exact"/>
        <w:ind w:left="0" w:right="0" w:firstLine="480" w:firstLineChars="200"/>
        <w:rPr>
          <w:rFonts w:ascii="宋体" w:hAnsi="宋体" w:cs="宋体"/>
          <w:color w:val="000000" w:themeColor="text1"/>
          <w:sz w:val="24"/>
          <w:szCs w:val="24"/>
          <w:highlight w:val="none"/>
          <w14:textFill>
            <w14:solidFill>
              <w14:schemeClr w14:val="tx1"/>
            </w14:solidFill>
          </w14:textFill>
        </w:rPr>
      </w:pPr>
      <w:bookmarkStart w:id="175" w:name="_bookmark110"/>
      <w:bookmarkEnd w:id="175"/>
      <w:r>
        <w:rPr>
          <w:rFonts w:hint="eastAsia" w:ascii="宋体" w:hAnsi="宋体" w:cs="宋体"/>
          <w:color w:val="000000" w:themeColor="text1"/>
          <w:sz w:val="24"/>
          <w:szCs w:val="24"/>
          <w:highlight w:val="none"/>
          <w14:textFill>
            <w14:solidFill>
              <w14:schemeClr w14:val="tx1"/>
            </w14:solidFill>
          </w14:textFill>
        </w:rPr>
        <w:t>1.5 联络</w:t>
      </w:r>
    </w:p>
    <w:p w14:paraId="31FBEF59">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1.5.1 </w:t>
      </w:r>
      <w:r>
        <w:rPr>
          <w:rFonts w:hint="eastAsia" w:ascii="宋体" w:eastAsia="宋体" w:cs="宋体"/>
          <w:b w:val="0"/>
          <w:bCs w:val="0"/>
          <w:color w:val="000000" w:themeColor="text1"/>
          <w:spacing w:val="-4"/>
          <w:szCs w:val="24"/>
          <w:highlight w:val="none"/>
          <w14:textFill>
            <w14:solidFill>
              <w14:schemeClr w14:val="tx1"/>
            </w14:solidFill>
          </w14:textFill>
        </w:rPr>
        <w:t>买卖双方应就合同履行中有关的事项及时进行联络，重要事项应通过书面形式进行联</w:t>
      </w:r>
      <w:r>
        <w:rPr>
          <w:rFonts w:hint="eastAsia" w:ascii="宋体" w:eastAsia="宋体" w:cs="宋体"/>
          <w:b w:val="0"/>
          <w:bCs w:val="0"/>
          <w:color w:val="000000" w:themeColor="text1"/>
          <w:spacing w:val="-1"/>
          <w:szCs w:val="24"/>
          <w:highlight w:val="none"/>
          <w14:textFill>
            <w14:solidFill>
              <w14:schemeClr w14:val="tx1"/>
            </w14:solidFill>
          </w14:textFill>
        </w:rPr>
        <w:t>络或确认。合同履行过程中的任何联络及相关文件的签署，均应通过专用合同条款指定的联系</w:t>
      </w:r>
      <w:r>
        <w:rPr>
          <w:rFonts w:hint="eastAsia" w:ascii="宋体" w:eastAsia="宋体" w:cs="宋体"/>
          <w:b w:val="0"/>
          <w:bCs w:val="0"/>
          <w:color w:val="000000" w:themeColor="text1"/>
          <w:szCs w:val="24"/>
          <w:highlight w:val="none"/>
          <w14:textFill>
            <w14:solidFill>
              <w14:schemeClr w14:val="tx1"/>
            </w14:solidFill>
          </w14:textFill>
        </w:rPr>
        <w:t>人和联系方式进行。合同履行过程中，双方可以书面形式增加或变更指定联系人。</w:t>
      </w:r>
    </w:p>
    <w:p w14:paraId="080E1436">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1.5.2 合同履行中或与合同有关的任何联络，送达到第 1.5.1 项指定的联系人即视为送达。</w:t>
      </w:r>
    </w:p>
    <w:p w14:paraId="60771A98">
      <w:pPr>
        <w:pStyle w:val="86"/>
        <w:spacing w:line="500" w:lineRule="exact"/>
        <w:outlineLvl w:val="9"/>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 xml:space="preserve">1.5.3 </w:t>
      </w:r>
      <w:r>
        <w:rPr>
          <w:rFonts w:hint="eastAsia" w:ascii="宋体" w:hAnsi="宋体" w:cs="宋体"/>
          <w:color w:val="000000" w:themeColor="text1"/>
          <w:spacing w:val="-4"/>
          <w:sz w:val="24"/>
          <w:szCs w:val="24"/>
          <w:highlight w:val="none"/>
          <w14:textFill>
            <w14:solidFill>
              <w14:schemeClr w14:val="tx1"/>
            </w14:solidFill>
          </w14:textFill>
        </w:rPr>
        <w:t>买方可以安排监理等相关人员作为买方人员，与卖方进行联络或参加合同设备的监造</w:t>
      </w:r>
      <w:r>
        <w:rPr>
          <w:rFonts w:hint="eastAsia" w:ascii="宋体" w:hAnsi="宋体" w:cs="宋体"/>
          <w:color w:val="000000" w:themeColor="text1"/>
          <w:sz w:val="24"/>
          <w:szCs w:val="24"/>
          <w:highlight w:val="none"/>
          <w14:textFill>
            <w14:solidFill>
              <w14:schemeClr w14:val="tx1"/>
            </w14:solidFill>
          </w14:textFill>
        </w:rPr>
        <w:t>（如</w:t>
      </w:r>
      <w:r>
        <w:rPr>
          <w:rFonts w:hint="eastAsia" w:ascii="宋体" w:hAnsi="宋体" w:cs="宋体"/>
          <w:color w:val="000000" w:themeColor="text1"/>
          <w:spacing w:val="-3"/>
          <w:sz w:val="24"/>
          <w:szCs w:val="24"/>
          <w:highlight w:val="none"/>
          <w14:textFill>
            <w14:solidFill>
              <w14:schemeClr w14:val="tx1"/>
            </w14:solidFill>
          </w14:textFill>
        </w:rPr>
        <w:t>有</w:t>
      </w:r>
      <w:r>
        <w:rPr>
          <w:rFonts w:hint="eastAsia" w:ascii="宋体" w:hAnsi="宋体" w:cs="宋体"/>
          <w:color w:val="000000" w:themeColor="text1"/>
          <w:spacing w:val="-106"/>
          <w:sz w:val="24"/>
          <w:szCs w:val="24"/>
          <w:highlight w:val="none"/>
          <w14:textFill>
            <w14:solidFill>
              <w14:schemeClr w14:val="tx1"/>
            </w14:solidFill>
          </w14:textFill>
        </w:rPr>
        <w:t>）</w:t>
      </w:r>
      <w:r>
        <w:rPr>
          <w:rFonts w:hint="eastAsia" w:ascii="宋体" w:hAnsi="宋体" w:cs="宋体"/>
          <w:color w:val="000000" w:themeColor="text1"/>
          <w:spacing w:val="-13"/>
          <w:sz w:val="24"/>
          <w:szCs w:val="24"/>
          <w:highlight w:val="none"/>
          <w14:textFill>
            <w14:solidFill>
              <w14:schemeClr w14:val="tx1"/>
            </w14:solidFill>
          </w14:textFill>
        </w:rPr>
        <w:t>、</w:t>
      </w:r>
      <w:r>
        <w:rPr>
          <w:rFonts w:hint="eastAsia" w:ascii="宋体" w:hAnsi="宋体" w:cs="宋体"/>
          <w:color w:val="000000" w:themeColor="text1"/>
          <w:sz w:val="24"/>
          <w:szCs w:val="24"/>
          <w:highlight w:val="none"/>
          <w14:textFill>
            <w14:solidFill>
              <w14:schemeClr w14:val="tx1"/>
            </w14:solidFill>
          </w14:textFill>
        </w:rPr>
        <w:t>交</w:t>
      </w:r>
      <w:r>
        <w:rPr>
          <w:rFonts w:hint="eastAsia" w:ascii="宋体" w:hAnsi="宋体" w:cs="宋体"/>
          <w:color w:val="000000" w:themeColor="text1"/>
          <w:spacing w:val="-3"/>
          <w:sz w:val="24"/>
          <w:szCs w:val="24"/>
          <w:highlight w:val="none"/>
          <w14:textFill>
            <w14:solidFill>
              <w14:schemeClr w14:val="tx1"/>
            </w14:solidFill>
          </w14:textFill>
        </w:rPr>
        <w:t>货</w:t>
      </w:r>
      <w:r>
        <w:rPr>
          <w:rFonts w:hint="eastAsia" w:ascii="宋体" w:hAnsi="宋体" w:cs="宋体"/>
          <w:color w:val="000000" w:themeColor="text1"/>
          <w:sz w:val="24"/>
          <w:szCs w:val="24"/>
          <w:highlight w:val="none"/>
          <w14:textFill>
            <w14:solidFill>
              <w14:schemeClr w14:val="tx1"/>
            </w14:solidFill>
          </w14:textFill>
        </w:rPr>
        <w:t>前</w:t>
      </w:r>
      <w:r>
        <w:rPr>
          <w:rFonts w:hint="eastAsia" w:ascii="宋体" w:hAnsi="宋体" w:cs="宋体"/>
          <w:color w:val="000000" w:themeColor="text1"/>
          <w:spacing w:val="-3"/>
          <w:sz w:val="24"/>
          <w:szCs w:val="24"/>
          <w:highlight w:val="none"/>
          <w14:textFill>
            <w14:solidFill>
              <w14:schemeClr w14:val="tx1"/>
            </w14:solidFill>
          </w14:textFill>
        </w:rPr>
        <w:t>检</w:t>
      </w:r>
      <w:r>
        <w:rPr>
          <w:rFonts w:hint="eastAsia" w:ascii="宋体" w:hAnsi="宋体" w:cs="宋体"/>
          <w:color w:val="000000" w:themeColor="text1"/>
          <w:spacing w:val="-10"/>
          <w:sz w:val="24"/>
          <w:szCs w:val="24"/>
          <w:highlight w:val="none"/>
          <w14:textFill>
            <w14:solidFill>
              <w14:schemeClr w14:val="tx1"/>
            </w14:solidFill>
          </w14:textFill>
        </w:rPr>
        <w:t>验</w:t>
      </w: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pacing w:val="-3"/>
          <w:sz w:val="24"/>
          <w:szCs w:val="24"/>
          <w:highlight w:val="none"/>
          <w14:textFill>
            <w14:solidFill>
              <w14:schemeClr w14:val="tx1"/>
            </w14:solidFill>
          </w14:textFill>
        </w:rPr>
        <w:t>如</w:t>
      </w:r>
      <w:r>
        <w:rPr>
          <w:rFonts w:hint="eastAsia" w:ascii="宋体" w:hAnsi="宋体" w:cs="宋体"/>
          <w:color w:val="000000" w:themeColor="text1"/>
          <w:sz w:val="24"/>
          <w:szCs w:val="24"/>
          <w:highlight w:val="none"/>
          <w14:textFill>
            <w14:solidFill>
              <w14:schemeClr w14:val="tx1"/>
            </w14:solidFill>
          </w14:textFill>
        </w:rPr>
        <w:t>有</w:t>
      </w:r>
      <w:r>
        <w:rPr>
          <w:rFonts w:hint="eastAsia" w:ascii="宋体" w:hAnsi="宋体" w:cs="宋体"/>
          <w:color w:val="000000" w:themeColor="text1"/>
          <w:spacing w:val="-106"/>
          <w:sz w:val="24"/>
          <w:szCs w:val="24"/>
          <w:highlight w:val="none"/>
          <w14:textFill>
            <w14:solidFill>
              <w14:schemeClr w14:val="tx1"/>
            </w14:solidFill>
          </w14:textFill>
        </w:rPr>
        <w:t>）</w:t>
      </w:r>
      <w:r>
        <w:rPr>
          <w:rFonts w:hint="eastAsia" w:ascii="宋体" w:hAnsi="宋体" w:cs="宋体"/>
          <w:color w:val="000000" w:themeColor="text1"/>
          <w:spacing w:val="-13"/>
          <w:sz w:val="24"/>
          <w:szCs w:val="24"/>
          <w:highlight w:val="none"/>
          <w14:textFill>
            <w14:solidFill>
              <w14:schemeClr w14:val="tx1"/>
            </w14:solidFill>
          </w14:textFill>
        </w:rPr>
        <w:t>、</w:t>
      </w:r>
      <w:r>
        <w:rPr>
          <w:rFonts w:hint="eastAsia" w:ascii="宋体" w:hAnsi="宋体" w:cs="宋体"/>
          <w:color w:val="000000" w:themeColor="text1"/>
          <w:sz w:val="24"/>
          <w:szCs w:val="24"/>
          <w:highlight w:val="none"/>
          <w14:textFill>
            <w14:solidFill>
              <w14:schemeClr w14:val="tx1"/>
            </w14:solidFill>
          </w14:textFill>
        </w:rPr>
        <w:t>开</w:t>
      </w:r>
      <w:r>
        <w:rPr>
          <w:rFonts w:hint="eastAsia" w:ascii="宋体" w:hAnsi="宋体" w:cs="宋体"/>
          <w:color w:val="000000" w:themeColor="text1"/>
          <w:spacing w:val="-3"/>
          <w:sz w:val="24"/>
          <w:szCs w:val="24"/>
          <w:highlight w:val="none"/>
          <w14:textFill>
            <w14:solidFill>
              <w14:schemeClr w14:val="tx1"/>
            </w14:solidFill>
          </w14:textFill>
        </w:rPr>
        <w:t>箱</w:t>
      </w:r>
      <w:r>
        <w:rPr>
          <w:rFonts w:hint="eastAsia" w:ascii="宋体" w:hAnsi="宋体" w:cs="宋体"/>
          <w:color w:val="000000" w:themeColor="text1"/>
          <w:sz w:val="24"/>
          <w:szCs w:val="24"/>
          <w:highlight w:val="none"/>
          <w14:textFill>
            <w14:solidFill>
              <w14:schemeClr w14:val="tx1"/>
            </w14:solidFill>
          </w14:textFill>
        </w:rPr>
        <w:t>检</w:t>
      </w:r>
      <w:r>
        <w:rPr>
          <w:rFonts w:hint="eastAsia" w:ascii="宋体" w:hAnsi="宋体" w:cs="宋体"/>
          <w:color w:val="000000" w:themeColor="text1"/>
          <w:spacing w:val="-3"/>
          <w:sz w:val="24"/>
          <w:szCs w:val="24"/>
          <w:highlight w:val="none"/>
          <w14:textFill>
            <w14:solidFill>
              <w14:schemeClr w14:val="tx1"/>
            </w14:solidFill>
          </w14:textFill>
        </w:rPr>
        <w:t>验</w:t>
      </w:r>
      <w:r>
        <w:rPr>
          <w:rFonts w:hint="eastAsia" w:ascii="宋体" w:hAnsi="宋体" w:cs="宋体"/>
          <w:color w:val="000000" w:themeColor="text1"/>
          <w:spacing w:val="-10"/>
          <w:sz w:val="24"/>
          <w:szCs w:val="24"/>
          <w:highlight w:val="none"/>
          <w14:textFill>
            <w14:solidFill>
              <w14:schemeClr w14:val="tx1"/>
            </w14:solidFill>
          </w14:textFill>
        </w:rPr>
        <w:t>、</w:t>
      </w:r>
      <w:r>
        <w:rPr>
          <w:rFonts w:hint="eastAsia" w:ascii="宋体" w:hAnsi="宋体" w:cs="宋体"/>
          <w:color w:val="000000" w:themeColor="text1"/>
          <w:sz w:val="24"/>
          <w:szCs w:val="24"/>
          <w:highlight w:val="none"/>
          <w14:textFill>
            <w14:solidFill>
              <w14:schemeClr w14:val="tx1"/>
            </w14:solidFill>
          </w14:textFill>
        </w:rPr>
        <w:t>安</w:t>
      </w:r>
      <w:r>
        <w:rPr>
          <w:rFonts w:hint="eastAsia" w:ascii="宋体" w:hAnsi="宋体" w:cs="宋体"/>
          <w:color w:val="000000" w:themeColor="text1"/>
          <w:spacing w:val="-3"/>
          <w:sz w:val="24"/>
          <w:szCs w:val="24"/>
          <w:highlight w:val="none"/>
          <w14:textFill>
            <w14:solidFill>
              <w14:schemeClr w14:val="tx1"/>
            </w14:solidFill>
          </w14:textFill>
        </w:rPr>
        <w:t>装</w:t>
      </w:r>
      <w:r>
        <w:rPr>
          <w:rFonts w:hint="eastAsia" w:ascii="宋体" w:hAnsi="宋体" w:cs="宋体"/>
          <w:color w:val="000000" w:themeColor="text1"/>
          <w:spacing w:val="-10"/>
          <w:sz w:val="24"/>
          <w:szCs w:val="24"/>
          <w:highlight w:val="none"/>
          <w14:textFill>
            <w14:solidFill>
              <w14:schemeClr w14:val="tx1"/>
            </w14:solidFill>
          </w14:textFill>
        </w:rPr>
        <w:t>、</w:t>
      </w:r>
      <w:r>
        <w:rPr>
          <w:rFonts w:hint="eastAsia" w:ascii="宋体" w:hAnsi="宋体" w:cs="宋体"/>
          <w:color w:val="000000" w:themeColor="text1"/>
          <w:spacing w:val="-3"/>
          <w:sz w:val="24"/>
          <w:szCs w:val="24"/>
          <w:highlight w:val="none"/>
          <w14:textFill>
            <w14:solidFill>
              <w14:schemeClr w14:val="tx1"/>
            </w14:solidFill>
          </w14:textFill>
        </w:rPr>
        <w:t>调</w:t>
      </w:r>
      <w:r>
        <w:rPr>
          <w:rFonts w:hint="eastAsia" w:ascii="宋体" w:hAnsi="宋体" w:cs="宋体"/>
          <w:color w:val="000000" w:themeColor="text1"/>
          <w:sz w:val="24"/>
          <w:szCs w:val="24"/>
          <w:highlight w:val="none"/>
          <w14:textFill>
            <w14:solidFill>
              <w14:schemeClr w14:val="tx1"/>
            </w14:solidFill>
          </w14:textFill>
        </w:rPr>
        <w:t>试</w:t>
      </w:r>
      <w:r>
        <w:rPr>
          <w:rFonts w:hint="eastAsia" w:ascii="宋体" w:hAnsi="宋体" w:cs="宋体"/>
          <w:color w:val="000000" w:themeColor="text1"/>
          <w:spacing w:val="-10"/>
          <w:sz w:val="24"/>
          <w:szCs w:val="24"/>
          <w:highlight w:val="none"/>
          <w14:textFill>
            <w14:solidFill>
              <w14:schemeClr w14:val="tx1"/>
            </w14:solidFill>
          </w14:textFill>
        </w:rPr>
        <w:t>、</w:t>
      </w:r>
      <w:r>
        <w:rPr>
          <w:rFonts w:hint="eastAsia" w:ascii="宋体" w:hAnsi="宋体" w:cs="宋体"/>
          <w:color w:val="000000" w:themeColor="text1"/>
          <w:spacing w:val="-3"/>
          <w:sz w:val="24"/>
          <w:szCs w:val="24"/>
          <w:highlight w:val="none"/>
          <w14:textFill>
            <w14:solidFill>
              <w14:schemeClr w14:val="tx1"/>
            </w14:solidFill>
          </w14:textFill>
        </w:rPr>
        <w:t>考</w:t>
      </w:r>
      <w:r>
        <w:rPr>
          <w:rFonts w:hint="eastAsia" w:ascii="宋体" w:hAnsi="宋体" w:cs="宋体"/>
          <w:color w:val="000000" w:themeColor="text1"/>
          <w:sz w:val="24"/>
          <w:szCs w:val="24"/>
          <w:highlight w:val="none"/>
          <w14:textFill>
            <w14:solidFill>
              <w14:schemeClr w14:val="tx1"/>
            </w14:solidFill>
          </w14:textFill>
        </w:rPr>
        <w:t>核</w:t>
      </w:r>
      <w:r>
        <w:rPr>
          <w:rFonts w:hint="eastAsia" w:ascii="宋体" w:hAnsi="宋体" w:cs="宋体"/>
          <w:color w:val="000000" w:themeColor="text1"/>
          <w:spacing w:val="-13"/>
          <w:sz w:val="24"/>
          <w:szCs w:val="24"/>
          <w:highlight w:val="none"/>
          <w14:textFill>
            <w14:solidFill>
              <w14:schemeClr w14:val="tx1"/>
            </w14:solidFill>
          </w14:textFill>
        </w:rPr>
        <w:t>、</w:t>
      </w:r>
      <w:r>
        <w:rPr>
          <w:rFonts w:hint="eastAsia" w:ascii="宋体" w:hAnsi="宋体" w:cs="宋体"/>
          <w:color w:val="000000" w:themeColor="text1"/>
          <w:sz w:val="24"/>
          <w:szCs w:val="24"/>
          <w:highlight w:val="none"/>
          <w14:textFill>
            <w14:solidFill>
              <w14:schemeClr w14:val="tx1"/>
            </w14:solidFill>
          </w14:textFill>
        </w:rPr>
        <w:t>验</w:t>
      </w:r>
      <w:r>
        <w:rPr>
          <w:rFonts w:hint="eastAsia" w:ascii="宋体" w:hAnsi="宋体" w:cs="宋体"/>
          <w:color w:val="000000" w:themeColor="text1"/>
          <w:spacing w:val="-3"/>
          <w:sz w:val="24"/>
          <w:szCs w:val="24"/>
          <w:highlight w:val="none"/>
          <w14:textFill>
            <w14:solidFill>
              <w14:schemeClr w14:val="tx1"/>
            </w14:solidFill>
          </w14:textFill>
        </w:rPr>
        <w:t>收</w:t>
      </w:r>
      <w:r>
        <w:rPr>
          <w:rFonts w:hint="eastAsia" w:ascii="宋体" w:hAnsi="宋体" w:cs="宋体"/>
          <w:color w:val="000000" w:themeColor="text1"/>
          <w:sz w:val="24"/>
          <w:szCs w:val="24"/>
          <w:highlight w:val="none"/>
          <w14:textFill>
            <w14:solidFill>
              <w14:schemeClr w14:val="tx1"/>
            </w14:solidFill>
          </w14:textFill>
        </w:rPr>
        <w:t>等</w:t>
      </w:r>
      <w:r>
        <w:rPr>
          <w:rFonts w:hint="eastAsia" w:ascii="宋体" w:hAnsi="宋体" w:cs="宋体"/>
          <w:color w:val="000000" w:themeColor="text1"/>
          <w:spacing w:val="-13"/>
          <w:sz w:val="24"/>
          <w:szCs w:val="24"/>
          <w:highlight w:val="none"/>
          <w14:textFill>
            <w14:solidFill>
              <w14:schemeClr w14:val="tx1"/>
            </w14:solidFill>
          </w14:textFill>
        </w:rPr>
        <w:t>，</w:t>
      </w:r>
      <w:r>
        <w:rPr>
          <w:rFonts w:hint="eastAsia" w:ascii="宋体" w:hAnsi="宋体" w:cs="宋体"/>
          <w:color w:val="000000" w:themeColor="text1"/>
          <w:sz w:val="24"/>
          <w:szCs w:val="24"/>
          <w:highlight w:val="none"/>
          <w14:textFill>
            <w14:solidFill>
              <w14:schemeClr w14:val="tx1"/>
            </w14:solidFill>
          </w14:textFill>
        </w:rPr>
        <w:t>但</w:t>
      </w:r>
      <w:r>
        <w:rPr>
          <w:rFonts w:hint="eastAsia" w:ascii="宋体" w:hAnsi="宋体" w:cs="宋体"/>
          <w:color w:val="000000" w:themeColor="text1"/>
          <w:spacing w:val="-3"/>
          <w:sz w:val="24"/>
          <w:szCs w:val="24"/>
          <w:highlight w:val="none"/>
          <w14:textFill>
            <w14:solidFill>
              <w14:schemeClr w14:val="tx1"/>
            </w14:solidFill>
          </w14:textFill>
        </w:rPr>
        <w:t>应</w:t>
      </w:r>
      <w:r>
        <w:rPr>
          <w:rFonts w:hint="eastAsia" w:ascii="宋体" w:hAnsi="宋体" w:cs="宋体"/>
          <w:color w:val="000000" w:themeColor="text1"/>
          <w:sz w:val="24"/>
          <w:szCs w:val="24"/>
          <w:highlight w:val="none"/>
          <w14:textFill>
            <w14:solidFill>
              <w14:schemeClr w14:val="tx1"/>
            </w14:solidFill>
          </w14:textFill>
        </w:rPr>
        <w:t>按</w:t>
      </w:r>
      <w:r>
        <w:rPr>
          <w:rFonts w:hint="eastAsia" w:ascii="宋体" w:hAnsi="宋体" w:cs="宋体"/>
          <w:color w:val="000000" w:themeColor="text1"/>
          <w:spacing w:val="-3"/>
          <w:sz w:val="24"/>
          <w:szCs w:val="24"/>
          <w:highlight w:val="none"/>
          <w14:textFill>
            <w14:solidFill>
              <w14:schemeClr w14:val="tx1"/>
            </w14:solidFill>
          </w14:textFill>
        </w:rPr>
        <w:t>照</w:t>
      </w:r>
      <w:r>
        <w:rPr>
          <w:rFonts w:hint="eastAsia" w:ascii="宋体" w:hAnsi="宋体" w:cs="宋体"/>
          <w:color w:val="000000" w:themeColor="text1"/>
          <w:sz w:val="24"/>
          <w:szCs w:val="24"/>
          <w:highlight w:val="none"/>
          <w14:textFill>
            <w14:solidFill>
              <w14:schemeClr w14:val="tx1"/>
            </w14:solidFill>
          </w14:textFill>
        </w:rPr>
        <w:t>第</w:t>
      </w:r>
      <w:r>
        <w:rPr>
          <w:rFonts w:hint="eastAsia" w:ascii="宋体" w:hAnsi="宋体" w:cs="宋体"/>
          <w:color w:val="000000" w:themeColor="text1"/>
          <w:spacing w:val="-53"/>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1.5</w:t>
      </w:r>
      <w:r>
        <w:rPr>
          <w:rFonts w:hint="eastAsia" w:ascii="宋体" w:hAnsi="宋体" w:cs="宋体"/>
          <w:color w:val="000000" w:themeColor="text1"/>
          <w:spacing w:val="-3"/>
          <w:sz w:val="24"/>
          <w:szCs w:val="24"/>
          <w:highlight w:val="none"/>
          <w14:textFill>
            <w14:solidFill>
              <w14:schemeClr w14:val="tx1"/>
            </w14:solidFill>
          </w14:textFill>
        </w:rPr>
        <w:t>.</w:t>
      </w:r>
      <w:r>
        <w:rPr>
          <w:rFonts w:hint="eastAsia" w:ascii="宋体" w:hAnsi="宋体" w:cs="宋体"/>
          <w:color w:val="000000" w:themeColor="text1"/>
          <w:sz w:val="24"/>
          <w:szCs w:val="24"/>
          <w:highlight w:val="none"/>
          <w14:textFill>
            <w14:solidFill>
              <w14:schemeClr w14:val="tx1"/>
            </w14:solidFill>
          </w14:textFill>
        </w:rPr>
        <w:t xml:space="preserve">1 </w:t>
      </w:r>
      <w:r>
        <w:rPr>
          <w:rFonts w:hint="eastAsia" w:ascii="宋体" w:hAnsi="宋体" w:cs="宋体"/>
          <w:color w:val="000000" w:themeColor="text1"/>
          <w:spacing w:val="-3"/>
          <w:sz w:val="24"/>
          <w:szCs w:val="24"/>
          <w:highlight w:val="none"/>
          <w14:textFill>
            <w14:solidFill>
              <w14:schemeClr w14:val="tx1"/>
            </w14:solidFill>
          </w14:textFill>
        </w:rPr>
        <w:t xml:space="preserve">项的 </w:t>
      </w:r>
      <w:r>
        <w:rPr>
          <w:rFonts w:hint="eastAsia" w:ascii="宋体" w:hAnsi="宋体" w:cs="宋体"/>
          <w:color w:val="000000" w:themeColor="text1"/>
          <w:sz w:val="24"/>
          <w:szCs w:val="24"/>
          <w:highlight w:val="none"/>
          <w14:textFill>
            <w14:solidFill>
              <w14:schemeClr w14:val="tx1"/>
            </w14:solidFill>
          </w14:textFill>
        </w:rPr>
        <w:t>约定事先书面通知卖方。</w:t>
      </w:r>
      <w:bookmarkStart w:id="176" w:name="_bookmark111"/>
      <w:bookmarkEnd w:id="176"/>
    </w:p>
    <w:p w14:paraId="776408DC">
      <w:pPr>
        <w:pStyle w:val="86"/>
        <w:spacing w:line="500" w:lineRule="exact"/>
        <w:ind w:left="0" w:right="0"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1.6  联合体</w:t>
      </w:r>
    </w:p>
    <w:p w14:paraId="04CA4B4C">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1.6.1 </w:t>
      </w:r>
      <w:r>
        <w:rPr>
          <w:rFonts w:hint="eastAsia" w:ascii="宋体" w:eastAsia="宋体" w:cs="宋体"/>
          <w:b w:val="0"/>
          <w:bCs w:val="0"/>
          <w:color w:val="000000" w:themeColor="text1"/>
          <w:spacing w:val="-4"/>
          <w:szCs w:val="24"/>
          <w:highlight w:val="none"/>
          <w14:textFill>
            <w14:solidFill>
              <w14:schemeClr w14:val="tx1"/>
            </w14:solidFill>
          </w14:textFill>
        </w:rPr>
        <w:t>卖方为联合体的，联合体各方应当共同与买方签订合同，并向买方为履行合同承担连</w:t>
      </w:r>
      <w:r>
        <w:rPr>
          <w:rFonts w:hint="eastAsia" w:ascii="宋体" w:eastAsia="宋体" w:cs="宋体"/>
          <w:b w:val="0"/>
          <w:bCs w:val="0"/>
          <w:color w:val="000000" w:themeColor="text1"/>
          <w:szCs w:val="24"/>
          <w:highlight w:val="none"/>
          <w14:textFill>
            <w14:solidFill>
              <w14:schemeClr w14:val="tx1"/>
            </w14:solidFill>
          </w14:textFill>
        </w:rPr>
        <w:t>带责任。</w:t>
      </w:r>
    </w:p>
    <w:p w14:paraId="21B12C09">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1.6.2 </w:t>
      </w:r>
      <w:r>
        <w:rPr>
          <w:rFonts w:hint="eastAsia" w:ascii="宋体" w:eastAsia="宋体" w:cs="宋体"/>
          <w:b w:val="0"/>
          <w:bCs w:val="0"/>
          <w:color w:val="000000" w:themeColor="text1"/>
          <w:spacing w:val="-4"/>
          <w:szCs w:val="24"/>
          <w:highlight w:val="none"/>
          <w14:textFill>
            <w14:solidFill>
              <w14:schemeClr w14:val="tx1"/>
            </w14:solidFill>
          </w14:textFill>
        </w:rPr>
        <w:t>在合同履行过程中，未经买方同意，不得修改联合体协议。联合体协议中关于联合体</w:t>
      </w:r>
      <w:r>
        <w:rPr>
          <w:rFonts w:hint="eastAsia" w:ascii="宋体" w:eastAsia="宋体" w:cs="宋体"/>
          <w:b w:val="0"/>
          <w:bCs w:val="0"/>
          <w:color w:val="000000" w:themeColor="text1"/>
          <w:szCs w:val="24"/>
          <w:highlight w:val="none"/>
          <w14:textFill>
            <w14:solidFill>
              <w14:schemeClr w14:val="tx1"/>
            </w14:solidFill>
          </w14:textFill>
        </w:rPr>
        <w:t>成员间权利义务的划分，并不影响或减损联合体各方应就履行合同向买方承担的连带责任。</w:t>
      </w:r>
    </w:p>
    <w:p w14:paraId="2A072877">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1.6.3 </w:t>
      </w:r>
      <w:r>
        <w:rPr>
          <w:rFonts w:hint="eastAsia" w:ascii="宋体" w:eastAsia="宋体" w:cs="宋体"/>
          <w:b w:val="0"/>
          <w:bCs w:val="0"/>
          <w:color w:val="000000" w:themeColor="text1"/>
          <w:spacing w:val="-4"/>
          <w:szCs w:val="24"/>
          <w:highlight w:val="none"/>
          <w14:textFill>
            <w14:solidFill>
              <w14:schemeClr w14:val="tx1"/>
            </w14:solidFill>
          </w14:textFill>
        </w:rPr>
        <w:t>联合体牵头人代表联合体与买方联系，并接受指示，负责组织联合体各成员全面履行</w:t>
      </w:r>
      <w:r>
        <w:rPr>
          <w:rFonts w:hint="eastAsia" w:ascii="宋体" w:eastAsia="宋体" w:cs="宋体"/>
          <w:b w:val="0"/>
          <w:bCs w:val="0"/>
          <w:color w:val="000000" w:themeColor="text1"/>
          <w:spacing w:val="-1"/>
          <w:szCs w:val="24"/>
          <w:highlight w:val="none"/>
          <w14:textFill>
            <w14:solidFill>
              <w14:schemeClr w14:val="tx1"/>
            </w14:solidFill>
          </w14:textFill>
        </w:rPr>
        <w:t>合同。除非专用合同条款另有约定，牵头人在履行合同中的所有行为均视为已获得联合体各方的授权。买方可将合同价款全部支付给牵头人并视为其已适当履行了付款义务。如牵头人的行</w:t>
      </w:r>
      <w:r>
        <w:rPr>
          <w:rFonts w:hint="eastAsia" w:ascii="宋体" w:eastAsia="宋体" w:cs="宋体"/>
          <w:b w:val="0"/>
          <w:bCs w:val="0"/>
          <w:color w:val="000000" w:themeColor="text1"/>
          <w:szCs w:val="24"/>
          <w:highlight w:val="none"/>
          <w14:textFill>
            <w14:solidFill>
              <w14:schemeClr w14:val="tx1"/>
            </w14:solidFill>
          </w14:textFill>
        </w:rPr>
        <w:t>为将构成对合同内容的变更，则牵头人须事先获得联合体各方的特别授权。</w:t>
      </w:r>
    </w:p>
    <w:p w14:paraId="072A3E26">
      <w:pPr>
        <w:pStyle w:val="86"/>
        <w:spacing w:line="500" w:lineRule="exact"/>
        <w:ind w:left="0" w:right="0" w:firstLine="480" w:firstLineChars="200"/>
        <w:rPr>
          <w:rFonts w:ascii="宋体" w:hAnsi="宋体" w:cs="宋体"/>
          <w:color w:val="000000" w:themeColor="text1"/>
          <w:sz w:val="24"/>
          <w:szCs w:val="24"/>
          <w:highlight w:val="none"/>
          <w14:textFill>
            <w14:solidFill>
              <w14:schemeClr w14:val="tx1"/>
            </w14:solidFill>
          </w14:textFill>
        </w:rPr>
      </w:pPr>
      <w:bookmarkStart w:id="177" w:name="_bookmark112"/>
      <w:bookmarkEnd w:id="177"/>
      <w:r>
        <w:rPr>
          <w:rFonts w:hint="eastAsia" w:ascii="宋体" w:hAnsi="宋体" w:cs="宋体"/>
          <w:color w:val="000000" w:themeColor="text1"/>
          <w:sz w:val="24"/>
          <w:szCs w:val="24"/>
          <w:highlight w:val="none"/>
          <w14:textFill>
            <w14:solidFill>
              <w14:schemeClr w14:val="tx1"/>
            </w14:solidFill>
          </w14:textFill>
        </w:rPr>
        <w:t>1.7</w:t>
      </w:r>
      <w:r>
        <w:rPr>
          <w:rFonts w:hint="eastAsia" w:ascii="宋体" w:hAnsi="宋体" w:cs="宋体"/>
          <w:color w:val="000000" w:themeColor="text1"/>
          <w:spacing w:val="69"/>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转让</w:t>
      </w:r>
    </w:p>
    <w:p w14:paraId="1000D00F">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未经对方当事人书面同意，合同任何一方均不得转让其在合同项下的权利和（或）义务。</w:t>
      </w:r>
    </w:p>
    <w:p w14:paraId="2C607D2E">
      <w:pPr>
        <w:pStyle w:val="84"/>
        <w:spacing w:line="500" w:lineRule="exact"/>
        <w:ind w:left="0" w:right="0" w:firstLine="480" w:firstLineChars="200"/>
        <w:rPr>
          <w:rFonts w:ascii="宋体" w:hAnsi="宋体" w:eastAsia="宋体" w:cs="宋体"/>
          <w:b w:val="0"/>
          <w:bCs w:val="0"/>
          <w:color w:val="000000" w:themeColor="text1"/>
          <w:sz w:val="24"/>
          <w:szCs w:val="24"/>
          <w:highlight w:val="none"/>
          <w14:textFill>
            <w14:solidFill>
              <w14:schemeClr w14:val="tx1"/>
            </w14:solidFill>
          </w14:textFill>
        </w:rPr>
      </w:pPr>
      <w:bookmarkStart w:id="178" w:name="_bookmark113"/>
      <w:bookmarkEnd w:id="178"/>
      <w:r>
        <w:rPr>
          <w:rFonts w:hint="eastAsia" w:ascii="宋体" w:hAnsi="宋体" w:eastAsia="宋体" w:cs="宋体"/>
          <w:b w:val="0"/>
          <w:bCs w:val="0"/>
          <w:color w:val="000000" w:themeColor="text1"/>
          <w:sz w:val="24"/>
          <w:szCs w:val="24"/>
          <w:highlight w:val="none"/>
          <w14:textFill>
            <w14:solidFill>
              <w14:schemeClr w14:val="tx1"/>
            </w14:solidFill>
          </w14:textFill>
        </w:rPr>
        <w:t>2.  合同范围</w:t>
      </w:r>
    </w:p>
    <w:p w14:paraId="0C8A278A">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卖方应根据供货要求、中标设备技术性能指标的详细描述、技术服务和质保期服务计划等合同文件的约定向买方提供合同设备、技术服务和质保期服务。</w:t>
      </w:r>
    </w:p>
    <w:p w14:paraId="69814FBE">
      <w:pPr>
        <w:pStyle w:val="84"/>
        <w:spacing w:line="500" w:lineRule="exact"/>
        <w:ind w:left="0" w:right="0" w:firstLine="480" w:firstLineChars="200"/>
        <w:rPr>
          <w:rFonts w:ascii="宋体" w:hAnsi="宋体" w:eastAsia="宋体" w:cs="宋体"/>
          <w:b w:val="0"/>
          <w:bCs w:val="0"/>
          <w:color w:val="000000" w:themeColor="text1"/>
          <w:sz w:val="24"/>
          <w:szCs w:val="24"/>
          <w:highlight w:val="none"/>
          <w14:textFill>
            <w14:solidFill>
              <w14:schemeClr w14:val="tx1"/>
            </w14:solidFill>
          </w14:textFill>
        </w:rPr>
      </w:pPr>
      <w:bookmarkStart w:id="179" w:name="_bookmark114"/>
      <w:bookmarkEnd w:id="179"/>
      <w:r>
        <w:rPr>
          <w:rFonts w:hint="eastAsia" w:ascii="宋体" w:hAnsi="宋体" w:eastAsia="宋体" w:cs="宋体"/>
          <w:b w:val="0"/>
          <w:bCs w:val="0"/>
          <w:color w:val="000000" w:themeColor="text1"/>
          <w:sz w:val="24"/>
          <w:szCs w:val="24"/>
          <w:highlight w:val="none"/>
          <w14:textFill>
            <w14:solidFill>
              <w14:schemeClr w14:val="tx1"/>
            </w14:solidFill>
          </w14:textFill>
        </w:rPr>
        <w:t>3.  合同价格与支付</w:t>
      </w:r>
    </w:p>
    <w:p w14:paraId="5F5DA849">
      <w:pPr>
        <w:pStyle w:val="86"/>
        <w:spacing w:line="500" w:lineRule="exact"/>
        <w:ind w:left="0" w:right="0" w:firstLine="480" w:firstLineChars="200"/>
        <w:rPr>
          <w:rFonts w:ascii="宋体" w:hAnsi="宋体" w:cs="宋体"/>
          <w:color w:val="000000" w:themeColor="text1"/>
          <w:sz w:val="24"/>
          <w:szCs w:val="24"/>
          <w:highlight w:val="none"/>
          <w14:textFill>
            <w14:solidFill>
              <w14:schemeClr w14:val="tx1"/>
            </w14:solidFill>
          </w14:textFill>
        </w:rPr>
      </w:pPr>
      <w:bookmarkStart w:id="180" w:name="_bookmark115"/>
      <w:bookmarkEnd w:id="180"/>
      <w:r>
        <w:rPr>
          <w:rFonts w:hint="eastAsia" w:ascii="宋体" w:hAnsi="宋体" w:cs="宋体"/>
          <w:color w:val="000000" w:themeColor="text1"/>
          <w:sz w:val="24"/>
          <w:szCs w:val="24"/>
          <w:highlight w:val="none"/>
          <w14:textFill>
            <w14:solidFill>
              <w14:schemeClr w14:val="tx1"/>
            </w14:solidFill>
          </w14:textFill>
        </w:rPr>
        <w:t>3.1  合同价格</w:t>
      </w:r>
    </w:p>
    <w:p w14:paraId="22DDA31C">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3.1.1 </w:t>
      </w:r>
      <w:r>
        <w:rPr>
          <w:rFonts w:hint="eastAsia" w:ascii="宋体" w:eastAsia="宋体" w:cs="宋体"/>
          <w:b w:val="0"/>
          <w:bCs w:val="0"/>
          <w:color w:val="000000" w:themeColor="text1"/>
          <w:spacing w:val="-4"/>
          <w:szCs w:val="24"/>
          <w:highlight w:val="none"/>
          <w14:textFill>
            <w14:solidFill>
              <w14:schemeClr w14:val="tx1"/>
            </w14:solidFill>
          </w14:textFill>
        </w:rPr>
        <w:t>合同协议书中载明的签约合同价包括卖方为完成合同全部义务应承担的一切成本、费</w:t>
      </w:r>
      <w:r>
        <w:rPr>
          <w:rFonts w:hint="eastAsia" w:ascii="宋体" w:eastAsia="宋体" w:cs="宋体"/>
          <w:b w:val="0"/>
          <w:bCs w:val="0"/>
          <w:color w:val="000000" w:themeColor="text1"/>
          <w:szCs w:val="24"/>
          <w:highlight w:val="none"/>
          <w14:textFill>
            <w14:solidFill>
              <w14:schemeClr w14:val="tx1"/>
            </w14:solidFill>
          </w14:textFill>
        </w:rPr>
        <w:t>用和支出以及卖方的合理利润。</w:t>
      </w:r>
    </w:p>
    <w:p w14:paraId="46754C6F">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3.1.2 除专用合同条款另有约定外，签约合同价为固定价格。</w:t>
      </w:r>
    </w:p>
    <w:p w14:paraId="1F4E95A3">
      <w:pPr>
        <w:pStyle w:val="86"/>
        <w:spacing w:line="500" w:lineRule="exact"/>
        <w:ind w:left="0" w:right="0" w:firstLine="480" w:firstLineChars="200"/>
        <w:rPr>
          <w:rFonts w:ascii="宋体" w:hAnsi="宋体" w:cs="宋体"/>
          <w:color w:val="000000" w:themeColor="text1"/>
          <w:sz w:val="24"/>
          <w:szCs w:val="24"/>
          <w:highlight w:val="none"/>
          <w14:textFill>
            <w14:solidFill>
              <w14:schemeClr w14:val="tx1"/>
            </w14:solidFill>
          </w14:textFill>
        </w:rPr>
      </w:pPr>
      <w:bookmarkStart w:id="181" w:name="_bookmark116"/>
      <w:bookmarkEnd w:id="181"/>
      <w:r>
        <w:rPr>
          <w:rFonts w:hint="eastAsia" w:ascii="宋体" w:hAnsi="宋体" w:cs="宋体"/>
          <w:color w:val="000000" w:themeColor="text1"/>
          <w:sz w:val="24"/>
          <w:szCs w:val="24"/>
          <w:highlight w:val="none"/>
          <w14:textFill>
            <w14:solidFill>
              <w14:schemeClr w14:val="tx1"/>
            </w14:solidFill>
          </w14:textFill>
        </w:rPr>
        <w:t>3.2 合同价款的支付</w:t>
      </w:r>
    </w:p>
    <w:p w14:paraId="5C91C485">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除专用合同条款另有约定外，买方应通过以下方式和比例向卖方支付合同价款：</w:t>
      </w:r>
    </w:p>
    <w:p w14:paraId="26457FA1">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3.2.1 预付款合同生效后，买方在收到卖方开具的注明应付预付款金额的财务收据正本一份并经审核无误后</w:t>
      </w:r>
      <w:r>
        <w:rPr>
          <w:rFonts w:hint="eastAsia" w:ascii="宋体" w:eastAsia="宋体" w:cs="宋体"/>
          <w:b w:val="0"/>
          <w:bCs w:val="0"/>
          <w:color w:val="000000" w:themeColor="text1"/>
          <w:spacing w:val="-55"/>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28日内，向卖方支付签约合同价的</w:t>
      </w:r>
      <w:r>
        <w:rPr>
          <w:rFonts w:hint="eastAsia" w:ascii="宋体" w:eastAsia="宋体" w:cs="宋体"/>
          <w:b w:val="0"/>
          <w:bCs w:val="0"/>
          <w:color w:val="000000" w:themeColor="text1"/>
          <w:spacing w:val="-55"/>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10%作为预付款。</w:t>
      </w:r>
    </w:p>
    <w:p w14:paraId="0D5A8F1A">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买方支付预付款后，如卖方未履行合同义务，则买方有权收回预付款；如卖方依约履行了合同义务，则预付款抵作合同价款。</w:t>
      </w:r>
    </w:p>
    <w:p w14:paraId="659A8263">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3.2.2 交货款卖方按合同约定交付全部合同设备后，买方在收到卖方提交的下列全部单据并经审核无误后</w:t>
      </w:r>
      <w:r>
        <w:rPr>
          <w:rFonts w:hint="eastAsia" w:ascii="宋体" w:eastAsia="宋体" w:cs="宋体"/>
          <w:b w:val="0"/>
          <w:bCs w:val="0"/>
          <w:color w:val="000000" w:themeColor="text1"/>
          <w:spacing w:val="-54"/>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28日内，向卖方支付合同价格的</w:t>
      </w:r>
      <w:r>
        <w:rPr>
          <w:rFonts w:hint="eastAsia" w:ascii="宋体" w:eastAsia="宋体" w:cs="宋体"/>
          <w:b w:val="0"/>
          <w:bCs w:val="0"/>
          <w:color w:val="000000" w:themeColor="text1"/>
          <w:spacing w:val="-54"/>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60%：</w:t>
      </w:r>
    </w:p>
    <w:p w14:paraId="4896EE65">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（1）卖方出具的交货清单正本一份；</w:t>
      </w:r>
    </w:p>
    <w:p w14:paraId="60CBC3F4">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（2）买方签署的收货清单正本一份；</w:t>
      </w:r>
    </w:p>
    <w:p w14:paraId="6C5FA6E3">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（3）制造商出具的出厂质量合格证正本一份；</w:t>
      </w:r>
    </w:p>
    <w:p w14:paraId="2EFD0233">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（4）合同价格100%金额的增值税发票正本一份。</w:t>
      </w:r>
    </w:p>
    <w:p w14:paraId="7F77662F">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3.2.3 验收款买方在收到卖方提交的买卖双方签署的合同设备验收证书或已生效的验收款支付函正本一份并经审核无误后</w:t>
      </w:r>
      <w:r>
        <w:rPr>
          <w:rFonts w:hint="eastAsia" w:ascii="宋体" w:eastAsia="宋体" w:cs="宋体"/>
          <w:b w:val="0"/>
          <w:bCs w:val="0"/>
          <w:color w:val="000000" w:themeColor="text1"/>
          <w:spacing w:val="-55"/>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28日内，向卖方支付合同价格的</w:t>
      </w:r>
      <w:r>
        <w:rPr>
          <w:rFonts w:hint="eastAsia" w:ascii="宋体" w:eastAsia="宋体" w:cs="宋体"/>
          <w:b w:val="0"/>
          <w:bCs w:val="0"/>
          <w:color w:val="000000" w:themeColor="text1"/>
          <w:spacing w:val="-57"/>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25%。</w:t>
      </w:r>
    </w:p>
    <w:p w14:paraId="7EF7CFB8">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3.2.4 结清款买方在收到卖方提交的买方签署的质量保证期届满证书或已生效的结清款支付函正本一份并经审核无误后</w:t>
      </w:r>
      <w:r>
        <w:rPr>
          <w:rFonts w:hint="eastAsia" w:ascii="宋体" w:eastAsia="宋体" w:cs="宋体"/>
          <w:b w:val="0"/>
          <w:bCs w:val="0"/>
          <w:color w:val="000000" w:themeColor="text1"/>
          <w:spacing w:val="-54"/>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28日内，向卖方支付合同价格的</w:t>
      </w:r>
      <w:r>
        <w:rPr>
          <w:rFonts w:hint="eastAsia" w:ascii="宋体" w:eastAsia="宋体" w:cs="宋体"/>
          <w:b w:val="0"/>
          <w:bCs w:val="0"/>
          <w:color w:val="000000" w:themeColor="text1"/>
          <w:spacing w:val="-54"/>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5%。</w:t>
      </w:r>
    </w:p>
    <w:p w14:paraId="04DFF899">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如果依照合同第9.1项，卖方应向买方支付费用的，买方有权从结清款中直接扣除该笔费用。</w:t>
      </w:r>
    </w:p>
    <w:p w14:paraId="1AEEC4E1">
      <w:pPr>
        <w:pStyle w:val="13"/>
        <w:spacing w:line="500" w:lineRule="exact"/>
        <w:ind w:firstLine="47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pacing w:val="-1"/>
          <w:szCs w:val="24"/>
          <w:highlight w:val="none"/>
          <w14:textFill>
            <w14:solidFill>
              <w14:schemeClr w14:val="tx1"/>
            </w14:solidFill>
          </w14:textFill>
        </w:rPr>
        <w:t>除专用合同条款另有约定外，在买方向卖方支付验收款的同时或其后的任何时间内，卖方</w:t>
      </w:r>
      <w:r>
        <w:rPr>
          <w:rFonts w:hint="eastAsia" w:ascii="宋体" w:eastAsia="宋体" w:cs="宋体"/>
          <w:b w:val="0"/>
          <w:bCs w:val="0"/>
          <w:color w:val="000000" w:themeColor="text1"/>
          <w:szCs w:val="24"/>
          <w:highlight w:val="none"/>
          <w14:textFill>
            <w14:solidFill>
              <w14:schemeClr w14:val="tx1"/>
            </w14:solidFill>
          </w14:textFill>
        </w:rPr>
        <w:t>可在</w:t>
      </w:r>
      <w:r>
        <w:rPr>
          <w:rFonts w:hint="eastAsia" w:ascii="宋体" w:eastAsia="宋体" w:cs="宋体"/>
          <w:b w:val="0"/>
          <w:bCs w:val="0"/>
          <w:color w:val="000000" w:themeColor="text1"/>
          <w:spacing w:val="-3"/>
          <w:szCs w:val="24"/>
          <w:highlight w:val="none"/>
          <w14:textFill>
            <w14:solidFill>
              <w14:schemeClr w14:val="tx1"/>
            </w14:solidFill>
          </w14:textFill>
        </w:rPr>
        <w:t>向</w:t>
      </w:r>
      <w:r>
        <w:rPr>
          <w:rFonts w:hint="eastAsia" w:ascii="宋体" w:eastAsia="宋体" w:cs="宋体"/>
          <w:b w:val="0"/>
          <w:bCs w:val="0"/>
          <w:color w:val="000000" w:themeColor="text1"/>
          <w:szCs w:val="24"/>
          <w:highlight w:val="none"/>
          <w14:textFill>
            <w14:solidFill>
              <w14:schemeClr w14:val="tx1"/>
            </w14:solidFill>
          </w14:textFill>
        </w:rPr>
        <w:t>买</w:t>
      </w:r>
      <w:r>
        <w:rPr>
          <w:rFonts w:hint="eastAsia" w:ascii="宋体" w:eastAsia="宋体" w:cs="宋体"/>
          <w:b w:val="0"/>
          <w:bCs w:val="0"/>
          <w:color w:val="000000" w:themeColor="text1"/>
          <w:spacing w:val="-3"/>
          <w:szCs w:val="24"/>
          <w:highlight w:val="none"/>
          <w14:textFill>
            <w14:solidFill>
              <w14:schemeClr w14:val="tx1"/>
            </w14:solidFill>
          </w14:textFill>
        </w:rPr>
        <w:t>方</w:t>
      </w:r>
      <w:r>
        <w:rPr>
          <w:rFonts w:hint="eastAsia" w:ascii="宋体" w:eastAsia="宋体" w:cs="宋体"/>
          <w:b w:val="0"/>
          <w:bCs w:val="0"/>
          <w:color w:val="000000" w:themeColor="text1"/>
          <w:szCs w:val="24"/>
          <w:highlight w:val="none"/>
          <w14:textFill>
            <w14:solidFill>
              <w14:schemeClr w14:val="tx1"/>
            </w14:solidFill>
          </w14:textFill>
        </w:rPr>
        <w:t>提</w:t>
      </w:r>
      <w:r>
        <w:rPr>
          <w:rFonts w:hint="eastAsia" w:ascii="宋体" w:eastAsia="宋体" w:cs="宋体"/>
          <w:b w:val="0"/>
          <w:bCs w:val="0"/>
          <w:color w:val="000000" w:themeColor="text1"/>
          <w:spacing w:val="-3"/>
          <w:szCs w:val="24"/>
          <w:highlight w:val="none"/>
          <w14:textFill>
            <w14:solidFill>
              <w14:schemeClr w14:val="tx1"/>
            </w14:solidFill>
          </w14:textFill>
        </w:rPr>
        <w:t>交</w:t>
      </w:r>
      <w:r>
        <w:rPr>
          <w:rFonts w:hint="eastAsia" w:ascii="宋体" w:eastAsia="宋体" w:cs="宋体"/>
          <w:b w:val="0"/>
          <w:bCs w:val="0"/>
          <w:color w:val="000000" w:themeColor="text1"/>
          <w:szCs w:val="24"/>
          <w:highlight w:val="none"/>
          <w14:textFill>
            <w14:solidFill>
              <w14:schemeClr w14:val="tx1"/>
            </w14:solidFill>
          </w14:textFill>
        </w:rPr>
        <w:t>买</w:t>
      </w:r>
      <w:r>
        <w:rPr>
          <w:rFonts w:hint="eastAsia" w:ascii="宋体" w:eastAsia="宋体" w:cs="宋体"/>
          <w:b w:val="0"/>
          <w:bCs w:val="0"/>
          <w:color w:val="000000" w:themeColor="text1"/>
          <w:spacing w:val="-3"/>
          <w:szCs w:val="24"/>
          <w:highlight w:val="none"/>
          <w14:textFill>
            <w14:solidFill>
              <w14:schemeClr w14:val="tx1"/>
            </w14:solidFill>
          </w14:textFill>
        </w:rPr>
        <w:t>方</w:t>
      </w:r>
      <w:r>
        <w:rPr>
          <w:rFonts w:hint="eastAsia" w:ascii="宋体" w:eastAsia="宋体" w:cs="宋体"/>
          <w:b w:val="0"/>
          <w:bCs w:val="0"/>
          <w:color w:val="000000" w:themeColor="text1"/>
          <w:szCs w:val="24"/>
          <w:highlight w:val="none"/>
          <w14:textFill>
            <w14:solidFill>
              <w14:schemeClr w14:val="tx1"/>
            </w14:solidFill>
          </w14:textFill>
        </w:rPr>
        <w:t>可</w:t>
      </w:r>
      <w:r>
        <w:rPr>
          <w:rFonts w:hint="eastAsia" w:ascii="宋体" w:eastAsia="宋体" w:cs="宋体"/>
          <w:b w:val="0"/>
          <w:bCs w:val="0"/>
          <w:color w:val="000000" w:themeColor="text1"/>
          <w:spacing w:val="-3"/>
          <w:szCs w:val="24"/>
          <w:highlight w:val="none"/>
          <w14:textFill>
            <w14:solidFill>
              <w14:schemeClr w14:val="tx1"/>
            </w14:solidFill>
          </w14:textFill>
        </w:rPr>
        <w:t>接</w:t>
      </w:r>
      <w:r>
        <w:rPr>
          <w:rFonts w:hint="eastAsia" w:ascii="宋体" w:eastAsia="宋体" w:cs="宋体"/>
          <w:b w:val="0"/>
          <w:bCs w:val="0"/>
          <w:color w:val="000000" w:themeColor="text1"/>
          <w:szCs w:val="24"/>
          <w:highlight w:val="none"/>
          <w14:textFill>
            <w14:solidFill>
              <w14:schemeClr w14:val="tx1"/>
            </w14:solidFill>
          </w14:textFill>
        </w:rPr>
        <w:t>受的</w:t>
      </w:r>
      <w:r>
        <w:rPr>
          <w:rFonts w:hint="eastAsia" w:ascii="宋体" w:eastAsia="宋体" w:cs="宋体"/>
          <w:b w:val="0"/>
          <w:bCs w:val="0"/>
          <w:color w:val="000000" w:themeColor="text1"/>
          <w:spacing w:val="-3"/>
          <w:szCs w:val="24"/>
          <w:highlight w:val="none"/>
          <w14:textFill>
            <w14:solidFill>
              <w14:schemeClr w14:val="tx1"/>
            </w14:solidFill>
          </w14:textFill>
        </w:rPr>
        <w:t>金</w:t>
      </w:r>
      <w:r>
        <w:rPr>
          <w:rFonts w:hint="eastAsia" w:ascii="宋体" w:eastAsia="宋体" w:cs="宋体"/>
          <w:b w:val="0"/>
          <w:bCs w:val="0"/>
          <w:color w:val="000000" w:themeColor="text1"/>
          <w:szCs w:val="24"/>
          <w:highlight w:val="none"/>
          <w14:textFill>
            <w14:solidFill>
              <w14:schemeClr w14:val="tx1"/>
            </w14:solidFill>
          </w14:textFill>
        </w:rPr>
        <w:t>额</w:t>
      </w:r>
      <w:r>
        <w:rPr>
          <w:rFonts w:hint="eastAsia" w:ascii="宋体" w:eastAsia="宋体" w:cs="宋体"/>
          <w:b w:val="0"/>
          <w:bCs w:val="0"/>
          <w:color w:val="000000" w:themeColor="text1"/>
          <w:spacing w:val="-3"/>
          <w:szCs w:val="24"/>
          <w:highlight w:val="none"/>
          <w14:textFill>
            <w14:solidFill>
              <w14:schemeClr w14:val="tx1"/>
            </w14:solidFill>
          </w14:textFill>
        </w:rPr>
        <w:t>为</w:t>
      </w:r>
      <w:r>
        <w:rPr>
          <w:rFonts w:hint="eastAsia" w:ascii="宋体" w:eastAsia="宋体" w:cs="宋体"/>
          <w:b w:val="0"/>
          <w:bCs w:val="0"/>
          <w:color w:val="000000" w:themeColor="text1"/>
          <w:szCs w:val="24"/>
          <w:highlight w:val="none"/>
          <w14:textFill>
            <w14:solidFill>
              <w14:schemeClr w14:val="tx1"/>
            </w14:solidFill>
          </w14:textFill>
        </w:rPr>
        <w:t>合</w:t>
      </w:r>
      <w:r>
        <w:rPr>
          <w:rFonts w:hint="eastAsia" w:ascii="宋体" w:eastAsia="宋体" w:cs="宋体"/>
          <w:b w:val="0"/>
          <w:bCs w:val="0"/>
          <w:color w:val="000000" w:themeColor="text1"/>
          <w:spacing w:val="-3"/>
          <w:szCs w:val="24"/>
          <w:highlight w:val="none"/>
          <w14:textFill>
            <w14:solidFill>
              <w14:schemeClr w14:val="tx1"/>
            </w14:solidFill>
          </w14:textFill>
        </w:rPr>
        <w:t>同价</w:t>
      </w:r>
      <w:r>
        <w:rPr>
          <w:rFonts w:hint="eastAsia" w:ascii="宋体" w:eastAsia="宋体" w:cs="宋体"/>
          <w:b w:val="0"/>
          <w:bCs w:val="0"/>
          <w:color w:val="000000" w:themeColor="text1"/>
          <w:szCs w:val="24"/>
          <w:highlight w:val="none"/>
          <w14:textFill>
            <w14:solidFill>
              <w14:schemeClr w14:val="tx1"/>
            </w14:solidFill>
          </w14:textFill>
        </w:rPr>
        <w:t>格</w:t>
      </w:r>
      <w:r>
        <w:rPr>
          <w:rFonts w:hint="eastAsia" w:ascii="宋体" w:eastAsia="宋体" w:cs="宋体"/>
          <w:b w:val="0"/>
          <w:bCs w:val="0"/>
          <w:color w:val="000000" w:themeColor="text1"/>
          <w:spacing w:val="-53"/>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5</w:t>
      </w:r>
      <w:r>
        <w:rPr>
          <w:rFonts w:hint="eastAsia" w:ascii="宋体" w:eastAsia="宋体" w:cs="宋体"/>
          <w:b w:val="0"/>
          <w:bCs w:val="0"/>
          <w:color w:val="000000" w:themeColor="text1"/>
          <w:spacing w:val="-1"/>
          <w:szCs w:val="24"/>
          <w:highlight w:val="none"/>
          <w14:textFill>
            <w14:solidFill>
              <w14:schemeClr w14:val="tx1"/>
            </w14:solidFill>
          </w14:textFill>
        </w:rPr>
        <w:t>%</w:t>
      </w:r>
      <w:r>
        <w:rPr>
          <w:rFonts w:hint="eastAsia" w:ascii="宋体" w:eastAsia="宋体" w:cs="宋体"/>
          <w:b w:val="0"/>
          <w:bCs w:val="0"/>
          <w:color w:val="000000" w:themeColor="text1"/>
          <w:spacing w:val="-3"/>
          <w:szCs w:val="24"/>
          <w:highlight w:val="none"/>
          <w14:textFill>
            <w14:solidFill>
              <w14:schemeClr w14:val="tx1"/>
            </w14:solidFill>
          </w14:textFill>
        </w:rPr>
        <w:t>的</w:t>
      </w:r>
      <w:r>
        <w:rPr>
          <w:rFonts w:hint="eastAsia" w:ascii="宋体" w:eastAsia="宋体" w:cs="宋体"/>
          <w:b w:val="0"/>
          <w:bCs w:val="0"/>
          <w:color w:val="000000" w:themeColor="text1"/>
          <w:szCs w:val="24"/>
          <w:highlight w:val="none"/>
          <w14:textFill>
            <w14:solidFill>
              <w14:schemeClr w14:val="tx1"/>
            </w14:solidFill>
          </w14:textFill>
        </w:rPr>
        <w:t>合同</w:t>
      </w:r>
      <w:r>
        <w:rPr>
          <w:rFonts w:hint="eastAsia" w:ascii="宋体" w:eastAsia="宋体" w:cs="宋体"/>
          <w:b w:val="0"/>
          <w:bCs w:val="0"/>
          <w:color w:val="000000" w:themeColor="text1"/>
          <w:spacing w:val="-3"/>
          <w:szCs w:val="24"/>
          <w:highlight w:val="none"/>
          <w14:textFill>
            <w14:solidFill>
              <w14:schemeClr w14:val="tx1"/>
            </w14:solidFill>
          </w14:textFill>
        </w:rPr>
        <w:t>结</w:t>
      </w:r>
      <w:r>
        <w:rPr>
          <w:rFonts w:hint="eastAsia" w:ascii="宋体" w:eastAsia="宋体" w:cs="宋体"/>
          <w:b w:val="0"/>
          <w:bCs w:val="0"/>
          <w:color w:val="000000" w:themeColor="text1"/>
          <w:szCs w:val="24"/>
          <w:highlight w:val="none"/>
          <w14:textFill>
            <w14:solidFill>
              <w14:schemeClr w14:val="tx1"/>
            </w14:solidFill>
          </w14:textFill>
        </w:rPr>
        <w:t>清</w:t>
      </w:r>
      <w:r>
        <w:rPr>
          <w:rFonts w:hint="eastAsia" w:ascii="宋体" w:eastAsia="宋体" w:cs="宋体"/>
          <w:b w:val="0"/>
          <w:bCs w:val="0"/>
          <w:color w:val="000000" w:themeColor="text1"/>
          <w:spacing w:val="-3"/>
          <w:szCs w:val="24"/>
          <w:highlight w:val="none"/>
          <w14:textFill>
            <w14:solidFill>
              <w14:schemeClr w14:val="tx1"/>
            </w14:solidFill>
          </w14:textFill>
        </w:rPr>
        <w:t>款</w:t>
      </w:r>
      <w:r>
        <w:rPr>
          <w:rFonts w:hint="eastAsia" w:ascii="宋体" w:eastAsia="宋体" w:cs="宋体"/>
          <w:b w:val="0"/>
          <w:bCs w:val="0"/>
          <w:color w:val="000000" w:themeColor="text1"/>
          <w:szCs w:val="24"/>
          <w:highlight w:val="none"/>
          <w14:textFill>
            <w14:solidFill>
              <w14:schemeClr w14:val="tx1"/>
            </w14:solidFill>
          </w14:textFill>
        </w:rPr>
        <w:t>保</w:t>
      </w:r>
      <w:r>
        <w:rPr>
          <w:rFonts w:hint="eastAsia" w:ascii="宋体" w:eastAsia="宋体" w:cs="宋体"/>
          <w:b w:val="0"/>
          <w:bCs w:val="0"/>
          <w:color w:val="000000" w:themeColor="text1"/>
          <w:spacing w:val="-3"/>
          <w:szCs w:val="24"/>
          <w:highlight w:val="none"/>
          <w14:textFill>
            <w14:solidFill>
              <w14:schemeClr w14:val="tx1"/>
            </w14:solidFill>
          </w14:textFill>
        </w:rPr>
        <w:t>函</w:t>
      </w:r>
      <w:r>
        <w:rPr>
          <w:rFonts w:hint="eastAsia" w:ascii="宋体" w:eastAsia="宋体" w:cs="宋体"/>
          <w:b w:val="0"/>
          <w:bCs w:val="0"/>
          <w:color w:val="000000" w:themeColor="text1"/>
          <w:szCs w:val="24"/>
          <w:highlight w:val="none"/>
          <w14:textFill>
            <w14:solidFill>
              <w14:schemeClr w14:val="tx1"/>
            </w14:solidFill>
          </w14:textFill>
        </w:rPr>
        <w:t>的</w:t>
      </w:r>
      <w:r>
        <w:rPr>
          <w:rFonts w:hint="eastAsia" w:ascii="宋体" w:eastAsia="宋体" w:cs="宋体"/>
          <w:b w:val="0"/>
          <w:bCs w:val="0"/>
          <w:color w:val="000000" w:themeColor="text1"/>
          <w:spacing w:val="-3"/>
          <w:szCs w:val="24"/>
          <w:highlight w:val="none"/>
          <w14:textFill>
            <w14:solidFill>
              <w14:schemeClr w14:val="tx1"/>
            </w14:solidFill>
          </w14:textFill>
        </w:rPr>
        <w:t>前</w:t>
      </w:r>
      <w:r>
        <w:rPr>
          <w:rFonts w:hint="eastAsia" w:ascii="宋体" w:eastAsia="宋体" w:cs="宋体"/>
          <w:b w:val="0"/>
          <w:bCs w:val="0"/>
          <w:color w:val="000000" w:themeColor="text1"/>
          <w:szCs w:val="24"/>
          <w:highlight w:val="none"/>
          <w14:textFill>
            <w14:solidFill>
              <w14:schemeClr w14:val="tx1"/>
            </w14:solidFill>
          </w14:textFill>
        </w:rPr>
        <w:t>提下</w:t>
      </w:r>
      <w:r>
        <w:rPr>
          <w:rFonts w:hint="eastAsia" w:ascii="宋体" w:eastAsia="宋体" w:cs="宋体"/>
          <w:b w:val="0"/>
          <w:bCs w:val="0"/>
          <w:color w:val="000000" w:themeColor="text1"/>
          <w:spacing w:val="-97"/>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要求</w:t>
      </w:r>
      <w:r>
        <w:rPr>
          <w:rFonts w:hint="eastAsia" w:ascii="宋体" w:eastAsia="宋体" w:cs="宋体"/>
          <w:b w:val="0"/>
          <w:bCs w:val="0"/>
          <w:color w:val="000000" w:themeColor="text1"/>
          <w:spacing w:val="-3"/>
          <w:szCs w:val="24"/>
          <w:highlight w:val="none"/>
          <w14:textFill>
            <w14:solidFill>
              <w14:schemeClr w14:val="tx1"/>
            </w14:solidFill>
          </w14:textFill>
        </w:rPr>
        <w:t>买</w:t>
      </w:r>
      <w:r>
        <w:rPr>
          <w:rFonts w:hint="eastAsia" w:ascii="宋体" w:eastAsia="宋体" w:cs="宋体"/>
          <w:b w:val="0"/>
          <w:bCs w:val="0"/>
          <w:color w:val="000000" w:themeColor="text1"/>
          <w:szCs w:val="24"/>
          <w:highlight w:val="none"/>
          <w14:textFill>
            <w14:solidFill>
              <w14:schemeClr w14:val="tx1"/>
            </w14:solidFill>
          </w14:textFill>
        </w:rPr>
        <w:t>方</w:t>
      </w:r>
      <w:r>
        <w:rPr>
          <w:rFonts w:hint="eastAsia" w:ascii="宋体" w:eastAsia="宋体" w:cs="宋体"/>
          <w:b w:val="0"/>
          <w:bCs w:val="0"/>
          <w:color w:val="000000" w:themeColor="text1"/>
          <w:spacing w:val="-3"/>
          <w:szCs w:val="24"/>
          <w:highlight w:val="none"/>
          <w14:textFill>
            <w14:solidFill>
              <w14:schemeClr w14:val="tx1"/>
            </w14:solidFill>
          </w14:textFill>
        </w:rPr>
        <w:t>支付</w:t>
      </w:r>
      <w:r>
        <w:rPr>
          <w:rFonts w:hint="eastAsia" w:ascii="宋体" w:eastAsia="宋体" w:cs="宋体"/>
          <w:b w:val="0"/>
          <w:bCs w:val="0"/>
          <w:color w:val="000000" w:themeColor="text1"/>
          <w:szCs w:val="24"/>
          <w:highlight w:val="none"/>
          <w14:textFill>
            <w14:solidFill>
              <w14:schemeClr w14:val="tx1"/>
            </w14:solidFill>
          </w14:textFill>
        </w:rPr>
        <w:t>合同结清款，买方不得拒绝。</w:t>
      </w:r>
    </w:p>
    <w:p w14:paraId="6E96F26E">
      <w:pPr>
        <w:pStyle w:val="86"/>
        <w:spacing w:line="500" w:lineRule="exact"/>
        <w:ind w:left="0" w:right="0" w:firstLine="480" w:firstLineChars="200"/>
        <w:rPr>
          <w:rFonts w:ascii="宋体" w:hAnsi="宋体" w:cs="宋体"/>
          <w:color w:val="000000" w:themeColor="text1"/>
          <w:sz w:val="24"/>
          <w:szCs w:val="24"/>
          <w:highlight w:val="none"/>
          <w14:textFill>
            <w14:solidFill>
              <w14:schemeClr w14:val="tx1"/>
            </w14:solidFill>
          </w14:textFill>
        </w:rPr>
      </w:pPr>
      <w:bookmarkStart w:id="182" w:name="_bookmark117"/>
      <w:bookmarkEnd w:id="182"/>
      <w:r>
        <w:rPr>
          <w:rFonts w:hint="eastAsia" w:ascii="宋体" w:hAnsi="宋体" w:cs="宋体"/>
          <w:color w:val="000000" w:themeColor="text1"/>
          <w:sz w:val="24"/>
          <w:szCs w:val="24"/>
          <w:highlight w:val="none"/>
          <w14:textFill>
            <w14:solidFill>
              <w14:schemeClr w14:val="tx1"/>
            </w14:solidFill>
          </w14:textFill>
        </w:rPr>
        <w:t>3.3  买方扣款的权利</w:t>
      </w:r>
    </w:p>
    <w:p w14:paraId="14DEF562">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当卖方应向买方支付合同项下的违约金或赔偿金时，买方有权从上述任何一笔应付款中予以直接扣除和（或）兑付履约保证金。</w:t>
      </w:r>
    </w:p>
    <w:p w14:paraId="739DEF93">
      <w:pPr>
        <w:pStyle w:val="84"/>
        <w:spacing w:line="500" w:lineRule="exact"/>
        <w:ind w:left="0" w:right="0" w:firstLine="480" w:firstLineChars="200"/>
        <w:rPr>
          <w:rFonts w:ascii="宋体" w:hAnsi="宋体" w:eastAsia="宋体" w:cs="宋体"/>
          <w:b w:val="0"/>
          <w:bCs w:val="0"/>
          <w:color w:val="000000" w:themeColor="text1"/>
          <w:sz w:val="24"/>
          <w:szCs w:val="24"/>
          <w:highlight w:val="none"/>
          <w14:textFill>
            <w14:solidFill>
              <w14:schemeClr w14:val="tx1"/>
            </w14:solidFill>
          </w14:textFill>
        </w:rPr>
      </w:pPr>
      <w:bookmarkStart w:id="183" w:name="_bookmark118"/>
      <w:bookmarkEnd w:id="183"/>
      <w:r>
        <w:rPr>
          <w:rFonts w:hint="eastAsia" w:ascii="宋体" w:hAnsi="宋体" w:eastAsia="宋体" w:cs="宋体"/>
          <w:b w:val="0"/>
          <w:bCs w:val="0"/>
          <w:color w:val="000000" w:themeColor="text1"/>
          <w:sz w:val="24"/>
          <w:szCs w:val="24"/>
          <w:highlight w:val="none"/>
          <w14:textFill>
            <w14:solidFill>
              <w14:schemeClr w14:val="tx1"/>
            </w14:solidFill>
          </w14:textFill>
        </w:rPr>
        <w:t>4.  监造及交货前检验</w:t>
      </w:r>
    </w:p>
    <w:p w14:paraId="637E6BA0">
      <w:pPr>
        <w:pStyle w:val="86"/>
        <w:spacing w:line="500" w:lineRule="exact"/>
        <w:ind w:left="0" w:right="0" w:firstLine="480" w:firstLineChars="200"/>
        <w:rPr>
          <w:rFonts w:ascii="宋体" w:hAnsi="宋体" w:cs="宋体"/>
          <w:color w:val="000000" w:themeColor="text1"/>
          <w:sz w:val="24"/>
          <w:szCs w:val="24"/>
          <w:highlight w:val="none"/>
          <w14:textFill>
            <w14:solidFill>
              <w14:schemeClr w14:val="tx1"/>
            </w14:solidFill>
          </w14:textFill>
        </w:rPr>
      </w:pPr>
      <w:bookmarkStart w:id="184" w:name="_bookmark119"/>
      <w:bookmarkEnd w:id="184"/>
      <w:r>
        <w:rPr>
          <w:rFonts w:hint="eastAsia" w:ascii="宋体" w:hAnsi="宋体" w:cs="宋体"/>
          <w:color w:val="000000" w:themeColor="text1"/>
          <w:sz w:val="24"/>
          <w:szCs w:val="24"/>
          <w:highlight w:val="none"/>
          <w14:textFill>
            <w14:solidFill>
              <w14:schemeClr w14:val="tx1"/>
            </w14:solidFill>
          </w14:textFill>
        </w:rPr>
        <w:t>4.1</w:t>
      </w:r>
      <w:r>
        <w:rPr>
          <w:rFonts w:hint="eastAsia" w:ascii="宋体" w:hAnsi="宋体" w:cs="宋体"/>
          <w:color w:val="000000" w:themeColor="text1"/>
          <w:spacing w:val="69"/>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监造</w:t>
      </w:r>
    </w:p>
    <w:p w14:paraId="6AC19240">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专用合同条款约定买方对合同设备进行监造的，双方应按本款及专用合同条款约定履行。</w:t>
      </w:r>
    </w:p>
    <w:p w14:paraId="428B8241">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4.1.1 在合同设备的制造过程中，买方可派出监造人员，对合同设备的生产制造进行监造，监督合同设备制造、检验等情况。监造的范围、方式等应符合专用合同条款和（或）供货要求等合同文件的约定。</w:t>
      </w:r>
    </w:p>
    <w:p w14:paraId="7EC86588">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4.1.2 </w:t>
      </w:r>
      <w:r>
        <w:rPr>
          <w:rFonts w:hint="eastAsia" w:ascii="宋体" w:eastAsia="宋体" w:cs="宋体"/>
          <w:b w:val="0"/>
          <w:bCs w:val="0"/>
          <w:color w:val="000000" w:themeColor="text1"/>
          <w:spacing w:val="-4"/>
          <w:szCs w:val="24"/>
          <w:highlight w:val="none"/>
          <w14:textFill>
            <w14:solidFill>
              <w14:schemeClr w14:val="tx1"/>
            </w14:solidFill>
          </w14:textFill>
        </w:rPr>
        <w:t>除专用合同条款和（或）供货要求等合同文件另有约定外，买方监造人员可到合同设</w:t>
      </w:r>
      <w:r>
        <w:rPr>
          <w:rFonts w:hint="eastAsia" w:ascii="宋体" w:eastAsia="宋体" w:cs="宋体"/>
          <w:b w:val="0"/>
          <w:bCs w:val="0"/>
          <w:color w:val="000000" w:themeColor="text1"/>
          <w:spacing w:val="-1"/>
          <w:szCs w:val="24"/>
          <w:highlight w:val="none"/>
          <w14:textFill>
            <w14:solidFill>
              <w14:schemeClr w14:val="tx1"/>
            </w14:solidFill>
          </w14:textFill>
        </w:rPr>
        <w:t>备及其关键部件的生产制造现场进行监造，卖方应予配合。卖方应免费为买方监造人员提供工作条件及便利，包括但不限于必要的办公场所、技术资料、检测工具及出入许可等。除专用合</w:t>
      </w:r>
      <w:r>
        <w:rPr>
          <w:rFonts w:hint="eastAsia" w:ascii="宋体" w:eastAsia="宋体" w:cs="宋体"/>
          <w:b w:val="0"/>
          <w:bCs w:val="0"/>
          <w:color w:val="000000" w:themeColor="text1"/>
          <w:szCs w:val="24"/>
          <w:highlight w:val="none"/>
          <w14:textFill>
            <w14:solidFill>
              <w14:schemeClr w14:val="tx1"/>
            </w14:solidFill>
          </w14:textFill>
        </w:rPr>
        <w:t>同条款另有约定外，买方监造人员的交通、食宿费用由买方承担。</w:t>
      </w:r>
    </w:p>
    <w:p w14:paraId="2470B33A">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4.1.3 </w:t>
      </w:r>
      <w:r>
        <w:rPr>
          <w:rFonts w:hint="eastAsia" w:ascii="宋体" w:eastAsia="宋体" w:cs="宋体"/>
          <w:b w:val="0"/>
          <w:bCs w:val="0"/>
          <w:color w:val="000000" w:themeColor="text1"/>
          <w:spacing w:val="-4"/>
          <w:szCs w:val="24"/>
          <w:highlight w:val="none"/>
          <w14:textFill>
            <w14:solidFill>
              <w14:schemeClr w14:val="tx1"/>
            </w14:solidFill>
          </w14:textFill>
        </w:rPr>
        <w:t>卖方制订生产制造合同设备的进度计划时，应将买方监造纳入计划安排，并提前通知</w:t>
      </w:r>
      <w:r>
        <w:rPr>
          <w:rFonts w:hint="eastAsia" w:ascii="宋体" w:eastAsia="宋体" w:cs="宋体"/>
          <w:b w:val="0"/>
          <w:bCs w:val="0"/>
          <w:color w:val="000000" w:themeColor="text1"/>
          <w:spacing w:val="-1"/>
          <w:szCs w:val="24"/>
          <w:highlight w:val="none"/>
          <w14:textFill>
            <w14:solidFill>
              <w14:schemeClr w14:val="tx1"/>
            </w14:solidFill>
          </w14:textFill>
        </w:rPr>
        <w:t>买方；买方进行监造不应影响合同设备的正常生产。除专用合同条款和（或）供货要求等合同</w:t>
      </w:r>
      <w:r>
        <w:rPr>
          <w:rFonts w:hint="eastAsia" w:ascii="宋体" w:eastAsia="宋体" w:cs="宋体"/>
          <w:b w:val="0"/>
          <w:bCs w:val="0"/>
          <w:color w:val="000000" w:themeColor="text1"/>
          <w:szCs w:val="24"/>
          <w:highlight w:val="none"/>
          <w14:textFill>
            <w14:solidFill>
              <w14:schemeClr w14:val="tx1"/>
            </w14:solidFill>
          </w14:textFill>
        </w:rPr>
        <w:t>文件另有约定外，卖方应提前 7</w:t>
      </w:r>
      <w:r>
        <w:rPr>
          <w:rFonts w:hint="eastAsia" w:ascii="宋体" w:eastAsia="宋体" w:cs="宋体"/>
          <w:b w:val="0"/>
          <w:bCs w:val="0"/>
          <w:color w:val="000000" w:themeColor="text1"/>
          <w:spacing w:val="-29"/>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日将需要买方监造人员现场监造事项通知买方；如买方监造人员未</w:t>
      </w:r>
      <w:r>
        <w:rPr>
          <w:rFonts w:hint="eastAsia" w:ascii="宋体" w:eastAsia="宋体" w:cs="宋体"/>
          <w:b w:val="0"/>
          <w:bCs w:val="0"/>
          <w:color w:val="000000" w:themeColor="text1"/>
          <w:spacing w:val="-3"/>
          <w:szCs w:val="24"/>
          <w:highlight w:val="none"/>
          <w14:textFill>
            <w14:solidFill>
              <w14:schemeClr w14:val="tx1"/>
            </w14:solidFill>
          </w14:textFill>
        </w:rPr>
        <w:t>按</w:t>
      </w:r>
      <w:r>
        <w:rPr>
          <w:rFonts w:hint="eastAsia" w:ascii="宋体" w:eastAsia="宋体" w:cs="宋体"/>
          <w:b w:val="0"/>
          <w:bCs w:val="0"/>
          <w:color w:val="000000" w:themeColor="text1"/>
          <w:szCs w:val="24"/>
          <w:highlight w:val="none"/>
          <w14:textFill>
            <w14:solidFill>
              <w14:schemeClr w14:val="tx1"/>
            </w14:solidFill>
          </w14:textFill>
        </w:rPr>
        <w:t>通</w:t>
      </w:r>
      <w:r>
        <w:rPr>
          <w:rFonts w:hint="eastAsia" w:ascii="宋体" w:eastAsia="宋体" w:cs="宋体"/>
          <w:b w:val="0"/>
          <w:bCs w:val="0"/>
          <w:color w:val="000000" w:themeColor="text1"/>
          <w:spacing w:val="-3"/>
          <w:szCs w:val="24"/>
          <w:highlight w:val="none"/>
          <w14:textFill>
            <w14:solidFill>
              <w14:schemeClr w14:val="tx1"/>
            </w14:solidFill>
          </w14:textFill>
        </w:rPr>
        <w:t>知</w:t>
      </w:r>
      <w:r>
        <w:rPr>
          <w:rFonts w:hint="eastAsia" w:ascii="宋体" w:eastAsia="宋体" w:cs="宋体"/>
          <w:b w:val="0"/>
          <w:bCs w:val="0"/>
          <w:color w:val="000000" w:themeColor="text1"/>
          <w:szCs w:val="24"/>
          <w:highlight w:val="none"/>
          <w14:textFill>
            <w14:solidFill>
              <w14:schemeClr w14:val="tx1"/>
            </w14:solidFill>
          </w14:textFill>
        </w:rPr>
        <w:t>出席</w:t>
      </w:r>
      <w:r>
        <w:rPr>
          <w:rFonts w:hint="eastAsia" w:ascii="宋体" w:eastAsia="宋体" w:cs="宋体"/>
          <w:b w:val="0"/>
          <w:bCs w:val="0"/>
          <w:color w:val="000000" w:themeColor="text1"/>
          <w:spacing w:val="-94"/>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不</w:t>
      </w:r>
      <w:r>
        <w:rPr>
          <w:rFonts w:hint="eastAsia" w:ascii="宋体" w:eastAsia="宋体" w:cs="宋体"/>
          <w:b w:val="0"/>
          <w:bCs w:val="0"/>
          <w:color w:val="000000" w:themeColor="text1"/>
          <w:spacing w:val="-3"/>
          <w:szCs w:val="24"/>
          <w:highlight w:val="none"/>
          <w14:textFill>
            <w14:solidFill>
              <w14:schemeClr w14:val="tx1"/>
            </w14:solidFill>
          </w14:textFill>
        </w:rPr>
        <w:t>影</w:t>
      </w:r>
      <w:r>
        <w:rPr>
          <w:rFonts w:hint="eastAsia" w:ascii="宋体" w:eastAsia="宋体" w:cs="宋体"/>
          <w:b w:val="0"/>
          <w:bCs w:val="0"/>
          <w:color w:val="000000" w:themeColor="text1"/>
          <w:szCs w:val="24"/>
          <w:highlight w:val="none"/>
          <w14:textFill>
            <w14:solidFill>
              <w14:schemeClr w14:val="tx1"/>
            </w14:solidFill>
          </w14:textFill>
        </w:rPr>
        <w:t>响</w:t>
      </w:r>
      <w:r>
        <w:rPr>
          <w:rFonts w:hint="eastAsia" w:ascii="宋体" w:eastAsia="宋体" w:cs="宋体"/>
          <w:b w:val="0"/>
          <w:bCs w:val="0"/>
          <w:color w:val="000000" w:themeColor="text1"/>
          <w:spacing w:val="-3"/>
          <w:szCs w:val="24"/>
          <w:highlight w:val="none"/>
          <w14:textFill>
            <w14:solidFill>
              <w14:schemeClr w14:val="tx1"/>
            </w14:solidFill>
          </w14:textFill>
        </w:rPr>
        <w:t>合</w:t>
      </w:r>
      <w:r>
        <w:rPr>
          <w:rFonts w:hint="eastAsia" w:ascii="宋体" w:eastAsia="宋体" w:cs="宋体"/>
          <w:b w:val="0"/>
          <w:bCs w:val="0"/>
          <w:color w:val="000000" w:themeColor="text1"/>
          <w:szCs w:val="24"/>
          <w:highlight w:val="none"/>
          <w14:textFill>
            <w14:solidFill>
              <w14:schemeClr w14:val="tx1"/>
            </w14:solidFill>
          </w14:textFill>
        </w:rPr>
        <w:t>同设</w:t>
      </w:r>
      <w:r>
        <w:rPr>
          <w:rFonts w:hint="eastAsia" w:ascii="宋体" w:eastAsia="宋体" w:cs="宋体"/>
          <w:b w:val="0"/>
          <w:bCs w:val="0"/>
          <w:color w:val="000000" w:themeColor="text1"/>
          <w:spacing w:val="-3"/>
          <w:szCs w:val="24"/>
          <w:highlight w:val="none"/>
          <w14:textFill>
            <w14:solidFill>
              <w14:schemeClr w14:val="tx1"/>
            </w14:solidFill>
          </w14:textFill>
        </w:rPr>
        <w:t>备</w:t>
      </w:r>
      <w:r>
        <w:rPr>
          <w:rFonts w:hint="eastAsia" w:ascii="宋体" w:eastAsia="宋体" w:cs="宋体"/>
          <w:b w:val="0"/>
          <w:bCs w:val="0"/>
          <w:color w:val="000000" w:themeColor="text1"/>
          <w:szCs w:val="24"/>
          <w:highlight w:val="none"/>
          <w14:textFill>
            <w14:solidFill>
              <w14:schemeClr w14:val="tx1"/>
            </w14:solidFill>
          </w14:textFill>
        </w:rPr>
        <w:t>及</w:t>
      </w:r>
      <w:r>
        <w:rPr>
          <w:rFonts w:hint="eastAsia" w:ascii="宋体" w:eastAsia="宋体" w:cs="宋体"/>
          <w:b w:val="0"/>
          <w:bCs w:val="0"/>
          <w:color w:val="000000" w:themeColor="text1"/>
          <w:spacing w:val="-3"/>
          <w:szCs w:val="24"/>
          <w:highlight w:val="none"/>
          <w14:textFill>
            <w14:solidFill>
              <w14:schemeClr w14:val="tx1"/>
            </w14:solidFill>
          </w14:textFill>
        </w:rPr>
        <w:t>其</w:t>
      </w:r>
      <w:r>
        <w:rPr>
          <w:rFonts w:hint="eastAsia" w:ascii="宋体" w:eastAsia="宋体" w:cs="宋体"/>
          <w:b w:val="0"/>
          <w:bCs w:val="0"/>
          <w:color w:val="000000" w:themeColor="text1"/>
          <w:szCs w:val="24"/>
          <w:highlight w:val="none"/>
          <w14:textFill>
            <w14:solidFill>
              <w14:schemeClr w14:val="tx1"/>
            </w14:solidFill>
          </w14:textFill>
        </w:rPr>
        <w:t>关</w:t>
      </w:r>
      <w:r>
        <w:rPr>
          <w:rFonts w:hint="eastAsia" w:ascii="宋体" w:eastAsia="宋体" w:cs="宋体"/>
          <w:b w:val="0"/>
          <w:bCs w:val="0"/>
          <w:color w:val="000000" w:themeColor="text1"/>
          <w:spacing w:val="-3"/>
          <w:szCs w:val="24"/>
          <w:highlight w:val="none"/>
          <w14:textFill>
            <w14:solidFill>
              <w14:schemeClr w14:val="tx1"/>
            </w14:solidFill>
          </w14:textFill>
        </w:rPr>
        <w:t>键</w:t>
      </w:r>
      <w:r>
        <w:rPr>
          <w:rFonts w:hint="eastAsia" w:ascii="宋体" w:eastAsia="宋体" w:cs="宋体"/>
          <w:b w:val="0"/>
          <w:bCs w:val="0"/>
          <w:color w:val="000000" w:themeColor="text1"/>
          <w:szCs w:val="24"/>
          <w:highlight w:val="none"/>
          <w14:textFill>
            <w14:solidFill>
              <w14:schemeClr w14:val="tx1"/>
            </w14:solidFill>
          </w14:textFill>
        </w:rPr>
        <w:t>部</w:t>
      </w:r>
      <w:r>
        <w:rPr>
          <w:rFonts w:hint="eastAsia" w:ascii="宋体" w:eastAsia="宋体" w:cs="宋体"/>
          <w:b w:val="0"/>
          <w:bCs w:val="0"/>
          <w:color w:val="000000" w:themeColor="text1"/>
          <w:spacing w:val="-3"/>
          <w:szCs w:val="24"/>
          <w:highlight w:val="none"/>
          <w14:textFill>
            <w14:solidFill>
              <w14:schemeClr w14:val="tx1"/>
            </w14:solidFill>
          </w14:textFill>
        </w:rPr>
        <w:t>件</w:t>
      </w:r>
      <w:r>
        <w:rPr>
          <w:rFonts w:hint="eastAsia" w:ascii="宋体" w:eastAsia="宋体" w:cs="宋体"/>
          <w:b w:val="0"/>
          <w:bCs w:val="0"/>
          <w:color w:val="000000" w:themeColor="text1"/>
          <w:szCs w:val="24"/>
          <w:highlight w:val="none"/>
          <w14:textFill>
            <w14:solidFill>
              <w14:schemeClr w14:val="tx1"/>
            </w14:solidFill>
          </w14:textFill>
        </w:rPr>
        <w:t>的</w:t>
      </w:r>
      <w:r>
        <w:rPr>
          <w:rFonts w:hint="eastAsia" w:ascii="宋体" w:eastAsia="宋体" w:cs="宋体"/>
          <w:b w:val="0"/>
          <w:bCs w:val="0"/>
          <w:color w:val="000000" w:themeColor="text1"/>
          <w:spacing w:val="-3"/>
          <w:szCs w:val="24"/>
          <w:highlight w:val="none"/>
          <w14:textFill>
            <w14:solidFill>
              <w14:schemeClr w14:val="tx1"/>
            </w14:solidFill>
          </w14:textFill>
        </w:rPr>
        <w:t>制</w:t>
      </w:r>
      <w:r>
        <w:rPr>
          <w:rFonts w:hint="eastAsia" w:ascii="宋体" w:eastAsia="宋体" w:cs="宋体"/>
          <w:b w:val="0"/>
          <w:bCs w:val="0"/>
          <w:color w:val="000000" w:themeColor="text1"/>
          <w:szCs w:val="24"/>
          <w:highlight w:val="none"/>
          <w14:textFill>
            <w14:solidFill>
              <w14:schemeClr w14:val="tx1"/>
            </w14:solidFill>
          </w14:textFill>
        </w:rPr>
        <w:t>造或</w:t>
      </w:r>
      <w:r>
        <w:rPr>
          <w:rFonts w:hint="eastAsia" w:ascii="宋体" w:eastAsia="宋体" w:cs="宋体"/>
          <w:b w:val="0"/>
          <w:bCs w:val="0"/>
          <w:color w:val="000000" w:themeColor="text1"/>
          <w:spacing w:val="-3"/>
          <w:szCs w:val="24"/>
          <w:highlight w:val="none"/>
          <w14:textFill>
            <w14:solidFill>
              <w14:schemeClr w14:val="tx1"/>
            </w14:solidFill>
          </w14:textFill>
        </w:rPr>
        <w:t>检</w:t>
      </w:r>
      <w:r>
        <w:rPr>
          <w:rFonts w:hint="eastAsia" w:ascii="宋体" w:eastAsia="宋体" w:cs="宋体"/>
          <w:b w:val="0"/>
          <w:bCs w:val="0"/>
          <w:color w:val="000000" w:themeColor="text1"/>
          <w:szCs w:val="24"/>
          <w:highlight w:val="none"/>
          <w14:textFill>
            <w14:solidFill>
              <w14:schemeClr w14:val="tx1"/>
            </w14:solidFill>
          </w14:textFill>
        </w:rPr>
        <w:t>验</w:t>
      </w:r>
      <w:r>
        <w:rPr>
          <w:rFonts w:hint="eastAsia" w:ascii="宋体" w:eastAsia="宋体" w:cs="宋体"/>
          <w:b w:val="0"/>
          <w:bCs w:val="0"/>
          <w:color w:val="000000" w:themeColor="text1"/>
          <w:spacing w:val="-92"/>
          <w:szCs w:val="24"/>
          <w:highlight w:val="none"/>
          <w14:textFill>
            <w14:solidFill>
              <w14:schemeClr w14:val="tx1"/>
            </w14:solidFill>
          </w14:textFill>
        </w:rPr>
        <w:t>，</w:t>
      </w:r>
      <w:r>
        <w:rPr>
          <w:rFonts w:hint="eastAsia" w:ascii="宋体" w:eastAsia="宋体" w:cs="宋体"/>
          <w:b w:val="0"/>
          <w:bCs w:val="0"/>
          <w:color w:val="000000" w:themeColor="text1"/>
          <w:spacing w:val="-3"/>
          <w:szCs w:val="24"/>
          <w:highlight w:val="none"/>
          <w14:textFill>
            <w14:solidFill>
              <w14:schemeClr w14:val="tx1"/>
            </w14:solidFill>
          </w14:textFill>
        </w:rPr>
        <w:t>但</w:t>
      </w:r>
      <w:r>
        <w:rPr>
          <w:rFonts w:hint="eastAsia" w:ascii="宋体" w:eastAsia="宋体" w:cs="宋体"/>
          <w:b w:val="0"/>
          <w:bCs w:val="0"/>
          <w:color w:val="000000" w:themeColor="text1"/>
          <w:szCs w:val="24"/>
          <w:highlight w:val="none"/>
          <w14:textFill>
            <w14:solidFill>
              <w14:schemeClr w14:val="tx1"/>
            </w14:solidFill>
          </w14:textFill>
        </w:rPr>
        <w:t>买</w:t>
      </w:r>
      <w:r>
        <w:rPr>
          <w:rFonts w:hint="eastAsia" w:ascii="宋体" w:eastAsia="宋体" w:cs="宋体"/>
          <w:b w:val="0"/>
          <w:bCs w:val="0"/>
          <w:color w:val="000000" w:themeColor="text1"/>
          <w:spacing w:val="-3"/>
          <w:szCs w:val="24"/>
          <w:highlight w:val="none"/>
          <w14:textFill>
            <w14:solidFill>
              <w14:schemeClr w14:val="tx1"/>
            </w14:solidFill>
          </w14:textFill>
        </w:rPr>
        <w:t>方</w:t>
      </w:r>
      <w:r>
        <w:rPr>
          <w:rFonts w:hint="eastAsia" w:ascii="宋体" w:eastAsia="宋体" w:cs="宋体"/>
          <w:b w:val="0"/>
          <w:bCs w:val="0"/>
          <w:color w:val="000000" w:themeColor="text1"/>
          <w:szCs w:val="24"/>
          <w:highlight w:val="none"/>
          <w14:textFill>
            <w14:solidFill>
              <w14:schemeClr w14:val="tx1"/>
            </w14:solidFill>
          </w14:textFill>
        </w:rPr>
        <w:t>监</w:t>
      </w:r>
      <w:r>
        <w:rPr>
          <w:rFonts w:hint="eastAsia" w:ascii="宋体" w:eastAsia="宋体" w:cs="宋体"/>
          <w:b w:val="0"/>
          <w:bCs w:val="0"/>
          <w:color w:val="000000" w:themeColor="text1"/>
          <w:spacing w:val="-3"/>
          <w:szCs w:val="24"/>
          <w:highlight w:val="none"/>
          <w14:textFill>
            <w14:solidFill>
              <w14:schemeClr w14:val="tx1"/>
            </w14:solidFill>
          </w14:textFill>
        </w:rPr>
        <w:t>造</w:t>
      </w:r>
      <w:r>
        <w:rPr>
          <w:rFonts w:hint="eastAsia" w:ascii="宋体" w:eastAsia="宋体" w:cs="宋体"/>
          <w:b w:val="0"/>
          <w:bCs w:val="0"/>
          <w:color w:val="000000" w:themeColor="text1"/>
          <w:szCs w:val="24"/>
          <w:highlight w:val="none"/>
          <w14:textFill>
            <w14:solidFill>
              <w14:schemeClr w14:val="tx1"/>
            </w14:solidFill>
          </w14:textFill>
        </w:rPr>
        <w:t>人</w:t>
      </w:r>
      <w:r>
        <w:rPr>
          <w:rFonts w:hint="eastAsia" w:ascii="宋体" w:eastAsia="宋体" w:cs="宋体"/>
          <w:b w:val="0"/>
          <w:bCs w:val="0"/>
          <w:color w:val="000000" w:themeColor="text1"/>
          <w:spacing w:val="-3"/>
          <w:szCs w:val="24"/>
          <w:highlight w:val="none"/>
          <w14:textFill>
            <w14:solidFill>
              <w14:schemeClr w14:val="tx1"/>
            </w14:solidFill>
          </w14:textFill>
        </w:rPr>
        <w:t>员</w:t>
      </w:r>
      <w:r>
        <w:rPr>
          <w:rFonts w:hint="eastAsia" w:ascii="宋体" w:eastAsia="宋体" w:cs="宋体"/>
          <w:b w:val="0"/>
          <w:bCs w:val="0"/>
          <w:color w:val="000000" w:themeColor="text1"/>
          <w:szCs w:val="24"/>
          <w:highlight w:val="none"/>
          <w14:textFill>
            <w14:solidFill>
              <w14:schemeClr w14:val="tx1"/>
            </w14:solidFill>
          </w14:textFill>
        </w:rPr>
        <w:t>有权</w:t>
      </w:r>
      <w:r>
        <w:rPr>
          <w:rFonts w:hint="eastAsia" w:ascii="宋体" w:eastAsia="宋体" w:cs="宋体"/>
          <w:b w:val="0"/>
          <w:bCs w:val="0"/>
          <w:color w:val="000000" w:themeColor="text1"/>
          <w:spacing w:val="-3"/>
          <w:szCs w:val="24"/>
          <w:highlight w:val="none"/>
          <w14:textFill>
            <w14:solidFill>
              <w14:schemeClr w14:val="tx1"/>
            </w14:solidFill>
          </w14:textFill>
        </w:rPr>
        <w:t>事</w:t>
      </w:r>
      <w:r>
        <w:rPr>
          <w:rFonts w:hint="eastAsia" w:ascii="宋体" w:eastAsia="宋体" w:cs="宋体"/>
          <w:b w:val="0"/>
          <w:bCs w:val="0"/>
          <w:color w:val="000000" w:themeColor="text1"/>
          <w:szCs w:val="24"/>
          <w:highlight w:val="none"/>
          <w14:textFill>
            <w14:solidFill>
              <w14:schemeClr w14:val="tx1"/>
            </w14:solidFill>
          </w14:textFill>
        </w:rPr>
        <w:t>后</w:t>
      </w:r>
      <w:r>
        <w:rPr>
          <w:rFonts w:hint="eastAsia" w:ascii="宋体" w:eastAsia="宋体" w:cs="宋体"/>
          <w:b w:val="0"/>
          <w:bCs w:val="0"/>
          <w:color w:val="000000" w:themeColor="text1"/>
          <w:spacing w:val="-3"/>
          <w:szCs w:val="24"/>
          <w:highlight w:val="none"/>
          <w14:textFill>
            <w14:solidFill>
              <w14:schemeClr w14:val="tx1"/>
            </w14:solidFill>
          </w14:textFill>
        </w:rPr>
        <w:t>了解</w:t>
      </w:r>
      <w:r>
        <w:rPr>
          <w:rFonts w:hint="eastAsia" w:ascii="宋体" w:eastAsia="宋体" w:cs="宋体"/>
          <w:b w:val="0"/>
          <w:bCs w:val="0"/>
          <w:color w:val="000000" w:themeColor="text1"/>
          <w:szCs w:val="24"/>
          <w:highlight w:val="none"/>
          <w14:textFill>
            <w14:solidFill>
              <w14:schemeClr w14:val="tx1"/>
            </w14:solidFill>
          </w14:textFill>
        </w:rPr>
        <w:t>、查阅、复制相关制造或检验记录。</w:t>
      </w:r>
    </w:p>
    <w:p w14:paraId="1AC98479">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4.1.4 </w:t>
      </w:r>
      <w:r>
        <w:rPr>
          <w:rFonts w:hint="eastAsia" w:ascii="宋体" w:eastAsia="宋体" w:cs="宋体"/>
          <w:b w:val="0"/>
          <w:bCs w:val="0"/>
          <w:color w:val="000000" w:themeColor="text1"/>
          <w:spacing w:val="-4"/>
          <w:szCs w:val="24"/>
          <w:highlight w:val="none"/>
          <w14:textFill>
            <w14:solidFill>
              <w14:schemeClr w14:val="tx1"/>
            </w14:solidFill>
          </w14:textFill>
        </w:rPr>
        <w:t>买方监造人员在监造中如发现合同设备及其关键部件不符合合同约定的标准，则有权</w:t>
      </w:r>
      <w:r>
        <w:rPr>
          <w:rFonts w:hint="eastAsia" w:ascii="宋体" w:eastAsia="宋体" w:cs="宋体"/>
          <w:b w:val="0"/>
          <w:bCs w:val="0"/>
          <w:color w:val="000000" w:themeColor="text1"/>
          <w:spacing w:val="-1"/>
          <w:szCs w:val="24"/>
          <w:highlight w:val="none"/>
          <w14:textFill>
            <w14:solidFill>
              <w14:schemeClr w14:val="tx1"/>
            </w14:solidFill>
          </w14:textFill>
        </w:rPr>
        <w:t>提出意见和建议。卖方应采取必要措施消除合同设备的不符，由此增加的费用和（或）造成的</w:t>
      </w:r>
      <w:r>
        <w:rPr>
          <w:rFonts w:hint="eastAsia" w:ascii="宋体" w:eastAsia="宋体" w:cs="宋体"/>
          <w:b w:val="0"/>
          <w:bCs w:val="0"/>
          <w:color w:val="000000" w:themeColor="text1"/>
          <w:szCs w:val="24"/>
          <w:highlight w:val="none"/>
          <w14:textFill>
            <w14:solidFill>
              <w14:schemeClr w14:val="tx1"/>
            </w14:solidFill>
          </w14:textFill>
        </w:rPr>
        <w:t>延误由卖方负责。</w:t>
      </w:r>
    </w:p>
    <w:p w14:paraId="5ED2D789">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4.1.5 </w:t>
      </w:r>
      <w:r>
        <w:rPr>
          <w:rFonts w:hint="eastAsia" w:ascii="宋体" w:eastAsia="宋体" w:cs="宋体"/>
          <w:b w:val="0"/>
          <w:bCs w:val="0"/>
          <w:color w:val="000000" w:themeColor="text1"/>
          <w:spacing w:val="-4"/>
          <w:szCs w:val="24"/>
          <w:highlight w:val="none"/>
          <w14:textFill>
            <w14:solidFill>
              <w14:schemeClr w14:val="tx1"/>
            </w14:solidFill>
          </w14:textFill>
        </w:rPr>
        <w:t>买方监造人员对合同设备的监造，不视为对合同设备质量的确认，不影响卖方交货后</w:t>
      </w:r>
      <w:r>
        <w:rPr>
          <w:rFonts w:hint="eastAsia" w:ascii="宋体" w:eastAsia="宋体" w:cs="宋体"/>
          <w:b w:val="0"/>
          <w:bCs w:val="0"/>
          <w:color w:val="000000" w:themeColor="text1"/>
          <w:spacing w:val="-1"/>
          <w:szCs w:val="24"/>
          <w:highlight w:val="none"/>
          <w14:textFill>
            <w14:solidFill>
              <w14:schemeClr w14:val="tx1"/>
            </w14:solidFill>
          </w14:textFill>
        </w:rPr>
        <w:t>买方依照合同约定对合同设备提出质量异议和（或）退货的权利，也不免除卖方依照合同约定</w:t>
      </w:r>
      <w:r>
        <w:rPr>
          <w:rFonts w:hint="eastAsia" w:ascii="宋体" w:eastAsia="宋体" w:cs="宋体"/>
          <w:b w:val="0"/>
          <w:bCs w:val="0"/>
          <w:color w:val="000000" w:themeColor="text1"/>
          <w:szCs w:val="24"/>
          <w:highlight w:val="none"/>
          <w14:textFill>
            <w14:solidFill>
              <w14:schemeClr w14:val="tx1"/>
            </w14:solidFill>
          </w14:textFill>
        </w:rPr>
        <w:t>对合同设备所应承担的任何义务或责任。</w:t>
      </w:r>
    </w:p>
    <w:p w14:paraId="37E1CF77">
      <w:pPr>
        <w:pStyle w:val="86"/>
        <w:spacing w:line="500" w:lineRule="exact"/>
        <w:ind w:left="0" w:right="0" w:firstLine="480" w:firstLineChars="200"/>
        <w:rPr>
          <w:rFonts w:ascii="宋体" w:hAnsi="宋体" w:cs="宋体"/>
          <w:color w:val="000000" w:themeColor="text1"/>
          <w:sz w:val="24"/>
          <w:szCs w:val="24"/>
          <w:highlight w:val="none"/>
          <w14:textFill>
            <w14:solidFill>
              <w14:schemeClr w14:val="tx1"/>
            </w14:solidFill>
          </w14:textFill>
        </w:rPr>
      </w:pPr>
      <w:bookmarkStart w:id="185" w:name="_bookmark120"/>
      <w:bookmarkEnd w:id="185"/>
      <w:r>
        <w:rPr>
          <w:rFonts w:hint="eastAsia" w:ascii="宋体" w:hAnsi="宋体" w:cs="宋体"/>
          <w:color w:val="000000" w:themeColor="text1"/>
          <w:sz w:val="24"/>
          <w:szCs w:val="24"/>
          <w:highlight w:val="none"/>
          <w14:textFill>
            <w14:solidFill>
              <w14:schemeClr w14:val="tx1"/>
            </w14:solidFill>
          </w14:textFill>
        </w:rPr>
        <w:t>4.2  交货前检验</w:t>
      </w:r>
    </w:p>
    <w:p w14:paraId="61DFF59A">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专用合同条款约定买方参与交货前检验的，双方应按本款及专用合同条款约定履行。</w:t>
      </w:r>
    </w:p>
    <w:p w14:paraId="3BABDF79">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4.2.1 </w:t>
      </w:r>
      <w:r>
        <w:rPr>
          <w:rFonts w:hint="eastAsia" w:ascii="宋体" w:eastAsia="宋体" w:cs="宋体"/>
          <w:b w:val="0"/>
          <w:bCs w:val="0"/>
          <w:color w:val="000000" w:themeColor="text1"/>
          <w:spacing w:val="-4"/>
          <w:szCs w:val="24"/>
          <w:highlight w:val="none"/>
          <w14:textFill>
            <w14:solidFill>
              <w14:schemeClr w14:val="tx1"/>
            </w14:solidFill>
          </w14:textFill>
        </w:rPr>
        <w:t>合同设备交货前，卖方应会同买方代表根据合同约定对合同设备进行交货前检验并出</w:t>
      </w:r>
      <w:r>
        <w:rPr>
          <w:rFonts w:hint="eastAsia" w:ascii="宋体" w:eastAsia="宋体" w:cs="宋体"/>
          <w:b w:val="0"/>
          <w:bCs w:val="0"/>
          <w:color w:val="000000" w:themeColor="text1"/>
          <w:spacing w:val="-1"/>
          <w:szCs w:val="24"/>
          <w:highlight w:val="none"/>
          <w14:textFill>
            <w14:solidFill>
              <w14:schemeClr w14:val="tx1"/>
            </w14:solidFill>
          </w14:textFill>
        </w:rPr>
        <w:t>具交货前检验记录，有关费用由卖方承担。卖方应免费为买方代表提供工作条件及便利，包括但不限于必要的办公场所、技术资料、检测工具及出入许可等。除专用合同条款另有约定外，</w:t>
      </w:r>
      <w:r>
        <w:rPr>
          <w:rFonts w:hint="eastAsia" w:ascii="宋体" w:eastAsia="宋体" w:cs="宋体"/>
          <w:b w:val="0"/>
          <w:bCs w:val="0"/>
          <w:color w:val="000000" w:themeColor="text1"/>
          <w:szCs w:val="24"/>
          <w:highlight w:val="none"/>
          <w14:textFill>
            <w14:solidFill>
              <w14:schemeClr w14:val="tx1"/>
            </w14:solidFill>
          </w14:textFill>
        </w:rPr>
        <w:t>买方代表的交通、食宿费用由买方承担。</w:t>
      </w:r>
    </w:p>
    <w:p w14:paraId="0AF58B13">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4.2.2 </w:t>
      </w:r>
      <w:r>
        <w:rPr>
          <w:rFonts w:hint="eastAsia" w:ascii="宋体" w:eastAsia="宋体" w:cs="宋体"/>
          <w:b w:val="0"/>
          <w:bCs w:val="0"/>
          <w:color w:val="000000" w:themeColor="text1"/>
          <w:spacing w:val="-4"/>
          <w:szCs w:val="24"/>
          <w:highlight w:val="none"/>
          <w14:textFill>
            <w14:solidFill>
              <w14:schemeClr w14:val="tx1"/>
            </w14:solidFill>
          </w14:textFill>
        </w:rPr>
        <w:t xml:space="preserve">除专用合同条款和（或）供货要求等合同文件另有约定外，卖方应提前 </w:t>
      </w:r>
      <w:r>
        <w:rPr>
          <w:rFonts w:hint="eastAsia" w:ascii="宋体" w:eastAsia="宋体" w:cs="宋体"/>
          <w:b w:val="0"/>
          <w:bCs w:val="0"/>
          <w:color w:val="000000" w:themeColor="text1"/>
          <w:szCs w:val="24"/>
          <w:highlight w:val="none"/>
          <w14:textFill>
            <w14:solidFill>
              <w14:schemeClr w14:val="tx1"/>
            </w14:solidFill>
          </w14:textFill>
        </w:rPr>
        <w:t>7 日将需要买</w:t>
      </w:r>
      <w:r>
        <w:rPr>
          <w:rFonts w:hint="eastAsia" w:ascii="宋体" w:eastAsia="宋体" w:cs="宋体"/>
          <w:b w:val="0"/>
          <w:bCs w:val="0"/>
          <w:color w:val="000000" w:themeColor="text1"/>
          <w:spacing w:val="-1"/>
          <w:szCs w:val="24"/>
          <w:highlight w:val="none"/>
          <w14:textFill>
            <w14:solidFill>
              <w14:schemeClr w14:val="tx1"/>
            </w14:solidFill>
          </w14:textFill>
        </w:rPr>
        <w:t>方代表检验事项通知买方；如买方代表未按通知出席，不影响合同设备的检验。若卖方未依照合同约定提前通知买方而自行检验，则买方有权要求卖方暂停发货并重新进行检验，由此增加</w:t>
      </w:r>
      <w:r>
        <w:rPr>
          <w:rFonts w:hint="eastAsia" w:ascii="宋体" w:eastAsia="宋体" w:cs="宋体"/>
          <w:b w:val="0"/>
          <w:bCs w:val="0"/>
          <w:color w:val="000000" w:themeColor="text1"/>
          <w:szCs w:val="24"/>
          <w:highlight w:val="none"/>
          <w14:textFill>
            <w14:solidFill>
              <w14:schemeClr w14:val="tx1"/>
            </w14:solidFill>
          </w14:textFill>
        </w:rPr>
        <w:t>的费用和（或）造成的延误由卖方负责。</w:t>
      </w:r>
    </w:p>
    <w:p w14:paraId="7BADA861">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4.2.3 </w:t>
      </w:r>
      <w:r>
        <w:rPr>
          <w:rFonts w:hint="eastAsia" w:ascii="宋体" w:eastAsia="宋体" w:cs="宋体"/>
          <w:b w:val="0"/>
          <w:bCs w:val="0"/>
          <w:color w:val="000000" w:themeColor="text1"/>
          <w:spacing w:val="-4"/>
          <w:szCs w:val="24"/>
          <w:highlight w:val="none"/>
          <w14:textFill>
            <w14:solidFill>
              <w14:schemeClr w14:val="tx1"/>
            </w14:solidFill>
          </w14:textFill>
        </w:rPr>
        <w:t xml:space="preserve">买方代表在检验中如发现合同设备不符合合同约定的标准，则有权提出异议。卖方应 </w:t>
      </w:r>
      <w:r>
        <w:rPr>
          <w:rFonts w:hint="eastAsia" w:ascii="宋体" w:eastAsia="宋体" w:cs="宋体"/>
          <w:b w:val="0"/>
          <w:bCs w:val="0"/>
          <w:color w:val="000000" w:themeColor="text1"/>
          <w:szCs w:val="24"/>
          <w:highlight w:val="none"/>
          <w14:textFill>
            <w14:solidFill>
              <w14:schemeClr w14:val="tx1"/>
            </w14:solidFill>
          </w14:textFill>
        </w:rPr>
        <w:t>采取必要措施消除合同设备的不符，由此增加的费用和（或）造成的延误由卖方负责。</w:t>
      </w:r>
    </w:p>
    <w:p w14:paraId="25FAF9A6">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4.2.4 </w:t>
      </w:r>
      <w:r>
        <w:rPr>
          <w:rFonts w:hint="eastAsia" w:ascii="宋体" w:eastAsia="宋体" w:cs="宋体"/>
          <w:b w:val="0"/>
          <w:bCs w:val="0"/>
          <w:color w:val="000000" w:themeColor="text1"/>
          <w:spacing w:val="-4"/>
          <w:szCs w:val="24"/>
          <w:highlight w:val="none"/>
          <w14:textFill>
            <w14:solidFill>
              <w14:schemeClr w14:val="tx1"/>
            </w14:solidFill>
          </w14:textFill>
        </w:rPr>
        <w:t>买方代表参与交货前检验及签署交货前检验记录的行为，不视为对合同设备质量的确</w:t>
      </w:r>
      <w:r>
        <w:rPr>
          <w:rFonts w:hint="eastAsia" w:ascii="宋体" w:eastAsia="宋体" w:cs="宋体"/>
          <w:b w:val="0"/>
          <w:bCs w:val="0"/>
          <w:color w:val="000000" w:themeColor="text1"/>
          <w:spacing w:val="-1"/>
          <w:szCs w:val="24"/>
          <w:highlight w:val="none"/>
          <w14:textFill>
            <w14:solidFill>
              <w14:schemeClr w14:val="tx1"/>
            </w14:solidFill>
          </w14:textFill>
        </w:rPr>
        <w:t>认，不影响卖方交货后买方依照合同约定对合同设备提出质量异议和（或）退货的权利，也不</w:t>
      </w:r>
      <w:r>
        <w:rPr>
          <w:rFonts w:hint="eastAsia" w:ascii="宋体" w:eastAsia="宋体" w:cs="宋体"/>
          <w:b w:val="0"/>
          <w:bCs w:val="0"/>
          <w:color w:val="000000" w:themeColor="text1"/>
          <w:szCs w:val="24"/>
          <w:highlight w:val="none"/>
          <w14:textFill>
            <w14:solidFill>
              <w14:schemeClr w14:val="tx1"/>
            </w14:solidFill>
          </w14:textFill>
        </w:rPr>
        <w:t>免除卖方依照合同约定对合同设备所应承担的任何义务或责任。</w:t>
      </w:r>
    </w:p>
    <w:p w14:paraId="5B5F3E0C">
      <w:pPr>
        <w:pStyle w:val="84"/>
        <w:spacing w:line="500" w:lineRule="exact"/>
        <w:ind w:left="0" w:right="0" w:firstLine="480" w:firstLineChars="200"/>
        <w:rPr>
          <w:rFonts w:ascii="宋体" w:hAnsi="宋体" w:eastAsia="宋体" w:cs="宋体"/>
          <w:b w:val="0"/>
          <w:bCs w:val="0"/>
          <w:color w:val="000000" w:themeColor="text1"/>
          <w:sz w:val="24"/>
          <w:szCs w:val="24"/>
          <w:highlight w:val="none"/>
          <w14:textFill>
            <w14:solidFill>
              <w14:schemeClr w14:val="tx1"/>
            </w14:solidFill>
          </w14:textFill>
        </w:rPr>
      </w:pPr>
      <w:bookmarkStart w:id="186" w:name="_bookmark121"/>
      <w:bookmarkEnd w:id="186"/>
      <w:r>
        <w:rPr>
          <w:rFonts w:hint="eastAsia" w:ascii="宋体" w:hAnsi="宋体" w:eastAsia="宋体" w:cs="宋体"/>
          <w:b w:val="0"/>
          <w:bCs w:val="0"/>
          <w:color w:val="000000" w:themeColor="text1"/>
          <w:sz w:val="24"/>
          <w:szCs w:val="24"/>
          <w:highlight w:val="none"/>
          <w14:textFill>
            <w14:solidFill>
              <w14:schemeClr w14:val="tx1"/>
            </w14:solidFill>
          </w14:textFill>
        </w:rPr>
        <w:t>5.包装、标记、运输和交付</w:t>
      </w:r>
    </w:p>
    <w:p w14:paraId="1A78C322">
      <w:pPr>
        <w:pStyle w:val="86"/>
        <w:spacing w:line="500" w:lineRule="exact"/>
        <w:ind w:left="0" w:right="0" w:firstLine="480" w:firstLineChars="200"/>
        <w:rPr>
          <w:rFonts w:ascii="宋体" w:hAnsi="宋体" w:cs="宋体"/>
          <w:color w:val="000000" w:themeColor="text1"/>
          <w:sz w:val="24"/>
          <w:szCs w:val="24"/>
          <w:highlight w:val="none"/>
          <w14:textFill>
            <w14:solidFill>
              <w14:schemeClr w14:val="tx1"/>
            </w14:solidFill>
          </w14:textFill>
        </w:rPr>
      </w:pPr>
      <w:bookmarkStart w:id="187" w:name="_bookmark122"/>
      <w:bookmarkEnd w:id="187"/>
      <w:r>
        <w:rPr>
          <w:rFonts w:hint="eastAsia" w:ascii="宋体" w:hAnsi="宋体" w:cs="宋体"/>
          <w:color w:val="000000" w:themeColor="text1"/>
          <w:sz w:val="24"/>
          <w:szCs w:val="24"/>
          <w:highlight w:val="none"/>
          <w14:textFill>
            <w14:solidFill>
              <w14:schemeClr w14:val="tx1"/>
            </w14:solidFill>
          </w14:textFill>
        </w:rPr>
        <w:t>5.1</w:t>
      </w:r>
      <w:r>
        <w:rPr>
          <w:rFonts w:hint="eastAsia" w:ascii="宋体" w:hAnsi="宋体" w:cs="宋体"/>
          <w:color w:val="000000" w:themeColor="text1"/>
          <w:spacing w:val="69"/>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包装</w:t>
      </w:r>
    </w:p>
    <w:p w14:paraId="27BFEF8C">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5.1.1 </w:t>
      </w:r>
      <w:r>
        <w:rPr>
          <w:rFonts w:hint="eastAsia" w:ascii="宋体" w:eastAsia="宋体" w:cs="宋体"/>
          <w:b w:val="0"/>
          <w:bCs w:val="0"/>
          <w:color w:val="000000" w:themeColor="text1"/>
          <w:spacing w:val="-4"/>
          <w:szCs w:val="24"/>
          <w:highlight w:val="none"/>
          <w14:textFill>
            <w14:solidFill>
              <w14:schemeClr w14:val="tx1"/>
            </w14:solidFill>
          </w14:textFill>
        </w:rPr>
        <w:t>卖方应对合同设备进行妥善包装，以满足合同设备运至施工场地及在施工场地保管的</w:t>
      </w:r>
      <w:r>
        <w:rPr>
          <w:rFonts w:hint="eastAsia" w:ascii="宋体" w:eastAsia="宋体" w:cs="宋体"/>
          <w:b w:val="0"/>
          <w:bCs w:val="0"/>
          <w:color w:val="000000" w:themeColor="text1"/>
          <w:spacing w:val="-1"/>
          <w:szCs w:val="24"/>
          <w:highlight w:val="none"/>
          <w14:textFill>
            <w14:solidFill>
              <w14:schemeClr w14:val="tx1"/>
            </w14:solidFill>
          </w14:textFill>
        </w:rPr>
        <w:t>需要。包装应采取防潮、防晒、防锈、防腐蚀、防震动及防止其它损坏的必要保护措施，从而</w:t>
      </w:r>
      <w:r>
        <w:rPr>
          <w:rFonts w:hint="eastAsia" w:ascii="宋体" w:eastAsia="宋体" w:cs="宋体"/>
          <w:b w:val="0"/>
          <w:bCs w:val="0"/>
          <w:color w:val="000000" w:themeColor="text1"/>
          <w:szCs w:val="24"/>
          <w:highlight w:val="none"/>
          <w14:textFill>
            <w14:solidFill>
              <w14:schemeClr w14:val="tx1"/>
            </w14:solidFill>
          </w14:textFill>
        </w:rPr>
        <w:t>保护合同设备能够经受多次搬运、装卸、长途运输并适宜保管。</w:t>
      </w:r>
    </w:p>
    <w:p w14:paraId="7A34917F">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5.1.2 每个独立包装箱内应附装箱清单、质量合格证、装配图、说明书、操作指南等资料。</w:t>
      </w:r>
    </w:p>
    <w:p w14:paraId="1C62179F">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5.1.3 除专用合同条款另有约定外，买方无需将包装物退还给卖方。</w:t>
      </w:r>
    </w:p>
    <w:p w14:paraId="741B49B6">
      <w:pPr>
        <w:pStyle w:val="86"/>
        <w:spacing w:line="500" w:lineRule="exact"/>
        <w:ind w:left="0" w:right="0" w:firstLine="480" w:firstLineChars="200"/>
        <w:rPr>
          <w:rFonts w:ascii="宋体" w:hAnsi="宋体" w:cs="宋体"/>
          <w:color w:val="000000" w:themeColor="text1"/>
          <w:sz w:val="24"/>
          <w:szCs w:val="24"/>
          <w:highlight w:val="none"/>
          <w14:textFill>
            <w14:solidFill>
              <w14:schemeClr w14:val="tx1"/>
            </w14:solidFill>
          </w14:textFill>
        </w:rPr>
      </w:pPr>
      <w:bookmarkStart w:id="188" w:name="_bookmark123"/>
      <w:bookmarkEnd w:id="188"/>
      <w:r>
        <w:rPr>
          <w:rFonts w:hint="eastAsia" w:ascii="宋体" w:hAnsi="宋体" w:cs="宋体"/>
          <w:color w:val="000000" w:themeColor="text1"/>
          <w:sz w:val="24"/>
          <w:szCs w:val="24"/>
          <w:highlight w:val="none"/>
          <w14:textFill>
            <w14:solidFill>
              <w14:schemeClr w14:val="tx1"/>
            </w14:solidFill>
          </w14:textFill>
        </w:rPr>
        <w:t>5.2</w:t>
      </w:r>
      <w:r>
        <w:rPr>
          <w:rFonts w:hint="eastAsia" w:ascii="宋体" w:hAnsi="宋体" w:cs="宋体"/>
          <w:color w:val="000000" w:themeColor="text1"/>
          <w:spacing w:val="69"/>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标记</w:t>
      </w:r>
    </w:p>
    <w:p w14:paraId="7DA99D77">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5.2.1 </w:t>
      </w:r>
      <w:r>
        <w:rPr>
          <w:rFonts w:hint="eastAsia" w:ascii="宋体" w:eastAsia="宋体" w:cs="宋体"/>
          <w:b w:val="0"/>
          <w:bCs w:val="0"/>
          <w:color w:val="000000" w:themeColor="text1"/>
          <w:spacing w:val="-4"/>
          <w:szCs w:val="24"/>
          <w:highlight w:val="none"/>
          <w14:textFill>
            <w14:solidFill>
              <w14:schemeClr w14:val="tx1"/>
            </w14:solidFill>
          </w14:textFill>
        </w:rPr>
        <w:t>除专用合同条款另有约定外，卖方应在每一包装箱相邻的四个侧面以不可擦除的、明</w:t>
      </w:r>
      <w:r>
        <w:rPr>
          <w:rFonts w:hint="eastAsia" w:ascii="宋体" w:eastAsia="宋体" w:cs="宋体"/>
          <w:b w:val="0"/>
          <w:bCs w:val="0"/>
          <w:color w:val="000000" w:themeColor="text1"/>
          <w:szCs w:val="24"/>
          <w:highlight w:val="none"/>
          <w14:textFill>
            <w14:solidFill>
              <w14:schemeClr w14:val="tx1"/>
            </w14:solidFill>
          </w14:textFill>
        </w:rPr>
        <w:t>显的方式标记必要的装运信息和标记，以满足合同设备运输和保管的需要。</w:t>
      </w:r>
    </w:p>
    <w:p w14:paraId="385EDA85">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5.2.2 根据合同设备的特点和运输、保管的不同要求，卖方应在包装箱上清楚地标注</w:t>
      </w:r>
      <w:r>
        <w:rPr>
          <w:rFonts w:hint="eastAsia" w:ascii="宋体" w:eastAsia="宋体" w:cs="宋体"/>
          <w:b w:val="0"/>
          <w:bCs w:val="0"/>
          <w:i/>
          <w:color w:val="000000" w:themeColor="text1"/>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小心轻放”、“此端朝上，请勿倒置”、“保持干燥”等字样和其他适当标记。对于专用合同条款约定的超大超重件，卖方应在包装箱两侧标注“重心”和“起吊点”以便装卸和搬运。如果发运合同设备中含有易燃易爆物品、腐蚀物品、放射性物质等危险品，则应在包装箱上标明危险品标志。</w:t>
      </w:r>
    </w:p>
    <w:p w14:paraId="7D02C6B1">
      <w:pPr>
        <w:pStyle w:val="86"/>
        <w:spacing w:line="500" w:lineRule="exact"/>
        <w:ind w:left="0" w:right="0" w:firstLine="480" w:firstLineChars="200"/>
        <w:rPr>
          <w:rFonts w:ascii="宋体" w:hAnsi="宋体" w:cs="宋体"/>
          <w:color w:val="000000" w:themeColor="text1"/>
          <w:sz w:val="24"/>
          <w:szCs w:val="24"/>
          <w:highlight w:val="none"/>
          <w14:textFill>
            <w14:solidFill>
              <w14:schemeClr w14:val="tx1"/>
            </w14:solidFill>
          </w14:textFill>
        </w:rPr>
      </w:pPr>
      <w:bookmarkStart w:id="189" w:name="_bookmark124"/>
      <w:bookmarkEnd w:id="189"/>
      <w:r>
        <w:rPr>
          <w:rFonts w:hint="eastAsia" w:ascii="宋体" w:hAnsi="宋体" w:cs="宋体"/>
          <w:color w:val="000000" w:themeColor="text1"/>
          <w:sz w:val="24"/>
          <w:szCs w:val="24"/>
          <w:highlight w:val="none"/>
          <w14:textFill>
            <w14:solidFill>
              <w14:schemeClr w14:val="tx1"/>
            </w14:solidFill>
          </w14:textFill>
        </w:rPr>
        <w:t>5.3 运输</w:t>
      </w:r>
    </w:p>
    <w:p w14:paraId="179E946F">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5.3.1 卖方应自行选择适宜的运输工具及线路安排合同设备运输。</w:t>
      </w:r>
    </w:p>
    <w:p w14:paraId="13571DD6">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5.3.2 </w:t>
      </w:r>
      <w:r>
        <w:rPr>
          <w:rFonts w:hint="eastAsia" w:ascii="宋体" w:eastAsia="宋体" w:cs="宋体"/>
          <w:b w:val="0"/>
          <w:bCs w:val="0"/>
          <w:color w:val="000000" w:themeColor="text1"/>
          <w:spacing w:val="-4"/>
          <w:szCs w:val="24"/>
          <w:highlight w:val="none"/>
          <w14:textFill>
            <w14:solidFill>
              <w14:schemeClr w14:val="tx1"/>
            </w14:solidFill>
          </w14:textFill>
        </w:rPr>
        <w:t>除专用合同条款另有约定外，每件能够独立运行的设备应整套装运。该设备安装、调</w:t>
      </w:r>
      <w:r>
        <w:rPr>
          <w:rFonts w:hint="eastAsia" w:ascii="宋体" w:eastAsia="宋体" w:cs="宋体"/>
          <w:b w:val="0"/>
          <w:bCs w:val="0"/>
          <w:color w:val="000000" w:themeColor="text1"/>
          <w:szCs w:val="24"/>
          <w:highlight w:val="none"/>
          <w14:textFill>
            <w14:solidFill>
              <w14:schemeClr w14:val="tx1"/>
            </w14:solidFill>
          </w14:textFill>
        </w:rPr>
        <w:t>试、考核和运行所使用的备品、备件、易损易耗件等应随相关的主机一齐装运。</w:t>
      </w:r>
    </w:p>
    <w:p w14:paraId="5424D639">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5.3.3 除专用合同条款另有约定外，卖方应在合同设备预计启运 7 日前，将合同设备名称、数量</w:t>
      </w:r>
      <w:r>
        <w:rPr>
          <w:rFonts w:hint="eastAsia" w:ascii="宋体" w:eastAsia="宋体" w:cs="宋体"/>
          <w:b w:val="0"/>
          <w:bCs w:val="0"/>
          <w:color w:val="000000" w:themeColor="text1"/>
          <w:spacing w:val="-3"/>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箱</w:t>
      </w:r>
      <w:r>
        <w:rPr>
          <w:rFonts w:hint="eastAsia" w:ascii="宋体" w:eastAsia="宋体" w:cs="宋体"/>
          <w:b w:val="0"/>
          <w:bCs w:val="0"/>
          <w:color w:val="000000" w:themeColor="text1"/>
          <w:spacing w:val="-3"/>
          <w:szCs w:val="24"/>
          <w:highlight w:val="none"/>
          <w14:textFill>
            <w14:solidFill>
              <w14:schemeClr w14:val="tx1"/>
            </w14:solidFill>
          </w14:textFill>
        </w:rPr>
        <w:t>数</w:t>
      </w:r>
      <w:r>
        <w:rPr>
          <w:rFonts w:hint="eastAsia" w:ascii="宋体" w:eastAsia="宋体" w:cs="宋体"/>
          <w:b w:val="0"/>
          <w:bCs w:val="0"/>
          <w:color w:val="000000" w:themeColor="text1"/>
          <w:szCs w:val="24"/>
          <w:highlight w:val="none"/>
          <w14:textFill>
            <w14:solidFill>
              <w14:schemeClr w14:val="tx1"/>
            </w14:solidFill>
          </w14:textFill>
        </w:rPr>
        <w:t>、</w:t>
      </w:r>
      <w:r>
        <w:rPr>
          <w:rFonts w:hint="eastAsia" w:ascii="宋体" w:eastAsia="宋体" w:cs="宋体"/>
          <w:b w:val="0"/>
          <w:bCs w:val="0"/>
          <w:color w:val="000000" w:themeColor="text1"/>
          <w:spacing w:val="-3"/>
          <w:szCs w:val="24"/>
          <w:highlight w:val="none"/>
          <w14:textFill>
            <w14:solidFill>
              <w14:schemeClr w14:val="tx1"/>
            </w14:solidFill>
          </w14:textFill>
        </w:rPr>
        <w:t>总</w:t>
      </w:r>
      <w:r>
        <w:rPr>
          <w:rFonts w:hint="eastAsia" w:ascii="宋体" w:eastAsia="宋体" w:cs="宋体"/>
          <w:b w:val="0"/>
          <w:bCs w:val="0"/>
          <w:color w:val="000000" w:themeColor="text1"/>
          <w:szCs w:val="24"/>
          <w:highlight w:val="none"/>
          <w14:textFill>
            <w14:solidFill>
              <w14:schemeClr w14:val="tx1"/>
            </w14:solidFill>
          </w14:textFill>
        </w:rPr>
        <w:t>毛重</w:t>
      </w:r>
      <w:r>
        <w:rPr>
          <w:rFonts w:hint="eastAsia" w:ascii="宋体" w:eastAsia="宋体" w:cs="宋体"/>
          <w:b w:val="0"/>
          <w:bCs w:val="0"/>
          <w:color w:val="000000" w:themeColor="text1"/>
          <w:spacing w:val="-3"/>
          <w:szCs w:val="24"/>
          <w:highlight w:val="none"/>
          <w14:textFill>
            <w14:solidFill>
              <w14:schemeClr w14:val="tx1"/>
            </w14:solidFill>
          </w14:textFill>
        </w:rPr>
        <w:t>、总</w:t>
      </w:r>
      <w:r>
        <w:rPr>
          <w:rFonts w:hint="eastAsia" w:ascii="宋体" w:eastAsia="宋体" w:cs="宋体"/>
          <w:b w:val="0"/>
          <w:bCs w:val="0"/>
          <w:color w:val="000000" w:themeColor="text1"/>
          <w:szCs w:val="24"/>
          <w:highlight w:val="none"/>
          <w14:textFill>
            <w14:solidFill>
              <w14:schemeClr w14:val="tx1"/>
            </w14:solidFill>
          </w14:textFill>
        </w:rPr>
        <w:t>体积</w:t>
      </w:r>
      <w:r>
        <w:rPr>
          <w:rFonts w:hint="eastAsia" w:ascii="宋体" w:eastAsia="宋体" w:cs="宋体"/>
          <w:b w:val="0"/>
          <w:bCs w:val="0"/>
          <w:color w:val="000000" w:themeColor="text1"/>
          <w:spacing w:val="-3"/>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 xml:space="preserve">用 </w:t>
      </w:r>
      <w:r>
        <w:rPr>
          <w:rFonts w:hint="eastAsia" w:ascii="宋体" w:eastAsia="宋体" w:cs="宋体"/>
          <w:b w:val="0"/>
          <w:bCs w:val="0"/>
          <w:color w:val="000000" w:themeColor="text1"/>
          <w:spacing w:val="-4"/>
          <w:szCs w:val="24"/>
          <w:highlight w:val="none"/>
          <w14:textFill>
            <w14:solidFill>
              <w14:schemeClr w14:val="tx1"/>
            </w14:solidFill>
          </w14:textFill>
        </w:rPr>
        <w:t>m</w:t>
      </w:r>
      <w:r>
        <w:rPr>
          <w:rFonts w:hint="eastAsia" w:ascii="宋体" w:eastAsia="宋体" w:cs="宋体"/>
          <w:b w:val="0"/>
          <w:bCs w:val="0"/>
          <w:color w:val="000000" w:themeColor="text1"/>
          <w:position w:val="6"/>
          <w:szCs w:val="24"/>
          <w:highlight w:val="none"/>
          <w14:textFill>
            <w14:solidFill>
              <w14:schemeClr w14:val="tx1"/>
            </w14:solidFill>
          </w14:textFill>
        </w:rPr>
        <w:t xml:space="preserve">3  </w:t>
      </w:r>
      <w:r>
        <w:rPr>
          <w:rFonts w:hint="eastAsia" w:ascii="宋体" w:eastAsia="宋体" w:cs="宋体"/>
          <w:b w:val="0"/>
          <w:bCs w:val="0"/>
          <w:color w:val="000000" w:themeColor="text1"/>
          <w:szCs w:val="24"/>
          <w:highlight w:val="none"/>
          <w14:textFill>
            <w14:solidFill>
              <w14:schemeClr w14:val="tx1"/>
            </w14:solidFill>
          </w14:textFill>
        </w:rPr>
        <w:t>表示</w:t>
      </w:r>
      <w:r>
        <w:rPr>
          <w:rFonts w:hint="eastAsia" w:ascii="宋体" w:eastAsia="宋体" w:cs="宋体"/>
          <w:b w:val="0"/>
          <w:bCs w:val="0"/>
          <w:color w:val="000000" w:themeColor="text1"/>
          <w:spacing w:val="-108"/>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w:t>
      </w:r>
      <w:r>
        <w:rPr>
          <w:rFonts w:hint="eastAsia" w:ascii="宋体" w:eastAsia="宋体" w:cs="宋体"/>
          <w:b w:val="0"/>
          <w:bCs w:val="0"/>
          <w:color w:val="000000" w:themeColor="text1"/>
          <w:spacing w:val="-3"/>
          <w:szCs w:val="24"/>
          <w:highlight w:val="none"/>
          <w14:textFill>
            <w14:solidFill>
              <w14:schemeClr w14:val="tx1"/>
            </w14:solidFill>
          </w14:textFill>
        </w:rPr>
        <w:t>每箱</w:t>
      </w:r>
      <w:r>
        <w:rPr>
          <w:rFonts w:hint="eastAsia" w:ascii="宋体" w:eastAsia="宋体" w:cs="宋体"/>
          <w:b w:val="0"/>
          <w:bCs w:val="0"/>
          <w:color w:val="000000" w:themeColor="text1"/>
          <w:szCs w:val="24"/>
          <w:highlight w:val="none"/>
          <w14:textFill>
            <w14:solidFill>
              <w14:schemeClr w14:val="tx1"/>
            </w14:solidFill>
          </w14:textFill>
        </w:rPr>
        <w:t>尺寸</w:t>
      </w:r>
      <w:r>
        <w:rPr>
          <w:rFonts w:hint="eastAsia" w:ascii="宋体" w:eastAsia="宋体" w:cs="宋体"/>
          <w:b w:val="0"/>
          <w:bCs w:val="0"/>
          <w:color w:val="000000" w:themeColor="text1"/>
          <w:spacing w:val="-3"/>
          <w:szCs w:val="24"/>
          <w:highlight w:val="none"/>
          <w14:textFill>
            <w14:solidFill>
              <w14:schemeClr w14:val="tx1"/>
            </w14:solidFill>
          </w14:textFill>
        </w:rPr>
        <w:t>（</w:t>
      </w:r>
      <w:r>
        <w:rPr>
          <w:rFonts w:hint="eastAsia" w:ascii="宋体" w:eastAsia="宋体" w:cs="宋体"/>
          <w:b w:val="0"/>
          <w:bCs w:val="0"/>
          <w:color w:val="000000" w:themeColor="text1"/>
          <w:spacing w:val="2"/>
          <w:szCs w:val="24"/>
          <w:highlight w:val="none"/>
          <w14:textFill>
            <w14:solidFill>
              <w14:schemeClr w14:val="tx1"/>
            </w14:solidFill>
          </w14:textFill>
        </w:rPr>
        <w:t>长</w:t>
      </w:r>
      <w:r>
        <w:rPr>
          <w:rFonts w:hint="eastAsia" w:ascii="宋体" w:eastAsia="宋体" w:cs="宋体"/>
          <w:b w:val="0"/>
          <w:bCs w:val="0"/>
          <w:color w:val="000000" w:themeColor="text1"/>
          <w:spacing w:val="-4"/>
          <w:szCs w:val="24"/>
          <w:highlight w:val="none"/>
          <w14:textFill>
            <w14:solidFill>
              <w14:schemeClr w14:val="tx1"/>
            </w14:solidFill>
          </w14:textFill>
        </w:rPr>
        <w:t>×</w:t>
      </w:r>
      <w:r>
        <w:rPr>
          <w:rFonts w:hint="eastAsia" w:ascii="宋体" w:eastAsia="宋体" w:cs="宋体"/>
          <w:b w:val="0"/>
          <w:bCs w:val="0"/>
          <w:color w:val="000000" w:themeColor="text1"/>
          <w:spacing w:val="2"/>
          <w:szCs w:val="24"/>
          <w:highlight w:val="none"/>
          <w14:textFill>
            <w14:solidFill>
              <w14:schemeClr w14:val="tx1"/>
            </w14:solidFill>
          </w14:textFill>
        </w:rPr>
        <w:t>宽</w:t>
      </w:r>
      <w:r>
        <w:rPr>
          <w:rFonts w:hint="eastAsia" w:ascii="宋体" w:eastAsia="宋体" w:cs="宋体"/>
          <w:b w:val="0"/>
          <w:bCs w:val="0"/>
          <w:color w:val="000000" w:themeColor="text1"/>
          <w:spacing w:val="-4"/>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高</w:t>
      </w:r>
      <w:r>
        <w:rPr>
          <w:rFonts w:hint="eastAsia" w:ascii="宋体" w:eastAsia="宋体" w:cs="宋体"/>
          <w:b w:val="0"/>
          <w:bCs w:val="0"/>
          <w:color w:val="000000" w:themeColor="text1"/>
          <w:spacing w:val="-108"/>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、装</w:t>
      </w:r>
      <w:r>
        <w:rPr>
          <w:rFonts w:hint="eastAsia" w:ascii="宋体" w:eastAsia="宋体" w:cs="宋体"/>
          <w:b w:val="0"/>
          <w:bCs w:val="0"/>
          <w:color w:val="000000" w:themeColor="text1"/>
          <w:spacing w:val="-3"/>
          <w:szCs w:val="24"/>
          <w:highlight w:val="none"/>
          <w14:textFill>
            <w14:solidFill>
              <w14:schemeClr w14:val="tx1"/>
            </w14:solidFill>
          </w14:textFill>
        </w:rPr>
        <w:t>运合</w:t>
      </w:r>
      <w:r>
        <w:rPr>
          <w:rFonts w:hint="eastAsia" w:ascii="宋体" w:eastAsia="宋体" w:cs="宋体"/>
          <w:b w:val="0"/>
          <w:bCs w:val="0"/>
          <w:color w:val="000000" w:themeColor="text1"/>
          <w:szCs w:val="24"/>
          <w:highlight w:val="none"/>
          <w14:textFill>
            <w14:solidFill>
              <w14:schemeClr w14:val="tx1"/>
            </w14:solidFill>
          </w14:textFill>
        </w:rPr>
        <w:t>同设</w:t>
      </w:r>
      <w:r>
        <w:rPr>
          <w:rFonts w:hint="eastAsia" w:ascii="宋体" w:eastAsia="宋体" w:cs="宋体"/>
          <w:b w:val="0"/>
          <w:bCs w:val="0"/>
          <w:color w:val="000000" w:themeColor="text1"/>
          <w:spacing w:val="-3"/>
          <w:szCs w:val="24"/>
          <w:highlight w:val="none"/>
          <w14:textFill>
            <w14:solidFill>
              <w14:schemeClr w14:val="tx1"/>
            </w14:solidFill>
          </w14:textFill>
        </w:rPr>
        <w:t>备</w:t>
      </w:r>
      <w:r>
        <w:rPr>
          <w:rFonts w:hint="eastAsia" w:ascii="宋体" w:eastAsia="宋体" w:cs="宋体"/>
          <w:b w:val="0"/>
          <w:bCs w:val="0"/>
          <w:color w:val="000000" w:themeColor="text1"/>
          <w:szCs w:val="24"/>
          <w:highlight w:val="none"/>
          <w14:textFill>
            <w14:solidFill>
              <w14:schemeClr w14:val="tx1"/>
            </w14:solidFill>
          </w14:textFill>
        </w:rPr>
        <w:t>总</w:t>
      </w:r>
      <w:r>
        <w:rPr>
          <w:rFonts w:hint="eastAsia" w:ascii="宋体" w:eastAsia="宋体" w:cs="宋体"/>
          <w:b w:val="0"/>
          <w:bCs w:val="0"/>
          <w:color w:val="000000" w:themeColor="text1"/>
          <w:spacing w:val="-3"/>
          <w:szCs w:val="24"/>
          <w:highlight w:val="none"/>
          <w14:textFill>
            <w14:solidFill>
              <w14:schemeClr w14:val="tx1"/>
            </w14:solidFill>
          </w14:textFill>
        </w:rPr>
        <w:t>金</w:t>
      </w:r>
      <w:r>
        <w:rPr>
          <w:rFonts w:hint="eastAsia" w:ascii="宋体" w:eastAsia="宋体" w:cs="宋体"/>
          <w:b w:val="0"/>
          <w:bCs w:val="0"/>
          <w:color w:val="000000" w:themeColor="text1"/>
          <w:szCs w:val="24"/>
          <w:highlight w:val="none"/>
          <w14:textFill>
            <w14:solidFill>
              <w14:schemeClr w14:val="tx1"/>
            </w14:solidFill>
          </w14:textFill>
        </w:rPr>
        <w:t>额、运输方式、预计交付日期和合同设备在运输、装卸、保管中的注意事项等预通知买方，并在合 同设备启运后</w:t>
      </w:r>
      <w:r>
        <w:rPr>
          <w:rFonts w:hint="eastAsia" w:ascii="宋体" w:eastAsia="宋体" w:cs="宋体"/>
          <w:b w:val="0"/>
          <w:bCs w:val="0"/>
          <w:color w:val="000000" w:themeColor="text1"/>
          <w:spacing w:val="-56"/>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24 小时之内正式通知买方。</w:t>
      </w:r>
    </w:p>
    <w:p w14:paraId="74DC1D2A">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5.3.4 卖方在根据第 5.3.3 项进行通知时，如果发运合同设备中包括专用合同条款约定的超大超重包装，则卖方应将超大和（或）超重的每个包装箱的重量和尺寸通知买方；如果发运合同设备中包括易燃易爆物品、腐蚀物品、放射性物质等危险品，则危险品的品名、性质、在运输、装卸、保管方面的特殊要求、注意事项和处理意外情况的方法等，也应一并通知买方。</w:t>
      </w:r>
    </w:p>
    <w:p w14:paraId="54727471">
      <w:pPr>
        <w:pStyle w:val="86"/>
        <w:spacing w:line="500" w:lineRule="exact"/>
        <w:ind w:left="0" w:right="0" w:firstLine="480" w:firstLineChars="200"/>
        <w:rPr>
          <w:rFonts w:ascii="宋体" w:hAnsi="宋体" w:cs="宋体"/>
          <w:color w:val="000000" w:themeColor="text1"/>
          <w:sz w:val="24"/>
          <w:szCs w:val="24"/>
          <w:highlight w:val="none"/>
          <w14:textFill>
            <w14:solidFill>
              <w14:schemeClr w14:val="tx1"/>
            </w14:solidFill>
          </w14:textFill>
        </w:rPr>
      </w:pPr>
      <w:bookmarkStart w:id="190" w:name="_bookmark125"/>
      <w:bookmarkEnd w:id="190"/>
      <w:r>
        <w:rPr>
          <w:rFonts w:hint="eastAsia" w:ascii="宋体" w:hAnsi="宋体" w:cs="宋体"/>
          <w:color w:val="000000" w:themeColor="text1"/>
          <w:sz w:val="24"/>
          <w:szCs w:val="24"/>
          <w:highlight w:val="none"/>
          <w14:textFill>
            <w14:solidFill>
              <w14:schemeClr w14:val="tx1"/>
            </w14:solidFill>
          </w14:textFill>
        </w:rPr>
        <w:t>5.4</w:t>
      </w:r>
      <w:r>
        <w:rPr>
          <w:rFonts w:hint="eastAsia" w:ascii="宋体" w:hAnsi="宋体" w:cs="宋体"/>
          <w:color w:val="000000" w:themeColor="text1"/>
          <w:spacing w:val="69"/>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交付</w:t>
      </w:r>
    </w:p>
    <w:p w14:paraId="2C86D5DC">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5.4.1 </w:t>
      </w:r>
      <w:r>
        <w:rPr>
          <w:rFonts w:hint="eastAsia" w:ascii="宋体" w:eastAsia="宋体" w:cs="宋体"/>
          <w:b w:val="0"/>
          <w:bCs w:val="0"/>
          <w:color w:val="000000" w:themeColor="text1"/>
          <w:spacing w:val="-4"/>
          <w:szCs w:val="24"/>
          <w:highlight w:val="none"/>
          <w14:textFill>
            <w14:solidFill>
              <w14:schemeClr w14:val="tx1"/>
            </w14:solidFill>
          </w14:textFill>
        </w:rPr>
        <w:t xml:space="preserve">除专用合同条款另有约定外，卖方应根据合同约定的交付时间和批次在施工场地车面 </w:t>
      </w:r>
      <w:r>
        <w:rPr>
          <w:rFonts w:hint="eastAsia" w:ascii="宋体" w:eastAsia="宋体" w:cs="宋体"/>
          <w:b w:val="0"/>
          <w:bCs w:val="0"/>
          <w:color w:val="000000" w:themeColor="text1"/>
          <w:spacing w:val="-1"/>
          <w:szCs w:val="24"/>
          <w:highlight w:val="none"/>
          <w14:textFill>
            <w14:solidFill>
              <w14:schemeClr w14:val="tx1"/>
            </w14:solidFill>
          </w14:textFill>
        </w:rPr>
        <w:t xml:space="preserve">上将合同设备交付给买方。买方对卖方交付的包装的合同设备的外观及件数进行清点核验后应 签发收货清单，并自负风险和费用进行卸货。买方签发收货清单不代表对合同设备的接受，双 </w:t>
      </w:r>
      <w:r>
        <w:rPr>
          <w:rFonts w:hint="eastAsia" w:ascii="宋体" w:eastAsia="宋体" w:cs="宋体"/>
          <w:b w:val="0"/>
          <w:bCs w:val="0"/>
          <w:color w:val="000000" w:themeColor="text1"/>
          <w:szCs w:val="24"/>
          <w:highlight w:val="none"/>
          <w14:textFill>
            <w14:solidFill>
              <w14:schemeClr w14:val="tx1"/>
            </w14:solidFill>
          </w14:textFill>
        </w:rPr>
        <w:t>方还应按合同约定进行后续的检验和验收。</w:t>
      </w:r>
    </w:p>
    <w:p w14:paraId="30E1198D">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5.4.2 </w:t>
      </w:r>
      <w:r>
        <w:rPr>
          <w:rFonts w:hint="eastAsia" w:ascii="宋体" w:eastAsia="宋体" w:cs="宋体"/>
          <w:b w:val="0"/>
          <w:bCs w:val="0"/>
          <w:color w:val="000000" w:themeColor="text1"/>
          <w:spacing w:val="-4"/>
          <w:szCs w:val="24"/>
          <w:highlight w:val="none"/>
          <w14:textFill>
            <w14:solidFill>
              <w14:schemeClr w14:val="tx1"/>
            </w14:solidFill>
          </w14:textFill>
        </w:rPr>
        <w:t xml:space="preserve">合同设备的所有权和风险自交付时起由卖方转移至买方，合同设备交付给买方之前包 </w:t>
      </w:r>
      <w:r>
        <w:rPr>
          <w:rFonts w:hint="eastAsia" w:ascii="宋体" w:eastAsia="宋体" w:cs="宋体"/>
          <w:b w:val="0"/>
          <w:bCs w:val="0"/>
          <w:color w:val="000000" w:themeColor="text1"/>
          <w:szCs w:val="24"/>
          <w:highlight w:val="none"/>
          <w14:textFill>
            <w14:solidFill>
              <w14:schemeClr w14:val="tx1"/>
            </w14:solidFill>
          </w14:textFill>
        </w:rPr>
        <w:t>括运输在内的所有风险均由卖方承担。</w:t>
      </w:r>
    </w:p>
    <w:p w14:paraId="6222A58C">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5.4.3   除专用合同条款另有约定外，买方如果发现技术资料存在短缺和（或）损坏，卖方应</w:t>
      </w:r>
    </w:p>
    <w:p w14:paraId="72858290">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在收到买方的通知后 7 日内免费补齐短缺和（或）损坏的部分。如果买方发现卖方提供的技术</w:t>
      </w:r>
    </w:p>
    <w:p w14:paraId="55407C39">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资料</w:t>
      </w:r>
      <w:r>
        <w:rPr>
          <w:rFonts w:hint="eastAsia" w:ascii="宋体" w:eastAsia="宋体" w:cs="宋体"/>
          <w:b w:val="0"/>
          <w:bCs w:val="0"/>
          <w:color w:val="000000" w:themeColor="text1"/>
          <w:spacing w:val="-3"/>
          <w:szCs w:val="24"/>
          <w:highlight w:val="none"/>
          <w14:textFill>
            <w14:solidFill>
              <w14:schemeClr w14:val="tx1"/>
            </w14:solidFill>
          </w14:textFill>
        </w:rPr>
        <w:t>有</w:t>
      </w:r>
      <w:r>
        <w:rPr>
          <w:rFonts w:hint="eastAsia" w:ascii="宋体" w:eastAsia="宋体" w:cs="宋体"/>
          <w:b w:val="0"/>
          <w:bCs w:val="0"/>
          <w:color w:val="000000" w:themeColor="text1"/>
          <w:szCs w:val="24"/>
          <w:highlight w:val="none"/>
          <w14:textFill>
            <w14:solidFill>
              <w14:schemeClr w14:val="tx1"/>
            </w14:solidFill>
          </w14:textFill>
        </w:rPr>
        <w:t>误</w:t>
      </w:r>
      <w:r>
        <w:rPr>
          <w:rFonts w:hint="eastAsia" w:ascii="宋体" w:eastAsia="宋体" w:cs="宋体"/>
          <w:b w:val="0"/>
          <w:bCs w:val="0"/>
          <w:color w:val="000000" w:themeColor="text1"/>
          <w:spacing w:val="-99"/>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卖</w:t>
      </w:r>
      <w:r>
        <w:rPr>
          <w:rFonts w:hint="eastAsia" w:ascii="宋体" w:eastAsia="宋体" w:cs="宋体"/>
          <w:b w:val="0"/>
          <w:bCs w:val="0"/>
          <w:color w:val="000000" w:themeColor="text1"/>
          <w:spacing w:val="-3"/>
          <w:szCs w:val="24"/>
          <w:highlight w:val="none"/>
          <w14:textFill>
            <w14:solidFill>
              <w14:schemeClr w14:val="tx1"/>
            </w14:solidFill>
          </w14:textFill>
        </w:rPr>
        <w:t>方</w:t>
      </w:r>
      <w:r>
        <w:rPr>
          <w:rFonts w:hint="eastAsia" w:ascii="宋体" w:eastAsia="宋体" w:cs="宋体"/>
          <w:b w:val="0"/>
          <w:bCs w:val="0"/>
          <w:color w:val="000000" w:themeColor="text1"/>
          <w:szCs w:val="24"/>
          <w:highlight w:val="none"/>
          <w14:textFill>
            <w14:solidFill>
              <w14:schemeClr w14:val="tx1"/>
            </w14:solidFill>
          </w14:textFill>
        </w:rPr>
        <w:t>应</w:t>
      </w:r>
      <w:r>
        <w:rPr>
          <w:rFonts w:hint="eastAsia" w:ascii="宋体" w:eastAsia="宋体" w:cs="宋体"/>
          <w:b w:val="0"/>
          <w:bCs w:val="0"/>
          <w:color w:val="000000" w:themeColor="text1"/>
          <w:spacing w:val="-3"/>
          <w:szCs w:val="24"/>
          <w:highlight w:val="none"/>
          <w14:textFill>
            <w14:solidFill>
              <w14:schemeClr w14:val="tx1"/>
            </w14:solidFill>
          </w14:textFill>
        </w:rPr>
        <w:t>在</w:t>
      </w:r>
      <w:r>
        <w:rPr>
          <w:rFonts w:hint="eastAsia" w:ascii="宋体" w:eastAsia="宋体" w:cs="宋体"/>
          <w:b w:val="0"/>
          <w:bCs w:val="0"/>
          <w:color w:val="000000" w:themeColor="text1"/>
          <w:szCs w:val="24"/>
          <w:highlight w:val="none"/>
          <w14:textFill>
            <w14:solidFill>
              <w14:schemeClr w14:val="tx1"/>
            </w14:solidFill>
          </w14:textFill>
        </w:rPr>
        <w:t>收</w:t>
      </w:r>
      <w:r>
        <w:rPr>
          <w:rFonts w:hint="eastAsia" w:ascii="宋体" w:eastAsia="宋体" w:cs="宋体"/>
          <w:b w:val="0"/>
          <w:bCs w:val="0"/>
          <w:color w:val="000000" w:themeColor="text1"/>
          <w:spacing w:val="-3"/>
          <w:szCs w:val="24"/>
          <w:highlight w:val="none"/>
          <w14:textFill>
            <w14:solidFill>
              <w14:schemeClr w14:val="tx1"/>
            </w14:solidFill>
          </w14:textFill>
        </w:rPr>
        <w:t>到买</w:t>
      </w:r>
      <w:r>
        <w:rPr>
          <w:rFonts w:hint="eastAsia" w:ascii="宋体" w:eastAsia="宋体" w:cs="宋体"/>
          <w:b w:val="0"/>
          <w:bCs w:val="0"/>
          <w:color w:val="000000" w:themeColor="text1"/>
          <w:szCs w:val="24"/>
          <w:highlight w:val="none"/>
          <w14:textFill>
            <w14:solidFill>
              <w14:schemeClr w14:val="tx1"/>
            </w14:solidFill>
          </w14:textFill>
        </w:rPr>
        <w:t>方通</w:t>
      </w:r>
      <w:r>
        <w:rPr>
          <w:rFonts w:hint="eastAsia" w:ascii="宋体" w:eastAsia="宋体" w:cs="宋体"/>
          <w:b w:val="0"/>
          <w:bCs w:val="0"/>
          <w:color w:val="000000" w:themeColor="text1"/>
          <w:spacing w:val="-3"/>
          <w:szCs w:val="24"/>
          <w:highlight w:val="none"/>
          <w14:textFill>
            <w14:solidFill>
              <w14:schemeClr w14:val="tx1"/>
            </w14:solidFill>
          </w14:textFill>
        </w:rPr>
        <w:t>知</w:t>
      </w:r>
      <w:r>
        <w:rPr>
          <w:rFonts w:hint="eastAsia" w:ascii="宋体" w:eastAsia="宋体" w:cs="宋体"/>
          <w:b w:val="0"/>
          <w:bCs w:val="0"/>
          <w:color w:val="000000" w:themeColor="text1"/>
          <w:szCs w:val="24"/>
          <w:highlight w:val="none"/>
          <w14:textFill>
            <w14:solidFill>
              <w14:schemeClr w14:val="tx1"/>
            </w14:solidFill>
          </w14:textFill>
        </w:rPr>
        <w:t>后</w:t>
      </w:r>
      <w:r>
        <w:rPr>
          <w:rFonts w:hint="eastAsia" w:ascii="宋体" w:eastAsia="宋体" w:cs="宋体"/>
          <w:b w:val="0"/>
          <w:bCs w:val="0"/>
          <w:color w:val="000000" w:themeColor="text1"/>
          <w:spacing w:val="-53"/>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7</w:t>
      </w:r>
      <w:r>
        <w:rPr>
          <w:rFonts w:hint="eastAsia" w:ascii="宋体" w:eastAsia="宋体" w:cs="宋体"/>
          <w:b w:val="0"/>
          <w:bCs w:val="0"/>
          <w:color w:val="000000" w:themeColor="text1"/>
          <w:spacing w:val="-3"/>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日</w:t>
      </w:r>
      <w:r>
        <w:rPr>
          <w:rFonts w:hint="eastAsia" w:ascii="宋体" w:eastAsia="宋体" w:cs="宋体"/>
          <w:b w:val="0"/>
          <w:bCs w:val="0"/>
          <w:color w:val="000000" w:themeColor="text1"/>
          <w:spacing w:val="-3"/>
          <w:szCs w:val="24"/>
          <w:highlight w:val="none"/>
          <w14:textFill>
            <w14:solidFill>
              <w14:schemeClr w14:val="tx1"/>
            </w14:solidFill>
          </w14:textFill>
        </w:rPr>
        <w:t>内</w:t>
      </w:r>
      <w:r>
        <w:rPr>
          <w:rFonts w:hint="eastAsia" w:ascii="宋体" w:eastAsia="宋体" w:cs="宋体"/>
          <w:b w:val="0"/>
          <w:bCs w:val="0"/>
          <w:color w:val="000000" w:themeColor="text1"/>
          <w:szCs w:val="24"/>
          <w:highlight w:val="none"/>
          <w14:textFill>
            <w14:solidFill>
              <w14:schemeClr w14:val="tx1"/>
            </w14:solidFill>
          </w14:textFill>
        </w:rPr>
        <w:t>免</w:t>
      </w:r>
      <w:r>
        <w:rPr>
          <w:rFonts w:hint="eastAsia" w:ascii="宋体" w:eastAsia="宋体" w:cs="宋体"/>
          <w:b w:val="0"/>
          <w:bCs w:val="0"/>
          <w:color w:val="000000" w:themeColor="text1"/>
          <w:spacing w:val="-3"/>
          <w:szCs w:val="24"/>
          <w:highlight w:val="none"/>
          <w14:textFill>
            <w14:solidFill>
              <w14:schemeClr w14:val="tx1"/>
            </w14:solidFill>
          </w14:textFill>
        </w:rPr>
        <w:t>费</w:t>
      </w:r>
      <w:r>
        <w:rPr>
          <w:rFonts w:hint="eastAsia" w:ascii="宋体" w:eastAsia="宋体" w:cs="宋体"/>
          <w:b w:val="0"/>
          <w:bCs w:val="0"/>
          <w:color w:val="000000" w:themeColor="text1"/>
          <w:szCs w:val="24"/>
          <w:highlight w:val="none"/>
          <w14:textFill>
            <w14:solidFill>
              <w14:schemeClr w14:val="tx1"/>
            </w14:solidFill>
          </w14:textFill>
        </w:rPr>
        <w:t>替</w:t>
      </w:r>
      <w:r>
        <w:rPr>
          <w:rFonts w:hint="eastAsia" w:ascii="宋体" w:eastAsia="宋体" w:cs="宋体"/>
          <w:b w:val="0"/>
          <w:bCs w:val="0"/>
          <w:color w:val="000000" w:themeColor="text1"/>
          <w:spacing w:val="-3"/>
          <w:szCs w:val="24"/>
          <w:highlight w:val="none"/>
          <w14:textFill>
            <w14:solidFill>
              <w14:schemeClr w14:val="tx1"/>
            </w14:solidFill>
          </w14:textFill>
        </w:rPr>
        <w:t>换</w:t>
      </w:r>
      <w:r>
        <w:rPr>
          <w:rFonts w:hint="eastAsia" w:ascii="宋体" w:eastAsia="宋体" w:cs="宋体"/>
          <w:b w:val="0"/>
          <w:bCs w:val="0"/>
          <w:color w:val="000000" w:themeColor="text1"/>
          <w:spacing w:val="-99"/>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如由</w:t>
      </w:r>
      <w:r>
        <w:rPr>
          <w:rFonts w:hint="eastAsia" w:ascii="宋体" w:eastAsia="宋体" w:cs="宋体"/>
          <w:b w:val="0"/>
          <w:bCs w:val="0"/>
          <w:color w:val="000000" w:themeColor="text1"/>
          <w:spacing w:val="-3"/>
          <w:szCs w:val="24"/>
          <w:highlight w:val="none"/>
          <w14:textFill>
            <w14:solidFill>
              <w14:schemeClr w14:val="tx1"/>
            </w14:solidFill>
          </w14:textFill>
        </w:rPr>
        <w:t>于</w:t>
      </w:r>
      <w:r>
        <w:rPr>
          <w:rFonts w:hint="eastAsia" w:ascii="宋体" w:eastAsia="宋体" w:cs="宋体"/>
          <w:b w:val="0"/>
          <w:bCs w:val="0"/>
          <w:color w:val="000000" w:themeColor="text1"/>
          <w:szCs w:val="24"/>
          <w:highlight w:val="none"/>
          <w14:textFill>
            <w14:solidFill>
              <w14:schemeClr w14:val="tx1"/>
            </w14:solidFill>
          </w14:textFill>
        </w:rPr>
        <w:t>买</w:t>
      </w:r>
      <w:r>
        <w:rPr>
          <w:rFonts w:hint="eastAsia" w:ascii="宋体" w:eastAsia="宋体" w:cs="宋体"/>
          <w:b w:val="0"/>
          <w:bCs w:val="0"/>
          <w:color w:val="000000" w:themeColor="text1"/>
          <w:spacing w:val="-3"/>
          <w:szCs w:val="24"/>
          <w:highlight w:val="none"/>
          <w14:textFill>
            <w14:solidFill>
              <w14:schemeClr w14:val="tx1"/>
            </w14:solidFill>
          </w14:textFill>
        </w:rPr>
        <w:t>方</w:t>
      </w:r>
      <w:r>
        <w:rPr>
          <w:rFonts w:hint="eastAsia" w:ascii="宋体" w:eastAsia="宋体" w:cs="宋体"/>
          <w:b w:val="0"/>
          <w:bCs w:val="0"/>
          <w:color w:val="000000" w:themeColor="text1"/>
          <w:szCs w:val="24"/>
          <w:highlight w:val="none"/>
          <w14:textFill>
            <w14:solidFill>
              <w14:schemeClr w14:val="tx1"/>
            </w14:solidFill>
          </w14:textFill>
        </w:rPr>
        <w:t>原</w:t>
      </w:r>
      <w:r>
        <w:rPr>
          <w:rFonts w:hint="eastAsia" w:ascii="宋体" w:eastAsia="宋体" w:cs="宋体"/>
          <w:b w:val="0"/>
          <w:bCs w:val="0"/>
          <w:color w:val="000000" w:themeColor="text1"/>
          <w:spacing w:val="-3"/>
          <w:szCs w:val="24"/>
          <w:highlight w:val="none"/>
          <w14:textFill>
            <w14:solidFill>
              <w14:schemeClr w14:val="tx1"/>
            </w14:solidFill>
          </w14:textFill>
        </w:rPr>
        <w:t>因</w:t>
      </w:r>
      <w:r>
        <w:rPr>
          <w:rFonts w:hint="eastAsia" w:ascii="宋体" w:eastAsia="宋体" w:cs="宋体"/>
          <w:b w:val="0"/>
          <w:bCs w:val="0"/>
          <w:color w:val="000000" w:themeColor="text1"/>
          <w:szCs w:val="24"/>
          <w:highlight w:val="none"/>
          <w14:textFill>
            <w14:solidFill>
              <w14:schemeClr w14:val="tx1"/>
            </w14:solidFill>
          </w14:textFill>
        </w:rPr>
        <w:t>导</w:t>
      </w:r>
      <w:r>
        <w:rPr>
          <w:rFonts w:hint="eastAsia" w:ascii="宋体" w:eastAsia="宋体" w:cs="宋体"/>
          <w:b w:val="0"/>
          <w:bCs w:val="0"/>
          <w:color w:val="000000" w:themeColor="text1"/>
          <w:spacing w:val="-3"/>
          <w:szCs w:val="24"/>
          <w:highlight w:val="none"/>
          <w14:textFill>
            <w14:solidFill>
              <w14:schemeClr w14:val="tx1"/>
            </w14:solidFill>
          </w14:textFill>
        </w:rPr>
        <w:t>致</w:t>
      </w:r>
      <w:r>
        <w:rPr>
          <w:rFonts w:hint="eastAsia" w:ascii="宋体" w:eastAsia="宋体" w:cs="宋体"/>
          <w:b w:val="0"/>
          <w:bCs w:val="0"/>
          <w:color w:val="000000" w:themeColor="text1"/>
          <w:szCs w:val="24"/>
          <w:highlight w:val="none"/>
          <w14:textFill>
            <w14:solidFill>
              <w14:schemeClr w14:val="tx1"/>
            </w14:solidFill>
          </w14:textFill>
        </w:rPr>
        <w:t>技</w:t>
      </w:r>
      <w:r>
        <w:rPr>
          <w:rFonts w:hint="eastAsia" w:ascii="宋体" w:eastAsia="宋体" w:cs="宋体"/>
          <w:b w:val="0"/>
          <w:bCs w:val="0"/>
          <w:color w:val="000000" w:themeColor="text1"/>
          <w:spacing w:val="-3"/>
          <w:szCs w:val="24"/>
          <w:highlight w:val="none"/>
          <w14:textFill>
            <w14:solidFill>
              <w14:schemeClr w14:val="tx1"/>
            </w14:solidFill>
          </w14:textFill>
        </w:rPr>
        <w:t>术</w:t>
      </w:r>
      <w:r>
        <w:rPr>
          <w:rFonts w:hint="eastAsia" w:ascii="宋体" w:eastAsia="宋体" w:cs="宋体"/>
          <w:b w:val="0"/>
          <w:bCs w:val="0"/>
          <w:color w:val="000000" w:themeColor="text1"/>
          <w:szCs w:val="24"/>
          <w:highlight w:val="none"/>
          <w14:textFill>
            <w14:solidFill>
              <w14:schemeClr w14:val="tx1"/>
            </w14:solidFill>
          </w14:textFill>
        </w:rPr>
        <w:t>资料</w:t>
      </w:r>
      <w:r>
        <w:rPr>
          <w:rFonts w:hint="eastAsia" w:ascii="宋体" w:eastAsia="宋体" w:cs="宋体"/>
          <w:b w:val="0"/>
          <w:bCs w:val="0"/>
          <w:color w:val="000000" w:themeColor="text1"/>
          <w:spacing w:val="-3"/>
          <w:szCs w:val="24"/>
          <w:highlight w:val="none"/>
          <w14:textFill>
            <w14:solidFill>
              <w14:schemeClr w14:val="tx1"/>
            </w14:solidFill>
          </w14:textFill>
        </w:rPr>
        <w:t>丢</w:t>
      </w:r>
      <w:r>
        <w:rPr>
          <w:rFonts w:hint="eastAsia" w:ascii="宋体" w:eastAsia="宋体" w:cs="宋体"/>
          <w:b w:val="0"/>
          <w:bCs w:val="0"/>
          <w:color w:val="000000" w:themeColor="text1"/>
          <w:szCs w:val="24"/>
          <w:highlight w:val="none"/>
          <w14:textFill>
            <w14:solidFill>
              <w14:schemeClr w14:val="tx1"/>
            </w14:solidFill>
          </w14:textFill>
        </w:rPr>
        <w:t>失</w:t>
      </w:r>
      <w:r>
        <w:rPr>
          <w:rFonts w:hint="eastAsia" w:ascii="宋体" w:eastAsia="宋体" w:cs="宋体"/>
          <w:b w:val="0"/>
          <w:bCs w:val="0"/>
          <w:color w:val="000000" w:themeColor="text1"/>
          <w:spacing w:val="-99"/>
          <w:szCs w:val="24"/>
          <w:highlight w:val="none"/>
          <w14:textFill>
            <w14:solidFill>
              <w14:schemeClr w14:val="tx1"/>
            </w14:solidFill>
          </w14:textFill>
        </w:rPr>
        <w:t>和</w:t>
      </w:r>
      <w:r>
        <w:rPr>
          <w:rFonts w:hint="eastAsia" w:ascii="宋体" w:eastAsia="宋体" w:cs="宋体"/>
          <w:b w:val="0"/>
          <w:bCs w:val="0"/>
          <w:color w:val="000000" w:themeColor="text1"/>
          <w:szCs w:val="24"/>
          <w:highlight w:val="none"/>
          <w14:textFill>
            <w14:solidFill>
              <w14:schemeClr w14:val="tx1"/>
            </w14:solidFill>
          </w14:textFill>
        </w:rPr>
        <w:t>（或）</w:t>
      </w:r>
    </w:p>
    <w:p w14:paraId="23B46FF1">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损坏，卖方应在收到买方的通知后 7 日内补齐丢失和（或）损坏的部分，但买方应向卖方支付合理的复制、邮寄费用。</w:t>
      </w:r>
      <w:bookmarkStart w:id="191" w:name="_bookmark126"/>
      <w:bookmarkEnd w:id="191"/>
    </w:p>
    <w:p w14:paraId="1328FF4A">
      <w:pPr>
        <w:pStyle w:val="13"/>
        <w:spacing w:line="500" w:lineRule="exact"/>
        <w:ind w:firstLine="496" w:firstLineChars="200"/>
        <w:outlineLvl w:val="2"/>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6. 开箱检验、安装、调试、考核、验收</w:t>
      </w:r>
      <w:bookmarkStart w:id="192" w:name="_bookmark127"/>
      <w:bookmarkEnd w:id="192"/>
    </w:p>
    <w:p w14:paraId="06F67EE5">
      <w:pPr>
        <w:pStyle w:val="13"/>
        <w:spacing w:line="500" w:lineRule="exact"/>
        <w:ind w:firstLine="496" w:firstLineChars="200"/>
        <w:outlineLvl w:val="3"/>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6.1 开箱检验</w:t>
      </w:r>
    </w:p>
    <w:p w14:paraId="626B143E">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6.1.1 </w:t>
      </w:r>
      <w:r>
        <w:rPr>
          <w:rFonts w:hint="eastAsia" w:ascii="宋体" w:eastAsia="宋体" w:cs="宋体"/>
          <w:b w:val="0"/>
          <w:bCs w:val="0"/>
          <w:color w:val="000000" w:themeColor="text1"/>
          <w:spacing w:val="-4"/>
          <w:szCs w:val="24"/>
          <w:highlight w:val="none"/>
          <w14:textFill>
            <w14:solidFill>
              <w14:schemeClr w14:val="tx1"/>
            </w14:solidFill>
          </w14:textFill>
        </w:rPr>
        <w:t>合同设备交付后应进行开箱检验，即合同设备数量及外观检验。开箱检验在专用合同</w:t>
      </w:r>
      <w:r>
        <w:rPr>
          <w:rFonts w:hint="eastAsia" w:ascii="宋体" w:eastAsia="宋体" w:cs="宋体"/>
          <w:b w:val="0"/>
          <w:bCs w:val="0"/>
          <w:color w:val="000000" w:themeColor="text1"/>
          <w:szCs w:val="24"/>
          <w:highlight w:val="none"/>
          <w14:textFill>
            <w14:solidFill>
              <w14:schemeClr w14:val="tx1"/>
            </w14:solidFill>
          </w14:textFill>
        </w:rPr>
        <w:t>条款约定的下列任一种时间进行：</w:t>
      </w:r>
    </w:p>
    <w:p w14:paraId="7F11376E">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（1）合同设备交付时；</w:t>
      </w:r>
    </w:p>
    <w:p w14:paraId="7ADC36F7">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（2）合同设备交付后的一定期限内。如开箱检验不在合同设备交付时进行，买方应在开箱检验3日前将开箱检验的时间和地点</w:t>
      </w:r>
    </w:p>
    <w:p w14:paraId="72B29E52">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通知卖方。</w:t>
      </w:r>
    </w:p>
    <w:p w14:paraId="6ADFE1D8">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6.1.2 除专用合同条款另有约定外，合同设备的开箱检验应在施工场地进行。</w:t>
      </w:r>
    </w:p>
    <w:p w14:paraId="49F7D6A8">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6.1.3 开箱检验由买卖双方共同进行，卖方应自负费用派遣代表到场参加开箱检验。</w:t>
      </w:r>
    </w:p>
    <w:p w14:paraId="44B1E607">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6.1.4 在开箱检验中，买方和卖方应共同签署数量、外观检验报告，报告应列明检验结果， 包括检验合格或发现的任何短缺、损坏或其它与合同约定不符的情形。</w:t>
      </w:r>
    </w:p>
    <w:p w14:paraId="2302F5B5">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6.1.5 </w:t>
      </w:r>
      <w:r>
        <w:rPr>
          <w:rFonts w:hint="eastAsia" w:ascii="宋体" w:eastAsia="宋体" w:cs="宋体"/>
          <w:b w:val="0"/>
          <w:bCs w:val="0"/>
          <w:color w:val="000000" w:themeColor="text1"/>
          <w:spacing w:val="-4"/>
          <w:szCs w:val="24"/>
          <w:highlight w:val="none"/>
          <w14:textFill>
            <w14:solidFill>
              <w14:schemeClr w14:val="tx1"/>
            </w14:solidFill>
          </w14:textFill>
        </w:rPr>
        <w:t xml:space="preserve">如果卖方代表未能依约或按买方通知到场参加开箱检验，买方有权在卖方代表未在场 </w:t>
      </w:r>
      <w:r>
        <w:rPr>
          <w:rFonts w:hint="eastAsia" w:ascii="宋体" w:eastAsia="宋体" w:cs="宋体"/>
          <w:b w:val="0"/>
          <w:bCs w:val="0"/>
          <w:color w:val="000000" w:themeColor="text1"/>
          <w:spacing w:val="-1"/>
          <w:szCs w:val="24"/>
          <w:highlight w:val="none"/>
          <w14:textFill>
            <w14:solidFill>
              <w14:schemeClr w14:val="tx1"/>
            </w14:solidFill>
          </w14:textFill>
        </w:rPr>
        <w:t xml:space="preserve">的情况下进行开箱检验，并签署数量、外观检验报告，对于该检验报告和检验结果，视为卖方 </w:t>
      </w:r>
      <w:r>
        <w:rPr>
          <w:rFonts w:hint="eastAsia" w:ascii="宋体" w:eastAsia="宋体" w:cs="宋体"/>
          <w:b w:val="0"/>
          <w:bCs w:val="0"/>
          <w:color w:val="000000" w:themeColor="text1"/>
          <w:szCs w:val="24"/>
          <w:highlight w:val="none"/>
          <w14:textFill>
            <w14:solidFill>
              <w14:schemeClr w14:val="tx1"/>
            </w14:solidFill>
          </w14:textFill>
        </w:rPr>
        <w:t>已接受，但卖方确有合理理由且事先与买方协商推迟开箱检验时间的除外。</w:t>
      </w:r>
    </w:p>
    <w:p w14:paraId="50347A26">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6.1.6 如开箱检验不在合同设备交付时进行，则合同设备交付以后到开箱检验之前，应由买方负责按交货时外包装原样对合同设备进行妥善保管。除专用合同条款另有约定外，在开箱检 验时如果合同设备外包装与交货时一致，则开箱检验中发现的合同设备的短缺、损坏或其它与 合同约定不符的情形，由卖方负责，卖方应补齐、更换及采取其他补救措施。如果在开箱检验 时合同设备外包装不是交货时的包装或虽是交货时的包装但与交货时不一致且出现很可能导致 合同设备短缺或损坏的包装破损，则开箱检验中发现合同设备短缺、损坏或其它与合同约定不 符的情形的风险，由买方承担，但买方能够证明是由于卖方原因或合同设备交付前非买方原因 导致的除外。</w:t>
      </w:r>
    </w:p>
    <w:p w14:paraId="566E9F94">
      <w:pPr>
        <w:pStyle w:val="13"/>
        <w:spacing w:before="33" w:line="500" w:lineRule="exact"/>
        <w:ind w:left="100" w:right="111" w:firstLine="419"/>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6.1.7 </w:t>
      </w:r>
      <w:r>
        <w:rPr>
          <w:rFonts w:hint="eastAsia" w:ascii="宋体" w:eastAsia="宋体" w:cs="宋体"/>
          <w:b w:val="0"/>
          <w:bCs w:val="0"/>
          <w:color w:val="000000" w:themeColor="text1"/>
          <w:spacing w:val="-4"/>
          <w:szCs w:val="24"/>
          <w:highlight w:val="none"/>
          <w14:textFill>
            <w14:solidFill>
              <w14:schemeClr w14:val="tx1"/>
            </w14:solidFill>
          </w14:textFill>
        </w:rPr>
        <w:t>如双方在专用合同条款和（或）供货要求等合同文件中约定由第三方检测机构对合同</w:t>
      </w:r>
      <w:r>
        <w:rPr>
          <w:rFonts w:hint="eastAsia" w:ascii="宋体" w:eastAsia="宋体" w:cs="宋体"/>
          <w:b w:val="0"/>
          <w:bCs w:val="0"/>
          <w:color w:val="000000" w:themeColor="text1"/>
          <w:spacing w:val="-1"/>
          <w:szCs w:val="24"/>
          <w:highlight w:val="none"/>
          <w14:textFill>
            <w14:solidFill>
              <w14:schemeClr w14:val="tx1"/>
            </w14:solidFill>
          </w14:textFill>
        </w:rPr>
        <w:t>设备进行开箱检验或在开箱检验过程中另行约定由第三方检验的，则第三方检测机构的检验结</w:t>
      </w:r>
      <w:r>
        <w:rPr>
          <w:rFonts w:hint="eastAsia" w:ascii="宋体" w:eastAsia="宋体" w:cs="宋体"/>
          <w:b w:val="0"/>
          <w:bCs w:val="0"/>
          <w:color w:val="000000" w:themeColor="text1"/>
          <w:szCs w:val="24"/>
          <w:highlight w:val="none"/>
          <w14:textFill>
            <w14:solidFill>
              <w14:schemeClr w14:val="tx1"/>
            </w14:solidFill>
          </w14:textFill>
        </w:rPr>
        <w:t>果对双方均具有约束力。</w:t>
      </w:r>
    </w:p>
    <w:p w14:paraId="73DC9B6E">
      <w:pPr>
        <w:pStyle w:val="13"/>
        <w:spacing w:before="40" w:line="500" w:lineRule="exact"/>
        <w:ind w:left="100" w:right="111" w:firstLine="419"/>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6.1.8 </w:t>
      </w:r>
      <w:r>
        <w:rPr>
          <w:rFonts w:hint="eastAsia" w:ascii="宋体" w:eastAsia="宋体" w:cs="宋体"/>
          <w:b w:val="0"/>
          <w:bCs w:val="0"/>
          <w:color w:val="000000" w:themeColor="text1"/>
          <w:spacing w:val="-4"/>
          <w:szCs w:val="24"/>
          <w:highlight w:val="none"/>
          <w14:textFill>
            <w14:solidFill>
              <w14:schemeClr w14:val="tx1"/>
            </w14:solidFill>
          </w14:textFill>
        </w:rPr>
        <w:t>开箱检验的检验结果不能对抗在合同设备的安装、调试、考核、验收中及质量保证期</w:t>
      </w:r>
      <w:r>
        <w:rPr>
          <w:rFonts w:hint="eastAsia" w:ascii="宋体" w:eastAsia="宋体" w:cs="宋体"/>
          <w:b w:val="0"/>
          <w:bCs w:val="0"/>
          <w:color w:val="000000" w:themeColor="text1"/>
          <w:spacing w:val="-1"/>
          <w:szCs w:val="24"/>
          <w:highlight w:val="none"/>
          <w14:textFill>
            <w14:solidFill>
              <w14:schemeClr w14:val="tx1"/>
            </w14:solidFill>
          </w14:textFill>
        </w:rPr>
        <w:t>内发现的合同设备质量问题，也不能免除或影响卖方依照合同约定对买方负有的包括合同设备</w:t>
      </w:r>
      <w:r>
        <w:rPr>
          <w:rFonts w:hint="eastAsia" w:ascii="宋体" w:eastAsia="宋体" w:cs="宋体"/>
          <w:b w:val="0"/>
          <w:bCs w:val="0"/>
          <w:color w:val="000000" w:themeColor="text1"/>
          <w:szCs w:val="24"/>
          <w:highlight w:val="none"/>
          <w14:textFill>
            <w14:solidFill>
              <w14:schemeClr w14:val="tx1"/>
            </w14:solidFill>
          </w14:textFill>
        </w:rPr>
        <w:t>质量在内的任何义务或责任。</w:t>
      </w:r>
      <w:bookmarkStart w:id="193" w:name="_bookmark128"/>
      <w:bookmarkEnd w:id="193"/>
    </w:p>
    <w:p w14:paraId="26D5FA31">
      <w:pPr>
        <w:pStyle w:val="13"/>
        <w:spacing w:line="500" w:lineRule="exact"/>
        <w:ind w:firstLine="420"/>
        <w:outlineLvl w:val="3"/>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6.2 安装、调试</w:t>
      </w:r>
    </w:p>
    <w:p w14:paraId="1195F838">
      <w:pPr>
        <w:pStyle w:val="13"/>
        <w:spacing w:line="500" w:lineRule="exact"/>
        <w:ind w:firstLine="42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6.2.1 </w:t>
      </w:r>
      <w:r>
        <w:rPr>
          <w:rFonts w:hint="eastAsia" w:ascii="宋体" w:eastAsia="宋体" w:cs="宋体"/>
          <w:b w:val="0"/>
          <w:bCs w:val="0"/>
          <w:color w:val="000000" w:themeColor="text1"/>
          <w:spacing w:val="-9"/>
          <w:szCs w:val="24"/>
          <w:highlight w:val="none"/>
          <w14:textFill>
            <w14:solidFill>
              <w14:schemeClr w14:val="tx1"/>
            </w14:solidFill>
          </w14:textFill>
        </w:rPr>
        <w:t>开箱检验完成后，双方应对合同设备进行安装、调试，以使其具备考核的状态。安装、</w:t>
      </w:r>
      <w:r>
        <w:rPr>
          <w:rFonts w:hint="eastAsia" w:ascii="宋体" w:eastAsia="宋体" w:cs="宋体"/>
          <w:b w:val="0"/>
          <w:bCs w:val="0"/>
          <w:color w:val="000000" w:themeColor="text1"/>
          <w:szCs w:val="24"/>
          <w:highlight w:val="none"/>
          <w14:textFill>
            <w14:solidFill>
              <w14:schemeClr w14:val="tx1"/>
            </w14:solidFill>
          </w14:textFill>
        </w:rPr>
        <w:t>调试应按照专用合同条款约定的下列任一种方式进行：</w:t>
      </w:r>
    </w:p>
    <w:p w14:paraId="2B0AA188">
      <w:pPr>
        <w:pStyle w:val="13"/>
        <w:spacing w:line="500" w:lineRule="exact"/>
        <w:ind w:firstLine="42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（1）卖方按照合同约定完成合同设备的安装、调试工作；</w:t>
      </w:r>
    </w:p>
    <w:p w14:paraId="7C96C4F4">
      <w:pPr>
        <w:pStyle w:val="13"/>
        <w:spacing w:line="500" w:lineRule="exact"/>
        <w:ind w:firstLine="42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2）买方或买方安排第三方负责合同设备的安装、调试工作，卖方提供技术服务。除专用合同条款另有约定外，在安装、调试过程中，如由于买方或买方安排的第三方未按照卖方现场服务人员的指导导致安装、调试不成功和（或）出现合同设备损坏，买方应自行承担责任。如在买方或买方安排的第三方按照卖方现场服务人员的指导进行安装、调试的情况下出现安装、调试不成功和（或）造成合同设备损坏的情况，卖方应承担责任。</w:t>
      </w:r>
    </w:p>
    <w:p w14:paraId="12E0A367">
      <w:pPr>
        <w:pStyle w:val="13"/>
        <w:spacing w:line="500" w:lineRule="exact"/>
        <w:ind w:firstLine="42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6.2.2 </w:t>
      </w:r>
      <w:r>
        <w:rPr>
          <w:rFonts w:hint="eastAsia" w:ascii="宋体" w:eastAsia="宋体" w:cs="宋体"/>
          <w:b w:val="0"/>
          <w:bCs w:val="0"/>
          <w:color w:val="000000" w:themeColor="text1"/>
          <w:spacing w:val="-4"/>
          <w:szCs w:val="24"/>
          <w:highlight w:val="none"/>
          <w14:textFill>
            <w14:solidFill>
              <w14:schemeClr w14:val="tx1"/>
            </w14:solidFill>
          </w14:textFill>
        </w:rPr>
        <w:t>除专用合同条款另有约定外，安装、调试中合同设备运行需要的用水、用电、</w:t>
      </w:r>
      <w:r>
        <w:rPr>
          <w:rFonts w:hint="eastAsia" w:ascii="宋体" w:eastAsia="宋体" w:cs="宋体"/>
          <w:b w:val="0"/>
          <w:bCs w:val="0"/>
          <w:color w:val="000000" w:themeColor="text1"/>
          <w:szCs w:val="24"/>
          <w:highlight w:val="none"/>
          <w14:textFill>
            <w14:solidFill>
              <w14:schemeClr w14:val="tx1"/>
            </w14:solidFill>
          </w14:textFill>
        </w:rPr>
        <w:t>其他动 力和原材料（如需要）等均由买方承担。</w:t>
      </w:r>
    </w:p>
    <w:p w14:paraId="3CAB3AB7">
      <w:pPr>
        <w:pStyle w:val="13"/>
        <w:spacing w:line="500" w:lineRule="exact"/>
        <w:ind w:firstLine="42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6.2.3 双方应对合同设备的安装、调试情况共同及时进行记录。</w:t>
      </w:r>
    </w:p>
    <w:p w14:paraId="2F9A2017">
      <w:pPr>
        <w:pStyle w:val="13"/>
        <w:spacing w:line="500" w:lineRule="exact"/>
        <w:ind w:firstLine="420"/>
        <w:outlineLvl w:val="3"/>
        <w:rPr>
          <w:rFonts w:ascii="宋体" w:eastAsia="宋体" w:cs="宋体"/>
          <w:b w:val="0"/>
          <w:bCs w:val="0"/>
          <w:color w:val="000000" w:themeColor="text1"/>
          <w:szCs w:val="24"/>
          <w:highlight w:val="none"/>
          <w14:textFill>
            <w14:solidFill>
              <w14:schemeClr w14:val="tx1"/>
            </w14:solidFill>
          </w14:textFill>
        </w:rPr>
      </w:pPr>
      <w:bookmarkStart w:id="194" w:name="_bookmark129"/>
      <w:bookmarkEnd w:id="194"/>
      <w:r>
        <w:rPr>
          <w:rFonts w:hint="eastAsia" w:ascii="宋体" w:eastAsia="宋体" w:cs="宋体"/>
          <w:b w:val="0"/>
          <w:bCs w:val="0"/>
          <w:color w:val="000000" w:themeColor="text1"/>
          <w:szCs w:val="24"/>
          <w:highlight w:val="none"/>
          <w14:textFill>
            <w14:solidFill>
              <w14:schemeClr w14:val="tx1"/>
            </w14:solidFill>
          </w14:textFill>
        </w:rPr>
        <w:t>6.3 考核</w:t>
      </w:r>
    </w:p>
    <w:p w14:paraId="33648E57">
      <w:pPr>
        <w:pStyle w:val="13"/>
        <w:spacing w:before="6" w:line="500" w:lineRule="exact"/>
        <w:ind w:left="100" w:right="211" w:firstLine="419"/>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6.3.1 安装、调试完成后，双方应对合同设备进行考核，以确定合同设备是否达到合同约定的技术性能考核指标。除专用合同条款另有约定外，考核中合同设备运行需要的用水、用电、其他动力和原材料（如需要）等均由买方承担。</w:t>
      </w:r>
    </w:p>
    <w:p w14:paraId="1FD5901C">
      <w:pPr>
        <w:pStyle w:val="13"/>
        <w:spacing w:before="6" w:line="500" w:lineRule="exact"/>
        <w:ind w:left="100" w:right="211" w:firstLine="419"/>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6.3.2 </w:t>
      </w:r>
      <w:r>
        <w:rPr>
          <w:rFonts w:hint="eastAsia" w:ascii="宋体" w:eastAsia="宋体" w:cs="宋体"/>
          <w:b w:val="0"/>
          <w:bCs w:val="0"/>
          <w:color w:val="000000" w:themeColor="text1"/>
          <w:spacing w:val="-4"/>
          <w:szCs w:val="24"/>
          <w:highlight w:val="none"/>
          <w14:textFill>
            <w14:solidFill>
              <w14:schemeClr w14:val="tx1"/>
            </w14:solidFill>
          </w14:textFill>
        </w:rPr>
        <w:t>如由于卖方原因合同设备在考核中未能达到合同约定的技术性能考核指标，则卖方应</w:t>
      </w:r>
      <w:r>
        <w:rPr>
          <w:rFonts w:hint="eastAsia" w:ascii="宋体" w:eastAsia="宋体" w:cs="宋体"/>
          <w:b w:val="0"/>
          <w:bCs w:val="0"/>
          <w:color w:val="000000" w:themeColor="text1"/>
          <w:spacing w:val="-1"/>
          <w:szCs w:val="24"/>
          <w:highlight w:val="none"/>
          <w14:textFill>
            <w14:solidFill>
              <w14:schemeClr w14:val="tx1"/>
            </w14:solidFill>
          </w14:textFill>
        </w:rPr>
        <w:t>在双方同意的期限内采取措施消除合同设备中存在的缺陷，并在缺陷消除以后，尽快进行再次</w:t>
      </w:r>
      <w:r>
        <w:rPr>
          <w:rFonts w:hint="eastAsia" w:ascii="宋体" w:eastAsia="宋体" w:cs="宋体"/>
          <w:b w:val="0"/>
          <w:bCs w:val="0"/>
          <w:color w:val="000000" w:themeColor="text1"/>
          <w:szCs w:val="24"/>
          <w:highlight w:val="none"/>
          <w14:textFill>
            <w14:solidFill>
              <w14:schemeClr w14:val="tx1"/>
            </w14:solidFill>
          </w14:textFill>
        </w:rPr>
        <w:t>考核。</w:t>
      </w:r>
    </w:p>
    <w:p w14:paraId="75C277AD">
      <w:pPr>
        <w:pStyle w:val="13"/>
        <w:spacing w:before="43" w:line="500" w:lineRule="exact"/>
        <w:ind w:left="100" w:right="213" w:firstLine="419"/>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6.3.3 </w:t>
      </w:r>
      <w:r>
        <w:rPr>
          <w:rFonts w:hint="eastAsia" w:ascii="宋体" w:eastAsia="宋体" w:cs="宋体"/>
          <w:b w:val="0"/>
          <w:bCs w:val="0"/>
          <w:color w:val="000000" w:themeColor="text1"/>
          <w:spacing w:val="-3"/>
          <w:szCs w:val="24"/>
          <w:highlight w:val="none"/>
          <w14:textFill>
            <w14:solidFill>
              <w14:schemeClr w14:val="tx1"/>
            </w14:solidFill>
          </w14:textFill>
        </w:rPr>
        <w:t>由于卖方原因未能达到技术性能考核指标时，为卖方进行考核的机会不超过三次。如</w:t>
      </w:r>
      <w:r>
        <w:rPr>
          <w:rFonts w:hint="eastAsia" w:ascii="宋体" w:eastAsia="宋体" w:cs="宋体"/>
          <w:b w:val="0"/>
          <w:bCs w:val="0"/>
          <w:color w:val="000000" w:themeColor="text1"/>
          <w:spacing w:val="-1"/>
          <w:szCs w:val="24"/>
          <w:highlight w:val="none"/>
          <w14:textFill>
            <w14:solidFill>
              <w14:schemeClr w14:val="tx1"/>
            </w14:solidFill>
          </w14:textFill>
        </w:rPr>
        <w:t>果由于卖方原因，三次考核均未能达到合同约定的技术性能考核指标，则买卖双方应就合同的后续履行进行协商，协商不成的，买方有权解除合同。但如合同中约定了或双方在考核中另行达成了合同设备的最低技术性能考核指标，且合同设备达到了最低技术性能考核指标的，视为合同设备已达到技术性能考核指标，买方无权解除合同，且应接受合同设备，但卖方应按专用</w:t>
      </w:r>
      <w:r>
        <w:rPr>
          <w:rFonts w:hint="eastAsia" w:ascii="宋体" w:eastAsia="宋体" w:cs="宋体"/>
          <w:b w:val="0"/>
          <w:bCs w:val="0"/>
          <w:color w:val="000000" w:themeColor="text1"/>
          <w:szCs w:val="24"/>
          <w:highlight w:val="none"/>
          <w14:textFill>
            <w14:solidFill>
              <w14:schemeClr w14:val="tx1"/>
            </w14:solidFill>
          </w14:textFill>
        </w:rPr>
        <w:t>合同条款的约定进行减价或向买方支付补偿金。</w:t>
      </w:r>
    </w:p>
    <w:p w14:paraId="64E62D98">
      <w:pPr>
        <w:pStyle w:val="13"/>
        <w:spacing w:before="34" w:line="500" w:lineRule="exact"/>
        <w:ind w:left="100" w:right="211" w:firstLine="419"/>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6.3.4 </w:t>
      </w:r>
      <w:r>
        <w:rPr>
          <w:rFonts w:hint="eastAsia" w:ascii="宋体" w:eastAsia="宋体" w:cs="宋体"/>
          <w:b w:val="0"/>
          <w:bCs w:val="0"/>
          <w:color w:val="000000" w:themeColor="text1"/>
          <w:spacing w:val="-4"/>
          <w:szCs w:val="24"/>
          <w:highlight w:val="none"/>
          <w14:textFill>
            <w14:solidFill>
              <w14:schemeClr w14:val="tx1"/>
            </w14:solidFill>
          </w14:textFill>
        </w:rPr>
        <w:t>如由于买方原因合同设备在考核中未能达到合同约定的技术性能考核指标，则卖方应</w:t>
      </w:r>
      <w:r>
        <w:rPr>
          <w:rFonts w:hint="eastAsia" w:ascii="宋体" w:eastAsia="宋体" w:cs="宋体"/>
          <w:b w:val="0"/>
          <w:bCs w:val="0"/>
          <w:color w:val="000000" w:themeColor="text1"/>
          <w:spacing w:val="-1"/>
          <w:szCs w:val="24"/>
          <w:highlight w:val="none"/>
          <w14:textFill>
            <w14:solidFill>
              <w14:schemeClr w14:val="tx1"/>
            </w14:solidFill>
          </w14:textFill>
        </w:rPr>
        <w:t>协助买方安排再次考核。由于买方原因未能达到技术性能考核指标时，为买方进行考核的机会</w:t>
      </w:r>
      <w:r>
        <w:rPr>
          <w:rFonts w:hint="eastAsia" w:ascii="宋体" w:eastAsia="宋体" w:cs="宋体"/>
          <w:b w:val="0"/>
          <w:bCs w:val="0"/>
          <w:color w:val="000000" w:themeColor="text1"/>
          <w:szCs w:val="24"/>
          <w:highlight w:val="none"/>
          <w14:textFill>
            <w14:solidFill>
              <w14:schemeClr w14:val="tx1"/>
            </w14:solidFill>
          </w14:textFill>
        </w:rPr>
        <w:t>不超过三次。</w:t>
      </w:r>
    </w:p>
    <w:p w14:paraId="169A11FA">
      <w:pPr>
        <w:pStyle w:val="13"/>
        <w:spacing w:before="43" w:line="500" w:lineRule="exact"/>
        <w:ind w:left="100" w:right="21" w:firstLine="419"/>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6.3.5 考核期间，双方应及时共同记录合同设备的用水、用电、其他动力和原材料（如有）的使用及设备考核情况。对于未达到技术性能考核指标的，应如实记录设备表现、可能原因及处理情况等。</w:t>
      </w:r>
    </w:p>
    <w:p w14:paraId="61167686">
      <w:pPr>
        <w:pStyle w:val="86"/>
        <w:spacing w:line="500" w:lineRule="exact"/>
        <w:ind w:left="0" w:right="0" w:firstLine="480" w:firstLineChars="200"/>
        <w:rPr>
          <w:rFonts w:ascii="宋体" w:hAnsi="宋体" w:cs="宋体"/>
          <w:color w:val="000000" w:themeColor="text1"/>
          <w:sz w:val="24"/>
          <w:szCs w:val="24"/>
          <w:highlight w:val="none"/>
          <w14:textFill>
            <w14:solidFill>
              <w14:schemeClr w14:val="tx1"/>
            </w14:solidFill>
          </w14:textFill>
        </w:rPr>
      </w:pPr>
      <w:bookmarkStart w:id="195" w:name="_bookmark130"/>
      <w:bookmarkEnd w:id="195"/>
      <w:r>
        <w:rPr>
          <w:rFonts w:hint="eastAsia" w:ascii="宋体" w:hAnsi="宋体" w:cs="宋体"/>
          <w:color w:val="000000" w:themeColor="text1"/>
          <w:sz w:val="24"/>
          <w:szCs w:val="24"/>
          <w:highlight w:val="none"/>
          <w14:textFill>
            <w14:solidFill>
              <w14:schemeClr w14:val="tx1"/>
            </w14:solidFill>
          </w14:textFill>
        </w:rPr>
        <w:t>6.4</w:t>
      </w:r>
      <w:r>
        <w:rPr>
          <w:rFonts w:hint="eastAsia" w:ascii="宋体" w:hAnsi="宋体" w:cs="宋体"/>
          <w:color w:val="000000" w:themeColor="text1"/>
          <w:spacing w:val="69"/>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验收</w:t>
      </w:r>
    </w:p>
    <w:p w14:paraId="2E730527">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6.4.1 如合同设备在考核中达到或视为达到技术性能考核指标，则买卖双方应在考核完成后7 日内或专用合同条款另行约定的时间内签署合同设备验收证书一式二份，双方各持一份。验收日期应为合同设备达到或视为达到技术性能考核指标的日期。</w:t>
      </w:r>
    </w:p>
    <w:p w14:paraId="6F3CB630">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6.4.2 如由于买方原因合同设备在三次考核中均未能达到技术性能考核指标，买卖双方应在考核结束后</w:t>
      </w:r>
      <w:r>
        <w:rPr>
          <w:rFonts w:hint="eastAsia" w:ascii="宋体" w:eastAsia="宋体" w:cs="宋体"/>
          <w:b w:val="0"/>
          <w:bCs w:val="0"/>
          <w:color w:val="000000" w:themeColor="text1"/>
          <w:spacing w:val="-57"/>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7 日内或专用合同条款另行约定的时间内签署验收款支付函。</w:t>
      </w:r>
    </w:p>
    <w:p w14:paraId="03693FCD">
      <w:pPr>
        <w:pStyle w:val="13"/>
        <w:spacing w:line="500" w:lineRule="exact"/>
        <w:ind w:firstLine="460"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pacing w:val="-5"/>
          <w:szCs w:val="24"/>
          <w:highlight w:val="none"/>
          <w14:textFill>
            <w14:solidFill>
              <w14:schemeClr w14:val="tx1"/>
            </w14:solidFill>
          </w14:textFill>
        </w:rPr>
        <w:t>除专用合同条款另有约定外，卖方有义务在验收款支付函签署后</w:t>
      </w:r>
      <w:r>
        <w:rPr>
          <w:rFonts w:hint="eastAsia" w:ascii="宋体" w:eastAsia="宋体" w:cs="宋体"/>
          <w:b w:val="0"/>
          <w:bCs w:val="0"/>
          <w:color w:val="000000" w:themeColor="text1"/>
          <w:szCs w:val="24"/>
          <w:highlight w:val="none"/>
          <w14:textFill>
            <w14:solidFill>
              <w14:schemeClr w14:val="tx1"/>
            </w14:solidFill>
          </w14:textFill>
        </w:rPr>
        <w:t>12个月内应买方要求提供</w:t>
      </w:r>
      <w:r>
        <w:rPr>
          <w:rFonts w:hint="eastAsia" w:ascii="宋体" w:eastAsia="宋体" w:cs="宋体"/>
          <w:b w:val="0"/>
          <w:bCs w:val="0"/>
          <w:color w:val="000000" w:themeColor="text1"/>
          <w:spacing w:val="-1"/>
          <w:szCs w:val="24"/>
          <w:highlight w:val="none"/>
          <w14:textFill>
            <w14:solidFill>
              <w14:schemeClr w14:val="tx1"/>
            </w14:solidFill>
          </w14:textFill>
        </w:rPr>
        <w:t>相关技术服务，协助买方采取一切必要措施使合同设备达到技术性能考核指标。买方应承担卖</w:t>
      </w:r>
      <w:r>
        <w:rPr>
          <w:rFonts w:hint="eastAsia" w:ascii="宋体" w:eastAsia="宋体" w:cs="宋体"/>
          <w:b w:val="0"/>
          <w:bCs w:val="0"/>
          <w:color w:val="000000" w:themeColor="text1"/>
          <w:szCs w:val="24"/>
          <w:highlight w:val="none"/>
          <w14:textFill>
            <w14:solidFill>
              <w14:schemeClr w14:val="tx1"/>
            </w14:solidFill>
          </w14:textFill>
        </w:rPr>
        <w:t>方因此产生的全部费用。</w:t>
      </w:r>
    </w:p>
    <w:p w14:paraId="3E3E9D68">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在上述 12 个月的期限内，如合同设备经过考核达到或视为达到技术性能考核指标，则买卖双方应按照第</w:t>
      </w:r>
      <w:r>
        <w:rPr>
          <w:rFonts w:hint="eastAsia" w:ascii="宋体" w:eastAsia="宋体" w:cs="宋体"/>
          <w:b w:val="0"/>
          <w:bCs w:val="0"/>
          <w:color w:val="000000" w:themeColor="text1"/>
          <w:spacing w:val="-59"/>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6.4.1 项的约定签署合同设备验收证书。</w:t>
      </w:r>
    </w:p>
    <w:p w14:paraId="507E8C6F">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6.4.3 除专用合同条款另有约定外，如由于买方原因在最后一批合同设备交货后 6 个月内未能开始考核，则买卖双方应在上述期限届满后 7 日内或专用合同条款另行约定的时间内签署验收款支付函。</w:t>
      </w:r>
    </w:p>
    <w:p w14:paraId="278A00FC">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除专用合同条款另有约定外，卖方有义务在验收款支付函签署后 6 个月内应买方要求提供不超出合同范围的技术服务，协助买方采取一切必要措施使合同设备达到技术性能考核指标，且买方无需因此向卖方支付费用。</w:t>
      </w:r>
    </w:p>
    <w:p w14:paraId="61ED4BBA">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在上述 6 个月的期限内，如合同设备经过考核达到或视为达到技术性能考核指标，则买卖双方应按照第</w:t>
      </w:r>
      <w:r>
        <w:rPr>
          <w:rFonts w:hint="eastAsia" w:ascii="宋体" w:eastAsia="宋体" w:cs="宋体"/>
          <w:b w:val="0"/>
          <w:bCs w:val="0"/>
          <w:color w:val="000000" w:themeColor="text1"/>
          <w:spacing w:val="-59"/>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6.4.1 项的约定签署合同设备验收证书。</w:t>
      </w:r>
    </w:p>
    <w:p w14:paraId="1D336AB3">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6.4.4 在第 6.4.2 项和第</w:t>
      </w:r>
      <w:r>
        <w:rPr>
          <w:rFonts w:hint="eastAsia" w:ascii="宋体" w:eastAsia="宋体" w:cs="宋体"/>
          <w:b w:val="0"/>
          <w:bCs w:val="0"/>
          <w:color w:val="000000" w:themeColor="text1"/>
          <w:spacing w:val="-54"/>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 xml:space="preserve">6.4.3 </w:t>
      </w:r>
      <w:r>
        <w:rPr>
          <w:rFonts w:hint="eastAsia" w:ascii="宋体" w:eastAsia="宋体" w:cs="宋体"/>
          <w:b w:val="0"/>
          <w:bCs w:val="0"/>
          <w:color w:val="000000" w:themeColor="text1"/>
          <w:spacing w:val="-5"/>
          <w:szCs w:val="24"/>
          <w:highlight w:val="none"/>
          <w14:textFill>
            <w14:solidFill>
              <w14:schemeClr w14:val="tx1"/>
            </w14:solidFill>
          </w14:textFill>
        </w:rPr>
        <w:t>项情形下，卖方也可单方签署验收款支付函提交买方，如果买</w:t>
      </w:r>
      <w:r>
        <w:rPr>
          <w:rFonts w:hint="eastAsia" w:ascii="宋体" w:eastAsia="宋体" w:cs="宋体"/>
          <w:b w:val="0"/>
          <w:bCs w:val="0"/>
          <w:color w:val="000000" w:themeColor="text1"/>
          <w:szCs w:val="24"/>
          <w:highlight w:val="none"/>
          <w14:textFill>
            <w14:solidFill>
              <w14:schemeClr w14:val="tx1"/>
            </w14:solidFill>
          </w14:textFill>
        </w:rPr>
        <w:t xml:space="preserve">方在收到卖方签署的验收款支付函后 14 </w:t>
      </w:r>
      <w:r>
        <w:rPr>
          <w:rFonts w:hint="eastAsia" w:ascii="宋体" w:eastAsia="宋体" w:cs="宋体"/>
          <w:b w:val="0"/>
          <w:bCs w:val="0"/>
          <w:color w:val="000000" w:themeColor="text1"/>
          <w:spacing w:val="-5"/>
          <w:szCs w:val="24"/>
          <w:highlight w:val="none"/>
          <w14:textFill>
            <w14:solidFill>
              <w14:schemeClr w14:val="tx1"/>
            </w14:solidFill>
          </w14:textFill>
        </w:rPr>
        <w:t xml:space="preserve">日内未向卖方提出书面异议，则验收款支付函自签署之 </w:t>
      </w:r>
      <w:r>
        <w:rPr>
          <w:rFonts w:hint="eastAsia" w:ascii="宋体" w:eastAsia="宋体" w:cs="宋体"/>
          <w:b w:val="0"/>
          <w:bCs w:val="0"/>
          <w:color w:val="000000" w:themeColor="text1"/>
          <w:szCs w:val="24"/>
          <w:highlight w:val="none"/>
          <w14:textFill>
            <w14:solidFill>
              <w14:schemeClr w14:val="tx1"/>
            </w14:solidFill>
          </w14:textFill>
        </w:rPr>
        <w:t>日起生效。</w:t>
      </w:r>
    </w:p>
    <w:p w14:paraId="5C183F34">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6.4.5 合同设备验收证书的签署不能免除卖方在质量保证期内对合同设备应承担的保证责任。</w:t>
      </w:r>
    </w:p>
    <w:p w14:paraId="4C607E91">
      <w:pPr>
        <w:pStyle w:val="84"/>
        <w:spacing w:line="500" w:lineRule="exact"/>
        <w:ind w:left="0" w:right="0" w:firstLine="480" w:firstLineChars="200"/>
        <w:rPr>
          <w:rFonts w:ascii="宋体" w:hAnsi="宋体" w:eastAsia="宋体" w:cs="宋体"/>
          <w:b w:val="0"/>
          <w:bCs w:val="0"/>
          <w:color w:val="000000" w:themeColor="text1"/>
          <w:sz w:val="24"/>
          <w:szCs w:val="24"/>
          <w:highlight w:val="none"/>
          <w14:textFill>
            <w14:solidFill>
              <w14:schemeClr w14:val="tx1"/>
            </w14:solidFill>
          </w14:textFill>
        </w:rPr>
      </w:pPr>
      <w:bookmarkStart w:id="196" w:name="_bookmark131"/>
      <w:bookmarkEnd w:id="196"/>
      <w:r>
        <w:rPr>
          <w:rFonts w:hint="eastAsia" w:ascii="宋体" w:hAnsi="宋体" w:eastAsia="宋体" w:cs="宋体"/>
          <w:b w:val="0"/>
          <w:bCs w:val="0"/>
          <w:color w:val="000000" w:themeColor="text1"/>
          <w:sz w:val="24"/>
          <w:szCs w:val="24"/>
          <w:highlight w:val="none"/>
          <w14:textFill>
            <w14:solidFill>
              <w14:schemeClr w14:val="tx1"/>
            </w14:solidFill>
          </w14:textFill>
        </w:rPr>
        <w:t>7.  技术服务</w:t>
      </w:r>
    </w:p>
    <w:p w14:paraId="252CA6C1">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7.1 卖方应派遣技术熟练、称职的技术人员到施工场地为买方提供技术服务。卖方的技术服务应符合合同的约定。</w:t>
      </w:r>
    </w:p>
    <w:p w14:paraId="1D668383">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7.2 买方应免费为卖方技术人员提供工作条件及便利，包括但不限于必要的办公场所、技术资料及出入许可等。除专用合同条款另有约定外，卖方技术人员的交通、食宿费用由卖方承担。</w:t>
      </w:r>
    </w:p>
    <w:p w14:paraId="6E8D0B49">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7.3 卖方技术人员应遵守买方施工现场的各项规章制度和安全操作规程，并服从买方的现场管理。</w:t>
      </w:r>
    </w:p>
    <w:p w14:paraId="7E58E135">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7.4 如果任何技术人员不合格，买方有权要求卖方撤换，因撤换而产生的费用应由卖方承担。在不影响技术服务并且征得买方同意的条件下，卖方也可自负费用更换其技术人员。</w:t>
      </w:r>
    </w:p>
    <w:p w14:paraId="496E5DAD">
      <w:pPr>
        <w:pStyle w:val="84"/>
        <w:spacing w:line="500" w:lineRule="exact"/>
        <w:ind w:left="0" w:right="0" w:firstLine="480" w:firstLineChars="200"/>
        <w:rPr>
          <w:rFonts w:ascii="宋体" w:hAnsi="宋体" w:eastAsia="宋体" w:cs="宋体"/>
          <w:b w:val="0"/>
          <w:bCs w:val="0"/>
          <w:color w:val="000000" w:themeColor="text1"/>
          <w:sz w:val="24"/>
          <w:szCs w:val="24"/>
          <w:highlight w:val="none"/>
          <w14:textFill>
            <w14:solidFill>
              <w14:schemeClr w14:val="tx1"/>
            </w14:solidFill>
          </w14:textFill>
        </w:rPr>
      </w:pPr>
      <w:bookmarkStart w:id="197" w:name="_bookmark132"/>
      <w:bookmarkEnd w:id="197"/>
      <w:r>
        <w:rPr>
          <w:rFonts w:hint="eastAsia" w:ascii="宋体" w:hAnsi="宋体" w:eastAsia="宋体" w:cs="宋体"/>
          <w:b w:val="0"/>
          <w:bCs w:val="0"/>
          <w:color w:val="000000" w:themeColor="text1"/>
          <w:sz w:val="24"/>
          <w:szCs w:val="24"/>
          <w:highlight w:val="none"/>
          <w14:textFill>
            <w14:solidFill>
              <w14:schemeClr w14:val="tx1"/>
            </w14:solidFill>
          </w14:textFill>
        </w:rPr>
        <w:t>8.  质量保证期</w:t>
      </w:r>
    </w:p>
    <w:p w14:paraId="09DCC0E6">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8.1 除专用合同条款和（或）供货要求等合同文件另有约定外，合同设备整体质量保证期为验收之日起 12 个月。如对合同设备中关键部件的质量保证期有特殊要求的，买卖双方可在专用合同条款中约定。在合同第 6.4.2 项情形下，无论合同设备何时验收，其质量保证期最长为签署验收款支付函后 12 个月。在合同第</w:t>
      </w:r>
      <w:r>
        <w:rPr>
          <w:rFonts w:hint="eastAsia" w:ascii="宋体" w:eastAsia="宋体" w:cs="宋体"/>
          <w:b w:val="0"/>
          <w:bCs w:val="0"/>
          <w:color w:val="000000" w:themeColor="text1"/>
          <w:spacing w:val="-82"/>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6.4.3 项情形下，无论合同设备何时验收，其质量保证期最长为签署验收款支付函后</w:t>
      </w:r>
      <w:r>
        <w:rPr>
          <w:rFonts w:hint="eastAsia" w:ascii="宋体" w:eastAsia="宋体" w:cs="宋体"/>
          <w:b w:val="0"/>
          <w:bCs w:val="0"/>
          <w:color w:val="000000" w:themeColor="text1"/>
          <w:spacing w:val="-52"/>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6个月。</w:t>
      </w:r>
    </w:p>
    <w:p w14:paraId="78179F1E">
      <w:pPr>
        <w:pStyle w:val="13"/>
        <w:spacing w:before="6" w:line="500" w:lineRule="exact"/>
        <w:ind w:left="100" w:right="102" w:firstLine="419"/>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8.2 在质量保证期内如果合同设备出现故障，卖方应自负费用提供质保期服务，对相关合同设备进行修理或更换以消除故障。更换的合同设备和（或）关键部件的质量保证期应重新计算。但如果合同设备的故障是由于买方原因造成的，则对合同设备进行修理和更换的费用应由买方承担。</w:t>
      </w:r>
    </w:p>
    <w:p w14:paraId="6683557F">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8.3 质量保证期届满后，买方应在 7 日内或专用合同条款另行约定的时间内向卖方出具合同设备的质量保证期届满证书。</w:t>
      </w:r>
    </w:p>
    <w:p w14:paraId="1497A4C1">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8.4 在合同第 6.4.2 项情形下，如在验收款支付函签署后 12 个月内由于买方原因合同设备</w:t>
      </w:r>
      <w:r>
        <w:rPr>
          <w:rFonts w:hint="eastAsia" w:ascii="宋体" w:eastAsia="宋体" w:cs="宋体"/>
          <w:b w:val="0"/>
          <w:bCs w:val="0"/>
          <w:color w:val="000000" w:themeColor="text1"/>
          <w:spacing w:val="-5"/>
          <w:szCs w:val="24"/>
          <w:highlight w:val="none"/>
          <w14:textFill>
            <w14:solidFill>
              <w14:schemeClr w14:val="tx1"/>
            </w14:solidFill>
          </w14:textFill>
        </w:rPr>
        <w:t xml:space="preserve">仍未能达到技术性能考核指标，则买卖双方应在该 </w:t>
      </w:r>
      <w:r>
        <w:rPr>
          <w:rFonts w:hint="eastAsia" w:ascii="宋体" w:eastAsia="宋体" w:cs="宋体"/>
          <w:b w:val="0"/>
          <w:bCs w:val="0"/>
          <w:color w:val="000000" w:themeColor="text1"/>
          <w:szCs w:val="24"/>
          <w:highlight w:val="none"/>
          <w14:textFill>
            <w14:solidFill>
              <w14:schemeClr w14:val="tx1"/>
            </w14:solidFill>
          </w14:textFill>
        </w:rPr>
        <w:t>12 个月届满后</w:t>
      </w:r>
      <w:r>
        <w:rPr>
          <w:rFonts w:hint="eastAsia" w:ascii="宋体" w:eastAsia="宋体" w:cs="宋体"/>
          <w:b w:val="0"/>
          <w:bCs w:val="0"/>
          <w:color w:val="000000" w:themeColor="text1"/>
          <w:spacing w:val="-76"/>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7 日内或专用合同条款另行约定的时间内签署结清款支付函。</w:t>
      </w:r>
    </w:p>
    <w:p w14:paraId="67105FA3">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8.5 在合同第</w:t>
      </w:r>
      <w:r>
        <w:rPr>
          <w:rFonts w:hint="eastAsia" w:ascii="宋体" w:eastAsia="宋体" w:cs="宋体"/>
          <w:b w:val="0"/>
          <w:bCs w:val="0"/>
          <w:color w:val="000000" w:themeColor="text1"/>
          <w:spacing w:val="-50"/>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 xml:space="preserve">6.4.3 </w:t>
      </w:r>
      <w:r>
        <w:rPr>
          <w:rFonts w:hint="eastAsia" w:ascii="宋体" w:eastAsia="宋体" w:cs="宋体"/>
          <w:b w:val="0"/>
          <w:bCs w:val="0"/>
          <w:color w:val="000000" w:themeColor="text1"/>
          <w:spacing w:val="-3"/>
          <w:szCs w:val="24"/>
          <w:highlight w:val="none"/>
          <w14:textFill>
            <w14:solidFill>
              <w14:schemeClr w14:val="tx1"/>
            </w14:solidFill>
          </w14:textFill>
        </w:rPr>
        <w:t xml:space="preserve">项情形下，如在验收款支付函签署后 </w:t>
      </w:r>
      <w:r>
        <w:rPr>
          <w:rFonts w:hint="eastAsia" w:ascii="宋体" w:eastAsia="宋体" w:cs="宋体"/>
          <w:b w:val="0"/>
          <w:bCs w:val="0"/>
          <w:color w:val="000000" w:themeColor="text1"/>
          <w:szCs w:val="24"/>
          <w:highlight w:val="none"/>
          <w14:textFill>
            <w14:solidFill>
              <w14:schemeClr w14:val="tx1"/>
            </w14:solidFill>
          </w14:textFill>
        </w:rPr>
        <w:t>6 个月内由于买方原因合同设备仍未进行考核或仍未达到技术性能考核指标，则买卖双方应在该 6 个月届满后</w:t>
      </w:r>
      <w:r>
        <w:rPr>
          <w:rFonts w:hint="eastAsia" w:ascii="宋体" w:eastAsia="宋体" w:cs="宋体"/>
          <w:b w:val="0"/>
          <w:bCs w:val="0"/>
          <w:color w:val="000000" w:themeColor="text1"/>
          <w:spacing w:val="-82"/>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7 日内或专用合同条款另行约定的时间内签署结清款支付函。</w:t>
      </w:r>
    </w:p>
    <w:p w14:paraId="63C6A3EF">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8.6 在第 8.4 款和第</w:t>
      </w:r>
      <w:r>
        <w:rPr>
          <w:rFonts w:hint="eastAsia" w:ascii="宋体" w:eastAsia="宋体" w:cs="宋体"/>
          <w:b w:val="0"/>
          <w:bCs w:val="0"/>
          <w:color w:val="000000" w:themeColor="text1"/>
          <w:spacing w:val="-53"/>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 xml:space="preserve">8.5 </w:t>
      </w:r>
      <w:r>
        <w:rPr>
          <w:rFonts w:hint="eastAsia" w:ascii="宋体" w:eastAsia="宋体" w:cs="宋体"/>
          <w:b w:val="0"/>
          <w:bCs w:val="0"/>
          <w:color w:val="000000" w:themeColor="text1"/>
          <w:spacing w:val="-3"/>
          <w:szCs w:val="24"/>
          <w:highlight w:val="none"/>
          <w14:textFill>
            <w14:solidFill>
              <w14:schemeClr w14:val="tx1"/>
            </w14:solidFill>
          </w14:textFill>
        </w:rPr>
        <w:t>款情形下，卖方也可单方签署结清款支付函提交买方，如果买方在</w:t>
      </w:r>
      <w:r>
        <w:rPr>
          <w:rFonts w:hint="eastAsia" w:ascii="宋体" w:eastAsia="宋体" w:cs="宋体"/>
          <w:b w:val="0"/>
          <w:bCs w:val="0"/>
          <w:color w:val="000000" w:themeColor="text1"/>
          <w:szCs w:val="24"/>
          <w:highlight w:val="none"/>
          <w14:textFill>
            <w14:solidFill>
              <w14:schemeClr w14:val="tx1"/>
            </w14:solidFill>
          </w14:textFill>
        </w:rPr>
        <w:t xml:space="preserve">收到卖方签署的结清款支付函后 14 </w:t>
      </w:r>
      <w:r>
        <w:rPr>
          <w:rFonts w:hint="eastAsia" w:ascii="宋体" w:eastAsia="宋体" w:cs="宋体"/>
          <w:b w:val="0"/>
          <w:bCs w:val="0"/>
          <w:color w:val="000000" w:themeColor="text1"/>
          <w:spacing w:val="-5"/>
          <w:szCs w:val="24"/>
          <w:highlight w:val="none"/>
          <w14:textFill>
            <w14:solidFill>
              <w14:schemeClr w14:val="tx1"/>
            </w14:solidFill>
          </w14:textFill>
        </w:rPr>
        <w:t>日内未向卖方提出书面异议，则结清款支付函自签署之日起</w:t>
      </w:r>
      <w:r>
        <w:rPr>
          <w:rFonts w:hint="eastAsia" w:ascii="宋体" w:eastAsia="宋体" w:cs="宋体"/>
          <w:b w:val="0"/>
          <w:bCs w:val="0"/>
          <w:color w:val="000000" w:themeColor="text1"/>
          <w:szCs w:val="24"/>
          <w:highlight w:val="none"/>
          <w14:textFill>
            <w14:solidFill>
              <w14:schemeClr w14:val="tx1"/>
            </w14:solidFill>
          </w14:textFill>
        </w:rPr>
        <w:t>生效。</w:t>
      </w:r>
      <w:bookmarkStart w:id="198" w:name="_bookmark133"/>
      <w:bookmarkEnd w:id="198"/>
    </w:p>
    <w:p w14:paraId="7ED7FF16">
      <w:pPr>
        <w:pStyle w:val="13"/>
        <w:spacing w:line="500" w:lineRule="exact"/>
        <w:ind w:firstLine="496" w:firstLineChars="200"/>
        <w:outlineLvl w:val="2"/>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9.  质保期服务</w:t>
      </w:r>
    </w:p>
    <w:p w14:paraId="4F8FD5CA">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9.1 卖方应为质保期服务配备充足的技术人员、工具和备件并保证提供的联系方式畅通。</w:t>
      </w:r>
    </w:p>
    <w:p w14:paraId="4922DFF7">
      <w:pPr>
        <w:pStyle w:val="13"/>
        <w:spacing w:line="500" w:lineRule="exact"/>
        <w:ind w:firstLine="464"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pacing w:val="-4"/>
          <w:szCs w:val="24"/>
          <w:highlight w:val="none"/>
          <w14:textFill>
            <w14:solidFill>
              <w14:schemeClr w14:val="tx1"/>
            </w14:solidFill>
          </w14:textFill>
        </w:rPr>
        <w:t xml:space="preserve">除专用合同条款和（或）供货要求等合同文件另有约定外，卖方应在收到买方通知后 </w:t>
      </w:r>
      <w:r>
        <w:rPr>
          <w:rFonts w:hint="eastAsia" w:ascii="宋体" w:eastAsia="宋体" w:cs="宋体"/>
          <w:b w:val="0"/>
          <w:bCs w:val="0"/>
          <w:color w:val="000000" w:themeColor="text1"/>
          <w:szCs w:val="24"/>
          <w:highlight w:val="none"/>
          <w14:textFill>
            <w14:solidFill>
              <w14:schemeClr w14:val="tx1"/>
            </w14:solidFill>
          </w14:textFill>
        </w:rPr>
        <w:t>24 小时内</w:t>
      </w:r>
      <w:r>
        <w:rPr>
          <w:rFonts w:hint="eastAsia" w:ascii="宋体" w:eastAsia="宋体" w:cs="宋体"/>
          <w:b w:val="0"/>
          <w:bCs w:val="0"/>
          <w:color w:val="000000" w:themeColor="text1"/>
          <w:spacing w:val="-3"/>
          <w:szCs w:val="24"/>
          <w:highlight w:val="none"/>
          <w14:textFill>
            <w14:solidFill>
              <w14:schemeClr w14:val="tx1"/>
            </w14:solidFill>
          </w14:textFill>
        </w:rPr>
        <w:t xml:space="preserve">做出响应，如需卖方到合同设备现场，卖方应在收到买方通知后 </w:t>
      </w:r>
      <w:r>
        <w:rPr>
          <w:rFonts w:hint="eastAsia" w:ascii="宋体" w:eastAsia="宋体" w:cs="宋体"/>
          <w:b w:val="0"/>
          <w:bCs w:val="0"/>
          <w:color w:val="000000" w:themeColor="text1"/>
          <w:szCs w:val="24"/>
          <w:highlight w:val="none"/>
          <w14:textFill>
            <w14:solidFill>
              <w14:schemeClr w14:val="tx1"/>
            </w14:solidFill>
          </w14:textFill>
        </w:rPr>
        <w:t xml:space="preserve">48 </w:t>
      </w:r>
      <w:r>
        <w:rPr>
          <w:rFonts w:hint="eastAsia" w:ascii="宋体" w:eastAsia="宋体" w:cs="宋体"/>
          <w:b w:val="0"/>
          <w:bCs w:val="0"/>
          <w:color w:val="000000" w:themeColor="text1"/>
          <w:spacing w:val="-3"/>
          <w:szCs w:val="24"/>
          <w:highlight w:val="none"/>
          <w14:textFill>
            <w14:solidFill>
              <w14:schemeClr w14:val="tx1"/>
            </w14:solidFill>
          </w14:textFill>
        </w:rPr>
        <w:t xml:space="preserve">小时内到达，并在到达后 </w:t>
      </w:r>
      <w:r>
        <w:rPr>
          <w:rFonts w:hint="eastAsia" w:ascii="宋体" w:eastAsia="宋体" w:cs="宋体"/>
          <w:b w:val="0"/>
          <w:bCs w:val="0"/>
          <w:color w:val="000000" w:themeColor="text1"/>
          <w:szCs w:val="24"/>
          <w:highlight w:val="none"/>
          <w14:textFill>
            <w14:solidFill>
              <w14:schemeClr w14:val="tx1"/>
            </w14:solidFill>
          </w14:textFill>
        </w:rPr>
        <w:t>7 日内</w:t>
      </w:r>
      <w:r>
        <w:rPr>
          <w:rFonts w:hint="eastAsia" w:ascii="宋体" w:eastAsia="宋体" w:cs="宋体"/>
          <w:b w:val="0"/>
          <w:bCs w:val="0"/>
          <w:color w:val="000000" w:themeColor="text1"/>
          <w:spacing w:val="-3"/>
          <w:szCs w:val="24"/>
          <w:highlight w:val="none"/>
          <w14:textFill>
            <w14:solidFill>
              <w14:schemeClr w14:val="tx1"/>
            </w14:solidFill>
          </w14:textFill>
        </w:rPr>
        <w:t>解</w:t>
      </w:r>
      <w:r>
        <w:rPr>
          <w:rFonts w:hint="eastAsia" w:ascii="宋体" w:eastAsia="宋体" w:cs="宋体"/>
          <w:b w:val="0"/>
          <w:bCs w:val="0"/>
          <w:color w:val="000000" w:themeColor="text1"/>
          <w:szCs w:val="24"/>
          <w:highlight w:val="none"/>
          <w14:textFill>
            <w14:solidFill>
              <w14:schemeClr w14:val="tx1"/>
            </w14:solidFill>
          </w14:textFill>
        </w:rPr>
        <w:t>决</w:t>
      </w:r>
      <w:r>
        <w:rPr>
          <w:rFonts w:hint="eastAsia" w:ascii="宋体" w:eastAsia="宋体" w:cs="宋体"/>
          <w:b w:val="0"/>
          <w:bCs w:val="0"/>
          <w:color w:val="000000" w:themeColor="text1"/>
          <w:spacing w:val="-3"/>
          <w:szCs w:val="24"/>
          <w:highlight w:val="none"/>
          <w14:textFill>
            <w14:solidFill>
              <w14:schemeClr w14:val="tx1"/>
            </w14:solidFill>
          </w14:textFill>
        </w:rPr>
        <w:t>合</w:t>
      </w:r>
      <w:r>
        <w:rPr>
          <w:rFonts w:hint="eastAsia" w:ascii="宋体" w:eastAsia="宋体" w:cs="宋体"/>
          <w:b w:val="0"/>
          <w:bCs w:val="0"/>
          <w:color w:val="000000" w:themeColor="text1"/>
          <w:szCs w:val="24"/>
          <w:highlight w:val="none"/>
          <w14:textFill>
            <w14:solidFill>
              <w14:schemeClr w14:val="tx1"/>
            </w14:solidFill>
          </w14:textFill>
        </w:rPr>
        <w:t>同</w:t>
      </w:r>
      <w:r>
        <w:rPr>
          <w:rFonts w:hint="eastAsia" w:ascii="宋体" w:eastAsia="宋体" w:cs="宋体"/>
          <w:b w:val="0"/>
          <w:bCs w:val="0"/>
          <w:color w:val="000000" w:themeColor="text1"/>
          <w:spacing w:val="-3"/>
          <w:szCs w:val="24"/>
          <w:highlight w:val="none"/>
          <w14:textFill>
            <w14:solidFill>
              <w14:schemeClr w14:val="tx1"/>
            </w14:solidFill>
          </w14:textFill>
        </w:rPr>
        <w:t>设</w:t>
      </w:r>
      <w:r>
        <w:rPr>
          <w:rFonts w:hint="eastAsia" w:ascii="宋体" w:eastAsia="宋体" w:cs="宋体"/>
          <w:b w:val="0"/>
          <w:bCs w:val="0"/>
          <w:color w:val="000000" w:themeColor="text1"/>
          <w:szCs w:val="24"/>
          <w:highlight w:val="none"/>
          <w14:textFill>
            <w14:solidFill>
              <w14:schemeClr w14:val="tx1"/>
            </w14:solidFill>
          </w14:textFill>
        </w:rPr>
        <w:t>备</w:t>
      </w:r>
      <w:r>
        <w:rPr>
          <w:rFonts w:hint="eastAsia" w:ascii="宋体" w:eastAsia="宋体" w:cs="宋体"/>
          <w:b w:val="0"/>
          <w:bCs w:val="0"/>
          <w:color w:val="000000" w:themeColor="text1"/>
          <w:spacing w:val="-3"/>
          <w:szCs w:val="24"/>
          <w:highlight w:val="none"/>
          <w14:textFill>
            <w14:solidFill>
              <w14:schemeClr w14:val="tx1"/>
            </w14:solidFill>
          </w14:textFill>
        </w:rPr>
        <w:t>的</w:t>
      </w:r>
      <w:r>
        <w:rPr>
          <w:rFonts w:hint="eastAsia" w:ascii="宋体" w:eastAsia="宋体" w:cs="宋体"/>
          <w:b w:val="0"/>
          <w:bCs w:val="0"/>
          <w:color w:val="000000" w:themeColor="text1"/>
          <w:szCs w:val="24"/>
          <w:highlight w:val="none"/>
          <w14:textFill>
            <w14:solidFill>
              <w14:schemeClr w14:val="tx1"/>
            </w14:solidFill>
          </w14:textFill>
        </w:rPr>
        <w:t>故</w:t>
      </w:r>
      <w:r>
        <w:rPr>
          <w:rFonts w:hint="eastAsia" w:ascii="宋体" w:eastAsia="宋体" w:cs="宋体"/>
          <w:b w:val="0"/>
          <w:bCs w:val="0"/>
          <w:color w:val="000000" w:themeColor="text1"/>
          <w:spacing w:val="-27"/>
          <w:szCs w:val="24"/>
          <w:highlight w:val="none"/>
          <w14:textFill>
            <w14:solidFill>
              <w14:schemeClr w14:val="tx1"/>
            </w14:solidFill>
          </w14:textFill>
        </w:rPr>
        <w:t>障</w:t>
      </w:r>
      <w:r>
        <w:rPr>
          <w:rFonts w:hint="eastAsia" w:ascii="宋体" w:eastAsia="宋体" w:cs="宋体"/>
          <w:b w:val="0"/>
          <w:bCs w:val="0"/>
          <w:color w:val="000000" w:themeColor="text1"/>
          <w:szCs w:val="24"/>
          <w:highlight w:val="none"/>
          <w14:textFill>
            <w14:solidFill>
              <w14:schemeClr w14:val="tx1"/>
            </w14:solidFill>
          </w14:textFill>
        </w:rPr>
        <w:t>（</w:t>
      </w:r>
      <w:r>
        <w:rPr>
          <w:rFonts w:hint="eastAsia" w:ascii="宋体" w:eastAsia="宋体" w:cs="宋体"/>
          <w:b w:val="0"/>
          <w:bCs w:val="0"/>
          <w:color w:val="000000" w:themeColor="text1"/>
          <w:spacing w:val="-3"/>
          <w:szCs w:val="24"/>
          <w:highlight w:val="none"/>
          <w14:textFill>
            <w14:solidFill>
              <w14:schemeClr w14:val="tx1"/>
            </w14:solidFill>
          </w14:textFill>
        </w:rPr>
        <w:t>重</w:t>
      </w:r>
      <w:r>
        <w:rPr>
          <w:rFonts w:hint="eastAsia" w:ascii="宋体" w:eastAsia="宋体" w:cs="宋体"/>
          <w:b w:val="0"/>
          <w:bCs w:val="0"/>
          <w:color w:val="000000" w:themeColor="text1"/>
          <w:szCs w:val="24"/>
          <w:highlight w:val="none"/>
          <w14:textFill>
            <w14:solidFill>
              <w14:schemeClr w14:val="tx1"/>
            </w14:solidFill>
          </w14:textFill>
        </w:rPr>
        <w:t>大</w:t>
      </w:r>
      <w:r>
        <w:rPr>
          <w:rFonts w:hint="eastAsia" w:ascii="宋体" w:eastAsia="宋体" w:cs="宋体"/>
          <w:b w:val="0"/>
          <w:bCs w:val="0"/>
          <w:color w:val="000000" w:themeColor="text1"/>
          <w:spacing w:val="-3"/>
          <w:szCs w:val="24"/>
          <w:highlight w:val="none"/>
          <w14:textFill>
            <w14:solidFill>
              <w14:schemeClr w14:val="tx1"/>
            </w14:solidFill>
          </w14:textFill>
        </w:rPr>
        <w:t>故</w:t>
      </w:r>
      <w:r>
        <w:rPr>
          <w:rFonts w:hint="eastAsia" w:ascii="宋体" w:eastAsia="宋体" w:cs="宋体"/>
          <w:b w:val="0"/>
          <w:bCs w:val="0"/>
          <w:color w:val="000000" w:themeColor="text1"/>
          <w:szCs w:val="24"/>
          <w:highlight w:val="none"/>
          <w14:textFill>
            <w14:solidFill>
              <w14:schemeClr w14:val="tx1"/>
            </w14:solidFill>
          </w14:textFill>
        </w:rPr>
        <w:t>障</w:t>
      </w:r>
      <w:r>
        <w:rPr>
          <w:rFonts w:hint="eastAsia" w:ascii="宋体" w:eastAsia="宋体" w:cs="宋体"/>
          <w:b w:val="0"/>
          <w:bCs w:val="0"/>
          <w:color w:val="000000" w:themeColor="text1"/>
          <w:spacing w:val="-3"/>
          <w:szCs w:val="24"/>
          <w:highlight w:val="none"/>
          <w14:textFill>
            <w14:solidFill>
              <w14:schemeClr w14:val="tx1"/>
            </w14:solidFill>
          </w14:textFill>
        </w:rPr>
        <w:t>除</w:t>
      </w:r>
      <w:r>
        <w:rPr>
          <w:rFonts w:hint="eastAsia" w:ascii="宋体" w:eastAsia="宋体" w:cs="宋体"/>
          <w:b w:val="0"/>
          <w:bCs w:val="0"/>
          <w:color w:val="000000" w:themeColor="text1"/>
          <w:szCs w:val="24"/>
          <w:highlight w:val="none"/>
          <w14:textFill>
            <w14:solidFill>
              <w14:schemeClr w14:val="tx1"/>
            </w14:solidFill>
          </w14:textFill>
        </w:rPr>
        <w:t>外</w:t>
      </w:r>
      <w:r>
        <w:rPr>
          <w:rFonts w:hint="eastAsia" w:ascii="宋体" w:eastAsia="宋体" w:cs="宋体"/>
          <w:b w:val="0"/>
          <w:bCs w:val="0"/>
          <w:color w:val="000000" w:themeColor="text1"/>
          <w:spacing w:val="-108"/>
          <w:szCs w:val="24"/>
          <w:highlight w:val="none"/>
          <w14:textFill>
            <w14:solidFill>
              <w14:schemeClr w14:val="tx1"/>
            </w14:solidFill>
          </w14:textFill>
        </w:rPr>
        <w:t>）</w:t>
      </w:r>
      <w:r>
        <w:rPr>
          <w:rFonts w:hint="eastAsia" w:ascii="宋体" w:eastAsia="宋体" w:cs="宋体"/>
          <w:b w:val="0"/>
          <w:bCs w:val="0"/>
          <w:color w:val="000000" w:themeColor="text1"/>
          <w:spacing w:val="-27"/>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如</w:t>
      </w:r>
      <w:r>
        <w:rPr>
          <w:rFonts w:hint="eastAsia" w:ascii="宋体" w:eastAsia="宋体" w:cs="宋体"/>
          <w:b w:val="0"/>
          <w:bCs w:val="0"/>
          <w:color w:val="000000" w:themeColor="text1"/>
          <w:spacing w:val="-3"/>
          <w:szCs w:val="24"/>
          <w:highlight w:val="none"/>
          <w14:textFill>
            <w14:solidFill>
              <w14:schemeClr w14:val="tx1"/>
            </w14:solidFill>
          </w14:textFill>
        </w:rPr>
        <w:t>果卖</w:t>
      </w:r>
      <w:r>
        <w:rPr>
          <w:rFonts w:hint="eastAsia" w:ascii="宋体" w:eastAsia="宋体" w:cs="宋体"/>
          <w:b w:val="0"/>
          <w:bCs w:val="0"/>
          <w:color w:val="000000" w:themeColor="text1"/>
          <w:szCs w:val="24"/>
          <w:highlight w:val="none"/>
          <w14:textFill>
            <w14:solidFill>
              <w14:schemeClr w14:val="tx1"/>
            </w14:solidFill>
          </w14:textFill>
        </w:rPr>
        <w:t>方未</w:t>
      </w:r>
      <w:r>
        <w:rPr>
          <w:rFonts w:hint="eastAsia" w:ascii="宋体" w:eastAsia="宋体" w:cs="宋体"/>
          <w:b w:val="0"/>
          <w:bCs w:val="0"/>
          <w:color w:val="000000" w:themeColor="text1"/>
          <w:spacing w:val="-3"/>
          <w:szCs w:val="24"/>
          <w:highlight w:val="none"/>
          <w14:textFill>
            <w14:solidFill>
              <w14:schemeClr w14:val="tx1"/>
            </w14:solidFill>
          </w14:textFill>
        </w:rPr>
        <w:t>在</w:t>
      </w:r>
      <w:r>
        <w:rPr>
          <w:rFonts w:hint="eastAsia" w:ascii="宋体" w:eastAsia="宋体" w:cs="宋体"/>
          <w:b w:val="0"/>
          <w:bCs w:val="0"/>
          <w:color w:val="000000" w:themeColor="text1"/>
          <w:szCs w:val="24"/>
          <w:highlight w:val="none"/>
          <w14:textFill>
            <w14:solidFill>
              <w14:schemeClr w14:val="tx1"/>
            </w14:solidFill>
          </w14:textFill>
        </w:rPr>
        <w:t>上</w:t>
      </w:r>
      <w:r>
        <w:rPr>
          <w:rFonts w:hint="eastAsia" w:ascii="宋体" w:eastAsia="宋体" w:cs="宋体"/>
          <w:b w:val="0"/>
          <w:bCs w:val="0"/>
          <w:color w:val="000000" w:themeColor="text1"/>
          <w:spacing w:val="-3"/>
          <w:szCs w:val="24"/>
          <w:highlight w:val="none"/>
          <w14:textFill>
            <w14:solidFill>
              <w14:schemeClr w14:val="tx1"/>
            </w14:solidFill>
          </w14:textFill>
        </w:rPr>
        <w:t>述</w:t>
      </w:r>
      <w:r>
        <w:rPr>
          <w:rFonts w:hint="eastAsia" w:ascii="宋体" w:eastAsia="宋体" w:cs="宋体"/>
          <w:b w:val="0"/>
          <w:bCs w:val="0"/>
          <w:color w:val="000000" w:themeColor="text1"/>
          <w:szCs w:val="24"/>
          <w:highlight w:val="none"/>
          <w14:textFill>
            <w14:solidFill>
              <w14:schemeClr w14:val="tx1"/>
            </w14:solidFill>
          </w14:textFill>
        </w:rPr>
        <w:t>时</w:t>
      </w:r>
      <w:r>
        <w:rPr>
          <w:rFonts w:hint="eastAsia" w:ascii="宋体" w:eastAsia="宋体" w:cs="宋体"/>
          <w:b w:val="0"/>
          <w:bCs w:val="0"/>
          <w:color w:val="000000" w:themeColor="text1"/>
          <w:spacing w:val="-3"/>
          <w:szCs w:val="24"/>
          <w:highlight w:val="none"/>
          <w14:textFill>
            <w14:solidFill>
              <w14:schemeClr w14:val="tx1"/>
            </w14:solidFill>
          </w14:textFill>
        </w:rPr>
        <w:t>间</w:t>
      </w:r>
      <w:r>
        <w:rPr>
          <w:rFonts w:hint="eastAsia" w:ascii="宋体" w:eastAsia="宋体" w:cs="宋体"/>
          <w:b w:val="0"/>
          <w:bCs w:val="0"/>
          <w:color w:val="000000" w:themeColor="text1"/>
          <w:szCs w:val="24"/>
          <w:highlight w:val="none"/>
          <w14:textFill>
            <w14:solidFill>
              <w14:schemeClr w14:val="tx1"/>
            </w14:solidFill>
          </w14:textFill>
        </w:rPr>
        <w:t>内</w:t>
      </w:r>
      <w:r>
        <w:rPr>
          <w:rFonts w:hint="eastAsia" w:ascii="宋体" w:eastAsia="宋体" w:cs="宋体"/>
          <w:b w:val="0"/>
          <w:bCs w:val="0"/>
          <w:color w:val="000000" w:themeColor="text1"/>
          <w:spacing w:val="-3"/>
          <w:szCs w:val="24"/>
          <w:highlight w:val="none"/>
          <w14:textFill>
            <w14:solidFill>
              <w14:schemeClr w14:val="tx1"/>
            </w14:solidFill>
          </w14:textFill>
        </w:rPr>
        <w:t>作</w:t>
      </w:r>
      <w:r>
        <w:rPr>
          <w:rFonts w:hint="eastAsia" w:ascii="宋体" w:eastAsia="宋体" w:cs="宋体"/>
          <w:b w:val="0"/>
          <w:bCs w:val="0"/>
          <w:color w:val="000000" w:themeColor="text1"/>
          <w:szCs w:val="24"/>
          <w:highlight w:val="none"/>
          <w14:textFill>
            <w14:solidFill>
              <w14:schemeClr w14:val="tx1"/>
            </w14:solidFill>
          </w14:textFill>
        </w:rPr>
        <w:t>出</w:t>
      </w:r>
      <w:r>
        <w:rPr>
          <w:rFonts w:hint="eastAsia" w:ascii="宋体" w:eastAsia="宋体" w:cs="宋体"/>
          <w:b w:val="0"/>
          <w:bCs w:val="0"/>
          <w:color w:val="000000" w:themeColor="text1"/>
          <w:spacing w:val="-3"/>
          <w:szCs w:val="24"/>
          <w:highlight w:val="none"/>
          <w14:textFill>
            <w14:solidFill>
              <w14:schemeClr w14:val="tx1"/>
            </w14:solidFill>
          </w14:textFill>
        </w:rPr>
        <w:t>响</w:t>
      </w:r>
      <w:r>
        <w:rPr>
          <w:rFonts w:hint="eastAsia" w:ascii="宋体" w:eastAsia="宋体" w:cs="宋体"/>
          <w:b w:val="0"/>
          <w:bCs w:val="0"/>
          <w:color w:val="000000" w:themeColor="text1"/>
          <w:szCs w:val="24"/>
          <w:highlight w:val="none"/>
          <w14:textFill>
            <w14:solidFill>
              <w14:schemeClr w14:val="tx1"/>
            </w14:solidFill>
          </w14:textFill>
        </w:rPr>
        <w:t>应</w:t>
      </w:r>
      <w:r>
        <w:rPr>
          <w:rFonts w:hint="eastAsia" w:ascii="宋体" w:eastAsia="宋体" w:cs="宋体"/>
          <w:b w:val="0"/>
          <w:bCs w:val="0"/>
          <w:color w:val="000000" w:themeColor="text1"/>
          <w:spacing w:val="-27"/>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则</w:t>
      </w:r>
      <w:r>
        <w:rPr>
          <w:rFonts w:hint="eastAsia" w:ascii="宋体" w:eastAsia="宋体" w:cs="宋体"/>
          <w:b w:val="0"/>
          <w:bCs w:val="0"/>
          <w:color w:val="000000" w:themeColor="text1"/>
          <w:spacing w:val="-3"/>
          <w:szCs w:val="24"/>
          <w:highlight w:val="none"/>
          <w14:textFill>
            <w14:solidFill>
              <w14:schemeClr w14:val="tx1"/>
            </w14:solidFill>
          </w14:textFill>
        </w:rPr>
        <w:t>买</w:t>
      </w:r>
      <w:r>
        <w:rPr>
          <w:rFonts w:hint="eastAsia" w:ascii="宋体" w:eastAsia="宋体" w:cs="宋体"/>
          <w:b w:val="0"/>
          <w:bCs w:val="0"/>
          <w:color w:val="000000" w:themeColor="text1"/>
          <w:szCs w:val="24"/>
          <w:highlight w:val="none"/>
          <w14:textFill>
            <w14:solidFill>
              <w14:schemeClr w14:val="tx1"/>
            </w14:solidFill>
          </w14:textFill>
        </w:rPr>
        <w:t>方</w:t>
      </w:r>
      <w:r>
        <w:rPr>
          <w:rFonts w:hint="eastAsia" w:ascii="宋体" w:eastAsia="宋体" w:cs="宋体"/>
          <w:b w:val="0"/>
          <w:bCs w:val="0"/>
          <w:color w:val="000000" w:themeColor="text1"/>
          <w:spacing w:val="-3"/>
          <w:szCs w:val="24"/>
          <w:highlight w:val="none"/>
          <w14:textFill>
            <w14:solidFill>
              <w14:schemeClr w14:val="tx1"/>
            </w14:solidFill>
          </w14:textFill>
        </w:rPr>
        <w:t>有</w:t>
      </w:r>
      <w:r>
        <w:rPr>
          <w:rFonts w:hint="eastAsia" w:ascii="宋体" w:eastAsia="宋体" w:cs="宋体"/>
          <w:b w:val="0"/>
          <w:bCs w:val="0"/>
          <w:color w:val="000000" w:themeColor="text1"/>
          <w:szCs w:val="24"/>
          <w:highlight w:val="none"/>
          <w14:textFill>
            <w14:solidFill>
              <w14:schemeClr w14:val="tx1"/>
            </w14:solidFill>
          </w14:textFill>
        </w:rPr>
        <w:t>权自</w:t>
      </w:r>
      <w:r>
        <w:rPr>
          <w:rFonts w:hint="eastAsia" w:ascii="宋体" w:eastAsia="宋体" w:cs="宋体"/>
          <w:b w:val="0"/>
          <w:bCs w:val="0"/>
          <w:color w:val="000000" w:themeColor="text1"/>
          <w:spacing w:val="-2"/>
          <w:szCs w:val="24"/>
          <w:highlight w:val="none"/>
          <w14:textFill>
            <w14:solidFill>
              <w14:schemeClr w14:val="tx1"/>
            </w14:solidFill>
          </w14:textFill>
        </w:rPr>
        <w:t xml:space="preserve">行或委托他人解决相关问题或查找和解决合同设备的故障，卖方应承担由此发生的全部费用。 </w:t>
      </w:r>
      <w:r>
        <w:rPr>
          <w:rFonts w:hint="eastAsia" w:ascii="宋体" w:eastAsia="宋体" w:cs="宋体"/>
          <w:b w:val="0"/>
          <w:bCs w:val="0"/>
          <w:color w:val="000000" w:themeColor="text1"/>
          <w:szCs w:val="24"/>
          <w:highlight w:val="none"/>
          <w14:textFill>
            <w14:solidFill>
              <w14:schemeClr w14:val="tx1"/>
            </w14:solidFill>
          </w14:textFill>
        </w:rPr>
        <w:t>9.2 如卖方技术人员需到合同设备现场进行质保期服务，则买方应免费为卖方技术人员提</w:t>
      </w:r>
      <w:r>
        <w:rPr>
          <w:rFonts w:hint="eastAsia" w:ascii="宋体" w:eastAsia="宋体" w:cs="宋体"/>
          <w:b w:val="0"/>
          <w:bCs w:val="0"/>
          <w:color w:val="000000" w:themeColor="text1"/>
          <w:spacing w:val="-1"/>
          <w:szCs w:val="24"/>
          <w:highlight w:val="none"/>
          <w14:textFill>
            <w14:solidFill>
              <w14:schemeClr w14:val="tx1"/>
            </w14:solidFill>
          </w14:textFill>
        </w:rPr>
        <w:t>供工作条件及便利，包括但不限于必要的办公场所、技术资料及出入许可等。除专用合同条款另有约定外，卖方技术人员的交通、食宿费用由卖方承担。卖方技术人员应遵守买方施工现场</w:t>
      </w:r>
      <w:r>
        <w:rPr>
          <w:rFonts w:hint="eastAsia" w:ascii="宋体" w:eastAsia="宋体" w:cs="宋体"/>
          <w:b w:val="0"/>
          <w:bCs w:val="0"/>
          <w:color w:val="000000" w:themeColor="text1"/>
          <w:szCs w:val="24"/>
          <w:highlight w:val="none"/>
          <w14:textFill>
            <w14:solidFill>
              <w14:schemeClr w14:val="tx1"/>
            </w14:solidFill>
          </w14:textFill>
        </w:rPr>
        <w:t>的各项规章制度和安全操作规程，并服从买方的现场管理。</w:t>
      </w:r>
    </w:p>
    <w:p w14:paraId="11C98F1E">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9.3 如果任何技术人员不合格，买方有权要求卖方撤换，因撤换而产生的费用应由卖方承担。在不影响质保期服务并且征得买方同意的条件下，卖方也可自负费用更换其技术人员。</w:t>
      </w:r>
    </w:p>
    <w:p w14:paraId="01840C9D">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9.4 除专用合同条款另有约定外，卖方应就在施工现场进行质保期服务的情况进行记录，记载合同设备故障发生的时间、原因及解决情况等，由买方签字确认，并在质量保证期结束后提交给买方。</w:t>
      </w:r>
    </w:p>
    <w:p w14:paraId="0692DBED">
      <w:pPr>
        <w:pStyle w:val="84"/>
        <w:spacing w:line="500" w:lineRule="exact"/>
        <w:ind w:left="0" w:right="0" w:firstLine="480" w:firstLineChars="200"/>
        <w:rPr>
          <w:rFonts w:ascii="宋体" w:hAnsi="宋体" w:eastAsia="宋体" w:cs="宋体"/>
          <w:b w:val="0"/>
          <w:bCs w:val="0"/>
          <w:color w:val="000000" w:themeColor="text1"/>
          <w:sz w:val="24"/>
          <w:szCs w:val="24"/>
          <w:highlight w:val="none"/>
          <w14:textFill>
            <w14:solidFill>
              <w14:schemeClr w14:val="tx1"/>
            </w14:solidFill>
          </w14:textFill>
        </w:rPr>
      </w:pPr>
      <w:bookmarkStart w:id="199" w:name="_bookmark134"/>
      <w:bookmarkEnd w:id="199"/>
      <w:r>
        <w:rPr>
          <w:rFonts w:hint="eastAsia" w:ascii="宋体" w:hAnsi="宋体" w:eastAsia="宋体" w:cs="宋体"/>
          <w:b w:val="0"/>
          <w:bCs w:val="0"/>
          <w:color w:val="000000" w:themeColor="text1"/>
          <w:sz w:val="24"/>
          <w:szCs w:val="24"/>
          <w:highlight w:val="none"/>
          <w14:textFill>
            <w14:solidFill>
              <w14:schemeClr w14:val="tx1"/>
            </w14:solidFill>
          </w14:textFill>
        </w:rPr>
        <w:t>10. 履约保证金</w:t>
      </w:r>
    </w:p>
    <w:p w14:paraId="55AC90F9">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除专用合同条款另有约定外，履约保证金自合同生效之日起生效，在合同设备验收证书或验收款支付函签署之日起 28 </w:t>
      </w:r>
      <w:r>
        <w:rPr>
          <w:rFonts w:hint="eastAsia" w:ascii="宋体" w:eastAsia="宋体" w:cs="宋体"/>
          <w:b w:val="0"/>
          <w:bCs w:val="0"/>
          <w:color w:val="000000" w:themeColor="text1"/>
          <w:spacing w:val="-4"/>
          <w:szCs w:val="24"/>
          <w:highlight w:val="none"/>
          <w14:textFill>
            <w14:solidFill>
              <w14:schemeClr w14:val="tx1"/>
            </w14:solidFill>
          </w14:textFill>
        </w:rPr>
        <w:t>日后失效。如果卖方不履行合同约定的义务或其履行不符合合同的</w:t>
      </w:r>
      <w:r>
        <w:rPr>
          <w:rFonts w:hint="eastAsia" w:ascii="宋体" w:eastAsia="宋体" w:cs="宋体"/>
          <w:b w:val="0"/>
          <w:bCs w:val="0"/>
          <w:color w:val="000000" w:themeColor="text1"/>
          <w:szCs w:val="24"/>
          <w:highlight w:val="none"/>
          <w14:textFill>
            <w14:solidFill>
              <w14:schemeClr w14:val="tx1"/>
            </w14:solidFill>
          </w14:textFill>
        </w:rPr>
        <w:t>约定，买方有权扣划相应金额的履约保证金。</w:t>
      </w:r>
    </w:p>
    <w:p w14:paraId="05937321">
      <w:pPr>
        <w:pStyle w:val="84"/>
        <w:spacing w:line="500" w:lineRule="exact"/>
        <w:ind w:left="0" w:right="0" w:firstLine="480" w:firstLineChars="200"/>
        <w:rPr>
          <w:rFonts w:ascii="宋体" w:hAnsi="宋体" w:eastAsia="宋体" w:cs="宋体"/>
          <w:b w:val="0"/>
          <w:bCs w:val="0"/>
          <w:color w:val="000000" w:themeColor="text1"/>
          <w:sz w:val="24"/>
          <w:szCs w:val="24"/>
          <w:highlight w:val="none"/>
          <w14:textFill>
            <w14:solidFill>
              <w14:schemeClr w14:val="tx1"/>
            </w14:solidFill>
          </w14:textFill>
        </w:rPr>
      </w:pPr>
      <w:bookmarkStart w:id="200" w:name="_bookmark135"/>
      <w:bookmarkEnd w:id="200"/>
      <w:r>
        <w:rPr>
          <w:rFonts w:hint="eastAsia" w:ascii="宋体" w:hAnsi="宋体" w:eastAsia="宋体" w:cs="宋体"/>
          <w:b w:val="0"/>
          <w:bCs w:val="0"/>
          <w:color w:val="000000" w:themeColor="text1"/>
          <w:sz w:val="24"/>
          <w:szCs w:val="24"/>
          <w:highlight w:val="none"/>
          <w14:textFill>
            <w14:solidFill>
              <w14:schemeClr w14:val="tx1"/>
            </w14:solidFill>
          </w14:textFill>
        </w:rPr>
        <w:t>11.  保证</w:t>
      </w:r>
    </w:p>
    <w:p w14:paraId="197F7DB2">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11.1 卖方保证其具有完全的能力履行本合同项下的全部义务。</w:t>
      </w:r>
    </w:p>
    <w:p w14:paraId="45E191E8">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11.2 卖方保证其所提供的合同设备及对合同的履行符合所有应适用的法律、行政法规、地方性法规、自治条例和单行条例、规章及其他规范性文件的强制性规定。</w:t>
      </w:r>
    </w:p>
    <w:p w14:paraId="5AC094F4">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11.3 卖方保证其对合同设备的销售不损害任何第三方的合法权益和社会公众利益。任何第三方不会因卖方原因而基于所有权、抵押权、留置权或其他任何权利或事由对合同设备主张权利。</w:t>
      </w:r>
    </w:p>
    <w:p w14:paraId="4BF743D9">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11.4 卖方保证合同设备符合合同约定的规格、标准、技术性能考核指标等，能够安全和稳定地运行，且合同设备（包括全部部件）全新、完整、未使用过，除非专用合同条款和（或）供货要求等合同文件另有约定。</w:t>
      </w:r>
    </w:p>
    <w:p w14:paraId="140BA390">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11.5 卖方保证，卖方所提供的技术资料完整、清晰、准确，符合合同约定并且能够满足合同设备的安装、调试、考核、操作以及维修和保养的需要。</w:t>
      </w:r>
    </w:p>
    <w:p w14:paraId="789FAD8C">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11.6 卖方保证合同范围内提供的备品备件能够满足合同设备在质量保证期结束前正常运行及维修的需要，如在质量保证期结束前因卖方原因出现备品备件短缺影响合同设备正常运行的，卖方应免费提供。</w:t>
      </w:r>
    </w:p>
    <w:p w14:paraId="148A205A">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11.7 除专用合同条款和（或）供货要求等合同文件另有约定外，如果在合同设备设计使用寿命期内发生合同项下备品备件停止生产的情况，卖方应事先将拟停止生产的计划通知买方，使买方有足够的时间考虑备品备件的需求量。根据买方要求，卖方应：</w:t>
      </w:r>
    </w:p>
    <w:p w14:paraId="587A0BA9">
      <w:pPr>
        <w:pStyle w:val="13"/>
        <w:spacing w:line="500" w:lineRule="exact"/>
        <w:ind w:firstLine="464"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pacing w:val="-4"/>
          <w:szCs w:val="24"/>
          <w:highlight w:val="none"/>
          <w14:textFill>
            <w14:solidFill>
              <w14:schemeClr w14:val="tx1"/>
            </w14:solidFill>
          </w14:textFill>
        </w:rPr>
        <w:t>（1）以不高于同期市场价格或其向任何第三方销售同类产品的价格提供合同设备正常运行</w:t>
      </w:r>
      <w:r>
        <w:rPr>
          <w:rFonts w:hint="eastAsia" w:ascii="宋体" w:eastAsia="宋体" w:cs="宋体"/>
          <w:b w:val="0"/>
          <w:bCs w:val="0"/>
          <w:color w:val="000000" w:themeColor="text1"/>
          <w:szCs w:val="24"/>
          <w:highlight w:val="none"/>
          <w14:textFill>
            <w14:solidFill>
              <w14:schemeClr w14:val="tx1"/>
            </w14:solidFill>
          </w14:textFill>
        </w:rPr>
        <w:t>所需的全部备品备件。或</w:t>
      </w:r>
    </w:p>
    <w:p w14:paraId="7348895E">
      <w:pPr>
        <w:pStyle w:val="13"/>
        <w:spacing w:line="500" w:lineRule="exact"/>
        <w:ind w:firstLine="464"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pacing w:val="-4"/>
          <w:szCs w:val="24"/>
          <w:highlight w:val="none"/>
          <w14:textFill>
            <w14:solidFill>
              <w14:schemeClr w14:val="tx1"/>
            </w14:solidFill>
          </w14:textFill>
        </w:rPr>
        <w:t>（2）免费提供可供买方或第三方制造停产备品备件所需的全部技术资料，以便买方持续获</w:t>
      </w:r>
      <w:r>
        <w:rPr>
          <w:rFonts w:hint="eastAsia" w:ascii="宋体" w:eastAsia="宋体" w:cs="宋体"/>
          <w:b w:val="0"/>
          <w:bCs w:val="0"/>
          <w:color w:val="000000" w:themeColor="text1"/>
          <w:spacing w:val="-1"/>
          <w:szCs w:val="24"/>
          <w:highlight w:val="none"/>
          <w14:textFill>
            <w14:solidFill>
              <w14:schemeClr w14:val="tx1"/>
            </w14:solidFill>
          </w14:textFill>
        </w:rPr>
        <w:t>得上述备品备件以满足合同设备在寿命期内正常运行的需要。卖方保证买方或买方委托的第三</w:t>
      </w:r>
      <w:r>
        <w:rPr>
          <w:rFonts w:hint="eastAsia" w:ascii="宋体" w:eastAsia="宋体" w:cs="宋体"/>
          <w:b w:val="0"/>
          <w:bCs w:val="0"/>
          <w:color w:val="000000" w:themeColor="text1"/>
          <w:szCs w:val="24"/>
          <w:highlight w:val="none"/>
          <w14:textFill>
            <w14:solidFill>
              <w14:schemeClr w14:val="tx1"/>
            </w14:solidFill>
          </w14:textFill>
        </w:rPr>
        <w:t>方制造及买方使用这些备品备件不侵犯任何人的知识产权。</w:t>
      </w:r>
    </w:p>
    <w:p w14:paraId="0B2D6558">
      <w:pPr>
        <w:pStyle w:val="84"/>
        <w:spacing w:line="500" w:lineRule="exact"/>
        <w:ind w:left="0" w:right="0" w:firstLine="480" w:firstLineChars="200"/>
        <w:rPr>
          <w:rFonts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11.8 卖方保证，在合同设备设计使用寿命期内，如果卖方发现合同设备由于设计、制造、标识等原因存在足以危及人身、财产安全的缺陷，卖方将及时通知买方并及时采取修正或者补充标识、修理、更换等措施消除缺陷。</w:t>
      </w:r>
      <w:bookmarkStart w:id="201" w:name="_bookmark136"/>
      <w:bookmarkEnd w:id="201"/>
    </w:p>
    <w:p w14:paraId="1E22FA14">
      <w:pPr>
        <w:pStyle w:val="84"/>
        <w:spacing w:line="500" w:lineRule="exact"/>
        <w:ind w:left="0" w:right="0" w:firstLine="480" w:firstLineChars="200"/>
        <w:rPr>
          <w:rFonts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12.  知识产权</w:t>
      </w:r>
    </w:p>
    <w:p w14:paraId="0D93326D">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12.1 买方在履行合同过程中提供给卖方的全部图纸、文件和其他含有数据和信息的资料，其知识产权属于买方。</w:t>
      </w:r>
    </w:p>
    <w:p w14:paraId="256E5115">
      <w:pPr>
        <w:pStyle w:val="13"/>
        <w:spacing w:line="500" w:lineRule="exact"/>
        <w:ind w:firstLine="496" w:firstLineChars="200"/>
        <w:jc w:val="left"/>
        <w:rPr>
          <w:rFonts w:ascii="宋体" w:eastAsia="宋体" w:cs="宋体"/>
          <w:b w:val="0"/>
          <w:bCs w:val="0"/>
          <w:color w:val="000000" w:themeColor="text1"/>
          <w:spacing w:val="-6"/>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12.2 </w:t>
      </w:r>
      <w:r>
        <w:rPr>
          <w:rFonts w:hint="eastAsia" w:ascii="宋体" w:eastAsia="宋体" w:cs="宋体"/>
          <w:b w:val="0"/>
          <w:bCs w:val="0"/>
          <w:color w:val="000000" w:themeColor="text1"/>
          <w:spacing w:val="-3"/>
          <w:szCs w:val="24"/>
          <w:highlight w:val="none"/>
          <w14:textFill>
            <w14:solidFill>
              <w14:schemeClr w14:val="tx1"/>
            </w14:solidFill>
          </w14:textFill>
        </w:rPr>
        <w:t>除专用合同条款另有约定外，买方不因签署和履行合同而享有卖方在履行合同过程中</w:t>
      </w:r>
      <w:r>
        <w:rPr>
          <w:rFonts w:hint="eastAsia" w:ascii="宋体" w:eastAsia="宋体" w:cs="宋体"/>
          <w:b w:val="0"/>
          <w:bCs w:val="0"/>
          <w:color w:val="000000" w:themeColor="text1"/>
          <w:spacing w:val="-6"/>
          <w:szCs w:val="24"/>
          <w:highlight w:val="none"/>
          <w14:textFill>
            <w14:solidFill>
              <w14:schemeClr w14:val="tx1"/>
            </w14:solidFill>
          </w14:textFill>
        </w:rPr>
        <w:t xml:space="preserve">提供给买方的图纸、文件、配套软件、电子辅助程序和其他含有数据和信息的资料的知识产权。 </w:t>
      </w:r>
    </w:p>
    <w:p w14:paraId="2A6D50E8">
      <w:pPr>
        <w:pStyle w:val="13"/>
        <w:spacing w:line="500" w:lineRule="exact"/>
        <w:ind w:firstLine="496" w:firstLineChars="200"/>
        <w:jc w:val="left"/>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12.3 </w:t>
      </w:r>
      <w:r>
        <w:rPr>
          <w:rFonts w:hint="eastAsia" w:ascii="宋体" w:eastAsia="宋体" w:cs="宋体"/>
          <w:b w:val="0"/>
          <w:bCs w:val="0"/>
          <w:color w:val="000000" w:themeColor="text1"/>
          <w:spacing w:val="-3"/>
          <w:szCs w:val="24"/>
          <w:highlight w:val="none"/>
          <w14:textFill>
            <w14:solidFill>
              <w14:schemeClr w14:val="tx1"/>
            </w14:solidFill>
          </w14:textFill>
        </w:rPr>
        <w:t>如合同设备涉及知识产权，则卖方保证买方在使用合同设备过程中免于受到第三方提</w:t>
      </w:r>
      <w:r>
        <w:rPr>
          <w:rFonts w:hint="eastAsia" w:ascii="宋体" w:eastAsia="宋体" w:cs="宋体"/>
          <w:b w:val="0"/>
          <w:bCs w:val="0"/>
          <w:color w:val="000000" w:themeColor="text1"/>
          <w:szCs w:val="24"/>
          <w:highlight w:val="none"/>
          <w14:textFill>
            <w14:solidFill>
              <w14:schemeClr w14:val="tx1"/>
            </w14:solidFill>
          </w14:textFill>
        </w:rPr>
        <w:t>出的有关知识产权侵权的主张、索赔或诉讼的伤害。</w:t>
      </w:r>
    </w:p>
    <w:p w14:paraId="54339566">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12.4 如果买方收到任何第三方有关知识产权的主张、索赔或诉讼，卖方在收到买方通知后，应以买方名义并在买方的协助下，自负费用处理与第三方的索赔或诉讼，并赔偿买方因此发生的费用和遭受的损失。除专用合同条款另有约定外，如果卖方拒绝处理前述索赔或诉讼或在收到买方通知后 28 日内未作表示，买方可以自己的名义进行这些索赔或诉讼，因此发生的费用和遭受的损失均应由卖方承担。</w:t>
      </w:r>
    </w:p>
    <w:p w14:paraId="29CE520D">
      <w:pPr>
        <w:pStyle w:val="84"/>
        <w:spacing w:line="500" w:lineRule="exact"/>
        <w:ind w:left="0" w:right="0" w:firstLine="480" w:firstLineChars="200"/>
        <w:rPr>
          <w:rFonts w:ascii="宋体" w:hAnsi="宋体" w:eastAsia="宋体" w:cs="宋体"/>
          <w:b w:val="0"/>
          <w:bCs w:val="0"/>
          <w:color w:val="000000" w:themeColor="text1"/>
          <w:sz w:val="24"/>
          <w:szCs w:val="24"/>
          <w:highlight w:val="none"/>
          <w14:textFill>
            <w14:solidFill>
              <w14:schemeClr w14:val="tx1"/>
            </w14:solidFill>
          </w14:textFill>
        </w:rPr>
      </w:pPr>
      <w:bookmarkStart w:id="202" w:name="_bookmark137"/>
      <w:bookmarkEnd w:id="202"/>
      <w:r>
        <w:rPr>
          <w:rFonts w:hint="eastAsia" w:ascii="宋体" w:hAnsi="宋体" w:eastAsia="宋体" w:cs="宋体"/>
          <w:b w:val="0"/>
          <w:bCs w:val="0"/>
          <w:color w:val="000000" w:themeColor="text1"/>
          <w:sz w:val="24"/>
          <w:szCs w:val="24"/>
          <w:highlight w:val="none"/>
          <w14:textFill>
            <w14:solidFill>
              <w14:schemeClr w14:val="tx1"/>
            </w14:solidFill>
          </w14:textFill>
        </w:rPr>
        <w:t>13.  保密</w:t>
      </w:r>
    </w:p>
    <w:p w14:paraId="7EEFFCA7">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合同双方应对因履行合同而取得的另一方当事人的信息、资料等予以保密。未经另一方当事人书面同意，任何一方均不得为与履行合同无关的目的使用或向第三方披露另一方当事人提供的信息、资料。</w:t>
      </w:r>
    </w:p>
    <w:p w14:paraId="7B9D2A6E">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合同当事人的保密义务不适用于下列信息：</w:t>
      </w:r>
    </w:p>
    <w:p w14:paraId="3A4A7D7F">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（1）非因接受信息一方的过失现在或以后进入公共领域的信息；</w:t>
      </w:r>
    </w:p>
    <w:p w14:paraId="634EF7E2">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（2）接受信息一方当事人合法地从第三方获得并且据其善意了解第三方也不对此承担保密义务的信息；</w:t>
      </w:r>
    </w:p>
    <w:p w14:paraId="479878DA">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（3）法律或法律的执行要求披露的信息。</w:t>
      </w:r>
    </w:p>
    <w:p w14:paraId="7BF91EEA">
      <w:pPr>
        <w:pStyle w:val="84"/>
        <w:spacing w:line="500" w:lineRule="exact"/>
        <w:ind w:left="0" w:right="0" w:firstLine="480" w:firstLineChars="200"/>
        <w:rPr>
          <w:rFonts w:ascii="宋体" w:hAnsi="宋体" w:eastAsia="宋体" w:cs="宋体"/>
          <w:b w:val="0"/>
          <w:bCs w:val="0"/>
          <w:color w:val="000000" w:themeColor="text1"/>
          <w:sz w:val="24"/>
          <w:szCs w:val="24"/>
          <w:highlight w:val="none"/>
          <w14:textFill>
            <w14:solidFill>
              <w14:schemeClr w14:val="tx1"/>
            </w14:solidFill>
          </w14:textFill>
        </w:rPr>
      </w:pPr>
      <w:bookmarkStart w:id="203" w:name="_bookmark138"/>
      <w:bookmarkEnd w:id="203"/>
      <w:r>
        <w:rPr>
          <w:rFonts w:hint="eastAsia" w:ascii="宋体" w:hAnsi="宋体" w:eastAsia="宋体" w:cs="宋体"/>
          <w:b w:val="0"/>
          <w:bCs w:val="0"/>
          <w:color w:val="000000" w:themeColor="text1"/>
          <w:sz w:val="24"/>
          <w:szCs w:val="24"/>
          <w:highlight w:val="none"/>
          <w14:textFill>
            <w14:solidFill>
              <w14:schemeClr w14:val="tx1"/>
            </w14:solidFill>
          </w14:textFill>
        </w:rPr>
        <w:t>14.  违约责任</w:t>
      </w:r>
    </w:p>
    <w:p w14:paraId="59CDDABE">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14.1 合同一方不履行合同义务、履行合同义务不符合约定或者违反合同项下所作保证的，应向对方承担继续履行、采取修理、更换、退货等补救措施或者赔偿损失等违约责任。</w:t>
      </w:r>
    </w:p>
    <w:p w14:paraId="361B62C4">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14.2 </w:t>
      </w:r>
      <w:r>
        <w:rPr>
          <w:rFonts w:hint="eastAsia" w:ascii="宋体" w:eastAsia="宋体" w:cs="宋体"/>
          <w:b w:val="0"/>
          <w:bCs w:val="0"/>
          <w:color w:val="000000" w:themeColor="text1"/>
          <w:spacing w:val="-3"/>
          <w:szCs w:val="24"/>
          <w:highlight w:val="none"/>
          <w14:textFill>
            <w14:solidFill>
              <w14:schemeClr w14:val="tx1"/>
            </w14:solidFill>
          </w14:textFill>
        </w:rPr>
        <w:t>卖方未能按时交付合同设备（包括仅迟延交付技术资料但足以导致合同设备安装、调</w:t>
      </w:r>
      <w:r>
        <w:rPr>
          <w:rFonts w:hint="eastAsia" w:ascii="宋体" w:eastAsia="宋体" w:cs="宋体"/>
          <w:b w:val="0"/>
          <w:bCs w:val="0"/>
          <w:color w:val="000000" w:themeColor="text1"/>
          <w:spacing w:val="-6"/>
          <w:szCs w:val="24"/>
          <w:highlight w:val="none"/>
          <w14:textFill>
            <w14:solidFill>
              <w14:schemeClr w14:val="tx1"/>
            </w14:solidFill>
          </w14:textFill>
        </w:rPr>
        <w:t>试、考核、验收工作推迟的）的，应向买方支付迟延交付违约金。除专用合同条款另有约定外，</w:t>
      </w:r>
      <w:r>
        <w:rPr>
          <w:rFonts w:hint="eastAsia" w:ascii="宋体" w:eastAsia="宋体" w:cs="宋体"/>
          <w:b w:val="0"/>
          <w:bCs w:val="0"/>
          <w:color w:val="000000" w:themeColor="text1"/>
          <w:szCs w:val="24"/>
          <w:highlight w:val="none"/>
          <w14:textFill>
            <w14:solidFill>
              <w14:schemeClr w14:val="tx1"/>
            </w14:solidFill>
          </w14:textFill>
        </w:rPr>
        <w:t>迟延交付违约金的计算方法如下：</w:t>
      </w:r>
    </w:p>
    <w:p w14:paraId="19A3D123">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（1）从迟交的第一周到第四周，每周迟延交付违约金为迟交合同设备价格的 0.5%；</w:t>
      </w:r>
    </w:p>
    <w:p w14:paraId="3CFACF13">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（2）从迟交的第五周到第八周，每周迟延交付违约金为迟交合同设备价格的 1%；</w:t>
      </w:r>
    </w:p>
    <w:p w14:paraId="6E3DD88E">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（3）从迟交第九周起，每周迟延交付违约金为迟交合同设备价格的 1.5%。在计算迟延交付违约金时，迟交不足一周的按一周计算。迟延交付违约金的总额不得超过合同价格的 10%。迟延交付违约金的支付不能免除卖方继续交付相关合同设备的义务，但如迟延交付必然导致合同设备安装、调试、考核、验收工作推迟的，相关工作应相应顺延。</w:t>
      </w:r>
    </w:p>
    <w:p w14:paraId="5CB26D1C">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14.3 买方未能按合同约定支付合同价款的，应向卖方支付延迟付款违约金。除专用合同条款另有约定外，迟延付款违约金的计算方法如下：</w:t>
      </w:r>
    </w:p>
    <w:p w14:paraId="0B98E24B">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（1）从迟付的第一周到第四周，每周迟延付款违约金为迟延付款金额的 0.5%；</w:t>
      </w:r>
    </w:p>
    <w:p w14:paraId="0F984DAB">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（2）从迟付的第五周到第八周，每周迟延付款违约金为迟延付款金额的 1%；</w:t>
      </w:r>
    </w:p>
    <w:p w14:paraId="49C2D5F5">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（3）从迟付第九周起，每周迟延付款违约金为迟延付款金额的 1.5%。在计算迟延付款违约金时，迟付不足一周的按一周计算。迟延付款违约金的总额不得超过</w:t>
      </w:r>
    </w:p>
    <w:p w14:paraId="3027D13F">
      <w:pPr>
        <w:pStyle w:val="13"/>
        <w:spacing w:line="500" w:lineRule="exact"/>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合同价格的</w:t>
      </w:r>
      <w:r>
        <w:rPr>
          <w:rFonts w:hint="eastAsia" w:ascii="宋体" w:eastAsia="宋体" w:cs="宋体"/>
          <w:b w:val="0"/>
          <w:bCs w:val="0"/>
          <w:color w:val="000000" w:themeColor="text1"/>
          <w:spacing w:val="-54"/>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10%。</w:t>
      </w:r>
    </w:p>
    <w:p w14:paraId="4B55683E">
      <w:pPr>
        <w:pStyle w:val="84"/>
        <w:spacing w:line="500" w:lineRule="exact"/>
        <w:ind w:left="0" w:right="0" w:firstLine="480" w:firstLineChars="200"/>
        <w:rPr>
          <w:rFonts w:ascii="宋体" w:hAnsi="宋体" w:eastAsia="宋体" w:cs="宋体"/>
          <w:b w:val="0"/>
          <w:bCs w:val="0"/>
          <w:color w:val="000000" w:themeColor="text1"/>
          <w:sz w:val="24"/>
          <w:szCs w:val="24"/>
          <w:highlight w:val="none"/>
          <w14:textFill>
            <w14:solidFill>
              <w14:schemeClr w14:val="tx1"/>
            </w14:solidFill>
          </w14:textFill>
        </w:rPr>
      </w:pPr>
      <w:bookmarkStart w:id="204" w:name="_bookmark139"/>
      <w:bookmarkEnd w:id="204"/>
      <w:r>
        <w:rPr>
          <w:rFonts w:hint="eastAsia" w:ascii="宋体" w:hAnsi="宋体" w:eastAsia="宋体" w:cs="宋体"/>
          <w:b w:val="0"/>
          <w:bCs w:val="0"/>
          <w:color w:val="000000" w:themeColor="text1"/>
          <w:sz w:val="24"/>
          <w:szCs w:val="24"/>
          <w:highlight w:val="none"/>
          <w14:textFill>
            <w14:solidFill>
              <w14:schemeClr w14:val="tx1"/>
            </w14:solidFill>
          </w14:textFill>
        </w:rPr>
        <w:t>15. 合同的解除</w:t>
      </w:r>
    </w:p>
    <w:p w14:paraId="30452F30">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除专用合同条款另有约定外，有下述情形之一，当事人可发出书面通知全部或部分地解除合同，合同自通知到达对方时全部或部分地解除：</w:t>
      </w:r>
    </w:p>
    <w:p w14:paraId="6BA05077">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（1）卖方迟延交付合同设备超过</w:t>
      </w:r>
      <w:r>
        <w:rPr>
          <w:rFonts w:hint="eastAsia" w:ascii="宋体" w:eastAsia="宋体" w:cs="宋体"/>
          <w:b w:val="0"/>
          <w:bCs w:val="0"/>
          <w:color w:val="000000" w:themeColor="text1"/>
          <w:spacing w:val="-56"/>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3个月；</w:t>
      </w:r>
    </w:p>
    <w:p w14:paraId="7A82BC9F">
      <w:pPr>
        <w:pStyle w:val="13"/>
        <w:spacing w:line="500" w:lineRule="exact"/>
        <w:ind w:firstLine="464"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pacing w:val="-4"/>
          <w:szCs w:val="24"/>
          <w:highlight w:val="none"/>
          <w14:textFill>
            <w14:solidFill>
              <w14:schemeClr w14:val="tx1"/>
            </w14:solidFill>
          </w14:textFill>
        </w:rPr>
        <w:t>（2）合同设备由于卖方原因三次考核均未能达到技术性能考核指标或在合同约定了或双方</w:t>
      </w:r>
      <w:r>
        <w:rPr>
          <w:rFonts w:hint="eastAsia" w:ascii="宋体" w:eastAsia="宋体" w:cs="宋体"/>
          <w:b w:val="0"/>
          <w:bCs w:val="0"/>
          <w:color w:val="000000" w:themeColor="text1"/>
          <w:spacing w:val="-1"/>
          <w:szCs w:val="24"/>
          <w:highlight w:val="none"/>
          <w14:textFill>
            <w14:solidFill>
              <w14:schemeClr w14:val="tx1"/>
            </w14:solidFill>
          </w14:textFill>
        </w:rPr>
        <w:t>在考核中另行达成了最低技术性能考核指标时均未能达到最低技术性能考核指标，且买卖双方</w:t>
      </w:r>
      <w:r>
        <w:rPr>
          <w:rFonts w:hint="eastAsia" w:ascii="宋体" w:eastAsia="宋体" w:cs="宋体"/>
          <w:b w:val="0"/>
          <w:bCs w:val="0"/>
          <w:color w:val="000000" w:themeColor="text1"/>
          <w:szCs w:val="24"/>
          <w:highlight w:val="none"/>
          <w14:textFill>
            <w14:solidFill>
              <w14:schemeClr w14:val="tx1"/>
            </w14:solidFill>
          </w14:textFill>
        </w:rPr>
        <w:t>未就合同的后续履行协商达成一致；</w:t>
      </w:r>
    </w:p>
    <w:p w14:paraId="53AB5AA2">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（3）买方迟延付款超过</w:t>
      </w:r>
      <w:r>
        <w:rPr>
          <w:rFonts w:hint="eastAsia" w:ascii="宋体" w:eastAsia="宋体" w:cs="宋体"/>
          <w:b w:val="0"/>
          <w:bCs w:val="0"/>
          <w:color w:val="000000" w:themeColor="text1"/>
          <w:spacing w:val="-54"/>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3个月；</w:t>
      </w:r>
    </w:p>
    <w:p w14:paraId="3C337911">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（4）合同一方当事</w:t>
      </w:r>
      <w:r>
        <w:rPr>
          <w:rFonts w:hint="eastAsia" w:ascii="宋体" w:eastAsia="宋体" w:cs="宋体"/>
          <w:b w:val="0"/>
          <w:bCs w:val="0"/>
          <w:color w:val="000000" w:themeColor="text1"/>
          <w:spacing w:val="-3"/>
          <w:szCs w:val="24"/>
          <w:highlight w:val="none"/>
          <w14:textFill>
            <w14:solidFill>
              <w14:schemeClr w14:val="tx1"/>
            </w14:solidFill>
          </w14:textFill>
        </w:rPr>
        <w:t>人</w:t>
      </w:r>
      <w:r>
        <w:rPr>
          <w:rFonts w:hint="eastAsia" w:ascii="宋体" w:eastAsia="宋体" w:cs="宋体"/>
          <w:b w:val="0"/>
          <w:bCs w:val="0"/>
          <w:color w:val="000000" w:themeColor="text1"/>
          <w:szCs w:val="24"/>
          <w:highlight w:val="none"/>
          <w14:textFill>
            <w14:solidFill>
              <w14:schemeClr w14:val="tx1"/>
            </w14:solidFill>
          </w14:textFill>
        </w:rPr>
        <w:t>未</w:t>
      </w:r>
      <w:r>
        <w:rPr>
          <w:rFonts w:hint="eastAsia" w:ascii="宋体" w:eastAsia="宋体" w:cs="宋体"/>
          <w:b w:val="0"/>
          <w:bCs w:val="0"/>
          <w:color w:val="000000" w:themeColor="text1"/>
          <w:spacing w:val="-3"/>
          <w:szCs w:val="24"/>
          <w:highlight w:val="none"/>
          <w14:textFill>
            <w14:solidFill>
              <w14:schemeClr w14:val="tx1"/>
            </w14:solidFill>
          </w14:textFill>
        </w:rPr>
        <w:t>能</w:t>
      </w:r>
      <w:r>
        <w:rPr>
          <w:rFonts w:hint="eastAsia" w:ascii="宋体" w:eastAsia="宋体" w:cs="宋体"/>
          <w:b w:val="0"/>
          <w:bCs w:val="0"/>
          <w:color w:val="000000" w:themeColor="text1"/>
          <w:szCs w:val="24"/>
          <w:highlight w:val="none"/>
          <w14:textFill>
            <w14:solidFill>
              <w14:schemeClr w14:val="tx1"/>
            </w14:solidFill>
          </w14:textFill>
        </w:rPr>
        <w:t>履行合同项下任</w:t>
      </w:r>
      <w:r>
        <w:rPr>
          <w:rFonts w:hint="eastAsia" w:ascii="宋体" w:eastAsia="宋体" w:cs="宋体"/>
          <w:b w:val="0"/>
          <w:bCs w:val="0"/>
          <w:color w:val="000000" w:themeColor="text1"/>
          <w:spacing w:val="-3"/>
          <w:szCs w:val="24"/>
          <w:highlight w:val="none"/>
          <w14:textFill>
            <w14:solidFill>
              <w14:schemeClr w14:val="tx1"/>
            </w14:solidFill>
          </w14:textFill>
        </w:rPr>
        <w:t>何</w:t>
      </w:r>
      <w:r>
        <w:rPr>
          <w:rFonts w:hint="eastAsia" w:ascii="宋体" w:eastAsia="宋体" w:cs="宋体"/>
          <w:b w:val="0"/>
          <w:bCs w:val="0"/>
          <w:color w:val="000000" w:themeColor="text1"/>
          <w:szCs w:val="24"/>
          <w:highlight w:val="none"/>
          <w14:textFill>
            <w14:solidFill>
              <w14:schemeClr w14:val="tx1"/>
            </w14:solidFill>
          </w14:textFill>
        </w:rPr>
        <w:t>其它</w:t>
      </w:r>
      <w:r>
        <w:rPr>
          <w:rFonts w:hint="eastAsia" w:ascii="宋体" w:eastAsia="宋体" w:cs="宋体"/>
          <w:b w:val="0"/>
          <w:bCs w:val="0"/>
          <w:color w:val="000000" w:themeColor="text1"/>
          <w:spacing w:val="-3"/>
          <w:szCs w:val="24"/>
          <w:highlight w:val="none"/>
          <w14:textFill>
            <w14:solidFill>
              <w14:schemeClr w14:val="tx1"/>
            </w14:solidFill>
          </w14:textFill>
        </w:rPr>
        <w:t>义</w:t>
      </w:r>
      <w:r>
        <w:rPr>
          <w:rFonts w:hint="eastAsia" w:ascii="宋体" w:eastAsia="宋体" w:cs="宋体"/>
          <w:b w:val="0"/>
          <w:bCs w:val="0"/>
          <w:color w:val="000000" w:themeColor="text1"/>
          <w:szCs w:val="24"/>
          <w:highlight w:val="none"/>
          <w14:textFill>
            <w14:solidFill>
              <w14:schemeClr w14:val="tx1"/>
            </w14:solidFill>
          </w14:textFill>
        </w:rPr>
        <w:t>务（细微义务除</w:t>
      </w:r>
      <w:r>
        <w:rPr>
          <w:rFonts w:hint="eastAsia" w:ascii="宋体" w:eastAsia="宋体" w:cs="宋体"/>
          <w:b w:val="0"/>
          <w:bCs w:val="0"/>
          <w:color w:val="000000" w:themeColor="text1"/>
          <w:spacing w:val="-3"/>
          <w:szCs w:val="24"/>
          <w:highlight w:val="none"/>
          <w14:textFill>
            <w14:solidFill>
              <w14:schemeClr w14:val="tx1"/>
            </w14:solidFill>
          </w14:textFill>
        </w:rPr>
        <w:t>外</w:t>
      </w:r>
      <w:r>
        <w:rPr>
          <w:rFonts w:hint="eastAsia" w:ascii="宋体" w:eastAsia="宋体" w:cs="宋体"/>
          <w:b w:val="0"/>
          <w:bCs w:val="0"/>
          <w:color w:val="000000" w:themeColor="text1"/>
          <w:spacing w:val="-104"/>
          <w:szCs w:val="24"/>
          <w:highlight w:val="none"/>
          <w14:textFill>
            <w14:solidFill>
              <w14:schemeClr w14:val="tx1"/>
            </w14:solidFill>
          </w14:textFill>
        </w:rPr>
        <w:t>）</w:t>
      </w:r>
      <w:r>
        <w:rPr>
          <w:rFonts w:hint="eastAsia" w:ascii="宋体" w:eastAsia="宋体" w:cs="宋体"/>
          <w:b w:val="0"/>
          <w:bCs w:val="0"/>
          <w:color w:val="000000" w:themeColor="text1"/>
          <w:spacing w:val="-3"/>
          <w:szCs w:val="24"/>
          <w:highlight w:val="none"/>
          <w14:textFill>
            <w14:solidFill>
              <w14:schemeClr w14:val="tx1"/>
            </w14:solidFill>
          </w14:textFill>
        </w:rPr>
        <w:t>，</w:t>
      </w:r>
      <w:r>
        <w:rPr>
          <w:rFonts w:hint="eastAsia" w:ascii="宋体" w:eastAsia="宋体" w:cs="宋体"/>
          <w:b w:val="0"/>
          <w:bCs w:val="0"/>
          <w:color w:val="000000" w:themeColor="text1"/>
          <w:szCs w:val="24"/>
          <w:highlight w:val="none"/>
          <w14:textFill>
            <w14:solidFill>
              <w14:schemeClr w14:val="tx1"/>
            </w14:solidFill>
          </w14:textFill>
        </w:rPr>
        <w:t>或</w:t>
      </w:r>
      <w:r>
        <w:rPr>
          <w:rFonts w:hint="eastAsia" w:ascii="宋体" w:eastAsia="宋体" w:cs="宋体"/>
          <w:b w:val="0"/>
          <w:bCs w:val="0"/>
          <w:color w:val="000000" w:themeColor="text1"/>
          <w:spacing w:val="-3"/>
          <w:szCs w:val="24"/>
          <w:highlight w:val="none"/>
          <w14:textFill>
            <w14:solidFill>
              <w14:schemeClr w14:val="tx1"/>
            </w14:solidFill>
          </w14:textFill>
        </w:rPr>
        <w:t>在</w:t>
      </w:r>
      <w:r>
        <w:rPr>
          <w:rFonts w:hint="eastAsia" w:ascii="宋体" w:eastAsia="宋体" w:cs="宋体"/>
          <w:b w:val="0"/>
          <w:bCs w:val="0"/>
          <w:color w:val="000000" w:themeColor="text1"/>
          <w:szCs w:val="24"/>
          <w:highlight w:val="none"/>
          <w14:textFill>
            <w14:solidFill>
              <w14:schemeClr w14:val="tx1"/>
            </w14:solidFill>
          </w14:textFill>
        </w:rPr>
        <w:t>未事先征得</w:t>
      </w:r>
      <w:r>
        <w:rPr>
          <w:rFonts w:hint="eastAsia" w:ascii="宋体" w:eastAsia="宋体" w:cs="宋体"/>
          <w:b w:val="0"/>
          <w:bCs w:val="0"/>
          <w:color w:val="000000" w:themeColor="text1"/>
          <w:spacing w:val="-1"/>
          <w:szCs w:val="24"/>
          <w:highlight w:val="none"/>
          <w14:textFill>
            <w14:solidFill>
              <w14:schemeClr w14:val="tx1"/>
            </w14:solidFill>
          </w14:textFill>
        </w:rPr>
        <w:t xml:space="preserve">另一方当事人同意的情况下，从事任何可能在实质上不利影响其履行合同能力的活动，经另一 </w:t>
      </w:r>
      <w:r>
        <w:rPr>
          <w:rFonts w:hint="eastAsia" w:ascii="宋体" w:eastAsia="宋体" w:cs="宋体"/>
          <w:b w:val="0"/>
          <w:bCs w:val="0"/>
          <w:color w:val="000000" w:themeColor="text1"/>
          <w:szCs w:val="24"/>
          <w:highlight w:val="none"/>
          <w14:textFill>
            <w14:solidFill>
              <w14:schemeClr w14:val="tx1"/>
            </w14:solidFill>
          </w14:textFill>
        </w:rPr>
        <w:t>方当事人书面通知后</w:t>
      </w:r>
      <w:r>
        <w:rPr>
          <w:rFonts w:hint="eastAsia" w:ascii="宋体" w:eastAsia="宋体" w:cs="宋体"/>
          <w:b w:val="0"/>
          <w:bCs w:val="0"/>
          <w:color w:val="000000" w:themeColor="text1"/>
          <w:spacing w:val="-60"/>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14 日内或在专用合同条款约定的其他期限内未能对其行为作出补救；</w:t>
      </w:r>
    </w:p>
    <w:p w14:paraId="282A0346">
      <w:pPr>
        <w:pStyle w:val="84"/>
        <w:keepNext w:val="0"/>
        <w:keepLines w:val="0"/>
        <w:pageBreakBefore w:val="0"/>
        <w:widowControl w:val="0"/>
        <w:kinsoku/>
        <w:wordWrap/>
        <w:overflowPunct/>
        <w:topLinePunct w:val="0"/>
        <w:autoSpaceDE/>
        <w:autoSpaceDN/>
        <w:bidi w:val="0"/>
        <w:adjustRightInd/>
        <w:snapToGrid/>
        <w:spacing w:line="500" w:lineRule="exact"/>
        <w:ind w:left="0" w:right="0" w:firstLine="464" w:firstLineChars="200"/>
        <w:textAlignment w:val="auto"/>
        <w:outlineLvl w:val="9"/>
        <w:rPr>
          <w:rFonts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pacing w:val="-4"/>
          <w:sz w:val="24"/>
          <w:szCs w:val="24"/>
          <w:highlight w:val="none"/>
          <w14:textFill>
            <w14:solidFill>
              <w14:schemeClr w14:val="tx1"/>
            </w14:solidFill>
          </w14:textFill>
        </w:rPr>
        <w:t>（5）合同一方当事人出现破产、清算、资不抵债、成为失信被执行人等可能丧失履约能力</w:t>
      </w:r>
      <w:r>
        <w:rPr>
          <w:rFonts w:hint="eastAsia" w:ascii="宋体" w:hAnsi="宋体" w:eastAsia="宋体" w:cs="宋体"/>
          <w:b w:val="0"/>
          <w:bCs w:val="0"/>
          <w:color w:val="000000" w:themeColor="text1"/>
          <w:sz w:val="24"/>
          <w:szCs w:val="24"/>
          <w:highlight w:val="none"/>
          <w14:textFill>
            <w14:solidFill>
              <w14:schemeClr w14:val="tx1"/>
            </w14:solidFill>
          </w14:textFill>
        </w:rPr>
        <w:t>的情形，且未能提供令对方满意的履约保证金。</w:t>
      </w:r>
      <w:bookmarkStart w:id="205" w:name="_bookmark140"/>
      <w:bookmarkEnd w:id="205"/>
    </w:p>
    <w:p w14:paraId="6A3E9D17">
      <w:pPr>
        <w:pStyle w:val="84"/>
        <w:spacing w:line="500" w:lineRule="exact"/>
        <w:ind w:left="0" w:right="0" w:firstLine="480" w:firstLineChars="200"/>
        <w:rPr>
          <w:rFonts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16.  不可抗力</w:t>
      </w:r>
    </w:p>
    <w:p w14:paraId="3C623D12">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 xml:space="preserve">16.1 </w:t>
      </w:r>
      <w:r>
        <w:rPr>
          <w:rFonts w:hint="eastAsia" w:ascii="宋体" w:eastAsia="宋体" w:cs="宋体"/>
          <w:b w:val="0"/>
          <w:bCs w:val="0"/>
          <w:color w:val="000000" w:themeColor="text1"/>
          <w:spacing w:val="-3"/>
          <w:szCs w:val="24"/>
          <w:highlight w:val="none"/>
          <w14:textFill>
            <w14:solidFill>
              <w14:schemeClr w14:val="tx1"/>
            </w14:solidFill>
          </w14:textFill>
        </w:rPr>
        <w:t>如果任何一方当事人受到不能预见、不能避免且不能克服的不可抗力事件的影响，例</w:t>
      </w:r>
      <w:r>
        <w:rPr>
          <w:rFonts w:hint="eastAsia" w:ascii="宋体" w:eastAsia="宋体" w:cs="宋体"/>
          <w:b w:val="0"/>
          <w:bCs w:val="0"/>
          <w:color w:val="000000" w:themeColor="text1"/>
          <w:spacing w:val="-1"/>
          <w:szCs w:val="24"/>
          <w:highlight w:val="none"/>
          <w14:textFill>
            <w14:solidFill>
              <w14:schemeClr w14:val="tx1"/>
            </w14:solidFill>
          </w14:textFill>
        </w:rPr>
        <w:t>如战争、严重的火灾、台风、地震、洪水和专用合同条款约定的其他情形，而无法履行合同项下的任何义务，则受影响的一方当事人应立即将此类事件的发生通知另一方当事人，并应在不</w:t>
      </w:r>
      <w:r>
        <w:rPr>
          <w:rFonts w:hint="eastAsia" w:ascii="宋体" w:eastAsia="宋体" w:cs="宋体"/>
          <w:b w:val="0"/>
          <w:bCs w:val="0"/>
          <w:color w:val="000000" w:themeColor="text1"/>
          <w:szCs w:val="24"/>
          <w:highlight w:val="none"/>
          <w14:textFill>
            <w14:solidFill>
              <w14:schemeClr w14:val="tx1"/>
            </w14:solidFill>
          </w14:textFill>
        </w:rPr>
        <w:t>可抗力事件发生后</w:t>
      </w:r>
      <w:r>
        <w:rPr>
          <w:rFonts w:hint="eastAsia" w:ascii="宋体" w:eastAsia="宋体" w:cs="宋体"/>
          <w:b w:val="0"/>
          <w:bCs w:val="0"/>
          <w:color w:val="000000" w:themeColor="text1"/>
          <w:spacing w:val="-58"/>
          <w:szCs w:val="24"/>
          <w:highlight w:val="none"/>
          <w14:textFill>
            <w14:solidFill>
              <w14:schemeClr w14:val="tx1"/>
            </w14:solidFill>
          </w14:textFill>
        </w:rPr>
        <w:t xml:space="preserve"> </w:t>
      </w:r>
      <w:r>
        <w:rPr>
          <w:rFonts w:hint="eastAsia" w:ascii="宋体" w:eastAsia="宋体" w:cs="宋体"/>
          <w:b w:val="0"/>
          <w:bCs w:val="0"/>
          <w:color w:val="000000" w:themeColor="text1"/>
          <w:szCs w:val="24"/>
          <w:highlight w:val="none"/>
          <w14:textFill>
            <w14:solidFill>
              <w14:schemeClr w14:val="tx1"/>
            </w14:solidFill>
          </w14:textFill>
        </w:rPr>
        <w:t>28 日内将有关当局或机构出具的证明文件提交给另一方当事人。</w:t>
      </w:r>
    </w:p>
    <w:p w14:paraId="7EF1247F">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16.2 受不可抗力事件影响的一方当事人对于不可抗力事件导致的任何合同义务的迟延履行或不能履行不承担违约责任。但该方当事人应尽快将不可抗力事件结束或消除的情况通知另一方当事人。</w:t>
      </w:r>
    </w:p>
    <w:p w14:paraId="14A82357">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16.3  双方当事人应在不可抗力事件结束或其影响消除后立即继续履行其合同义务，合同期限也应相应顺延。除专用合同条款另有约定外，如果不可抗力事件的影响持续超过140日，则任何一方当事人均有权以书面通知解除合同。</w:t>
      </w:r>
    </w:p>
    <w:p w14:paraId="5AC45086">
      <w:pPr>
        <w:pStyle w:val="84"/>
        <w:spacing w:line="500" w:lineRule="exact"/>
        <w:ind w:left="0" w:right="0" w:firstLine="480" w:firstLineChars="200"/>
        <w:rPr>
          <w:rFonts w:ascii="宋体" w:hAnsi="宋体" w:eastAsia="宋体" w:cs="宋体"/>
          <w:b w:val="0"/>
          <w:bCs w:val="0"/>
          <w:color w:val="000000" w:themeColor="text1"/>
          <w:sz w:val="24"/>
          <w:szCs w:val="24"/>
          <w:highlight w:val="none"/>
          <w14:textFill>
            <w14:solidFill>
              <w14:schemeClr w14:val="tx1"/>
            </w14:solidFill>
          </w14:textFill>
        </w:rPr>
      </w:pPr>
      <w:bookmarkStart w:id="206" w:name="_bookmark141"/>
      <w:bookmarkEnd w:id="206"/>
      <w:r>
        <w:rPr>
          <w:rFonts w:hint="eastAsia" w:ascii="宋体" w:hAnsi="宋体" w:eastAsia="宋体" w:cs="宋体"/>
          <w:b w:val="0"/>
          <w:bCs w:val="0"/>
          <w:color w:val="000000" w:themeColor="text1"/>
          <w:sz w:val="24"/>
          <w:szCs w:val="24"/>
          <w:highlight w:val="none"/>
          <w14:textFill>
            <w14:solidFill>
              <w14:schemeClr w14:val="tx1"/>
            </w14:solidFill>
          </w14:textFill>
        </w:rPr>
        <w:t>17.争议的解决</w:t>
      </w:r>
    </w:p>
    <w:p w14:paraId="46F8E2D2">
      <w:pPr>
        <w:pStyle w:val="13"/>
        <w:spacing w:line="500" w:lineRule="exact"/>
        <w:ind w:firstLine="472"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pacing w:val="-2"/>
          <w:szCs w:val="24"/>
          <w:highlight w:val="none"/>
          <w14:textFill>
            <w14:solidFill>
              <w14:schemeClr w14:val="tx1"/>
            </w14:solidFill>
          </w14:textFill>
        </w:rPr>
        <w:t>因本合同引起的或与本合同有关的任何争议,双方可通过友好协商解决。友好协商解决不成</w:t>
      </w:r>
      <w:r>
        <w:rPr>
          <w:rFonts w:hint="eastAsia" w:ascii="宋体" w:eastAsia="宋体" w:cs="宋体"/>
          <w:b w:val="0"/>
          <w:bCs w:val="0"/>
          <w:color w:val="000000" w:themeColor="text1"/>
          <w:szCs w:val="24"/>
          <w:highlight w:val="none"/>
          <w14:textFill>
            <w14:solidFill>
              <w14:schemeClr w14:val="tx1"/>
            </w14:solidFill>
          </w14:textFill>
        </w:rPr>
        <w:t>的，可在专用合同条款中约定下列一种方式解决：</w:t>
      </w:r>
    </w:p>
    <w:p w14:paraId="4BC29F36">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（1）向约定的仲裁委员会申请仲裁；</w:t>
      </w:r>
    </w:p>
    <w:p w14:paraId="4FD88FF0">
      <w:pPr>
        <w:pStyle w:val="13"/>
        <w:spacing w:line="500" w:lineRule="exact"/>
        <w:ind w:firstLine="496" w:firstLineChars="200"/>
        <w:rPr>
          <w:rFonts w:ascii="宋体" w:eastAsia="宋体" w:cs="宋体"/>
          <w:b w:val="0"/>
          <w:bCs w:val="0"/>
          <w:color w:val="000000" w:themeColor="text1"/>
          <w:szCs w:val="24"/>
          <w:highlight w:val="none"/>
          <w14:textFill>
            <w14:solidFill>
              <w14:schemeClr w14:val="tx1"/>
            </w14:solidFill>
          </w14:textFill>
        </w:rPr>
      </w:pPr>
      <w:r>
        <w:rPr>
          <w:rFonts w:hint="eastAsia" w:ascii="宋体" w:eastAsia="宋体" w:cs="宋体"/>
          <w:b w:val="0"/>
          <w:bCs w:val="0"/>
          <w:color w:val="000000" w:themeColor="text1"/>
          <w:szCs w:val="24"/>
          <w:highlight w:val="none"/>
          <w14:textFill>
            <w14:solidFill>
              <w14:schemeClr w14:val="tx1"/>
            </w14:solidFill>
          </w14:textFill>
        </w:rPr>
        <w:t>（2）向有管辖权的人民法院提起诉讼。</w:t>
      </w:r>
    </w:p>
    <w:p w14:paraId="7D87A5D0">
      <w:pPr>
        <w:rPr>
          <w:rFonts w:cs="Times New Roman"/>
          <w:color w:val="000000" w:themeColor="text1"/>
          <w:highlight w:val="none"/>
          <w14:textFill>
            <w14:solidFill>
              <w14:schemeClr w14:val="tx1"/>
            </w14:solidFill>
          </w14:textFill>
        </w:rPr>
      </w:pPr>
    </w:p>
    <w:p w14:paraId="31A501FF">
      <w:pPr>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 xml:space="preserve"> </w:t>
      </w:r>
    </w:p>
    <w:p w14:paraId="16EC888A">
      <w:pPr>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 xml:space="preserve"> </w:t>
      </w:r>
    </w:p>
    <w:p w14:paraId="2F9E271F">
      <w:pPr>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 xml:space="preserve"> </w:t>
      </w:r>
    </w:p>
    <w:p w14:paraId="26EEC9D6">
      <w:pPr>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 xml:space="preserve"> </w:t>
      </w:r>
    </w:p>
    <w:p w14:paraId="428AC266">
      <w:pPr>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 xml:space="preserve"> </w:t>
      </w:r>
    </w:p>
    <w:p w14:paraId="47393AF8">
      <w:pPr>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 xml:space="preserve"> </w:t>
      </w:r>
    </w:p>
    <w:p w14:paraId="05EABD07">
      <w:pPr>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 xml:space="preserve"> </w:t>
      </w:r>
    </w:p>
    <w:p w14:paraId="6BE3CB23">
      <w:pPr>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 xml:space="preserve"> </w:t>
      </w:r>
    </w:p>
    <w:p w14:paraId="5FD8238E">
      <w:pPr>
        <w:rPr>
          <w:rFonts w:cs="Times New Roman"/>
          <w:color w:val="000000" w:themeColor="text1"/>
          <w:highlight w:val="none"/>
          <w14:textFill>
            <w14:solidFill>
              <w14:schemeClr w14:val="tx1"/>
            </w14:solidFill>
          </w14:textFill>
        </w:rPr>
      </w:pPr>
      <w:r>
        <w:rPr>
          <w:rFonts w:cs="Times New Roman"/>
          <w:color w:val="000000" w:themeColor="text1"/>
          <w:highlight w:val="none"/>
          <w14:textFill>
            <w14:solidFill>
              <w14:schemeClr w14:val="tx1"/>
            </w14:solidFill>
          </w14:textFill>
        </w:rPr>
        <w:t xml:space="preserve"> </w:t>
      </w:r>
    </w:p>
    <w:p w14:paraId="766B6987">
      <w:pPr>
        <w:pStyle w:val="27"/>
        <w:rPr>
          <w:rFonts w:cs="Times New Roman"/>
          <w:color w:val="000000" w:themeColor="text1"/>
          <w:highlight w:val="none"/>
          <w14:textFill>
            <w14:solidFill>
              <w14:schemeClr w14:val="tx1"/>
            </w14:solidFill>
          </w14:textFill>
        </w:rPr>
      </w:pPr>
    </w:p>
    <w:p w14:paraId="14F30328">
      <w:pPr>
        <w:pStyle w:val="27"/>
        <w:rPr>
          <w:rFonts w:cs="Times New Roman"/>
          <w:color w:val="000000" w:themeColor="text1"/>
          <w:highlight w:val="none"/>
          <w14:textFill>
            <w14:solidFill>
              <w14:schemeClr w14:val="tx1"/>
            </w14:solidFill>
          </w14:textFill>
        </w:rPr>
      </w:pPr>
    </w:p>
    <w:p w14:paraId="237CB565">
      <w:pPr>
        <w:pStyle w:val="27"/>
        <w:rPr>
          <w:rFonts w:cs="Times New Roman"/>
          <w:color w:val="000000" w:themeColor="text1"/>
          <w:highlight w:val="none"/>
          <w14:textFill>
            <w14:solidFill>
              <w14:schemeClr w14:val="tx1"/>
            </w14:solidFill>
          </w14:textFill>
        </w:rPr>
      </w:pPr>
    </w:p>
    <w:p w14:paraId="14447768">
      <w:pPr>
        <w:pStyle w:val="27"/>
        <w:rPr>
          <w:rFonts w:cs="Times New Roman"/>
          <w:color w:val="000000" w:themeColor="text1"/>
          <w:highlight w:val="none"/>
          <w14:textFill>
            <w14:solidFill>
              <w14:schemeClr w14:val="tx1"/>
            </w14:solidFill>
          </w14:textFill>
        </w:rPr>
      </w:pPr>
    </w:p>
    <w:p w14:paraId="2CCA2D08">
      <w:pPr>
        <w:pStyle w:val="27"/>
        <w:rPr>
          <w:rFonts w:cs="Times New Roman"/>
          <w:color w:val="000000" w:themeColor="text1"/>
          <w:highlight w:val="none"/>
          <w14:textFill>
            <w14:solidFill>
              <w14:schemeClr w14:val="tx1"/>
            </w14:solidFill>
          </w14:textFill>
        </w:rPr>
      </w:pPr>
    </w:p>
    <w:p w14:paraId="572622E2">
      <w:pPr>
        <w:pStyle w:val="27"/>
        <w:rPr>
          <w:rFonts w:cs="Times New Roman"/>
          <w:color w:val="000000" w:themeColor="text1"/>
          <w:highlight w:val="none"/>
          <w14:textFill>
            <w14:solidFill>
              <w14:schemeClr w14:val="tx1"/>
            </w14:solidFill>
          </w14:textFill>
        </w:rPr>
      </w:pPr>
    </w:p>
    <w:p w14:paraId="334D8662">
      <w:pPr>
        <w:pStyle w:val="27"/>
        <w:rPr>
          <w:rFonts w:cs="Times New Roman"/>
          <w:color w:val="000000" w:themeColor="text1"/>
          <w:highlight w:val="none"/>
          <w14:textFill>
            <w14:solidFill>
              <w14:schemeClr w14:val="tx1"/>
            </w14:solidFill>
          </w14:textFill>
        </w:rPr>
      </w:pPr>
    </w:p>
    <w:p w14:paraId="7E9CD8DD">
      <w:pPr>
        <w:pStyle w:val="27"/>
        <w:rPr>
          <w:rFonts w:cs="Times New Roman"/>
          <w:color w:val="000000" w:themeColor="text1"/>
          <w:highlight w:val="none"/>
          <w14:textFill>
            <w14:solidFill>
              <w14:schemeClr w14:val="tx1"/>
            </w14:solidFill>
          </w14:textFill>
        </w:rPr>
      </w:pPr>
    </w:p>
    <w:p w14:paraId="1FD40437">
      <w:pPr>
        <w:pStyle w:val="27"/>
        <w:rPr>
          <w:rFonts w:cs="Times New Roman"/>
          <w:color w:val="000000" w:themeColor="text1"/>
          <w:highlight w:val="none"/>
          <w14:textFill>
            <w14:solidFill>
              <w14:schemeClr w14:val="tx1"/>
            </w14:solidFill>
          </w14:textFill>
        </w:rPr>
      </w:pPr>
    </w:p>
    <w:p w14:paraId="571B01B9">
      <w:pPr>
        <w:spacing w:line="500" w:lineRule="exact"/>
        <w:jc w:val="center"/>
        <w:outlineLvl w:val="0"/>
        <w:rPr>
          <w:b/>
          <w:bCs/>
          <w:color w:val="000000" w:themeColor="text1"/>
          <w:sz w:val="44"/>
          <w:szCs w:val="44"/>
          <w:highlight w:val="none"/>
          <w14:textFill>
            <w14:solidFill>
              <w14:schemeClr w14:val="tx1"/>
            </w14:solidFill>
          </w14:textFill>
        </w:rPr>
      </w:pPr>
      <w:bookmarkStart w:id="207" w:name="_Toc24652"/>
      <w:bookmarkStart w:id="208" w:name="_Toc4668"/>
      <w:bookmarkStart w:id="209" w:name="_Toc466466381"/>
      <w:bookmarkStart w:id="210" w:name="_Toc465257486"/>
      <w:bookmarkStart w:id="211" w:name="_Toc466454737"/>
      <w:bookmarkStart w:id="212" w:name="_Toc5590"/>
      <w:bookmarkStart w:id="213" w:name="_Toc20913"/>
      <w:r>
        <w:rPr>
          <w:b/>
          <w:bCs/>
          <w:color w:val="000000" w:themeColor="text1"/>
          <w:sz w:val="36"/>
          <w:szCs w:val="36"/>
          <w:highlight w:val="none"/>
          <w14:textFill>
            <w14:solidFill>
              <w14:schemeClr w14:val="tx1"/>
            </w14:solidFill>
          </w14:textFill>
        </w:rPr>
        <w:t>第</w:t>
      </w:r>
      <w:r>
        <w:rPr>
          <w:rFonts w:hint="eastAsia"/>
          <w:b/>
          <w:bCs/>
          <w:color w:val="000000" w:themeColor="text1"/>
          <w:sz w:val="36"/>
          <w:szCs w:val="36"/>
          <w:highlight w:val="none"/>
          <w14:textFill>
            <w14:solidFill>
              <w14:schemeClr w14:val="tx1"/>
            </w14:solidFill>
          </w14:textFill>
        </w:rPr>
        <w:t>五</w:t>
      </w:r>
      <w:r>
        <w:rPr>
          <w:b/>
          <w:bCs/>
          <w:color w:val="000000" w:themeColor="text1"/>
          <w:sz w:val="36"/>
          <w:szCs w:val="36"/>
          <w:highlight w:val="none"/>
          <w14:textFill>
            <w14:solidFill>
              <w14:schemeClr w14:val="tx1"/>
            </w14:solidFill>
          </w14:textFill>
        </w:rPr>
        <w:t>章</w:t>
      </w:r>
      <w:r>
        <w:rPr>
          <w:rFonts w:hint="eastAsia"/>
          <w:b/>
          <w:bCs/>
          <w:color w:val="000000" w:themeColor="text1"/>
          <w:sz w:val="36"/>
          <w:szCs w:val="36"/>
          <w:highlight w:val="none"/>
          <w14:textFill>
            <w14:solidFill>
              <w14:schemeClr w14:val="tx1"/>
            </w14:solidFill>
          </w14:textFill>
        </w:rPr>
        <w:t xml:space="preserve"> 服务内容及要</w:t>
      </w:r>
      <w:r>
        <w:rPr>
          <w:b/>
          <w:bCs/>
          <w:color w:val="000000" w:themeColor="text1"/>
          <w:sz w:val="36"/>
          <w:szCs w:val="36"/>
          <w:highlight w:val="none"/>
          <w14:textFill>
            <w14:solidFill>
              <w14:schemeClr w14:val="tx1"/>
            </w14:solidFill>
          </w14:textFill>
        </w:rPr>
        <w:t>求</w:t>
      </w:r>
      <w:bookmarkEnd w:id="207"/>
      <w:bookmarkEnd w:id="208"/>
    </w:p>
    <w:p w14:paraId="7751504A">
      <w:pPr>
        <w:spacing w:line="500" w:lineRule="exac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一、</w:t>
      </w:r>
      <w:r>
        <w:rPr>
          <w:rFonts w:hint="eastAsia" w:ascii="宋体" w:hAnsi="宋体" w:eastAsia="宋体" w:cs="宋体"/>
          <w:b/>
          <w:bCs/>
          <w:color w:val="000000" w:themeColor="text1"/>
          <w:sz w:val="24"/>
          <w:szCs w:val="24"/>
          <w:highlight w:val="none"/>
          <w:lang w:eastAsia="zh-CN"/>
          <w14:textFill>
            <w14:solidFill>
              <w14:schemeClr w14:val="tx1"/>
            </w14:solidFill>
          </w14:textFill>
        </w:rPr>
        <w:t>项目名称</w:t>
      </w:r>
      <w:r>
        <w:rPr>
          <w:rFonts w:hint="eastAsia" w:ascii="宋体" w:hAnsi="宋体" w:eastAsia="宋体" w:cs="宋体"/>
          <w:b/>
          <w:bCs/>
          <w:color w:val="000000" w:themeColor="text1"/>
          <w:sz w:val="24"/>
          <w:szCs w:val="24"/>
          <w:highlight w:val="none"/>
          <w14:textFill>
            <w14:solidFill>
              <w14:schemeClr w14:val="tx1"/>
            </w14:solidFill>
          </w14:textFill>
        </w:rPr>
        <w:t>：</w:t>
      </w:r>
      <w:bookmarkStart w:id="214" w:name="_Toc26418"/>
      <w:r>
        <w:rPr>
          <w:rFonts w:hint="eastAsia" w:ascii="宋体" w:hAnsi="宋体" w:cs="宋体"/>
          <w:bCs/>
          <w:color w:val="000000" w:themeColor="text1"/>
          <w:sz w:val="24"/>
          <w:szCs w:val="24"/>
          <w:highlight w:val="none"/>
          <w:lang w:eastAsia="zh-CN"/>
          <w14:textFill>
            <w14:solidFill>
              <w14:schemeClr w14:val="tx1"/>
            </w14:solidFill>
          </w14:textFill>
        </w:rPr>
        <w:t>延边州第三次全国土壤普查项目</w:t>
      </w:r>
    </w:p>
    <w:p w14:paraId="1D462D0B">
      <w:pPr>
        <w:spacing w:line="500" w:lineRule="exact"/>
        <w:rPr>
          <w:rFonts w:hint="default"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二、项目地点：</w:t>
      </w:r>
      <w:r>
        <w:rPr>
          <w:rFonts w:hint="eastAsia" w:ascii="宋体" w:hAnsi="宋体" w:eastAsia="宋体" w:cs="宋体"/>
          <w:b w:val="0"/>
          <w:bCs w:val="0"/>
          <w:color w:val="000000" w:themeColor="text1"/>
          <w:sz w:val="24"/>
          <w:szCs w:val="24"/>
          <w:highlight w:val="none"/>
          <w:lang w:eastAsia="zh-CN"/>
          <w14:textFill>
            <w14:solidFill>
              <w14:schemeClr w14:val="tx1"/>
            </w14:solidFill>
          </w14:textFill>
        </w:rPr>
        <w:t>采购人指定地点</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w:t>
      </w:r>
    </w:p>
    <w:p w14:paraId="6CAC6A9D">
      <w:pPr>
        <w:keepNext w:val="0"/>
        <w:keepLines w:val="0"/>
        <w:pageBreakBefore w:val="0"/>
        <w:widowControl w:val="0"/>
        <w:kinsoku/>
        <w:wordWrap/>
        <w:overflowPunct/>
        <w:topLinePunct w:val="0"/>
        <w:bidi w:val="0"/>
        <w:snapToGrid/>
        <w:spacing w:line="500" w:lineRule="exact"/>
        <w:ind w:right="0" w:rightChars="0"/>
        <w:textAlignment w:val="auto"/>
        <w:rPr>
          <w:rFonts w:hint="eastAsia" w:ascii="宋体" w:hAnsi="宋体" w:cs="宋体"/>
          <w:bCs/>
          <w:color w:val="000000" w:themeColor="text1"/>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三、合同履行期限：</w:t>
      </w:r>
      <w:r>
        <w:rPr>
          <w:rFonts w:hint="eastAsia" w:ascii="宋体" w:hAnsi="宋体" w:eastAsia="宋体" w:cs="宋体"/>
          <w:color w:val="000000" w:themeColor="text1"/>
          <w:sz w:val="24"/>
          <w:szCs w:val="24"/>
          <w:highlight w:val="none"/>
          <w:lang w:val="zh-CN" w:eastAsia="zh-CN"/>
          <w14:textFill>
            <w14:solidFill>
              <w14:schemeClr w14:val="tx1"/>
            </w14:solidFill>
          </w14:textFill>
        </w:rPr>
        <w:t>自合同签订之日起</w:t>
      </w:r>
      <w:r>
        <w:rPr>
          <w:rFonts w:hint="eastAsia" w:ascii="宋体" w:hAnsi="宋体" w:eastAsia="宋体" w:cs="宋体"/>
          <w:color w:val="000000" w:themeColor="text1"/>
          <w:sz w:val="24"/>
          <w:szCs w:val="24"/>
          <w:highlight w:val="none"/>
          <w:u w:val="none"/>
          <w:lang w:val="zh-CN" w:eastAsia="zh-CN"/>
          <w14:textFill>
            <w14:solidFill>
              <w14:schemeClr w14:val="tx1"/>
            </w14:solidFill>
          </w14:textFill>
        </w:rPr>
        <w:t>至</w:t>
      </w:r>
      <w:r>
        <w:rPr>
          <w:rFonts w:hint="eastAsia" w:ascii="宋体" w:hAnsi="宋体" w:cs="宋体"/>
          <w:color w:val="000000" w:themeColor="text1"/>
          <w:sz w:val="24"/>
          <w:szCs w:val="24"/>
          <w:highlight w:val="none"/>
          <w:u w:val="none"/>
          <w:lang w:val="en-US" w:eastAsia="zh-CN"/>
          <w14:textFill>
            <w14:solidFill>
              <w14:schemeClr w14:val="tx1"/>
            </w14:solidFill>
          </w14:textFill>
        </w:rPr>
        <w:t>2025年12月31日止</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w:t>
      </w:r>
    </w:p>
    <w:p w14:paraId="0D9C8DBA">
      <w:pPr>
        <w:keepNext w:val="0"/>
        <w:keepLines w:val="0"/>
        <w:pageBreakBefore w:val="0"/>
        <w:widowControl w:val="0"/>
        <w:tabs>
          <w:tab w:val="left" w:pos="-3675"/>
        </w:tabs>
        <w:kinsoku/>
        <w:wordWrap/>
        <w:overflowPunct/>
        <w:topLinePunct w:val="0"/>
        <w:autoSpaceDE w:val="0"/>
        <w:autoSpaceDN w:val="0"/>
        <w:bidi w:val="0"/>
        <w:adjustRightInd w:val="0"/>
        <w:snapToGrid/>
        <w:spacing w:line="500" w:lineRule="exact"/>
        <w:ind w:right="0" w:rightChars="0"/>
        <w:jc w:val="lef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四、预算金额：</w:t>
      </w:r>
      <w:r>
        <w:rPr>
          <w:rFonts w:hint="eastAsia" w:ascii="宋体" w:hAnsi="宋体" w:cs="宋体"/>
          <w:color w:val="000000" w:themeColor="text1"/>
          <w:sz w:val="24"/>
          <w:szCs w:val="24"/>
          <w:highlight w:val="none"/>
          <w:lang w:eastAsia="zh-CN"/>
          <w14:textFill>
            <w14:solidFill>
              <w14:schemeClr w14:val="tx1"/>
            </w14:solidFill>
          </w14:textFill>
        </w:rPr>
        <w:t>人民币900,000.00元。</w:t>
      </w:r>
    </w:p>
    <w:p w14:paraId="0C23D53F">
      <w:pPr>
        <w:pStyle w:val="2"/>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2"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最高投标限价</w:t>
      </w:r>
      <w:r>
        <w:rPr>
          <w:rFonts w:hint="eastAsia" w:ascii="宋体" w:hAnsi="宋体" w:eastAsia="宋体" w:cs="宋体"/>
          <w:b/>
          <w:bCs/>
          <w:color w:val="000000" w:themeColor="text1"/>
          <w:sz w:val="24"/>
          <w:szCs w:val="24"/>
          <w:highlight w:val="none"/>
          <w:lang w:val="zh-CN"/>
          <w14:textFill>
            <w14:solidFill>
              <w14:schemeClr w14:val="tx1"/>
            </w14:solidFill>
          </w14:textFill>
        </w:rPr>
        <w:t>：</w:t>
      </w:r>
      <w:r>
        <w:rPr>
          <w:rFonts w:hint="eastAsia" w:ascii="宋体" w:hAnsi="宋体" w:cs="宋体"/>
          <w:color w:val="000000" w:themeColor="text1"/>
          <w:sz w:val="24"/>
          <w:szCs w:val="24"/>
          <w:highlight w:val="none"/>
          <w:lang w:eastAsia="zh-CN"/>
          <w14:textFill>
            <w14:solidFill>
              <w14:schemeClr w14:val="tx1"/>
            </w14:solidFill>
          </w14:textFill>
        </w:rPr>
        <w:t>人民币900,000.00元</w:t>
      </w:r>
      <w:r>
        <w:rPr>
          <w:rFonts w:hint="eastAsia" w:ascii="宋体" w:hAnsi="宋体" w:eastAsia="宋体" w:cs="宋体"/>
          <w:color w:val="000000" w:themeColor="text1"/>
          <w:sz w:val="24"/>
          <w:szCs w:val="24"/>
          <w:highlight w:val="none"/>
          <w14:textFill>
            <w14:solidFill>
              <w14:schemeClr w14:val="tx1"/>
            </w14:solidFill>
          </w14:textFill>
        </w:rPr>
        <w:t>。</w:t>
      </w:r>
    </w:p>
    <w:p w14:paraId="3092341D">
      <w:pPr>
        <w:keepNext w:val="0"/>
        <w:keepLines w:val="0"/>
        <w:pageBreakBefore w:val="0"/>
        <w:widowControl w:val="0"/>
        <w:numPr>
          <w:ilvl w:val="0"/>
          <w:numId w:val="0"/>
        </w:numPr>
        <w:kinsoku/>
        <w:wordWrap/>
        <w:overflowPunct/>
        <w:topLinePunct w:val="0"/>
        <w:autoSpaceDE/>
        <w:autoSpaceDN/>
        <w:bidi w:val="0"/>
        <w:adjustRightInd/>
        <w:snapToGrid/>
        <w:spacing w:line="500" w:lineRule="exact"/>
        <w:textAlignment w:val="auto"/>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
          <w:bCs/>
          <w:color w:val="000000" w:themeColor="text1"/>
          <w:kern w:val="2"/>
          <w:sz w:val="24"/>
          <w:szCs w:val="24"/>
          <w:highlight w:val="none"/>
          <w:lang w:val="en-US" w:eastAsia="zh-CN" w:bidi="ar-SA"/>
          <w14:textFill>
            <w14:solidFill>
              <w14:schemeClr w14:val="tx1"/>
            </w14:solidFill>
          </w14:textFill>
        </w:rPr>
        <w:t>五、</w:t>
      </w: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综合服务要求：</w:t>
      </w:r>
    </w:p>
    <w:p w14:paraId="1288A11F">
      <w:pPr>
        <w:pStyle w:val="2"/>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（一）</w:t>
      </w:r>
      <w:r>
        <w:rPr>
          <w:rFonts w:hint="eastAsia" w:ascii="宋体" w:hAnsi="宋体" w:cs="宋体"/>
          <w:sz w:val="24"/>
          <w:szCs w:val="24"/>
          <w:highlight w:val="none"/>
          <w:lang w:val="en-US" w:eastAsia="zh-CN"/>
        </w:rPr>
        <w:t>采购内容</w:t>
      </w:r>
    </w:p>
    <w:tbl>
      <w:tblPr>
        <w:tblStyle w:val="33"/>
        <w:tblW w:w="0" w:type="auto"/>
        <w:tblInd w:w="1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0"/>
        <w:gridCol w:w="1665"/>
        <w:gridCol w:w="3765"/>
        <w:gridCol w:w="900"/>
        <w:gridCol w:w="885"/>
      </w:tblGrid>
      <w:tr w14:paraId="3A29C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01FB411E">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eastAsia="宋体" w:cs="宋体"/>
                <w:b/>
                <w:bCs/>
                <w:i w:val="0"/>
                <w:iCs/>
                <w:sz w:val="24"/>
                <w:szCs w:val="24"/>
                <w:highlight w:val="none"/>
                <w:vertAlign w:val="baseline"/>
                <w:lang w:val="en-US" w:eastAsia="zh-CN"/>
              </w:rPr>
              <w:t>一</w:t>
            </w:r>
          </w:p>
        </w:tc>
        <w:tc>
          <w:tcPr>
            <w:tcW w:w="7215" w:type="dxa"/>
            <w:gridSpan w:val="4"/>
            <w:vAlign w:val="center"/>
          </w:tcPr>
          <w:p w14:paraId="5131DD85">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cs="宋体"/>
                <w:b w:val="0"/>
                <w:bCs w:val="0"/>
                <w:i w:val="0"/>
                <w:iCs/>
                <w:sz w:val="24"/>
                <w:szCs w:val="24"/>
                <w:highlight w:val="none"/>
                <w:vertAlign w:val="baseline"/>
                <w:lang w:val="en-US" w:eastAsia="zh-CN"/>
              </w:rPr>
            </w:pPr>
            <w:r>
              <w:rPr>
                <w:rFonts w:hint="eastAsia" w:ascii="宋体" w:hAnsi="宋体" w:cs="宋体"/>
                <w:b/>
                <w:bCs/>
                <w:i w:val="0"/>
                <w:iCs/>
                <w:sz w:val="24"/>
                <w:szCs w:val="24"/>
                <w:highlight w:val="none"/>
                <w:vertAlign w:val="baseline"/>
                <w:lang w:val="en-US" w:eastAsia="zh-CN"/>
              </w:rPr>
              <w:t>数据和数据成果类</w:t>
            </w:r>
          </w:p>
        </w:tc>
      </w:tr>
      <w:tr w14:paraId="0E048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21678BDF">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eastAsia="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序号</w:t>
            </w:r>
          </w:p>
        </w:tc>
        <w:tc>
          <w:tcPr>
            <w:tcW w:w="1665" w:type="dxa"/>
            <w:vAlign w:val="center"/>
          </w:tcPr>
          <w:p w14:paraId="1C4B9E03">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eastAsia="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服务名称</w:t>
            </w:r>
          </w:p>
        </w:tc>
        <w:tc>
          <w:tcPr>
            <w:tcW w:w="3765" w:type="dxa"/>
            <w:vAlign w:val="center"/>
          </w:tcPr>
          <w:p w14:paraId="0F08FE4A">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eastAsia="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服务内容及要求</w:t>
            </w:r>
          </w:p>
        </w:tc>
        <w:tc>
          <w:tcPr>
            <w:tcW w:w="900" w:type="dxa"/>
            <w:vAlign w:val="center"/>
          </w:tcPr>
          <w:p w14:paraId="0BFC5CE0">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eastAsia="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数量</w:t>
            </w:r>
          </w:p>
        </w:tc>
        <w:tc>
          <w:tcPr>
            <w:tcW w:w="885" w:type="dxa"/>
            <w:vAlign w:val="center"/>
          </w:tcPr>
          <w:p w14:paraId="46A07FFB">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eastAsia="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单位</w:t>
            </w:r>
          </w:p>
        </w:tc>
      </w:tr>
      <w:tr w14:paraId="591EC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63C4CA45">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eastAsia="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1665" w:type="dxa"/>
            <w:vAlign w:val="center"/>
          </w:tcPr>
          <w:p w14:paraId="44CCEE0E">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数据与数据库</w:t>
            </w:r>
          </w:p>
        </w:tc>
        <w:tc>
          <w:tcPr>
            <w:tcW w:w="3765" w:type="dxa"/>
          </w:tcPr>
          <w:p w14:paraId="30326EF6">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主要是建立数据库，存储、应用县域普查相关数据。数据成果主要是收集的普查基础数据和普查中形成的成果数据。相关数据应按照国家要求进行整理和分类存储，并质检合格，用于普查成果汇交。</w:t>
            </w:r>
          </w:p>
          <w:p w14:paraId="5E540054">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1.基础数据。包括基础地理数据、历史土壤调查数据、土地利用数据、成土环境数据、水文气候数据及其他基础数据。</w:t>
            </w:r>
          </w:p>
          <w:p w14:paraId="186D2965">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2.成果数据。土壤类型数据、土壤农业利用适宜类评价数据、土特产品土壤优势区与适宜区布局数据、耕地质量等级评价数据、土壤退化与障碍数据、土壤属性数据、土壤制图标准说明等。</w:t>
            </w:r>
          </w:p>
        </w:tc>
        <w:tc>
          <w:tcPr>
            <w:tcW w:w="900" w:type="dxa"/>
            <w:vAlign w:val="center"/>
          </w:tcPr>
          <w:p w14:paraId="5AC6F6FA">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eastAsia="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5DD08F42">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eastAsia="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套</w:t>
            </w:r>
          </w:p>
        </w:tc>
      </w:tr>
      <w:tr w14:paraId="72B66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1E2831BA">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二</w:t>
            </w:r>
          </w:p>
        </w:tc>
        <w:tc>
          <w:tcPr>
            <w:tcW w:w="7215" w:type="dxa"/>
            <w:gridSpan w:val="4"/>
            <w:vAlign w:val="center"/>
          </w:tcPr>
          <w:p w14:paraId="76BB71F8">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cs="宋体"/>
                <w:b w:val="0"/>
                <w:bCs w:val="0"/>
                <w:i w:val="0"/>
                <w:iCs/>
                <w:sz w:val="24"/>
                <w:szCs w:val="24"/>
                <w:highlight w:val="none"/>
                <w:vertAlign w:val="baseline"/>
                <w:lang w:val="en-US" w:eastAsia="zh-CN"/>
              </w:rPr>
            </w:pPr>
            <w:r>
              <w:rPr>
                <w:rFonts w:hint="eastAsia" w:ascii="宋体" w:hAnsi="宋体" w:cs="宋体"/>
                <w:b/>
                <w:bCs/>
                <w:i w:val="0"/>
                <w:iCs/>
                <w:sz w:val="24"/>
                <w:szCs w:val="24"/>
                <w:highlight w:val="none"/>
                <w:vertAlign w:val="baseline"/>
                <w:lang w:val="en-US" w:eastAsia="zh-CN"/>
              </w:rPr>
              <w:t>数字化图件成果类</w:t>
            </w:r>
          </w:p>
        </w:tc>
      </w:tr>
      <w:tr w14:paraId="2E28F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44E9EDD2">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eastAsia="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1665" w:type="dxa"/>
            <w:vAlign w:val="center"/>
          </w:tcPr>
          <w:p w14:paraId="3B4AA104">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土壤类型图</w:t>
            </w:r>
          </w:p>
        </w:tc>
        <w:tc>
          <w:tcPr>
            <w:tcW w:w="3765" w:type="dxa"/>
          </w:tcPr>
          <w:p w14:paraId="0327D754">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p>
        </w:tc>
        <w:tc>
          <w:tcPr>
            <w:tcW w:w="900" w:type="dxa"/>
            <w:vAlign w:val="center"/>
          </w:tcPr>
          <w:p w14:paraId="12671177">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eastAsia="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5B56B747">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eastAsia="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个</w:t>
            </w:r>
          </w:p>
        </w:tc>
      </w:tr>
      <w:tr w14:paraId="269B6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159A1E46">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eastAsia="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2</w:t>
            </w:r>
          </w:p>
        </w:tc>
        <w:tc>
          <w:tcPr>
            <w:tcW w:w="1665" w:type="dxa"/>
            <w:vAlign w:val="center"/>
          </w:tcPr>
          <w:p w14:paraId="0AF39665">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土壤属性图维服务</w:t>
            </w:r>
          </w:p>
        </w:tc>
        <w:tc>
          <w:tcPr>
            <w:tcW w:w="3765" w:type="dxa"/>
          </w:tcPr>
          <w:p w14:paraId="24A785F5">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包括有机质含量图、酸碱度图、阳离子交换量图、全氮含量图、全磷含量图、全钾含量图、有效磷含量图、速效钾含量图、容重图、有效硫含量图、有效铁含量图、有效锰含量图、有效铜含量图、有效锌含量图、有效硼含量图、有效钼含量图、砾石含量图、质地图、砂粒含量图、粉粒含量图、黏粒含量图、耕地耕层厚度图、盐分含量图、土壤碱化度图。</w:t>
            </w:r>
          </w:p>
          <w:p w14:paraId="2B12AB66">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注：根据实际情况，图件成果按照所提交的必选成果和备选成果，编制相对应的图件</w:t>
            </w:r>
            <w:r>
              <w:rPr>
                <w:rFonts w:hint="eastAsia" w:ascii="宋体" w:hAnsi="宋体" w:cs="宋体"/>
                <w:b w:val="0"/>
                <w:bCs w:val="0"/>
                <w:i w:val="0"/>
                <w:iCs/>
                <w:sz w:val="24"/>
                <w:szCs w:val="24"/>
                <w:highlight w:val="none"/>
                <w:vertAlign w:val="baseline"/>
                <w:lang w:val="en-US" w:eastAsia="zh-CN"/>
              </w:rPr>
              <w:t>。</w:t>
            </w:r>
          </w:p>
        </w:tc>
        <w:tc>
          <w:tcPr>
            <w:tcW w:w="900" w:type="dxa"/>
            <w:vAlign w:val="center"/>
          </w:tcPr>
          <w:p w14:paraId="37A85231">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73D79456">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套</w:t>
            </w:r>
          </w:p>
        </w:tc>
      </w:tr>
      <w:tr w14:paraId="0870B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0A5E3100">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eastAsia="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3</w:t>
            </w:r>
          </w:p>
        </w:tc>
        <w:tc>
          <w:tcPr>
            <w:tcW w:w="1665" w:type="dxa"/>
            <w:vAlign w:val="center"/>
          </w:tcPr>
          <w:p w14:paraId="0DCF6CF5">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土壤评价图</w:t>
            </w:r>
          </w:p>
        </w:tc>
        <w:tc>
          <w:tcPr>
            <w:tcW w:w="3765" w:type="dxa"/>
          </w:tcPr>
          <w:p w14:paraId="14A5772B">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土壤农业利用适宜类评价图、耕地质量等级图、土壤退化与障碍相关图件（土壤酸化分布图、盐碱化分布图等）、土特产品土壤优势区与适宜区布局图。</w:t>
            </w:r>
          </w:p>
        </w:tc>
        <w:tc>
          <w:tcPr>
            <w:tcW w:w="900" w:type="dxa"/>
            <w:vAlign w:val="center"/>
          </w:tcPr>
          <w:p w14:paraId="2A4E4F28">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p>
        </w:tc>
        <w:tc>
          <w:tcPr>
            <w:tcW w:w="885" w:type="dxa"/>
            <w:vAlign w:val="center"/>
          </w:tcPr>
          <w:p w14:paraId="04ED92B5">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套</w:t>
            </w:r>
          </w:p>
        </w:tc>
      </w:tr>
      <w:tr w14:paraId="5591C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16DB254E">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3.1</w:t>
            </w:r>
          </w:p>
        </w:tc>
        <w:tc>
          <w:tcPr>
            <w:tcW w:w="1665" w:type="dxa"/>
            <w:vAlign w:val="center"/>
          </w:tcPr>
          <w:p w14:paraId="040DCEB5">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农业利用适宜类评价图</w:t>
            </w:r>
          </w:p>
        </w:tc>
        <w:tc>
          <w:tcPr>
            <w:tcW w:w="3765" w:type="dxa"/>
          </w:tcPr>
          <w:p w14:paraId="7864558B">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1:5万比例，到土种</w:t>
            </w:r>
          </w:p>
        </w:tc>
        <w:tc>
          <w:tcPr>
            <w:tcW w:w="900" w:type="dxa"/>
            <w:vAlign w:val="center"/>
          </w:tcPr>
          <w:p w14:paraId="2674E9CA">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eastAsia="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449D1781">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个</w:t>
            </w:r>
          </w:p>
        </w:tc>
      </w:tr>
      <w:tr w14:paraId="51427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7FDF01CC">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3.2</w:t>
            </w:r>
          </w:p>
        </w:tc>
        <w:tc>
          <w:tcPr>
            <w:tcW w:w="1665" w:type="dxa"/>
            <w:vAlign w:val="center"/>
          </w:tcPr>
          <w:p w14:paraId="4C176506">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耕地质量等级图</w:t>
            </w:r>
          </w:p>
        </w:tc>
        <w:tc>
          <w:tcPr>
            <w:tcW w:w="3765" w:type="dxa"/>
          </w:tcPr>
          <w:p w14:paraId="36836092">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1:5万，到土种。包括现状耕地质量等级图、宜开垦耕地质量等级图2个。</w:t>
            </w:r>
          </w:p>
        </w:tc>
        <w:tc>
          <w:tcPr>
            <w:tcW w:w="900" w:type="dxa"/>
            <w:vAlign w:val="center"/>
          </w:tcPr>
          <w:p w14:paraId="7AB97D17">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6951D1FA">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个</w:t>
            </w:r>
          </w:p>
        </w:tc>
      </w:tr>
      <w:tr w14:paraId="220C0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1971D2F3">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3.3</w:t>
            </w:r>
          </w:p>
        </w:tc>
        <w:tc>
          <w:tcPr>
            <w:tcW w:w="1665" w:type="dxa"/>
            <w:vAlign w:val="center"/>
          </w:tcPr>
          <w:p w14:paraId="6539B4F8">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土壤酸化分布图</w:t>
            </w:r>
          </w:p>
        </w:tc>
        <w:tc>
          <w:tcPr>
            <w:tcW w:w="3765" w:type="dxa"/>
          </w:tcPr>
          <w:p w14:paraId="502A6604">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根据本县域土壤普查pH确定是否有集中连片、较大面积的酸化区域分布，制本图</w:t>
            </w:r>
          </w:p>
        </w:tc>
        <w:tc>
          <w:tcPr>
            <w:tcW w:w="900" w:type="dxa"/>
            <w:vAlign w:val="center"/>
          </w:tcPr>
          <w:p w14:paraId="37845C1D">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4B9EC5A6">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个</w:t>
            </w:r>
          </w:p>
        </w:tc>
      </w:tr>
      <w:tr w14:paraId="1EEF8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2E1A2AAE">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3.4</w:t>
            </w:r>
          </w:p>
        </w:tc>
        <w:tc>
          <w:tcPr>
            <w:tcW w:w="1665" w:type="dxa"/>
            <w:vAlign w:val="center"/>
          </w:tcPr>
          <w:p w14:paraId="2029075B">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土特产品土壤优势区与适宜区布局图</w:t>
            </w:r>
          </w:p>
        </w:tc>
        <w:tc>
          <w:tcPr>
            <w:tcW w:w="3765" w:type="dxa"/>
          </w:tcPr>
          <w:p w14:paraId="31AEBECD">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有地理标志产品、土特产品点位分布的县根据发展规划需求编制。</w:t>
            </w:r>
          </w:p>
        </w:tc>
        <w:tc>
          <w:tcPr>
            <w:tcW w:w="900" w:type="dxa"/>
            <w:vAlign w:val="center"/>
          </w:tcPr>
          <w:p w14:paraId="5CBC7F90">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13A0359B">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个</w:t>
            </w:r>
          </w:p>
        </w:tc>
      </w:tr>
      <w:tr w14:paraId="4A474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33C48E2E">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4</w:t>
            </w:r>
          </w:p>
        </w:tc>
        <w:tc>
          <w:tcPr>
            <w:tcW w:w="1665" w:type="dxa"/>
            <w:vAlign w:val="center"/>
          </w:tcPr>
          <w:p w14:paraId="6E892ED0">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调查点位图</w:t>
            </w:r>
          </w:p>
        </w:tc>
        <w:tc>
          <w:tcPr>
            <w:tcW w:w="3765" w:type="dxa"/>
          </w:tcPr>
          <w:p w14:paraId="319A00BC">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比例1:5万，5公顷为最小图斑。包含信息较多，不是点位上图即可。</w:t>
            </w:r>
          </w:p>
        </w:tc>
        <w:tc>
          <w:tcPr>
            <w:tcW w:w="900" w:type="dxa"/>
            <w:vAlign w:val="center"/>
          </w:tcPr>
          <w:p w14:paraId="67E0C2F9">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0031352D">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个</w:t>
            </w:r>
          </w:p>
        </w:tc>
      </w:tr>
      <w:tr w14:paraId="0CE60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1A21997C">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bCs/>
                <w:i w:val="0"/>
                <w:iCs/>
                <w:sz w:val="24"/>
                <w:szCs w:val="24"/>
                <w:highlight w:val="none"/>
                <w:vertAlign w:val="baseline"/>
                <w:lang w:val="en-US" w:eastAsia="zh-CN"/>
              </w:rPr>
              <w:t>三</w:t>
            </w:r>
          </w:p>
        </w:tc>
        <w:tc>
          <w:tcPr>
            <w:tcW w:w="7215" w:type="dxa"/>
            <w:gridSpan w:val="4"/>
            <w:vAlign w:val="center"/>
          </w:tcPr>
          <w:p w14:paraId="480F4CB1">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eastAsia" w:ascii="宋体" w:hAnsi="宋体" w:cs="宋体"/>
                <w:b w:val="0"/>
                <w:bCs w:val="0"/>
                <w:i w:val="0"/>
                <w:iCs/>
                <w:sz w:val="24"/>
                <w:szCs w:val="24"/>
                <w:highlight w:val="none"/>
                <w:vertAlign w:val="baseline"/>
                <w:lang w:val="en-US" w:eastAsia="zh-CN"/>
              </w:rPr>
            </w:pPr>
            <w:r>
              <w:rPr>
                <w:rFonts w:hint="eastAsia" w:ascii="宋体" w:hAnsi="宋体" w:cs="宋体"/>
                <w:b/>
                <w:bCs/>
                <w:i w:val="0"/>
                <w:iCs/>
                <w:sz w:val="24"/>
                <w:szCs w:val="24"/>
                <w:highlight w:val="none"/>
                <w:vertAlign w:val="baseline"/>
                <w:lang w:val="en-US" w:eastAsia="zh-CN"/>
              </w:rPr>
              <w:t>文字成果</w:t>
            </w:r>
          </w:p>
        </w:tc>
      </w:tr>
      <w:tr w14:paraId="6E388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546B6A72">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1665" w:type="dxa"/>
            <w:vAlign w:val="center"/>
          </w:tcPr>
          <w:p w14:paraId="1213F211">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普查报告</w:t>
            </w:r>
          </w:p>
        </w:tc>
        <w:tc>
          <w:tcPr>
            <w:tcW w:w="3765" w:type="dxa"/>
          </w:tcPr>
          <w:p w14:paraId="157295E5">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p>
        </w:tc>
        <w:tc>
          <w:tcPr>
            <w:tcW w:w="900" w:type="dxa"/>
            <w:vAlign w:val="center"/>
          </w:tcPr>
          <w:p w14:paraId="04201D9F">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3E6FBDF8">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个</w:t>
            </w:r>
          </w:p>
        </w:tc>
      </w:tr>
      <w:tr w14:paraId="46504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1CABEEC3">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2</w:t>
            </w:r>
          </w:p>
        </w:tc>
        <w:tc>
          <w:tcPr>
            <w:tcW w:w="1665" w:type="dxa"/>
            <w:vAlign w:val="center"/>
          </w:tcPr>
          <w:p w14:paraId="0BF762AE">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普查工作报告</w:t>
            </w:r>
          </w:p>
        </w:tc>
        <w:tc>
          <w:tcPr>
            <w:tcW w:w="3765" w:type="dxa"/>
          </w:tcPr>
          <w:p w14:paraId="7C77026E">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p>
        </w:tc>
        <w:tc>
          <w:tcPr>
            <w:tcW w:w="900" w:type="dxa"/>
            <w:vAlign w:val="center"/>
          </w:tcPr>
          <w:p w14:paraId="051478BF">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7E33B34E">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个</w:t>
            </w:r>
          </w:p>
        </w:tc>
      </w:tr>
      <w:tr w14:paraId="3D0D9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7051E726">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3</w:t>
            </w:r>
          </w:p>
        </w:tc>
        <w:tc>
          <w:tcPr>
            <w:tcW w:w="1665" w:type="dxa"/>
            <w:vAlign w:val="center"/>
          </w:tcPr>
          <w:p w14:paraId="4F2AB1E0">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普查技术报告</w:t>
            </w:r>
          </w:p>
        </w:tc>
        <w:tc>
          <w:tcPr>
            <w:tcW w:w="3765" w:type="dxa"/>
          </w:tcPr>
          <w:p w14:paraId="3FBBD31A">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p>
        </w:tc>
        <w:tc>
          <w:tcPr>
            <w:tcW w:w="900" w:type="dxa"/>
            <w:vAlign w:val="center"/>
          </w:tcPr>
          <w:p w14:paraId="270C99D0">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0AA2FF90">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个</w:t>
            </w:r>
          </w:p>
        </w:tc>
      </w:tr>
      <w:tr w14:paraId="58B77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063A1E44">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4</w:t>
            </w:r>
          </w:p>
        </w:tc>
        <w:tc>
          <w:tcPr>
            <w:tcW w:w="1665" w:type="dxa"/>
            <w:vAlign w:val="center"/>
          </w:tcPr>
          <w:p w14:paraId="23BDEA33">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普查专题报告</w:t>
            </w:r>
          </w:p>
        </w:tc>
        <w:tc>
          <w:tcPr>
            <w:tcW w:w="3765" w:type="dxa"/>
          </w:tcPr>
          <w:p w14:paraId="6DB845C1">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包括土壤类型图编制报告、土壤属性图编制报告、土壤农业利用适宜性评价报告</w:t>
            </w:r>
          </w:p>
        </w:tc>
        <w:tc>
          <w:tcPr>
            <w:tcW w:w="900" w:type="dxa"/>
            <w:vAlign w:val="center"/>
          </w:tcPr>
          <w:p w14:paraId="74F1B6E9">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eastAsia" w:ascii="宋体" w:hAnsi="宋体" w:cs="宋体"/>
                <w:b w:val="0"/>
                <w:bCs w:val="0"/>
                <w:i w:val="0"/>
                <w:iCs/>
                <w:sz w:val="24"/>
                <w:szCs w:val="24"/>
                <w:highlight w:val="none"/>
                <w:vertAlign w:val="baseline"/>
                <w:lang w:val="en-US" w:eastAsia="zh-CN"/>
              </w:rPr>
            </w:pPr>
          </w:p>
        </w:tc>
        <w:tc>
          <w:tcPr>
            <w:tcW w:w="885" w:type="dxa"/>
            <w:vAlign w:val="center"/>
          </w:tcPr>
          <w:p w14:paraId="13E2D663">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eastAsia" w:ascii="宋体" w:hAnsi="宋体" w:cs="宋体"/>
                <w:b w:val="0"/>
                <w:bCs w:val="0"/>
                <w:i w:val="0"/>
                <w:iCs/>
                <w:sz w:val="24"/>
                <w:szCs w:val="24"/>
                <w:highlight w:val="none"/>
                <w:vertAlign w:val="baseline"/>
                <w:lang w:val="en-US" w:eastAsia="zh-CN"/>
              </w:rPr>
            </w:pPr>
          </w:p>
        </w:tc>
      </w:tr>
      <w:tr w14:paraId="49587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46C972CB">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4.1</w:t>
            </w:r>
          </w:p>
        </w:tc>
        <w:tc>
          <w:tcPr>
            <w:tcW w:w="1665" w:type="dxa"/>
            <w:vAlign w:val="center"/>
          </w:tcPr>
          <w:p w14:paraId="3D46D45C">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土壤类型图编制报告</w:t>
            </w:r>
          </w:p>
        </w:tc>
        <w:tc>
          <w:tcPr>
            <w:tcW w:w="3765" w:type="dxa"/>
          </w:tcPr>
          <w:p w14:paraId="5CC90948">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p>
        </w:tc>
        <w:tc>
          <w:tcPr>
            <w:tcW w:w="900" w:type="dxa"/>
            <w:vAlign w:val="center"/>
          </w:tcPr>
          <w:p w14:paraId="3C8D26D9">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2F80F241">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个</w:t>
            </w:r>
          </w:p>
        </w:tc>
      </w:tr>
      <w:tr w14:paraId="66C2C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0B2BFBF4">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4.2</w:t>
            </w:r>
          </w:p>
        </w:tc>
        <w:tc>
          <w:tcPr>
            <w:tcW w:w="1665" w:type="dxa"/>
            <w:vAlign w:val="center"/>
          </w:tcPr>
          <w:p w14:paraId="676F751E">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土壤属性图编制报告</w:t>
            </w:r>
          </w:p>
        </w:tc>
        <w:tc>
          <w:tcPr>
            <w:tcW w:w="3765" w:type="dxa"/>
          </w:tcPr>
          <w:p w14:paraId="6D89FABC">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p>
        </w:tc>
        <w:tc>
          <w:tcPr>
            <w:tcW w:w="900" w:type="dxa"/>
            <w:vAlign w:val="center"/>
          </w:tcPr>
          <w:p w14:paraId="0CE4BDA1">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360DA596">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个</w:t>
            </w:r>
          </w:p>
        </w:tc>
      </w:tr>
      <w:tr w14:paraId="0FBF1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36F04227">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4.3</w:t>
            </w:r>
          </w:p>
        </w:tc>
        <w:tc>
          <w:tcPr>
            <w:tcW w:w="1665" w:type="dxa"/>
            <w:vAlign w:val="center"/>
          </w:tcPr>
          <w:p w14:paraId="6C1A7E00">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土壤农业利用适宜性评价报告</w:t>
            </w:r>
          </w:p>
        </w:tc>
        <w:tc>
          <w:tcPr>
            <w:tcW w:w="3765" w:type="dxa"/>
          </w:tcPr>
          <w:p w14:paraId="641B211D">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利用数据、信息，结合适宜耕地开发土壤资源和粮食生产规划，出具的报告</w:t>
            </w:r>
          </w:p>
        </w:tc>
        <w:tc>
          <w:tcPr>
            <w:tcW w:w="900" w:type="dxa"/>
            <w:vAlign w:val="center"/>
          </w:tcPr>
          <w:p w14:paraId="2E339A8C">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305ABD8A">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个</w:t>
            </w:r>
          </w:p>
        </w:tc>
      </w:tr>
      <w:tr w14:paraId="2BF88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6EDA28B9">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4.4</w:t>
            </w:r>
          </w:p>
        </w:tc>
        <w:tc>
          <w:tcPr>
            <w:tcW w:w="1665" w:type="dxa"/>
            <w:vAlign w:val="center"/>
          </w:tcPr>
          <w:p w14:paraId="5ED8003C">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耕地质量等级评价报告</w:t>
            </w:r>
          </w:p>
        </w:tc>
        <w:tc>
          <w:tcPr>
            <w:tcW w:w="3765" w:type="dxa"/>
          </w:tcPr>
          <w:p w14:paraId="7613018F">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利用数据、信息，对耕地质量出具的评价报告</w:t>
            </w:r>
          </w:p>
        </w:tc>
        <w:tc>
          <w:tcPr>
            <w:tcW w:w="900" w:type="dxa"/>
            <w:vAlign w:val="center"/>
          </w:tcPr>
          <w:p w14:paraId="63C37158">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3D0E1BC0">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个</w:t>
            </w:r>
          </w:p>
        </w:tc>
      </w:tr>
      <w:tr w14:paraId="29E0D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16923CD1">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4.5</w:t>
            </w:r>
          </w:p>
        </w:tc>
        <w:tc>
          <w:tcPr>
            <w:tcW w:w="1665" w:type="dxa"/>
            <w:vAlign w:val="center"/>
          </w:tcPr>
          <w:p w14:paraId="37727C3B">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土特产品优势区布局报告</w:t>
            </w:r>
          </w:p>
        </w:tc>
        <w:tc>
          <w:tcPr>
            <w:tcW w:w="3765" w:type="dxa"/>
          </w:tcPr>
          <w:p w14:paraId="52F90183">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有地理标志产品、土特产品点位分布的县根据发展规划需求编制。黑木耳、平菇、榆黄蘑、香菇、元蘑、猴头菇、烟叶、白瓜子、李杏、鲜食葡萄、草莓、大樱桃、白桃、蓝锭果、蓝莓、人参、桑黄、五味子、灵芝、威灵仙、白鲜皮、桔梗、苍术、芍药。（以国家或省三普办文件要求为准）。</w:t>
            </w:r>
          </w:p>
        </w:tc>
        <w:tc>
          <w:tcPr>
            <w:tcW w:w="900" w:type="dxa"/>
            <w:vAlign w:val="center"/>
          </w:tcPr>
          <w:p w14:paraId="053D22B9">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0F8B7CCC">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个</w:t>
            </w:r>
          </w:p>
        </w:tc>
      </w:tr>
      <w:tr w14:paraId="0222E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1726A6AF">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4.6</w:t>
            </w:r>
          </w:p>
        </w:tc>
        <w:tc>
          <w:tcPr>
            <w:tcW w:w="1665" w:type="dxa"/>
            <w:vAlign w:val="center"/>
          </w:tcPr>
          <w:p w14:paraId="7F37F860">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土壤退化与障碍分析报告</w:t>
            </w:r>
          </w:p>
        </w:tc>
        <w:tc>
          <w:tcPr>
            <w:tcW w:w="3765" w:type="dxa"/>
          </w:tcPr>
          <w:p w14:paraId="319188DE">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p>
        </w:tc>
        <w:tc>
          <w:tcPr>
            <w:tcW w:w="900" w:type="dxa"/>
            <w:vAlign w:val="center"/>
          </w:tcPr>
          <w:p w14:paraId="71D4CE27">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50824848">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个</w:t>
            </w:r>
          </w:p>
        </w:tc>
      </w:tr>
      <w:tr w14:paraId="510EB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4E92C68B">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5</w:t>
            </w:r>
          </w:p>
        </w:tc>
        <w:tc>
          <w:tcPr>
            <w:tcW w:w="1665" w:type="dxa"/>
            <w:vAlign w:val="center"/>
          </w:tcPr>
          <w:p w14:paraId="62290929">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土壤志</w:t>
            </w:r>
          </w:p>
        </w:tc>
        <w:tc>
          <w:tcPr>
            <w:tcW w:w="3765" w:type="dxa"/>
          </w:tcPr>
          <w:p w14:paraId="37CA710C">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p>
        </w:tc>
        <w:tc>
          <w:tcPr>
            <w:tcW w:w="900" w:type="dxa"/>
            <w:vAlign w:val="center"/>
          </w:tcPr>
          <w:p w14:paraId="5ABC3949">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1A525D9E">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部</w:t>
            </w:r>
          </w:p>
        </w:tc>
      </w:tr>
      <w:tr w14:paraId="3D350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36713EBC">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6</w:t>
            </w:r>
          </w:p>
        </w:tc>
        <w:tc>
          <w:tcPr>
            <w:tcW w:w="1665" w:type="dxa"/>
            <w:vAlign w:val="center"/>
          </w:tcPr>
          <w:p w14:paraId="5C40D1C2">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土种志</w:t>
            </w:r>
          </w:p>
        </w:tc>
        <w:tc>
          <w:tcPr>
            <w:tcW w:w="3765" w:type="dxa"/>
          </w:tcPr>
          <w:p w14:paraId="2F0A3B87">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p>
        </w:tc>
        <w:tc>
          <w:tcPr>
            <w:tcW w:w="900" w:type="dxa"/>
            <w:vAlign w:val="center"/>
          </w:tcPr>
          <w:p w14:paraId="14538C04">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76B82C7C">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部</w:t>
            </w:r>
          </w:p>
        </w:tc>
      </w:tr>
      <w:tr w14:paraId="5A6BE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6F277A66">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四</w:t>
            </w:r>
          </w:p>
        </w:tc>
        <w:tc>
          <w:tcPr>
            <w:tcW w:w="7215" w:type="dxa"/>
            <w:gridSpan w:val="4"/>
            <w:vAlign w:val="center"/>
          </w:tcPr>
          <w:p w14:paraId="58F9E1B3">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bCs/>
                <w:i w:val="0"/>
                <w:iCs/>
                <w:sz w:val="24"/>
                <w:szCs w:val="24"/>
                <w:highlight w:val="none"/>
                <w:vertAlign w:val="baseline"/>
                <w:lang w:val="en-US" w:eastAsia="zh-CN"/>
              </w:rPr>
              <w:t>相关费用</w:t>
            </w:r>
          </w:p>
        </w:tc>
      </w:tr>
      <w:tr w14:paraId="270AF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Align w:val="center"/>
          </w:tcPr>
          <w:p w14:paraId="4A434320">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1665" w:type="dxa"/>
            <w:vAlign w:val="center"/>
          </w:tcPr>
          <w:p w14:paraId="7FFF8954">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center"/>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成果出版</w:t>
            </w:r>
          </w:p>
        </w:tc>
        <w:tc>
          <w:tcPr>
            <w:tcW w:w="3765" w:type="dxa"/>
          </w:tcPr>
          <w:p w14:paraId="0AB1266D">
            <w:pPr>
              <w:pStyle w:val="14"/>
              <w:keepNext w:val="0"/>
              <w:keepLines w:val="0"/>
              <w:pageBreakBefore w:val="0"/>
              <w:kinsoku/>
              <w:overflowPunct/>
              <w:topLinePunct w:val="0"/>
              <w:autoSpaceDE/>
              <w:autoSpaceDN/>
              <w:bidi w:val="0"/>
              <w:adjustRightInd/>
              <w:snapToGrid/>
              <w:spacing w:before="0" w:after="0" w:line="500" w:lineRule="exact"/>
              <w:ind w:left="0" w:leftChars="0" w:right="0" w:firstLine="0" w:firstLineChars="0"/>
              <w:jc w:val="both"/>
              <w:textAlignment w:val="auto"/>
              <w:rPr>
                <w:rFonts w:hint="eastAsia" w:ascii="宋体" w:hAnsi="宋体" w:eastAsia="宋体" w:cs="宋体"/>
                <w:b w:val="0"/>
                <w:bCs w:val="0"/>
                <w:i w:val="0"/>
                <w:iCs/>
                <w:sz w:val="24"/>
                <w:szCs w:val="24"/>
                <w:highlight w:val="none"/>
                <w:vertAlign w:val="baseline"/>
                <w:lang w:val="en-US" w:eastAsia="zh-CN"/>
              </w:rPr>
            </w:pPr>
            <w:r>
              <w:rPr>
                <w:rFonts w:hint="eastAsia" w:ascii="宋体" w:hAnsi="宋体" w:eastAsia="宋体" w:cs="宋体"/>
                <w:b w:val="0"/>
                <w:bCs w:val="0"/>
                <w:i w:val="0"/>
                <w:iCs/>
                <w:sz w:val="24"/>
                <w:szCs w:val="24"/>
                <w:highlight w:val="none"/>
                <w:vertAlign w:val="baseline"/>
                <w:lang w:val="en-US" w:eastAsia="zh-CN"/>
              </w:rPr>
              <w:t>土壤志、普查成果应用资料汇编、普查专题研究文集印制出版、印刷纸质图等。</w:t>
            </w:r>
          </w:p>
        </w:tc>
        <w:tc>
          <w:tcPr>
            <w:tcW w:w="900" w:type="dxa"/>
            <w:vAlign w:val="center"/>
          </w:tcPr>
          <w:p w14:paraId="6A40AA1E">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1</w:t>
            </w:r>
          </w:p>
        </w:tc>
        <w:tc>
          <w:tcPr>
            <w:tcW w:w="885" w:type="dxa"/>
            <w:vAlign w:val="center"/>
          </w:tcPr>
          <w:p w14:paraId="4D6DAFA0">
            <w:pPr>
              <w:pStyle w:val="14"/>
              <w:keepNext w:val="0"/>
              <w:keepLines w:val="0"/>
              <w:pageBreakBefore w:val="0"/>
              <w:kinsoku/>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default" w:ascii="宋体" w:hAnsi="宋体" w:cs="宋体"/>
                <w:b w:val="0"/>
                <w:bCs w:val="0"/>
                <w:i w:val="0"/>
                <w:iCs/>
                <w:sz w:val="24"/>
                <w:szCs w:val="24"/>
                <w:highlight w:val="none"/>
                <w:vertAlign w:val="baseline"/>
                <w:lang w:val="en-US" w:eastAsia="zh-CN"/>
              </w:rPr>
            </w:pPr>
            <w:r>
              <w:rPr>
                <w:rFonts w:hint="eastAsia" w:ascii="宋体" w:hAnsi="宋体" w:cs="宋体"/>
                <w:b w:val="0"/>
                <w:bCs w:val="0"/>
                <w:i w:val="0"/>
                <w:iCs/>
                <w:sz w:val="24"/>
                <w:szCs w:val="24"/>
                <w:highlight w:val="none"/>
                <w:vertAlign w:val="baseline"/>
                <w:lang w:val="en-US" w:eastAsia="zh-CN"/>
              </w:rPr>
              <w:t>套</w:t>
            </w:r>
          </w:p>
        </w:tc>
      </w:tr>
    </w:tbl>
    <w:p w14:paraId="2823F5F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w:t>
      </w:r>
      <w:r>
        <w:rPr>
          <w:rFonts w:hint="eastAsia" w:ascii="宋体" w:hAnsi="宋体"/>
          <w:b w:val="0"/>
          <w:bCs w:val="0"/>
          <w:sz w:val="24"/>
          <w:szCs w:val="24"/>
          <w:highlight w:val="none"/>
          <w:lang w:val="en-US" w:eastAsia="zh-CN"/>
        </w:rPr>
        <w:t>二</w:t>
      </w:r>
      <w:r>
        <w:rPr>
          <w:rFonts w:hint="eastAsia" w:ascii="宋体" w:hAnsi="宋体"/>
          <w:b w:val="0"/>
          <w:bCs w:val="0"/>
          <w:sz w:val="24"/>
          <w:szCs w:val="24"/>
          <w:highlight w:val="none"/>
          <w:lang w:eastAsia="zh-CN"/>
        </w:rPr>
        <w:t>）技术需求</w:t>
      </w:r>
    </w:p>
    <w:p w14:paraId="0552AFC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1.</w:t>
      </w:r>
      <w:r>
        <w:rPr>
          <w:rFonts w:hint="eastAsia" w:ascii="宋体" w:hAnsi="宋体"/>
          <w:b w:val="0"/>
          <w:bCs w:val="0"/>
          <w:sz w:val="24"/>
          <w:szCs w:val="24"/>
          <w:highlight w:val="none"/>
          <w:lang w:eastAsia="zh-CN"/>
        </w:rPr>
        <w:t>为切实完成</w:t>
      </w:r>
      <w:r>
        <w:rPr>
          <w:rFonts w:hint="eastAsia" w:ascii="宋体" w:hAnsi="宋体"/>
          <w:b w:val="0"/>
          <w:bCs w:val="0"/>
          <w:sz w:val="24"/>
          <w:szCs w:val="24"/>
          <w:highlight w:val="none"/>
          <w:lang w:val="en-US" w:eastAsia="zh-CN"/>
        </w:rPr>
        <w:t>延吉市</w:t>
      </w:r>
      <w:r>
        <w:rPr>
          <w:rFonts w:hint="eastAsia" w:ascii="宋体" w:hAnsi="宋体"/>
          <w:b w:val="0"/>
          <w:bCs w:val="0"/>
          <w:sz w:val="24"/>
          <w:szCs w:val="24"/>
          <w:highlight w:val="none"/>
          <w:lang w:eastAsia="zh-CN"/>
        </w:rPr>
        <w:t>第三次全国土壤普查工作，根据国家、省土壤普查实施方案和《第三次全国土壤普查技术规程（修订版）》等技术规程规范、《吉林省第三次土壤普查工作实施方案》的要求，对第三次全国土壤普查工作中采集、收集的数据、资料及成果等进行整理、汇总等，结合土壤检测数据，第二次土壤普查成果数据等材料，形成</w:t>
      </w:r>
      <w:r>
        <w:rPr>
          <w:rFonts w:hint="eastAsia" w:ascii="宋体" w:hAnsi="宋体"/>
          <w:b w:val="0"/>
          <w:bCs w:val="0"/>
          <w:sz w:val="24"/>
          <w:szCs w:val="24"/>
          <w:highlight w:val="none"/>
          <w:lang w:val="en-US" w:eastAsia="zh-CN"/>
        </w:rPr>
        <w:t>延吉市</w:t>
      </w:r>
      <w:r>
        <w:rPr>
          <w:rFonts w:hint="eastAsia" w:ascii="宋体" w:hAnsi="宋体"/>
          <w:b w:val="0"/>
          <w:bCs w:val="0"/>
          <w:sz w:val="24"/>
          <w:szCs w:val="24"/>
          <w:highlight w:val="none"/>
          <w:lang w:eastAsia="zh-CN"/>
        </w:rPr>
        <w:t>第三次全国土壤普查数据成果、数字化图件及评价报告、文字成果等，接受各级土壤普查办监督检查。</w:t>
      </w:r>
    </w:p>
    <w:p w14:paraId="60B87ED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2.</w:t>
      </w:r>
      <w:r>
        <w:rPr>
          <w:rFonts w:hint="eastAsia" w:ascii="宋体" w:hAnsi="宋体"/>
          <w:b w:val="0"/>
          <w:bCs w:val="0"/>
          <w:sz w:val="24"/>
          <w:szCs w:val="24"/>
          <w:highlight w:val="none"/>
          <w:lang w:eastAsia="zh-CN"/>
        </w:rPr>
        <w:t>具体成果内容和提交时间要求如下：</w:t>
      </w:r>
      <w:r>
        <w:rPr>
          <w:rFonts w:hint="eastAsia" w:ascii="宋体" w:hAnsi="宋体"/>
          <w:b w:val="0"/>
          <w:bCs w:val="0"/>
          <w:sz w:val="24"/>
          <w:szCs w:val="24"/>
          <w:highlight w:val="none"/>
          <w:lang w:val="en-US" w:eastAsia="zh-CN"/>
        </w:rPr>
        <w:t>样点总数588个，</w:t>
      </w:r>
      <w:r>
        <w:rPr>
          <w:rFonts w:hint="eastAsia" w:ascii="宋体" w:hAnsi="宋体"/>
          <w:b w:val="0"/>
          <w:bCs w:val="0"/>
          <w:sz w:val="24"/>
          <w:szCs w:val="24"/>
          <w:highlight w:val="none"/>
          <w:lang w:eastAsia="zh-CN"/>
        </w:rPr>
        <w:t>（</w:t>
      </w:r>
      <w:r>
        <w:rPr>
          <w:rFonts w:hint="eastAsia" w:ascii="宋体" w:hAnsi="宋体"/>
          <w:b w:val="0"/>
          <w:bCs w:val="0"/>
          <w:sz w:val="24"/>
          <w:szCs w:val="24"/>
          <w:highlight w:val="none"/>
          <w:lang w:val="en-US" w:eastAsia="zh-CN"/>
        </w:rPr>
        <w:t>表层样543、剖面样45</w:t>
      </w:r>
      <w:r>
        <w:rPr>
          <w:rFonts w:hint="eastAsia" w:ascii="宋体" w:hAnsi="宋体"/>
          <w:b w:val="0"/>
          <w:bCs w:val="0"/>
          <w:sz w:val="24"/>
          <w:szCs w:val="24"/>
          <w:highlight w:val="none"/>
          <w:lang w:eastAsia="zh-CN"/>
        </w:rPr>
        <w:t>）</w:t>
      </w:r>
    </w:p>
    <w:p w14:paraId="72EF53E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备注：若第三次全国土壤普查办公室和吉林省第三次全国土壤普查办公室有新的要求，应根据要求完成相应工作。</w:t>
      </w:r>
    </w:p>
    <w:p w14:paraId="3125980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w:t>
      </w:r>
      <w:r>
        <w:rPr>
          <w:rFonts w:hint="eastAsia" w:ascii="宋体" w:hAnsi="宋体"/>
          <w:b w:val="0"/>
          <w:bCs w:val="0"/>
          <w:sz w:val="24"/>
          <w:szCs w:val="24"/>
          <w:highlight w:val="none"/>
          <w:lang w:eastAsia="zh-CN"/>
        </w:rPr>
        <w:t>数据质量审核要求</w:t>
      </w:r>
    </w:p>
    <w:p w14:paraId="33DBECE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3.1</w:t>
      </w:r>
      <w:r>
        <w:rPr>
          <w:rFonts w:hint="eastAsia" w:ascii="宋体" w:hAnsi="宋体"/>
          <w:b w:val="0"/>
          <w:bCs w:val="0"/>
          <w:sz w:val="24"/>
          <w:szCs w:val="24"/>
          <w:highlight w:val="none"/>
          <w:lang w:eastAsia="zh-CN"/>
        </w:rPr>
        <w:t>数据整理、审核、汇总与分析</w:t>
      </w:r>
    </w:p>
    <w:p w14:paraId="18B4E8F5">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按照第三次全国土壤普查相关技术规范开展野外调查数据和室内分析数据一致性、符合性审查；通过对土壤立地条件、利用情况、障碍状况以及检测的土壤物理化学性状等数据汇总，叠加经甄别的二普历史土壤调查资料和其他可利用数据，形成土壤调查样点（含剖面调查样点）基础数据、耕地质量状况基础数据、土壤专题调查数据、土壤利用状况专题数据等三普初步数据成果。利用统计方法等对土壤性状、土壤退化与障碍、土壤利用等数据进行分析，在此基础上进行数据质量审核、数据特征总结和数据信息挖掘，利用数字土壤制图成果，分析土壤分布规律和利用情况等，完成数据整理分析。</w:t>
      </w:r>
    </w:p>
    <w:p w14:paraId="56CFB50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3.2</w:t>
      </w:r>
      <w:r>
        <w:rPr>
          <w:rFonts w:hint="eastAsia" w:ascii="宋体" w:hAnsi="宋体"/>
          <w:b w:val="0"/>
          <w:bCs w:val="0"/>
          <w:sz w:val="24"/>
          <w:szCs w:val="24"/>
          <w:highlight w:val="none"/>
          <w:lang w:eastAsia="zh-CN"/>
        </w:rPr>
        <w:t>根据《第三次土壤普查土壤属性与专题图制图规范》开展图件制作土壤属性图（含物理指标8个、化学指标42个等）、土壤专题图（含土壤质量评级图、土壤碳库与养分库贮量图、土壤适应性评价图等）等图件需满足以下制图比例尺和数据质量要求：</w:t>
      </w:r>
    </w:p>
    <w:p w14:paraId="17FF735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3.2.1</w:t>
      </w:r>
      <w:r>
        <w:rPr>
          <w:rFonts w:hint="eastAsia" w:ascii="宋体" w:hAnsi="宋体"/>
          <w:b w:val="0"/>
          <w:bCs w:val="0"/>
          <w:sz w:val="24"/>
          <w:szCs w:val="24"/>
          <w:highlight w:val="none"/>
          <w:lang w:eastAsia="zh-CN"/>
        </w:rPr>
        <w:t>制图比例尺（分辨率）</w:t>
      </w:r>
    </w:p>
    <w:p w14:paraId="1FD7769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3.2.1.1</w:t>
      </w:r>
      <w:r>
        <w:rPr>
          <w:rFonts w:hint="eastAsia" w:ascii="宋体" w:hAnsi="宋体"/>
          <w:b w:val="0"/>
          <w:bCs w:val="0"/>
          <w:sz w:val="24"/>
          <w:szCs w:val="24"/>
          <w:highlight w:val="none"/>
          <w:lang w:eastAsia="zh-CN"/>
        </w:rPr>
        <w:t>制图比例尺和上图面积</w:t>
      </w:r>
    </w:p>
    <w:p w14:paraId="72D2057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普查成果图，一般按照国家基本比例尺成图，市级成果图比例尺一般为1:5万。以数字模型方法制作的成果图为栅格图，需达到相应的像素分辨率。与比例尺对应的栅格数据像素分辨率标准为：1:5万成图比例尺对应的栅格数据像素分辨率为30m。</w:t>
      </w:r>
    </w:p>
    <w:p w14:paraId="03BC586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不同比例尺上图面积参照第二次土壤普查中关于各比例尺土壤图上图面积规定，详见下表。</w:t>
      </w:r>
    </w:p>
    <w:p w14:paraId="0965AB2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1:5万比例尺土壤图的最小面积</w:t>
      </w:r>
    </w:p>
    <w:p w14:paraId="234F9A2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引自《中国土壤普查技术》1992，农业出版社</w:t>
      </w:r>
    </w:p>
    <w:tbl>
      <w:tblPr>
        <w:tblStyle w:val="32"/>
        <w:tblW w:w="8263"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91"/>
        <w:gridCol w:w="2633"/>
        <w:gridCol w:w="1336"/>
        <w:gridCol w:w="993"/>
        <w:gridCol w:w="2210"/>
      </w:tblGrid>
      <w:tr w14:paraId="72F41A1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1" w:type="dxa"/>
            <w:vMerge w:val="restart"/>
            <w:tcBorders>
              <w:tl2br w:val="nil"/>
              <w:tr2bl w:val="nil"/>
            </w:tcBorders>
            <w:noWrap w:val="0"/>
            <w:vAlign w:val="center"/>
          </w:tcPr>
          <w:p w14:paraId="196FA5F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制图比例尺</w:t>
            </w:r>
          </w:p>
        </w:tc>
        <w:tc>
          <w:tcPr>
            <w:tcW w:w="7172" w:type="dxa"/>
            <w:gridSpan w:val="4"/>
            <w:tcBorders>
              <w:tl2br w:val="nil"/>
              <w:tr2bl w:val="nil"/>
            </w:tcBorders>
            <w:noWrap w:val="0"/>
            <w:vAlign w:val="center"/>
          </w:tcPr>
          <w:p w14:paraId="7D473247">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土壤图的最小面积</w:t>
            </w:r>
          </w:p>
        </w:tc>
      </w:tr>
      <w:tr w14:paraId="6A58602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1" w:type="dxa"/>
            <w:vMerge w:val="continue"/>
            <w:tcBorders>
              <w:tl2br w:val="nil"/>
              <w:tr2bl w:val="nil"/>
            </w:tcBorders>
            <w:noWrap w:val="0"/>
            <w:vAlign w:val="center"/>
          </w:tcPr>
          <w:p w14:paraId="0289A2A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9"/>
              <w:rPr>
                <w:rFonts w:hint="eastAsia" w:ascii="宋体" w:hAnsi="宋体"/>
                <w:b w:val="0"/>
                <w:bCs w:val="0"/>
                <w:sz w:val="24"/>
                <w:szCs w:val="24"/>
                <w:highlight w:val="none"/>
                <w:lang w:eastAsia="zh-CN"/>
              </w:rPr>
            </w:pPr>
          </w:p>
        </w:tc>
        <w:tc>
          <w:tcPr>
            <w:tcW w:w="3969" w:type="dxa"/>
            <w:gridSpan w:val="2"/>
            <w:tcBorders>
              <w:tl2br w:val="nil"/>
              <w:tr2bl w:val="nil"/>
            </w:tcBorders>
            <w:noWrap w:val="0"/>
            <w:vAlign w:val="center"/>
          </w:tcPr>
          <w:p w14:paraId="5543408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可达到的</w:t>
            </w:r>
          </w:p>
        </w:tc>
        <w:tc>
          <w:tcPr>
            <w:tcW w:w="3203" w:type="dxa"/>
            <w:gridSpan w:val="2"/>
            <w:tcBorders>
              <w:tl2br w:val="nil"/>
              <w:tr2bl w:val="nil"/>
            </w:tcBorders>
            <w:noWrap w:val="0"/>
            <w:vAlign w:val="center"/>
          </w:tcPr>
          <w:p w14:paraId="43E0D51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适当的</w:t>
            </w:r>
          </w:p>
        </w:tc>
      </w:tr>
      <w:tr w14:paraId="159BBAE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1" w:type="dxa"/>
            <w:vMerge w:val="continue"/>
            <w:tcBorders>
              <w:tl2br w:val="nil"/>
              <w:tr2bl w:val="nil"/>
            </w:tcBorders>
            <w:noWrap w:val="0"/>
            <w:vAlign w:val="center"/>
          </w:tcPr>
          <w:p w14:paraId="5B9E0A4C">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9"/>
              <w:rPr>
                <w:rFonts w:hint="eastAsia" w:ascii="宋体" w:hAnsi="宋体"/>
                <w:b w:val="0"/>
                <w:bCs w:val="0"/>
                <w:sz w:val="24"/>
                <w:szCs w:val="24"/>
                <w:highlight w:val="none"/>
                <w:lang w:eastAsia="zh-CN"/>
              </w:rPr>
            </w:pPr>
          </w:p>
        </w:tc>
        <w:tc>
          <w:tcPr>
            <w:tcW w:w="2633" w:type="dxa"/>
            <w:tcBorders>
              <w:tl2br w:val="nil"/>
              <w:tr2bl w:val="nil"/>
            </w:tcBorders>
            <w:noWrap w:val="0"/>
            <w:vAlign w:val="center"/>
          </w:tcPr>
          <w:p w14:paraId="75C917EA">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在图上</w:t>
            </w:r>
          </w:p>
        </w:tc>
        <w:tc>
          <w:tcPr>
            <w:tcW w:w="1336" w:type="dxa"/>
            <w:tcBorders>
              <w:tl2br w:val="nil"/>
              <w:tr2bl w:val="nil"/>
            </w:tcBorders>
            <w:noWrap w:val="0"/>
            <w:vAlign w:val="center"/>
          </w:tcPr>
          <w:p w14:paraId="0197551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在实地中</w:t>
            </w:r>
          </w:p>
        </w:tc>
        <w:tc>
          <w:tcPr>
            <w:tcW w:w="993" w:type="dxa"/>
            <w:tcBorders>
              <w:tl2br w:val="nil"/>
              <w:tr2bl w:val="nil"/>
            </w:tcBorders>
            <w:noWrap w:val="0"/>
            <w:vAlign w:val="center"/>
          </w:tcPr>
          <w:p w14:paraId="46B16CBA">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在图上</w:t>
            </w:r>
          </w:p>
        </w:tc>
        <w:tc>
          <w:tcPr>
            <w:tcW w:w="2210" w:type="dxa"/>
            <w:tcBorders>
              <w:tl2br w:val="nil"/>
              <w:tr2bl w:val="nil"/>
            </w:tcBorders>
            <w:noWrap w:val="0"/>
            <w:vAlign w:val="center"/>
          </w:tcPr>
          <w:p w14:paraId="286F316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在实地中</w:t>
            </w:r>
          </w:p>
        </w:tc>
      </w:tr>
      <w:tr w14:paraId="231DCC0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1091" w:type="dxa"/>
            <w:tcBorders>
              <w:tl2br w:val="nil"/>
              <w:tr2bl w:val="nil"/>
            </w:tcBorders>
            <w:noWrap w:val="0"/>
            <w:vAlign w:val="center"/>
          </w:tcPr>
          <w:p w14:paraId="6971947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1:5万</w:t>
            </w:r>
          </w:p>
        </w:tc>
        <w:tc>
          <w:tcPr>
            <w:tcW w:w="2633" w:type="dxa"/>
            <w:tcBorders>
              <w:tl2br w:val="nil"/>
              <w:tr2bl w:val="nil"/>
            </w:tcBorders>
            <w:noWrap w:val="0"/>
            <w:vAlign w:val="center"/>
          </w:tcPr>
          <w:p w14:paraId="14964A77">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当面积为长形，其长轴为0.2cm（2*10mm）时或当面积为圆形，直径为5mm</w:t>
            </w:r>
          </w:p>
        </w:tc>
        <w:tc>
          <w:tcPr>
            <w:tcW w:w="1336" w:type="dxa"/>
            <w:tcBorders>
              <w:tl2br w:val="nil"/>
              <w:tr2bl w:val="nil"/>
            </w:tcBorders>
            <w:noWrap w:val="0"/>
            <w:vAlign w:val="center"/>
          </w:tcPr>
          <w:p w14:paraId="475F41E7">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5 hm2</w:t>
            </w:r>
          </w:p>
          <w:p w14:paraId="2AE466C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（75亩）</w:t>
            </w:r>
          </w:p>
        </w:tc>
        <w:tc>
          <w:tcPr>
            <w:tcW w:w="993" w:type="dxa"/>
            <w:tcBorders>
              <w:tl2br w:val="nil"/>
              <w:tr2bl w:val="nil"/>
            </w:tcBorders>
            <w:noWrap w:val="0"/>
            <w:vAlign w:val="center"/>
          </w:tcPr>
          <w:p w14:paraId="1980C96C">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0.5cm2</w:t>
            </w:r>
          </w:p>
        </w:tc>
        <w:tc>
          <w:tcPr>
            <w:tcW w:w="2210" w:type="dxa"/>
            <w:tcBorders>
              <w:tl2br w:val="nil"/>
              <w:tr2bl w:val="nil"/>
            </w:tcBorders>
            <w:noWrap w:val="0"/>
            <w:vAlign w:val="center"/>
          </w:tcPr>
          <w:p w14:paraId="39F25E0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12.5 hm2（197.5亩）</w:t>
            </w:r>
          </w:p>
        </w:tc>
      </w:tr>
    </w:tbl>
    <w:p w14:paraId="61ED33E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3.2.1.2</w:t>
      </w:r>
      <w:r>
        <w:rPr>
          <w:rFonts w:hint="eastAsia" w:ascii="宋体" w:hAnsi="宋体"/>
          <w:b w:val="0"/>
          <w:bCs w:val="0"/>
          <w:sz w:val="24"/>
          <w:szCs w:val="24"/>
          <w:highlight w:val="none"/>
          <w:lang w:eastAsia="zh-CN"/>
        </w:rPr>
        <w:t>环境变量栅格数据分辨率</w:t>
      </w:r>
    </w:p>
    <w:p w14:paraId="12DE9E0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数字模型制图过程中，需要制备地形参数、土地利用、植被等环境变量栅格数据，其像素分辨率应不低于成图比例尺对应的像素分辨率。应根据土壤采样点密度、运算速度、计算机容量，选择可满足精度要求的像素分辨率。</w:t>
      </w:r>
    </w:p>
    <w:p w14:paraId="78305F6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3.3</w:t>
      </w:r>
      <w:r>
        <w:rPr>
          <w:rFonts w:hint="eastAsia" w:ascii="宋体" w:hAnsi="宋体"/>
          <w:b w:val="0"/>
          <w:bCs w:val="0"/>
          <w:sz w:val="24"/>
          <w:szCs w:val="24"/>
          <w:highlight w:val="none"/>
          <w:lang w:eastAsia="zh-CN"/>
        </w:rPr>
        <w:t>制图成果数据质量要求</w:t>
      </w:r>
    </w:p>
    <w:p w14:paraId="725D960E">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3.3.1</w:t>
      </w:r>
      <w:r>
        <w:rPr>
          <w:rFonts w:hint="eastAsia" w:ascii="宋体" w:hAnsi="宋体"/>
          <w:b w:val="0"/>
          <w:bCs w:val="0"/>
          <w:sz w:val="24"/>
          <w:szCs w:val="24"/>
          <w:highlight w:val="none"/>
          <w:lang w:eastAsia="zh-CN"/>
        </w:rPr>
        <w:t>数据精度、数据结构、元数据及拓扑要求</w:t>
      </w:r>
    </w:p>
    <w:p w14:paraId="5F23E7F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数字模型方法制作的成果图，以栅格数据格式汇交的，应满足以下要求：</w:t>
      </w:r>
    </w:p>
    <w:p w14:paraId="4B8C5E8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3.3.1.1</w:t>
      </w:r>
      <w:r>
        <w:rPr>
          <w:rFonts w:hint="eastAsia" w:ascii="宋体" w:hAnsi="宋体"/>
          <w:b w:val="0"/>
          <w:bCs w:val="0"/>
          <w:sz w:val="24"/>
          <w:szCs w:val="24"/>
          <w:highlight w:val="none"/>
          <w:lang w:eastAsia="zh-CN"/>
        </w:rPr>
        <w:t>栅格数据像素分辨率，需符合1.1要求；</w:t>
      </w:r>
    </w:p>
    <w:p w14:paraId="1783F01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3.3.1.2</w:t>
      </w:r>
      <w:r>
        <w:rPr>
          <w:rFonts w:hint="eastAsia" w:ascii="宋体" w:hAnsi="宋体"/>
          <w:b w:val="0"/>
          <w:bCs w:val="0"/>
          <w:sz w:val="24"/>
          <w:szCs w:val="24"/>
          <w:highlight w:val="none"/>
          <w:lang w:eastAsia="zh-CN"/>
        </w:rPr>
        <w:t>数据格式，以普查统一要求的数据格式提交，中英文图层名与数据内容相符合。如中国土壤有效磷含量图（或CN_AP）、土壤有效磷含量图（或Shaodong_AP）等；</w:t>
      </w:r>
    </w:p>
    <w:p w14:paraId="065971E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3.3.1.3</w:t>
      </w:r>
      <w:r>
        <w:rPr>
          <w:rFonts w:hint="eastAsia" w:ascii="宋体" w:hAnsi="宋体"/>
          <w:b w:val="0"/>
          <w:bCs w:val="0"/>
          <w:sz w:val="24"/>
          <w:szCs w:val="24"/>
          <w:highlight w:val="none"/>
          <w:lang w:eastAsia="zh-CN"/>
        </w:rPr>
        <w:t>数据字典，须包括图层名，字段名、字段释义、字段类型、字段长度等，属性字段名称、类型、长度、小数位数符合第三次土壤普查数据库要求；</w:t>
      </w:r>
    </w:p>
    <w:p w14:paraId="433A573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3.3.1.4</w:t>
      </w:r>
      <w:r>
        <w:rPr>
          <w:rFonts w:hint="eastAsia" w:ascii="宋体" w:hAnsi="宋体"/>
          <w:b w:val="0"/>
          <w:bCs w:val="0"/>
          <w:sz w:val="24"/>
          <w:szCs w:val="24"/>
          <w:highlight w:val="none"/>
          <w:lang w:eastAsia="zh-CN"/>
        </w:rPr>
        <w:t>元数据，须包括土壤普查时间、制图时间、模型制图方法、模型精度（平均绝对误差（MAE）、均方根预测误差（RMSE）、平均Aitchison距离（MAD））、区域范围、元素形态、计量单位、大地坐标系、投影、分辨率、制图单位、制图负责人等信息。</w:t>
      </w:r>
    </w:p>
    <w:p w14:paraId="2B775AA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元数据信息符合GB/T32739土壤科学数据元数据的相关规定。</w:t>
      </w:r>
    </w:p>
    <w:p w14:paraId="2F8A83C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矢量格式制作的面状成果图，除符合（2）、（3）、（4），还应满足以下要求：</w:t>
      </w:r>
    </w:p>
    <w:p w14:paraId="6DBD192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3.3.1.5</w:t>
      </w:r>
      <w:r>
        <w:rPr>
          <w:rFonts w:hint="eastAsia" w:ascii="宋体" w:hAnsi="宋体"/>
          <w:b w:val="0"/>
          <w:bCs w:val="0"/>
          <w:sz w:val="24"/>
          <w:szCs w:val="24"/>
          <w:highlight w:val="none"/>
          <w:lang w:eastAsia="zh-CN"/>
        </w:rPr>
        <w:t>关键界线和面积的容差：如成果图含有土地利用界线时，对照已有土地利用界线，界线移位容差为0.0001米。成果图以行政区域为单元的，其成果图面积与县域面积一致。</w:t>
      </w:r>
    </w:p>
    <w:p w14:paraId="4AEE9F8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3.3.1.6</w:t>
      </w:r>
      <w:r>
        <w:rPr>
          <w:rFonts w:hint="eastAsia" w:ascii="宋体" w:hAnsi="宋体"/>
          <w:b w:val="0"/>
          <w:bCs w:val="0"/>
          <w:sz w:val="24"/>
          <w:szCs w:val="24"/>
          <w:highlight w:val="none"/>
          <w:lang w:eastAsia="zh-CN"/>
        </w:rPr>
        <w:t>无拓扑错误：a）同一图层内不存在面与面重叠，包括完全重叠与部分重叠（即面相交），容差为0.0001米；同一面层内不同面要素之间不存在缝隙，面裂隙容差为0.0001米；b）同一图层内不同要素间线要素不存在重叠或与自身重叠；c）同一图层内线要素不存在自相交；d）同一图层内线要素不存在悬挂点；e）同一图层内线要素不存在伪节点；f）面层内不存在不规则图斑。g）面层内不存在碎片多边形；h）面层内要素不允许存在组合图斑；i）同一线层内不存在碎线（长度小于0.2米）；j）图形节点密度符合规范要求，不能过于稀疏、稠密（平均节点密度大于70米，或小于1米）；k）图形不存在面自相交、环方向错误等不符合入库要求的错误。</w:t>
      </w:r>
    </w:p>
    <w:p w14:paraId="23722D4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3.4</w:t>
      </w:r>
      <w:r>
        <w:rPr>
          <w:rFonts w:hint="eastAsia" w:ascii="宋体" w:hAnsi="宋体"/>
          <w:b w:val="0"/>
          <w:bCs w:val="0"/>
          <w:sz w:val="24"/>
          <w:szCs w:val="24"/>
          <w:highlight w:val="none"/>
          <w:lang w:eastAsia="zh-CN"/>
        </w:rPr>
        <w:t>区域不合理性专业检查</w:t>
      </w:r>
    </w:p>
    <w:p w14:paraId="0D0CF02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对成果图，在一定区域范围内，某些土壤属性如出现明显不同于周边的情况，应说明原因。</w:t>
      </w:r>
    </w:p>
    <w:p w14:paraId="716EA6C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3.5</w:t>
      </w:r>
      <w:r>
        <w:rPr>
          <w:rFonts w:hint="eastAsia" w:ascii="宋体" w:hAnsi="宋体"/>
          <w:b w:val="0"/>
          <w:bCs w:val="0"/>
          <w:sz w:val="24"/>
          <w:szCs w:val="24"/>
          <w:highlight w:val="none"/>
          <w:lang w:eastAsia="zh-CN"/>
        </w:rPr>
        <w:t>投影与坐标系</w:t>
      </w:r>
    </w:p>
    <w:p w14:paraId="418D4DF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平面坐标系统：采用“2000 国家大地坐标系”；</w:t>
      </w:r>
    </w:p>
    <w:p w14:paraId="6FDB851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 xml:space="preserve">高程系统：采用“1985 国家高程基准”； </w:t>
      </w:r>
    </w:p>
    <w:p w14:paraId="13FEA3A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投影方式：采用高斯-克吕格投影，按6°分带。</w:t>
      </w:r>
    </w:p>
    <w:p w14:paraId="33EC94D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3.6</w:t>
      </w:r>
      <w:r>
        <w:rPr>
          <w:rFonts w:hint="eastAsia" w:ascii="宋体" w:hAnsi="宋体"/>
          <w:b w:val="0"/>
          <w:bCs w:val="0"/>
          <w:sz w:val="24"/>
          <w:szCs w:val="24"/>
          <w:highlight w:val="none"/>
          <w:lang w:eastAsia="zh-CN"/>
        </w:rPr>
        <w:t>图分幅：图的分幅应符合第三次土壤普查数据库要求。</w:t>
      </w:r>
    </w:p>
    <w:p w14:paraId="58FF2FD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3.7</w:t>
      </w:r>
      <w:r>
        <w:rPr>
          <w:rFonts w:hint="eastAsia" w:ascii="宋体" w:hAnsi="宋体"/>
          <w:b w:val="0"/>
          <w:bCs w:val="0"/>
          <w:sz w:val="24"/>
          <w:szCs w:val="24"/>
          <w:highlight w:val="none"/>
          <w:lang w:eastAsia="zh-CN"/>
        </w:rPr>
        <w:t xml:space="preserve">专题图表达与质量要求 </w:t>
      </w:r>
    </w:p>
    <w:p w14:paraId="50B8AB8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3.7.1</w:t>
      </w:r>
      <w:r>
        <w:rPr>
          <w:rFonts w:hint="eastAsia" w:ascii="宋体" w:hAnsi="宋体"/>
          <w:b w:val="0"/>
          <w:bCs w:val="0"/>
          <w:sz w:val="24"/>
          <w:szCs w:val="24"/>
          <w:highlight w:val="none"/>
          <w:lang w:eastAsia="zh-CN"/>
        </w:rPr>
        <w:t>专题图编制方案设计</w:t>
      </w:r>
    </w:p>
    <w:p w14:paraId="2E7EB37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在编制单位、图名、普查时间等制图内容，文字内容、位置、字体大小等，各地方必须采用全国统一方案。</w:t>
      </w:r>
    </w:p>
    <w:p w14:paraId="5A5D6475">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编制内容主要包括：图名、编制单位（如第三次全国土壤普查办公室）、制图单位及制图人员、制图时间、土壤调查时间、绘图单位及绘图人员、地图投影、比例尺。其它说明包括地理要素所采用的地形图比例尺和时间。这些内容在图廓外的位置应平衡美观。</w:t>
      </w:r>
    </w:p>
    <w:p w14:paraId="0624D6D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3.7.2</w:t>
      </w:r>
      <w:r>
        <w:rPr>
          <w:rFonts w:hint="eastAsia" w:ascii="宋体" w:hAnsi="宋体"/>
          <w:b w:val="0"/>
          <w:bCs w:val="0"/>
          <w:sz w:val="24"/>
          <w:szCs w:val="24"/>
          <w:highlight w:val="none"/>
          <w:lang w:eastAsia="zh-CN"/>
        </w:rPr>
        <w:t>专题内容的表达</w:t>
      </w:r>
    </w:p>
    <w:p w14:paraId="6149802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3.7.</w:t>
      </w:r>
      <w:r>
        <w:rPr>
          <w:rFonts w:hint="eastAsia" w:ascii="宋体" w:hAnsi="宋体"/>
          <w:b w:val="0"/>
          <w:bCs w:val="0"/>
          <w:sz w:val="24"/>
          <w:szCs w:val="24"/>
          <w:highlight w:val="none"/>
          <w:lang w:eastAsia="zh-CN"/>
        </w:rPr>
        <w:t>2.1专题制图表达</w:t>
      </w:r>
    </w:p>
    <w:p w14:paraId="10EA61E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土壤专题图采用质别底色法。</w:t>
      </w:r>
    </w:p>
    <w:p w14:paraId="47813AD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土壤属性图，图面表达包括属性配色；如为属性分级图，图面表达还包括分级编号。原则上一个土壤属性对应一个色调，从颜色上区分土壤属性类别。此外，以颜色深浅表示含量大小。土壤养分图用色依照《1:25 000～1:500 000土壤养分图用色与图例规范》（GB，2022年将颁布）进行制图。</w:t>
      </w:r>
    </w:p>
    <w:p w14:paraId="74254FA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其它专题图，颜色的选择应避开已有标准指定的土壤属性颜色，选用新的色调及符号。</w:t>
      </w:r>
    </w:p>
    <w:p w14:paraId="0B29EEE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3.7</w:t>
      </w:r>
      <w:r>
        <w:rPr>
          <w:rFonts w:hint="eastAsia" w:ascii="宋体" w:hAnsi="宋体"/>
          <w:b w:val="0"/>
          <w:bCs w:val="0"/>
          <w:sz w:val="24"/>
          <w:szCs w:val="24"/>
          <w:highlight w:val="none"/>
          <w:lang w:eastAsia="zh-CN"/>
        </w:rPr>
        <w:t>.2.2图例要求</w:t>
      </w:r>
    </w:p>
    <w:p w14:paraId="629F487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对于土壤属性分级图，专题图例由计量单位、分级代码、色块、分级的养分含量范围和测试分析方法五部分组成。对于土壤属性栅格渐变图图例，由计量单位、养分含量上下限、渐变色带和测试分析方法四部分组成。</w:t>
      </w:r>
    </w:p>
    <w:p w14:paraId="237B86F5">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土壤养分图图例要求细则依照《1:25 000～1:500 000土壤养分图用色与图例规范》（GB，2022年将颁布）制图。其它专题图参考执行。</w:t>
      </w:r>
    </w:p>
    <w:p w14:paraId="0147644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3.7.3</w:t>
      </w:r>
      <w:r>
        <w:rPr>
          <w:rFonts w:hint="eastAsia" w:ascii="宋体" w:hAnsi="宋体"/>
          <w:b w:val="0"/>
          <w:bCs w:val="0"/>
          <w:sz w:val="24"/>
          <w:szCs w:val="24"/>
          <w:highlight w:val="none"/>
          <w:lang w:eastAsia="zh-CN"/>
        </w:rPr>
        <w:t>基础地理要素的选取和表达</w:t>
      </w:r>
    </w:p>
    <w:p w14:paraId="1A97F22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地理底图是专业地图的骨架，根据专题图特点，对地理要素进行必要的选取，保留具有体现土壤类型或属性特征的要素，舍去干扰专题特征的地理内容，有利于突出土壤专业内容。</w:t>
      </w:r>
    </w:p>
    <w:p w14:paraId="6512E39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3.7.3.1</w:t>
      </w:r>
      <w:r>
        <w:rPr>
          <w:rFonts w:hint="eastAsia" w:ascii="宋体" w:hAnsi="宋体"/>
          <w:b w:val="0"/>
          <w:bCs w:val="0"/>
          <w:sz w:val="24"/>
          <w:szCs w:val="24"/>
          <w:highlight w:val="none"/>
          <w:lang w:eastAsia="zh-CN"/>
        </w:rPr>
        <w:t>要素选取</w:t>
      </w:r>
    </w:p>
    <w:p w14:paraId="755B08E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根据成图比例尺，选择相对应或更小比例尺的地理要素。</w:t>
      </w:r>
    </w:p>
    <w:p w14:paraId="336BB91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水系：适当选取以反映河网密度和结构。包括河流（常年河、时令河、消失河等）、湖泊、水库、水渠。</w:t>
      </w:r>
    </w:p>
    <w:p w14:paraId="2600F28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居民地（点）：根据比例尺，选择相应行政级别的居民地或居民点上图。中等比例尺原则上可选择到乡镇级。</w:t>
      </w:r>
    </w:p>
    <w:p w14:paraId="1028A68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交通：原则上均选取铁路，公路则依据比例尺要求，选取国家级、省级和县乡级公路。</w:t>
      </w:r>
    </w:p>
    <w:p w14:paraId="576A66F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境界：大中比例尺显示省级界，县级界。</w:t>
      </w:r>
    </w:p>
    <w:p w14:paraId="1917E02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3.7.3.2</w:t>
      </w:r>
      <w:r>
        <w:rPr>
          <w:rFonts w:hint="eastAsia" w:ascii="宋体" w:hAnsi="宋体"/>
          <w:b w:val="0"/>
          <w:bCs w:val="0"/>
          <w:sz w:val="24"/>
          <w:szCs w:val="24"/>
          <w:highlight w:val="none"/>
          <w:lang w:eastAsia="zh-CN"/>
        </w:rPr>
        <w:t>制图表达要求</w:t>
      </w:r>
    </w:p>
    <w:p w14:paraId="251AE8C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上述要素符号按公共地理信息通用地图符号等相应国家标准制作。</w:t>
      </w:r>
    </w:p>
    <w:p w14:paraId="34977DE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4.</w:t>
      </w:r>
      <w:r>
        <w:rPr>
          <w:rFonts w:hint="eastAsia" w:ascii="宋体" w:hAnsi="宋体"/>
          <w:b w:val="0"/>
          <w:bCs w:val="0"/>
          <w:sz w:val="24"/>
          <w:szCs w:val="24"/>
          <w:highlight w:val="none"/>
          <w:lang w:eastAsia="zh-CN"/>
        </w:rPr>
        <w:t>成果汇总及制图</w:t>
      </w:r>
    </w:p>
    <w:p w14:paraId="155AC76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4.1</w:t>
      </w:r>
      <w:r>
        <w:rPr>
          <w:rFonts w:hint="eastAsia" w:ascii="宋体" w:hAnsi="宋体"/>
          <w:b w:val="0"/>
          <w:bCs w:val="0"/>
          <w:sz w:val="24"/>
          <w:szCs w:val="24"/>
          <w:highlight w:val="none"/>
          <w:lang w:eastAsia="zh-CN"/>
        </w:rPr>
        <w:t>土壤类型图制作</w:t>
      </w:r>
    </w:p>
    <w:p w14:paraId="5234E0B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比例尺为1:5万（空间分辨率约为30m），统一采用2000国家大地坐标系，等角横切椭圆柱投影，即高斯-克吕格投影。</w:t>
      </w:r>
    </w:p>
    <w:p w14:paraId="409B92A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需要气候、母质、地形、植被、水文地质、人类活动、综合地表环境等方面的资料。具体包括以下指标：年降水量、年均气温、相对辐射、蒸散量、干燥度、大于0度积温、大于10度积温、母质岩性、高程、坡度、坡向、剖面曲率、平面曲率、地形湿度指数、径流强度指数、植被类型、归一化植被指数、郁闭度、地下水类型、地下水埋深、土地利用现状图、耕地种植制度、可见光、近红外波段及其遥感衍生变量。</w:t>
      </w:r>
    </w:p>
    <w:p w14:paraId="4F291CE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利用土壤类型制图成果编制土壤类型图件，需要行政区划图作为边界，背景要素包括地形、水系、居民点、交通线和境界线等。</w:t>
      </w:r>
    </w:p>
    <w:p w14:paraId="73B482A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4.2</w:t>
      </w:r>
      <w:r>
        <w:rPr>
          <w:rFonts w:hint="eastAsia" w:ascii="宋体" w:hAnsi="宋体"/>
          <w:b w:val="0"/>
          <w:bCs w:val="0"/>
          <w:sz w:val="24"/>
          <w:szCs w:val="24"/>
          <w:highlight w:val="none"/>
          <w:lang w:eastAsia="zh-CN"/>
        </w:rPr>
        <w:t>土壤属性及专题图制图</w:t>
      </w:r>
    </w:p>
    <w:p w14:paraId="745D97F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统一采用2000国家大地坐标系，等角横切椭圆柱投影，即高斯-克吕格投影。</w:t>
      </w:r>
    </w:p>
    <w:p w14:paraId="4603EAB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内容包括两类图：（1）土壤属性图，即土壤理化性状图，包括表层土壤有机质、pH、全量和速效养分含量、有机/无机碳、全量中微量元素含量、重金属元素含量、质地等。（2）土壤专题图，包括土壤类型图、土壤农业区划图、耕地质量等级图、有效土层厚度、土壤障碍类型图、退化土壤（如酸化等）分布图、土壤碳库与养分库储量图、土壤资源利用适宜性分布图，特色农产品生产区域土壤调查专题图等。</w:t>
      </w:r>
    </w:p>
    <w:p w14:paraId="2307075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同土壤类型制图一样，需要气候、母质、地形、植被、水文地质、人类活动、综合地表环境等方面的资料。具体包括以下指标：年降水量、年均气温、相对辐射、蒸散量、干燥度、大于0度积温、大于10度积温、母质岩性、高程、坡度、坡向、剖面曲率、平面曲率、地形湿度指数、径流强度指数、植被类型、归一化植被指数、郁闭度、地下水类型、地下水埋深、土地利用现状图、耕地种植制度、可见光、近红外波段及其遥感衍生变量。</w:t>
      </w:r>
    </w:p>
    <w:p w14:paraId="12F3CAB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利用土壤属性及专题图制图成果编制土壤属性及专题图，需要行政区划图作为边界，背景要素根据需要添加地形、水系、居民点、交通线和境界线等。</w:t>
      </w:r>
    </w:p>
    <w:p w14:paraId="10594745">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4.3</w:t>
      </w:r>
      <w:r>
        <w:rPr>
          <w:rFonts w:hint="eastAsia" w:ascii="宋体" w:hAnsi="宋体"/>
          <w:b w:val="0"/>
          <w:bCs w:val="0"/>
          <w:sz w:val="24"/>
          <w:szCs w:val="24"/>
          <w:highlight w:val="none"/>
          <w:lang w:eastAsia="zh-CN"/>
        </w:rPr>
        <w:t>第三次土壤普查标准数据库</w:t>
      </w:r>
    </w:p>
    <w:p w14:paraId="4E616585">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汇总基础资料、调查数据、测试分析数据、制图成果等数据，严格按照“第三次全国土壤普查数据库规范”要求，对数据进行分类和编码，对照属性结构描述要求规范属性表，通过计算机自动检查和人工交互检查的方法检查数据（包括成果完整性、数据规范性等），形成表层调查数据库、剖面调查数据库、专题成果数据库。</w:t>
      </w:r>
    </w:p>
    <w:p w14:paraId="477778F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5.</w:t>
      </w:r>
      <w:r>
        <w:rPr>
          <w:rFonts w:hint="eastAsia" w:ascii="宋体" w:hAnsi="宋体"/>
          <w:b w:val="0"/>
          <w:bCs w:val="0"/>
          <w:sz w:val="24"/>
          <w:szCs w:val="24"/>
          <w:highlight w:val="none"/>
          <w:lang w:eastAsia="zh-CN"/>
        </w:rPr>
        <w:t>“三普”试点文字报告编写要求</w:t>
      </w:r>
    </w:p>
    <w:p w14:paraId="4F7730F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5.1</w:t>
      </w:r>
      <w:r>
        <w:rPr>
          <w:rFonts w:hint="eastAsia" w:ascii="宋体" w:hAnsi="宋体"/>
          <w:b w:val="0"/>
          <w:bCs w:val="0"/>
          <w:sz w:val="24"/>
          <w:szCs w:val="24"/>
          <w:highlight w:val="none"/>
          <w:lang w:eastAsia="zh-CN"/>
        </w:rPr>
        <w:t>土壤三普技术报告</w:t>
      </w:r>
    </w:p>
    <w:p w14:paraId="19C4F1F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包括目标与任务、技术路线与方法、技术标准（规范）、技术创新、技术应用成效、普查过程中解决的技术难题、工作建议等。</w:t>
      </w:r>
    </w:p>
    <w:p w14:paraId="3C03E91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5.2</w:t>
      </w:r>
      <w:r>
        <w:rPr>
          <w:rFonts w:hint="eastAsia" w:ascii="宋体" w:hAnsi="宋体"/>
          <w:b w:val="0"/>
          <w:bCs w:val="0"/>
          <w:sz w:val="24"/>
          <w:szCs w:val="24"/>
          <w:highlight w:val="none"/>
          <w:lang w:eastAsia="zh-CN"/>
        </w:rPr>
        <w:t>土壤三普专题报告</w:t>
      </w:r>
    </w:p>
    <w:p w14:paraId="2541612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完成数字土壤制图、土壤适宜性评价、耕地土壤质量等级评价等工作，并形成土壤类型分布报告，土壤利用适宜性（适宜于耕地、园地、林地）评价报告，（耕地、园地、林地）土壤质量报告、土壤障碍与改良报告、土壤资源状况报告、土壤质量等级状况报告、土壤资源与农业结构布局报告。</w:t>
      </w:r>
    </w:p>
    <w:p w14:paraId="4F46DF8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5.3</w:t>
      </w:r>
      <w:r>
        <w:rPr>
          <w:rFonts w:hint="eastAsia" w:ascii="宋体" w:hAnsi="宋体"/>
          <w:b w:val="0"/>
          <w:bCs w:val="0"/>
          <w:sz w:val="24"/>
          <w:szCs w:val="24"/>
          <w:highlight w:val="none"/>
          <w:lang w:eastAsia="zh-CN"/>
        </w:rPr>
        <w:t>编制《土壤志》</w:t>
      </w:r>
    </w:p>
    <w:p w14:paraId="135DD56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收集普查图集、数据集及各类报表，汇总所有普查成果，修订完善《第二次土普查报告》，编制第三次全国土壤普查报告《土壤志》。</w:t>
      </w:r>
    </w:p>
    <w:p w14:paraId="0210403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eastAsia="zh-CN"/>
        </w:rPr>
        <w:t>（</w:t>
      </w:r>
      <w:r>
        <w:rPr>
          <w:rFonts w:hint="eastAsia" w:ascii="宋体" w:hAnsi="宋体"/>
          <w:b w:val="0"/>
          <w:bCs w:val="0"/>
          <w:sz w:val="24"/>
          <w:szCs w:val="24"/>
          <w:highlight w:val="none"/>
          <w:lang w:val="en-US" w:eastAsia="zh-CN"/>
        </w:rPr>
        <w:t>三</w:t>
      </w:r>
      <w:r>
        <w:rPr>
          <w:rFonts w:hint="eastAsia" w:ascii="宋体" w:hAnsi="宋体"/>
          <w:b w:val="0"/>
          <w:bCs w:val="0"/>
          <w:sz w:val="24"/>
          <w:szCs w:val="24"/>
          <w:highlight w:val="none"/>
          <w:lang w:eastAsia="zh-CN"/>
        </w:rPr>
        <w:t>）</w:t>
      </w:r>
      <w:r>
        <w:rPr>
          <w:rFonts w:hint="eastAsia" w:ascii="宋体" w:hAnsi="宋体"/>
          <w:b w:val="0"/>
          <w:bCs w:val="0"/>
          <w:sz w:val="24"/>
          <w:szCs w:val="24"/>
          <w:highlight w:val="none"/>
          <w:lang w:val="en-US" w:eastAsia="zh-CN"/>
        </w:rPr>
        <w:t>其他</w:t>
      </w:r>
      <w:r>
        <w:rPr>
          <w:rFonts w:hint="eastAsia" w:ascii="宋体" w:hAnsi="宋体"/>
          <w:b w:val="0"/>
          <w:bCs w:val="0"/>
          <w:sz w:val="24"/>
          <w:szCs w:val="24"/>
          <w:highlight w:val="none"/>
          <w:lang w:eastAsia="zh-CN"/>
        </w:rPr>
        <w:t>要求</w:t>
      </w:r>
    </w:p>
    <w:p w14:paraId="698B8C3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val="en-US" w:eastAsia="zh-CN"/>
        </w:rPr>
      </w:pPr>
      <w:r>
        <w:rPr>
          <w:rFonts w:hint="eastAsia" w:ascii="宋体" w:hAnsi="宋体"/>
          <w:b w:val="0"/>
          <w:bCs w:val="0"/>
          <w:sz w:val="24"/>
          <w:szCs w:val="24"/>
          <w:highlight w:val="none"/>
          <w:lang w:val="en-US" w:eastAsia="zh-CN"/>
        </w:rPr>
        <w:t>1.支付方式：中标供应商按要求向甲方提交的第三次全国土壤普查成果上报吉林省第三次全国土壤普查领导小组办公室、国务院第三次全国土壤普查领导小组办公室，按照全国第三次土壤普查验收要求及县级成果清单向甲方提供所有成果电子版与纸质版。具体付款方式以签订的采购合同为准，付款均凭正式税务发票，发票须由成交单位开具。未通过验收的整改工作由成交供应商按照采购人及国、省三普办的要求完成整改，不再增加费用。</w:t>
      </w:r>
    </w:p>
    <w:p w14:paraId="70D6F4F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2.</w:t>
      </w:r>
      <w:r>
        <w:rPr>
          <w:rFonts w:hint="eastAsia" w:ascii="宋体" w:hAnsi="宋体"/>
          <w:b w:val="0"/>
          <w:bCs w:val="0"/>
          <w:sz w:val="24"/>
          <w:szCs w:val="24"/>
          <w:highlight w:val="none"/>
          <w:lang w:eastAsia="zh-CN"/>
        </w:rPr>
        <w:t>保密义务：在采购和履行合同过程中所获悉的对方属于保密内容的，成交供应商有保密义务。</w:t>
      </w:r>
    </w:p>
    <w:p w14:paraId="78FF3A8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val="en-US" w:eastAsia="zh-CN"/>
        </w:rPr>
      </w:pPr>
      <w:r>
        <w:rPr>
          <w:rFonts w:hint="eastAsia" w:ascii="宋体" w:hAnsi="宋体"/>
          <w:b w:val="0"/>
          <w:bCs w:val="0"/>
          <w:sz w:val="24"/>
          <w:szCs w:val="24"/>
          <w:highlight w:val="none"/>
          <w:lang w:val="en-US" w:eastAsia="zh-CN"/>
        </w:rPr>
        <w:t>3.售后服务和培训要求：针对本项目，投标人应制定详细售后服务保障措施，无条件接受各级普查办的工作监督及省质量控制实验室和国家级质量控制实验室的外部质量监督检查，不得有其他异议。</w:t>
      </w:r>
    </w:p>
    <w:p w14:paraId="0B44381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val="en-US" w:eastAsia="zh-CN"/>
        </w:rPr>
      </w:pPr>
      <w:r>
        <w:rPr>
          <w:rFonts w:hint="eastAsia" w:ascii="宋体" w:hAnsi="宋体"/>
          <w:b w:val="0"/>
          <w:bCs w:val="0"/>
          <w:sz w:val="24"/>
          <w:szCs w:val="24"/>
          <w:highlight w:val="none"/>
          <w:lang w:val="en-US" w:eastAsia="zh-CN"/>
        </w:rPr>
        <w:t>合同签订后，各包成交单位组织开展分级分类分环节的技术培训和现场实训，全覆盖培训普查工作人员，确保普查人员尽快掌握相关技术规程和规范及操作要领。</w:t>
      </w:r>
    </w:p>
    <w:p w14:paraId="37A964F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val="en-US" w:eastAsia="zh-CN"/>
        </w:rPr>
      </w:pPr>
      <w:r>
        <w:rPr>
          <w:rFonts w:hint="eastAsia" w:ascii="宋体" w:hAnsi="宋体"/>
          <w:b w:val="0"/>
          <w:bCs w:val="0"/>
          <w:sz w:val="24"/>
          <w:szCs w:val="24"/>
          <w:highlight w:val="none"/>
          <w:lang w:val="en-US" w:eastAsia="zh-CN"/>
        </w:rPr>
        <w:t>4.其他要求：成交单位必须严格按照外部质量控制和项目实施进度要求，在规定时间内保质保量完成工作任务，否则采购人有权终止合同。</w:t>
      </w:r>
    </w:p>
    <w:p w14:paraId="4B79C5C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outlineLvl w:val="9"/>
        <w:rPr>
          <w:rFonts w:hint="eastAsia" w:ascii="宋体" w:hAnsi="宋体"/>
          <w:b w:val="0"/>
          <w:bCs w:val="0"/>
          <w:sz w:val="24"/>
          <w:szCs w:val="24"/>
          <w:highlight w:val="none"/>
          <w:lang w:eastAsia="zh-CN"/>
        </w:rPr>
      </w:pPr>
      <w:r>
        <w:rPr>
          <w:rFonts w:hint="eastAsia" w:ascii="宋体" w:hAnsi="宋体"/>
          <w:b w:val="0"/>
          <w:bCs w:val="0"/>
          <w:sz w:val="24"/>
          <w:szCs w:val="24"/>
          <w:highlight w:val="none"/>
          <w:lang w:val="en-US" w:eastAsia="zh-CN"/>
        </w:rPr>
        <w:t>在项目实施过程中，若国家或三普办制定或发布了新的规范和文件，按照新规范、新文件执行。</w:t>
      </w:r>
    </w:p>
    <w:p w14:paraId="63090DD2">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9"/>
        <w:rPr>
          <w:rFonts w:hint="eastAsia" w:ascii="宋体" w:hAnsi="宋体" w:eastAsia="宋体"/>
          <w:b w:val="0"/>
          <w:bCs w:val="0"/>
          <w:sz w:val="24"/>
          <w:szCs w:val="24"/>
          <w:highlight w:val="none"/>
          <w:lang w:eastAsia="zh-CN"/>
        </w:rPr>
      </w:pPr>
    </w:p>
    <w:p w14:paraId="241C4487">
      <w:pPr>
        <w:numPr>
          <w:ilvl w:val="0"/>
          <w:numId w:val="0"/>
        </w:numPr>
        <w:spacing w:line="500" w:lineRule="atLeast"/>
        <w:jc w:val="both"/>
        <w:outlineLvl w:val="9"/>
        <w:rPr>
          <w:rFonts w:hint="eastAsia" w:ascii="宋体" w:hAnsi="宋体" w:eastAsia="宋体"/>
          <w:b/>
          <w:bCs/>
          <w:sz w:val="24"/>
          <w:szCs w:val="24"/>
          <w:highlight w:val="none"/>
          <w:lang w:eastAsia="zh-CN"/>
        </w:rPr>
      </w:pPr>
    </w:p>
    <w:p w14:paraId="09E3FDF9">
      <w:pPr>
        <w:spacing w:line="500" w:lineRule="atLeast"/>
        <w:jc w:val="center"/>
        <w:outlineLvl w:val="9"/>
        <w:rPr>
          <w:rFonts w:hint="eastAsia" w:ascii="宋体" w:hAnsi="宋体" w:cs="宋体"/>
          <w:b/>
          <w:bCs/>
          <w:color w:val="000000" w:themeColor="text1"/>
          <w:sz w:val="36"/>
          <w:szCs w:val="36"/>
          <w:highlight w:val="none"/>
          <w14:textFill>
            <w14:solidFill>
              <w14:schemeClr w14:val="tx1"/>
            </w14:solidFill>
          </w14:textFill>
        </w:rPr>
      </w:pPr>
    </w:p>
    <w:p w14:paraId="38C38C43">
      <w:pPr>
        <w:spacing w:line="500" w:lineRule="atLeast"/>
        <w:jc w:val="center"/>
        <w:outlineLvl w:val="9"/>
        <w:rPr>
          <w:rFonts w:hint="eastAsia" w:ascii="宋体" w:hAnsi="宋体" w:cs="宋体"/>
          <w:b/>
          <w:bCs/>
          <w:color w:val="000000" w:themeColor="text1"/>
          <w:sz w:val="36"/>
          <w:szCs w:val="36"/>
          <w:highlight w:val="none"/>
          <w14:textFill>
            <w14:solidFill>
              <w14:schemeClr w14:val="tx1"/>
            </w14:solidFill>
          </w14:textFill>
        </w:rPr>
      </w:pPr>
    </w:p>
    <w:p w14:paraId="3FD8D81A">
      <w:pPr>
        <w:spacing w:line="500" w:lineRule="atLeast"/>
        <w:jc w:val="center"/>
        <w:outlineLvl w:val="9"/>
        <w:rPr>
          <w:rFonts w:hint="eastAsia" w:ascii="宋体" w:hAnsi="宋体" w:cs="宋体"/>
          <w:b/>
          <w:bCs/>
          <w:color w:val="000000" w:themeColor="text1"/>
          <w:sz w:val="36"/>
          <w:szCs w:val="36"/>
          <w:highlight w:val="none"/>
          <w14:textFill>
            <w14:solidFill>
              <w14:schemeClr w14:val="tx1"/>
            </w14:solidFill>
          </w14:textFill>
        </w:rPr>
      </w:pPr>
    </w:p>
    <w:p w14:paraId="03447752">
      <w:pPr>
        <w:spacing w:line="500" w:lineRule="atLeast"/>
        <w:jc w:val="center"/>
        <w:outlineLvl w:val="9"/>
        <w:rPr>
          <w:rFonts w:hint="eastAsia" w:ascii="宋体" w:hAnsi="宋体" w:cs="宋体"/>
          <w:b/>
          <w:bCs/>
          <w:color w:val="000000" w:themeColor="text1"/>
          <w:sz w:val="36"/>
          <w:szCs w:val="36"/>
          <w:highlight w:val="none"/>
          <w14:textFill>
            <w14:solidFill>
              <w14:schemeClr w14:val="tx1"/>
            </w14:solidFill>
          </w14:textFill>
        </w:rPr>
      </w:pPr>
    </w:p>
    <w:p w14:paraId="33590281">
      <w:pPr>
        <w:spacing w:line="500" w:lineRule="atLeast"/>
        <w:jc w:val="center"/>
        <w:outlineLvl w:val="9"/>
        <w:rPr>
          <w:rFonts w:hint="eastAsia" w:ascii="宋体" w:hAnsi="宋体" w:cs="宋体"/>
          <w:b/>
          <w:bCs/>
          <w:color w:val="000000" w:themeColor="text1"/>
          <w:sz w:val="36"/>
          <w:szCs w:val="36"/>
          <w:highlight w:val="none"/>
          <w14:textFill>
            <w14:solidFill>
              <w14:schemeClr w14:val="tx1"/>
            </w14:solidFill>
          </w14:textFill>
        </w:rPr>
      </w:pPr>
    </w:p>
    <w:p w14:paraId="6BC8467F">
      <w:pPr>
        <w:rPr>
          <w:rFonts w:hint="eastAsia" w:ascii="宋体" w:hAnsi="宋体" w:cs="宋体"/>
          <w:b/>
          <w:bCs/>
          <w:color w:val="000000" w:themeColor="text1"/>
          <w:sz w:val="36"/>
          <w:szCs w:val="36"/>
          <w:highlight w:val="none"/>
          <w14:textFill>
            <w14:solidFill>
              <w14:schemeClr w14:val="tx1"/>
            </w14:solidFill>
          </w14:textFill>
        </w:rPr>
      </w:pPr>
      <w:r>
        <w:rPr>
          <w:rFonts w:hint="eastAsia" w:ascii="宋体" w:hAnsi="宋体" w:cs="宋体"/>
          <w:b/>
          <w:bCs/>
          <w:color w:val="000000" w:themeColor="text1"/>
          <w:sz w:val="36"/>
          <w:szCs w:val="36"/>
          <w:highlight w:val="none"/>
          <w14:textFill>
            <w14:solidFill>
              <w14:schemeClr w14:val="tx1"/>
            </w14:solidFill>
          </w14:textFill>
        </w:rPr>
        <w:br w:type="page"/>
      </w:r>
    </w:p>
    <w:p w14:paraId="52395BD2">
      <w:pPr>
        <w:spacing w:line="500" w:lineRule="atLeast"/>
        <w:jc w:val="center"/>
        <w:outlineLvl w:val="9"/>
        <w:rPr>
          <w:rFonts w:hint="eastAsia" w:ascii="宋体" w:hAnsi="宋体" w:cs="宋体"/>
          <w:b/>
          <w:bCs/>
          <w:color w:val="000000" w:themeColor="text1"/>
          <w:sz w:val="36"/>
          <w:szCs w:val="36"/>
          <w:highlight w:val="none"/>
          <w14:textFill>
            <w14:solidFill>
              <w14:schemeClr w14:val="tx1"/>
            </w14:solidFill>
          </w14:textFill>
        </w:rPr>
      </w:pPr>
    </w:p>
    <w:p w14:paraId="51833A14">
      <w:pPr>
        <w:spacing w:line="500" w:lineRule="atLeast"/>
        <w:jc w:val="center"/>
        <w:outlineLvl w:val="9"/>
        <w:rPr>
          <w:rFonts w:hint="eastAsia" w:ascii="宋体" w:hAnsi="宋体" w:cs="宋体"/>
          <w:b/>
          <w:bCs/>
          <w:color w:val="000000" w:themeColor="text1"/>
          <w:sz w:val="36"/>
          <w:szCs w:val="36"/>
          <w:highlight w:val="none"/>
          <w14:textFill>
            <w14:solidFill>
              <w14:schemeClr w14:val="tx1"/>
            </w14:solidFill>
          </w14:textFill>
        </w:rPr>
      </w:pPr>
    </w:p>
    <w:p w14:paraId="05EC5D41">
      <w:pPr>
        <w:spacing w:line="500" w:lineRule="atLeast"/>
        <w:jc w:val="center"/>
        <w:outlineLvl w:val="9"/>
        <w:rPr>
          <w:rFonts w:hint="eastAsia" w:ascii="宋体" w:hAnsi="宋体" w:cs="宋体"/>
          <w:b/>
          <w:bCs/>
          <w:color w:val="000000" w:themeColor="text1"/>
          <w:sz w:val="36"/>
          <w:szCs w:val="36"/>
          <w:highlight w:val="none"/>
          <w14:textFill>
            <w14:solidFill>
              <w14:schemeClr w14:val="tx1"/>
            </w14:solidFill>
          </w14:textFill>
        </w:rPr>
      </w:pPr>
    </w:p>
    <w:p w14:paraId="6364C93B">
      <w:pPr>
        <w:spacing w:line="500" w:lineRule="atLeast"/>
        <w:jc w:val="center"/>
        <w:outlineLvl w:val="9"/>
        <w:rPr>
          <w:rFonts w:hint="eastAsia" w:ascii="宋体" w:hAnsi="宋体" w:cs="宋体"/>
          <w:b/>
          <w:bCs/>
          <w:color w:val="000000" w:themeColor="text1"/>
          <w:sz w:val="36"/>
          <w:szCs w:val="36"/>
          <w:highlight w:val="none"/>
          <w14:textFill>
            <w14:solidFill>
              <w14:schemeClr w14:val="tx1"/>
            </w14:solidFill>
          </w14:textFill>
        </w:rPr>
      </w:pPr>
    </w:p>
    <w:p w14:paraId="168C10EE">
      <w:pPr>
        <w:spacing w:line="500" w:lineRule="atLeast"/>
        <w:jc w:val="center"/>
        <w:outlineLvl w:val="9"/>
        <w:rPr>
          <w:rFonts w:hint="eastAsia" w:ascii="宋体" w:hAnsi="宋体" w:cs="宋体"/>
          <w:b/>
          <w:bCs/>
          <w:color w:val="000000" w:themeColor="text1"/>
          <w:sz w:val="36"/>
          <w:szCs w:val="36"/>
          <w:highlight w:val="none"/>
          <w14:textFill>
            <w14:solidFill>
              <w14:schemeClr w14:val="tx1"/>
            </w14:solidFill>
          </w14:textFill>
        </w:rPr>
      </w:pPr>
    </w:p>
    <w:p w14:paraId="0315A1D2">
      <w:pPr>
        <w:spacing w:line="500" w:lineRule="atLeast"/>
        <w:jc w:val="center"/>
        <w:outlineLvl w:val="9"/>
        <w:rPr>
          <w:rFonts w:hint="eastAsia" w:ascii="宋体" w:hAnsi="宋体" w:cs="宋体"/>
          <w:b/>
          <w:bCs/>
          <w:color w:val="000000" w:themeColor="text1"/>
          <w:sz w:val="36"/>
          <w:szCs w:val="36"/>
          <w:highlight w:val="none"/>
          <w14:textFill>
            <w14:solidFill>
              <w14:schemeClr w14:val="tx1"/>
            </w14:solidFill>
          </w14:textFill>
        </w:rPr>
      </w:pPr>
    </w:p>
    <w:p w14:paraId="4A1121F3">
      <w:pPr>
        <w:spacing w:line="500" w:lineRule="atLeast"/>
        <w:jc w:val="center"/>
        <w:outlineLvl w:val="9"/>
        <w:rPr>
          <w:rFonts w:hint="eastAsia" w:ascii="宋体" w:hAnsi="宋体" w:cs="宋体"/>
          <w:b/>
          <w:bCs/>
          <w:color w:val="000000" w:themeColor="text1"/>
          <w:sz w:val="36"/>
          <w:szCs w:val="36"/>
          <w:highlight w:val="none"/>
          <w14:textFill>
            <w14:solidFill>
              <w14:schemeClr w14:val="tx1"/>
            </w14:solidFill>
          </w14:textFill>
        </w:rPr>
      </w:pPr>
    </w:p>
    <w:p w14:paraId="7C21EA9E">
      <w:pPr>
        <w:spacing w:line="500" w:lineRule="atLeast"/>
        <w:jc w:val="center"/>
        <w:outlineLvl w:val="9"/>
        <w:rPr>
          <w:rFonts w:hint="eastAsia" w:ascii="宋体" w:hAnsi="宋体" w:cs="宋体"/>
          <w:b/>
          <w:bCs/>
          <w:color w:val="000000" w:themeColor="text1"/>
          <w:sz w:val="36"/>
          <w:szCs w:val="36"/>
          <w:highlight w:val="none"/>
          <w14:textFill>
            <w14:solidFill>
              <w14:schemeClr w14:val="tx1"/>
            </w14:solidFill>
          </w14:textFill>
        </w:rPr>
      </w:pPr>
    </w:p>
    <w:p w14:paraId="380CF770">
      <w:pPr>
        <w:spacing w:line="500" w:lineRule="atLeast"/>
        <w:jc w:val="center"/>
        <w:outlineLvl w:val="9"/>
        <w:rPr>
          <w:rFonts w:hint="eastAsia" w:ascii="宋体" w:hAnsi="宋体" w:cs="宋体"/>
          <w:b/>
          <w:bCs/>
          <w:color w:val="000000" w:themeColor="text1"/>
          <w:sz w:val="36"/>
          <w:szCs w:val="36"/>
          <w:highlight w:val="none"/>
          <w14:textFill>
            <w14:solidFill>
              <w14:schemeClr w14:val="tx1"/>
            </w14:solidFill>
          </w14:textFill>
        </w:rPr>
      </w:pPr>
    </w:p>
    <w:p w14:paraId="0B3A0841">
      <w:pPr>
        <w:spacing w:line="500" w:lineRule="atLeast"/>
        <w:jc w:val="center"/>
        <w:outlineLvl w:val="0"/>
        <w:rPr>
          <w:rFonts w:ascii="宋体" w:hAnsi="宋体" w:cs="宋体"/>
          <w:b/>
          <w:bCs/>
          <w:color w:val="000000" w:themeColor="text1"/>
          <w:sz w:val="36"/>
          <w:szCs w:val="36"/>
          <w:highlight w:val="none"/>
          <w14:textFill>
            <w14:solidFill>
              <w14:schemeClr w14:val="tx1"/>
            </w14:solidFill>
          </w14:textFill>
        </w:rPr>
      </w:pPr>
      <w:bookmarkStart w:id="215" w:name="_Toc27681"/>
      <w:r>
        <w:rPr>
          <w:rFonts w:hint="eastAsia" w:ascii="宋体" w:hAnsi="宋体" w:cs="宋体"/>
          <w:b/>
          <w:bCs/>
          <w:color w:val="000000" w:themeColor="text1"/>
          <w:sz w:val="36"/>
          <w:szCs w:val="36"/>
          <w:highlight w:val="none"/>
          <w14:textFill>
            <w14:solidFill>
              <w14:schemeClr w14:val="tx1"/>
            </w14:solidFill>
          </w14:textFill>
        </w:rPr>
        <w:t>第六章</w:t>
      </w:r>
      <w:bookmarkEnd w:id="209"/>
      <w:bookmarkEnd w:id="210"/>
      <w:bookmarkEnd w:id="211"/>
      <w:r>
        <w:rPr>
          <w:rFonts w:hint="eastAsia" w:ascii="宋体" w:hAnsi="宋体" w:cs="宋体"/>
          <w:b/>
          <w:bCs/>
          <w:color w:val="000000" w:themeColor="text1"/>
          <w:sz w:val="36"/>
          <w:szCs w:val="36"/>
          <w:highlight w:val="none"/>
          <w14:textFill>
            <w14:solidFill>
              <w14:schemeClr w14:val="tx1"/>
            </w14:solidFill>
          </w14:textFill>
        </w:rPr>
        <w:t xml:space="preserve"> 竞争性磋商响应文件格式</w:t>
      </w:r>
      <w:bookmarkEnd w:id="212"/>
      <w:bookmarkEnd w:id="213"/>
      <w:bookmarkEnd w:id="214"/>
      <w:bookmarkEnd w:id="215"/>
    </w:p>
    <w:p w14:paraId="0E6CF124">
      <w:pPr>
        <w:spacing w:line="360" w:lineRule="auto"/>
        <w:ind w:firstLine="1440" w:firstLineChars="450"/>
        <w:jc w:val="both"/>
        <w:rPr>
          <w:rFonts w:hint="eastAsia" w:ascii="宋体" w:hAnsi="宋体" w:eastAsia="宋体" w:cs="宋体"/>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sz w:val="32"/>
          <w:szCs w:val="32"/>
          <w:highlight w:val="none"/>
          <w:lang w:eastAsia="zh-CN"/>
          <w14:textFill>
            <w14:solidFill>
              <w14:schemeClr w14:val="tx1"/>
            </w14:solidFill>
          </w14:textFill>
        </w:rPr>
        <w:t>（</w:t>
      </w:r>
      <w:r>
        <w:rPr>
          <w:rFonts w:hint="eastAsia" w:ascii="宋体" w:hAnsi="宋体" w:eastAsia="宋体" w:cs="宋体"/>
          <w:color w:val="000000" w:themeColor="text1"/>
          <w:sz w:val="32"/>
          <w:szCs w:val="32"/>
          <w:highlight w:val="none"/>
          <w:lang w:val="en-US" w:eastAsia="zh-CN"/>
          <w14:textFill>
            <w14:solidFill>
              <w14:schemeClr w14:val="tx1"/>
            </w14:solidFill>
          </w14:textFill>
        </w:rPr>
        <w:t>以实际“政采云”平台生成目录为准，注：最终上传完整版投标文件</w:t>
      </w:r>
      <w:r>
        <w:rPr>
          <w:rFonts w:hint="eastAsia" w:ascii="宋体" w:hAnsi="宋体" w:eastAsia="宋体" w:cs="宋体"/>
          <w:color w:val="000000" w:themeColor="text1"/>
          <w:sz w:val="32"/>
          <w:szCs w:val="32"/>
          <w:highlight w:val="none"/>
          <w:lang w:eastAsia="zh-CN"/>
          <w14:textFill>
            <w14:solidFill>
              <w14:schemeClr w14:val="tx1"/>
            </w14:solidFill>
          </w14:textFill>
        </w:rPr>
        <w:t>）</w:t>
      </w:r>
    </w:p>
    <w:p w14:paraId="4FBDC357">
      <w:pPr>
        <w:jc w:val="center"/>
        <w:rPr>
          <w:color w:val="000000" w:themeColor="text1"/>
          <w:sz w:val="20"/>
          <w:szCs w:val="20"/>
          <w:highlight w:val="none"/>
          <w14:textFill>
            <w14:solidFill>
              <w14:schemeClr w14:val="tx1"/>
            </w14:solidFill>
          </w14:textFill>
        </w:rPr>
      </w:pPr>
      <w:r>
        <w:rPr>
          <w:rFonts w:hint="eastAsia"/>
          <w:b/>
          <w:bCs/>
          <w:color w:val="000000" w:themeColor="text1"/>
          <w:szCs w:val="28"/>
          <w:highlight w:val="none"/>
          <w14:textFill>
            <w14:solidFill>
              <w14:schemeClr w14:val="tx1"/>
            </w14:solidFill>
          </w14:textFill>
        </w:rPr>
        <w:br w:type="page"/>
      </w:r>
      <w:r>
        <w:rPr>
          <w:rFonts w:hint="eastAsia"/>
          <w:b/>
          <w:bCs/>
          <w:color w:val="000000" w:themeColor="text1"/>
          <w:szCs w:val="28"/>
          <w:highlight w:val="none"/>
          <w:lang w:val="en-US" w:eastAsia="zh-CN"/>
          <w14:textFill>
            <w14:solidFill>
              <w14:schemeClr w14:val="tx1"/>
            </w14:solidFill>
          </w14:textFill>
        </w:rPr>
        <w:t xml:space="preserve">                                                      </w:t>
      </w:r>
      <w:r>
        <w:rPr>
          <w:rFonts w:hint="eastAsia"/>
          <w:color w:val="000000" w:themeColor="text1"/>
          <w:sz w:val="28"/>
          <w:szCs w:val="28"/>
          <w:highlight w:val="none"/>
          <w14:textFill>
            <w14:solidFill>
              <w14:schemeClr w14:val="tx1"/>
            </w14:solidFill>
          </w14:textFill>
        </w:rPr>
        <w:t>正本或副本</w:t>
      </w:r>
    </w:p>
    <w:p w14:paraId="7A792D98">
      <w:pPr>
        <w:jc w:val="right"/>
        <w:rPr>
          <w:color w:val="000000" w:themeColor="text1"/>
          <w:sz w:val="20"/>
          <w:szCs w:val="20"/>
          <w:highlight w:val="none"/>
          <w14:textFill>
            <w14:solidFill>
              <w14:schemeClr w14:val="tx1"/>
            </w14:solidFill>
          </w14:textFill>
        </w:rPr>
      </w:pPr>
    </w:p>
    <w:p w14:paraId="2C99E693">
      <w:pPr>
        <w:ind w:firstLine="640" w:firstLineChars="200"/>
        <w:rPr>
          <w:color w:val="000000" w:themeColor="text1"/>
          <w:sz w:val="32"/>
          <w:szCs w:val="32"/>
          <w:highlight w:val="none"/>
          <w:u w:val="single"/>
          <w14:textFill>
            <w14:solidFill>
              <w14:schemeClr w14:val="tx1"/>
            </w14:solidFill>
          </w14:textFill>
        </w:rPr>
      </w:pPr>
    </w:p>
    <w:p w14:paraId="7C79DAC6">
      <w:pPr>
        <w:ind w:firstLine="640" w:firstLineChars="200"/>
        <w:rPr>
          <w:color w:val="000000" w:themeColor="text1"/>
          <w:sz w:val="36"/>
          <w:szCs w:val="36"/>
          <w:highlight w:val="none"/>
          <w14:textFill>
            <w14:solidFill>
              <w14:schemeClr w14:val="tx1"/>
            </w14:solidFill>
          </w14:textFill>
        </w:rPr>
      </w:pPr>
      <w:r>
        <w:rPr>
          <w:rFonts w:hint="eastAsia"/>
          <w:color w:val="000000" w:themeColor="text1"/>
          <w:sz w:val="32"/>
          <w:szCs w:val="32"/>
          <w:highlight w:val="none"/>
          <w:u w:val="single"/>
          <w14:textFill>
            <w14:solidFill>
              <w14:schemeClr w14:val="tx1"/>
            </w14:solidFill>
          </w14:textFill>
        </w:rPr>
        <w:t xml:space="preserve">                               </w:t>
      </w:r>
      <w:r>
        <w:rPr>
          <w:rFonts w:hint="eastAsia"/>
          <w:color w:val="000000" w:themeColor="text1"/>
          <w:sz w:val="32"/>
          <w:szCs w:val="32"/>
          <w:highlight w:val="none"/>
          <w14:textFill>
            <w14:solidFill>
              <w14:schemeClr w14:val="tx1"/>
            </w14:solidFill>
          </w14:textFill>
        </w:rPr>
        <w:t>（项目名称）</w:t>
      </w:r>
    </w:p>
    <w:p w14:paraId="7EAE8783">
      <w:pPr>
        <w:rPr>
          <w:color w:val="000000" w:themeColor="text1"/>
          <w:sz w:val="20"/>
          <w:szCs w:val="20"/>
          <w:highlight w:val="none"/>
          <w14:textFill>
            <w14:solidFill>
              <w14:schemeClr w14:val="tx1"/>
            </w14:solidFill>
          </w14:textFill>
        </w:rPr>
      </w:pPr>
    </w:p>
    <w:p w14:paraId="2AFD93C8">
      <w:pPr>
        <w:jc w:val="center"/>
        <w:rPr>
          <w:color w:val="000000" w:themeColor="text1"/>
          <w:sz w:val="56"/>
          <w:szCs w:val="56"/>
          <w:highlight w:val="none"/>
          <w14:textFill>
            <w14:solidFill>
              <w14:schemeClr w14:val="tx1"/>
            </w14:solidFill>
          </w14:textFill>
        </w:rPr>
      </w:pPr>
      <w:bookmarkStart w:id="216" w:name="_Toc8932_WPSOffice_Level1"/>
      <w:bookmarkStart w:id="217" w:name="_Toc21146"/>
      <w:bookmarkStart w:id="218" w:name="_Toc12208"/>
      <w:bookmarkStart w:id="219" w:name="_Toc6237"/>
      <w:bookmarkStart w:id="220" w:name="_Toc31530_WPSOffice_Level1"/>
      <w:bookmarkStart w:id="221" w:name="OLE_LINK19"/>
      <w:bookmarkStart w:id="222" w:name="_Toc23155"/>
    </w:p>
    <w:p w14:paraId="3412407A">
      <w:pPr>
        <w:jc w:val="center"/>
        <w:rPr>
          <w:color w:val="000000" w:themeColor="text1"/>
          <w:sz w:val="20"/>
          <w:szCs w:val="20"/>
          <w:highlight w:val="none"/>
          <w14:textFill>
            <w14:solidFill>
              <w14:schemeClr w14:val="tx1"/>
            </w14:solidFill>
          </w14:textFill>
        </w:rPr>
      </w:pPr>
      <w:r>
        <w:rPr>
          <w:rFonts w:hint="eastAsia"/>
          <w:b/>
          <w:bCs/>
          <w:color w:val="000000" w:themeColor="text1"/>
          <w:sz w:val="56"/>
          <w:szCs w:val="56"/>
          <w:highlight w:val="none"/>
          <w14:textFill>
            <w14:solidFill>
              <w14:schemeClr w14:val="tx1"/>
            </w14:solidFill>
          </w14:textFill>
        </w:rPr>
        <w:t>竞争性磋商响应</w:t>
      </w:r>
      <w:r>
        <w:rPr>
          <w:rFonts w:hint="eastAsia"/>
          <w:b/>
          <w:bCs/>
          <w:color w:val="000000" w:themeColor="text1"/>
          <w:sz w:val="56"/>
          <w:szCs w:val="56"/>
          <w:highlight w:val="none"/>
          <w:lang w:val="zh-CN"/>
          <w14:textFill>
            <w14:solidFill>
              <w14:schemeClr w14:val="tx1"/>
            </w14:solidFill>
          </w14:textFill>
        </w:rPr>
        <w:t>文</w:t>
      </w:r>
      <w:r>
        <w:rPr>
          <w:rFonts w:hint="eastAsia"/>
          <w:color w:val="000000" w:themeColor="text1"/>
          <w:sz w:val="56"/>
          <w:szCs w:val="56"/>
          <w:highlight w:val="none"/>
          <w:lang w:val="zh-CN"/>
          <w14:textFill>
            <w14:solidFill>
              <w14:schemeClr w14:val="tx1"/>
            </w14:solidFill>
          </w14:textFill>
        </w:rPr>
        <w:t>件</w:t>
      </w:r>
      <w:bookmarkEnd w:id="216"/>
      <w:bookmarkEnd w:id="217"/>
      <w:bookmarkEnd w:id="218"/>
      <w:bookmarkEnd w:id="219"/>
      <w:bookmarkEnd w:id="220"/>
      <w:bookmarkEnd w:id="221"/>
      <w:bookmarkEnd w:id="222"/>
    </w:p>
    <w:p w14:paraId="64F5B5D5">
      <w:pPr>
        <w:rPr>
          <w:color w:val="000000" w:themeColor="text1"/>
          <w:sz w:val="20"/>
          <w:szCs w:val="20"/>
          <w:highlight w:val="none"/>
          <w14:textFill>
            <w14:solidFill>
              <w14:schemeClr w14:val="tx1"/>
            </w14:solidFill>
          </w14:textFill>
        </w:rPr>
      </w:pPr>
    </w:p>
    <w:p w14:paraId="78C33B47">
      <w:pPr>
        <w:ind w:firstLine="1760" w:firstLineChars="400"/>
        <w:rPr>
          <w:color w:val="000000" w:themeColor="text1"/>
          <w:sz w:val="44"/>
          <w:szCs w:val="44"/>
          <w:highlight w:val="none"/>
          <w:lang w:val="zh-CN"/>
          <w14:textFill>
            <w14:solidFill>
              <w14:schemeClr w14:val="tx1"/>
            </w14:solidFill>
          </w14:textFill>
        </w:rPr>
      </w:pPr>
      <w:bookmarkStart w:id="223" w:name="_Toc26319"/>
      <w:bookmarkStart w:id="224" w:name="_Toc28392"/>
      <w:bookmarkStart w:id="225" w:name="_Toc147"/>
      <w:bookmarkStart w:id="226" w:name="_Toc459_WPSOffice_Level1"/>
      <w:bookmarkStart w:id="227" w:name="_Toc16239"/>
      <w:bookmarkStart w:id="228" w:name="_Toc20780_WPSOffice_Level1"/>
    </w:p>
    <w:p w14:paraId="2EBDF003">
      <w:pPr>
        <w:ind w:firstLine="1760" w:firstLineChars="400"/>
        <w:rPr>
          <w:color w:val="000000" w:themeColor="text1"/>
          <w:sz w:val="44"/>
          <w:szCs w:val="44"/>
          <w:highlight w:val="none"/>
          <w:lang w:val="zh-CN"/>
          <w14:textFill>
            <w14:solidFill>
              <w14:schemeClr w14:val="tx1"/>
            </w14:solidFill>
          </w14:textFill>
        </w:rPr>
      </w:pPr>
    </w:p>
    <w:p w14:paraId="120D3991">
      <w:pPr>
        <w:ind w:firstLine="1760" w:firstLineChars="400"/>
        <w:rPr>
          <w:color w:val="000000" w:themeColor="text1"/>
          <w:sz w:val="20"/>
          <w:szCs w:val="20"/>
          <w:highlight w:val="none"/>
          <w:u w:val="single"/>
          <w14:textFill>
            <w14:solidFill>
              <w14:schemeClr w14:val="tx1"/>
            </w14:solidFill>
          </w14:textFill>
        </w:rPr>
      </w:pPr>
      <w:r>
        <w:rPr>
          <w:rFonts w:hint="eastAsia"/>
          <w:color w:val="000000" w:themeColor="text1"/>
          <w:sz w:val="44"/>
          <w:szCs w:val="44"/>
          <w:highlight w:val="none"/>
          <w:lang w:val="zh-CN"/>
          <w14:textFill>
            <w14:solidFill>
              <w14:schemeClr w14:val="tx1"/>
            </w14:solidFill>
          </w14:textFill>
        </w:rPr>
        <w:t>项目编号：</w:t>
      </w:r>
      <w:bookmarkEnd w:id="223"/>
      <w:bookmarkEnd w:id="224"/>
      <w:bookmarkEnd w:id="225"/>
      <w:bookmarkEnd w:id="226"/>
      <w:bookmarkEnd w:id="227"/>
      <w:bookmarkEnd w:id="228"/>
      <w:r>
        <w:rPr>
          <w:rFonts w:hint="eastAsia"/>
          <w:color w:val="000000" w:themeColor="text1"/>
          <w:sz w:val="44"/>
          <w:szCs w:val="44"/>
          <w:highlight w:val="none"/>
          <w:u w:val="single"/>
          <w14:textFill>
            <w14:solidFill>
              <w14:schemeClr w14:val="tx1"/>
            </w14:solidFill>
          </w14:textFill>
        </w:rPr>
        <w:t xml:space="preserve">          </w:t>
      </w:r>
    </w:p>
    <w:p w14:paraId="37413CB1">
      <w:pPr>
        <w:rPr>
          <w:color w:val="000000" w:themeColor="text1"/>
          <w:sz w:val="20"/>
          <w:szCs w:val="20"/>
          <w:highlight w:val="none"/>
          <w14:textFill>
            <w14:solidFill>
              <w14:schemeClr w14:val="tx1"/>
            </w14:solidFill>
          </w14:textFill>
        </w:rPr>
      </w:pPr>
    </w:p>
    <w:p w14:paraId="2932F5D4">
      <w:pPr>
        <w:rPr>
          <w:color w:val="000000" w:themeColor="text1"/>
          <w:sz w:val="20"/>
          <w:szCs w:val="20"/>
          <w:highlight w:val="none"/>
          <w14:textFill>
            <w14:solidFill>
              <w14:schemeClr w14:val="tx1"/>
            </w14:solidFill>
          </w14:textFill>
        </w:rPr>
      </w:pPr>
    </w:p>
    <w:p w14:paraId="353F541C">
      <w:pPr>
        <w:rPr>
          <w:color w:val="000000" w:themeColor="text1"/>
          <w:sz w:val="20"/>
          <w:szCs w:val="20"/>
          <w:highlight w:val="none"/>
          <w14:textFill>
            <w14:solidFill>
              <w14:schemeClr w14:val="tx1"/>
            </w14:solidFill>
          </w14:textFill>
        </w:rPr>
      </w:pPr>
    </w:p>
    <w:p w14:paraId="2E7D3E7B">
      <w:pPr>
        <w:rPr>
          <w:color w:val="000000" w:themeColor="text1"/>
          <w:sz w:val="20"/>
          <w:szCs w:val="20"/>
          <w:highlight w:val="none"/>
          <w14:textFill>
            <w14:solidFill>
              <w14:schemeClr w14:val="tx1"/>
            </w14:solidFill>
          </w14:textFill>
        </w:rPr>
      </w:pPr>
    </w:p>
    <w:p w14:paraId="6464FD47">
      <w:pPr>
        <w:rPr>
          <w:color w:val="000000" w:themeColor="text1"/>
          <w:sz w:val="20"/>
          <w:szCs w:val="20"/>
          <w:highlight w:val="none"/>
          <w14:textFill>
            <w14:solidFill>
              <w14:schemeClr w14:val="tx1"/>
            </w14:solidFill>
          </w14:textFill>
        </w:rPr>
      </w:pPr>
    </w:p>
    <w:p w14:paraId="009DBFAE">
      <w:pPr>
        <w:rPr>
          <w:color w:val="000000" w:themeColor="text1"/>
          <w:sz w:val="20"/>
          <w:szCs w:val="20"/>
          <w:highlight w:val="none"/>
          <w14:textFill>
            <w14:solidFill>
              <w14:schemeClr w14:val="tx1"/>
            </w14:solidFill>
          </w14:textFill>
        </w:rPr>
      </w:pPr>
    </w:p>
    <w:p w14:paraId="328B4EAC">
      <w:pPr>
        <w:rPr>
          <w:color w:val="000000" w:themeColor="text1"/>
          <w:sz w:val="20"/>
          <w:szCs w:val="20"/>
          <w:highlight w:val="none"/>
          <w14:textFill>
            <w14:solidFill>
              <w14:schemeClr w14:val="tx1"/>
            </w14:solidFill>
          </w14:textFill>
        </w:rPr>
      </w:pPr>
    </w:p>
    <w:p w14:paraId="0FFF4F4C">
      <w:pPr>
        <w:rPr>
          <w:color w:val="000000" w:themeColor="text1"/>
          <w:sz w:val="20"/>
          <w:szCs w:val="20"/>
          <w:highlight w:val="none"/>
          <w14:textFill>
            <w14:solidFill>
              <w14:schemeClr w14:val="tx1"/>
            </w14:solidFill>
          </w14:textFill>
        </w:rPr>
      </w:pPr>
    </w:p>
    <w:p w14:paraId="55A412F9">
      <w:pPr>
        <w:rPr>
          <w:color w:val="000000" w:themeColor="text1"/>
          <w:sz w:val="20"/>
          <w:szCs w:val="20"/>
          <w:highlight w:val="none"/>
          <w14:textFill>
            <w14:solidFill>
              <w14:schemeClr w14:val="tx1"/>
            </w14:solidFill>
          </w14:textFill>
        </w:rPr>
      </w:pPr>
    </w:p>
    <w:p w14:paraId="6BE81730">
      <w:pPr>
        <w:rPr>
          <w:color w:val="000000" w:themeColor="text1"/>
          <w:sz w:val="20"/>
          <w:szCs w:val="20"/>
          <w:highlight w:val="none"/>
          <w14:textFill>
            <w14:solidFill>
              <w14:schemeClr w14:val="tx1"/>
            </w14:solidFill>
          </w14:textFill>
        </w:rPr>
      </w:pPr>
    </w:p>
    <w:p w14:paraId="484CD4D7">
      <w:pPr>
        <w:jc w:val="center"/>
        <w:rPr>
          <w:color w:val="000000" w:themeColor="text1"/>
          <w:sz w:val="28"/>
          <w:szCs w:val="28"/>
          <w:highlight w:val="none"/>
          <w14:textFill>
            <w14:solidFill>
              <w14:schemeClr w14:val="tx1"/>
            </w14:solidFill>
          </w14:textFill>
        </w:rPr>
      </w:pPr>
      <w:bookmarkStart w:id="229" w:name="_Toc25332"/>
      <w:bookmarkStart w:id="230" w:name="_Toc11262"/>
      <w:bookmarkStart w:id="231" w:name="_Toc3175"/>
      <w:r>
        <w:rPr>
          <w:rFonts w:hint="eastAsia"/>
          <w:color w:val="000000" w:themeColor="text1"/>
          <w:sz w:val="28"/>
          <w:szCs w:val="28"/>
          <w:highlight w:val="none"/>
          <w14:textFill>
            <w14:solidFill>
              <w14:schemeClr w14:val="tx1"/>
            </w14:solidFill>
          </w14:textFill>
        </w:rPr>
        <w:t>供应商：</w:t>
      </w:r>
      <w:r>
        <w:rPr>
          <w:rFonts w:hint="eastAsia"/>
          <w:color w:val="000000" w:themeColor="text1"/>
          <w:sz w:val="28"/>
          <w:szCs w:val="28"/>
          <w:highlight w:val="none"/>
          <w:u w:val="single"/>
          <w14:textFill>
            <w14:solidFill>
              <w14:schemeClr w14:val="tx1"/>
            </w14:solidFill>
          </w14:textFill>
        </w:rPr>
        <w:t xml:space="preserve">                          </w:t>
      </w:r>
      <w:r>
        <w:rPr>
          <w:rFonts w:hint="eastAsia"/>
          <w:color w:val="000000" w:themeColor="text1"/>
          <w:sz w:val="28"/>
          <w:szCs w:val="28"/>
          <w:highlight w:val="none"/>
          <w14:textFill>
            <w14:solidFill>
              <w14:schemeClr w14:val="tx1"/>
            </w14:solidFill>
          </w14:textFill>
        </w:rPr>
        <w:t>（</w:t>
      </w:r>
      <w:r>
        <w:rPr>
          <w:rFonts w:hint="eastAsia"/>
          <w:color w:val="000000" w:themeColor="text1"/>
          <w:sz w:val="28"/>
          <w:szCs w:val="28"/>
          <w:highlight w:val="none"/>
          <w:lang w:eastAsia="zh-CN"/>
          <w14:textFill>
            <w14:solidFill>
              <w14:schemeClr w14:val="tx1"/>
            </w14:solidFill>
          </w14:textFill>
        </w:rPr>
        <w:t>盖单位公章</w:t>
      </w:r>
      <w:r>
        <w:rPr>
          <w:rFonts w:hint="eastAsia"/>
          <w:color w:val="000000" w:themeColor="text1"/>
          <w:sz w:val="28"/>
          <w:szCs w:val="28"/>
          <w:highlight w:val="none"/>
          <w14:textFill>
            <w14:solidFill>
              <w14:schemeClr w14:val="tx1"/>
            </w14:solidFill>
          </w14:textFill>
        </w:rPr>
        <w:t>）</w:t>
      </w:r>
      <w:bookmarkEnd w:id="229"/>
      <w:bookmarkEnd w:id="230"/>
      <w:bookmarkEnd w:id="231"/>
    </w:p>
    <w:p w14:paraId="67E37E4F">
      <w:pPr>
        <w:rPr>
          <w:color w:val="000000" w:themeColor="text1"/>
          <w:sz w:val="28"/>
          <w:szCs w:val="28"/>
          <w:highlight w:val="none"/>
          <w14:textFill>
            <w14:solidFill>
              <w14:schemeClr w14:val="tx1"/>
            </w14:solidFill>
          </w14:textFill>
        </w:rPr>
      </w:pPr>
    </w:p>
    <w:p w14:paraId="4BE7BD62">
      <w:pPr>
        <w:jc w:val="center"/>
        <w:rPr>
          <w:color w:val="000000" w:themeColor="text1"/>
          <w:sz w:val="28"/>
          <w:szCs w:val="28"/>
          <w:highlight w:val="none"/>
          <w14:textFill>
            <w14:solidFill>
              <w14:schemeClr w14:val="tx1"/>
            </w14:solidFill>
          </w14:textFill>
        </w:rPr>
      </w:pPr>
      <w:bookmarkStart w:id="232" w:name="_Toc16905"/>
      <w:bookmarkStart w:id="233" w:name="_Toc10326"/>
      <w:bookmarkStart w:id="234" w:name="_Toc32338"/>
      <w:bookmarkStart w:id="235" w:name="_Toc21675"/>
      <w:r>
        <w:rPr>
          <w:rFonts w:hint="eastAsia"/>
          <w:color w:val="000000" w:themeColor="text1"/>
          <w:sz w:val="28"/>
          <w:szCs w:val="28"/>
          <w:highlight w:val="none"/>
          <w14:textFill>
            <w14:solidFill>
              <w14:schemeClr w14:val="tx1"/>
            </w14:solidFill>
          </w14:textFill>
        </w:rPr>
        <w:t>法定代表人或其委托代理人：</w:t>
      </w:r>
      <w:r>
        <w:rPr>
          <w:rFonts w:hint="eastAsia"/>
          <w:color w:val="000000" w:themeColor="text1"/>
          <w:sz w:val="28"/>
          <w:szCs w:val="28"/>
          <w:highlight w:val="none"/>
          <w:u w:val="single"/>
          <w14:textFill>
            <w14:solidFill>
              <w14:schemeClr w14:val="tx1"/>
            </w14:solidFill>
          </w14:textFill>
        </w:rPr>
        <w:t xml:space="preserve">        </w:t>
      </w:r>
      <w:r>
        <w:rPr>
          <w:rFonts w:hint="eastAsia"/>
          <w:color w:val="000000" w:themeColor="text1"/>
          <w:sz w:val="28"/>
          <w:szCs w:val="28"/>
          <w:highlight w:val="none"/>
          <w14:textFill>
            <w14:solidFill>
              <w14:schemeClr w14:val="tx1"/>
            </w14:solidFill>
          </w14:textFill>
        </w:rPr>
        <w:t>（签    字）</w:t>
      </w:r>
      <w:bookmarkEnd w:id="232"/>
      <w:bookmarkEnd w:id="233"/>
      <w:bookmarkEnd w:id="234"/>
      <w:bookmarkEnd w:id="235"/>
    </w:p>
    <w:p w14:paraId="7386256F">
      <w:pPr>
        <w:rPr>
          <w:color w:val="000000" w:themeColor="text1"/>
          <w:sz w:val="28"/>
          <w:szCs w:val="28"/>
          <w:highlight w:val="none"/>
          <w14:textFill>
            <w14:solidFill>
              <w14:schemeClr w14:val="tx1"/>
            </w14:solidFill>
          </w14:textFill>
        </w:rPr>
      </w:pPr>
    </w:p>
    <w:p w14:paraId="5A55A885">
      <w:pPr>
        <w:rPr>
          <w:color w:val="000000" w:themeColor="text1"/>
          <w:sz w:val="28"/>
          <w:szCs w:val="28"/>
          <w:highlight w:val="none"/>
          <w14:textFill>
            <w14:solidFill>
              <w14:schemeClr w14:val="tx1"/>
            </w14:solidFill>
          </w14:textFill>
        </w:rPr>
      </w:pPr>
      <w:r>
        <w:rPr>
          <w:rFonts w:hint="eastAsia"/>
          <w:color w:val="000000" w:themeColor="text1"/>
          <w:sz w:val="28"/>
          <w:szCs w:val="28"/>
          <w:highlight w:val="none"/>
          <w14:textFill>
            <w14:solidFill>
              <w14:schemeClr w14:val="tx1"/>
            </w14:solidFill>
          </w14:textFill>
        </w:rPr>
        <w:t xml:space="preserve">                                           </w:t>
      </w:r>
    </w:p>
    <w:p w14:paraId="79CCFEFD">
      <w:pPr>
        <w:ind w:firstLine="2520" w:firstLineChars="900"/>
        <w:rPr>
          <w:color w:val="000000" w:themeColor="text1"/>
          <w:sz w:val="28"/>
          <w:szCs w:val="28"/>
          <w:highlight w:val="none"/>
          <w14:textFill>
            <w14:solidFill>
              <w14:schemeClr w14:val="tx1"/>
            </w14:solidFill>
          </w14:textFill>
        </w:rPr>
        <w:sectPr>
          <w:footerReference r:id="rId14" w:type="default"/>
          <w:pgSz w:w="11905" w:h="16838"/>
          <w:pgMar w:top="1440" w:right="1803" w:bottom="1440" w:left="1803" w:header="1140" w:footer="720" w:gutter="0"/>
          <w:pgNumType w:fmt="decimal"/>
          <w:cols w:space="0" w:num="1"/>
          <w:docGrid w:type="lines" w:linePitch="317" w:charSpace="0"/>
        </w:sectPr>
      </w:pPr>
      <w:bookmarkStart w:id="236" w:name="_Toc30155"/>
      <w:bookmarkStart w:id="237" w:name="_Toc14601"/>
      <w:bookmarkStart w:id="238" w:name="_Toc19569"/>
      <w:r>
        <w:rPr>
          <w:rFonts w:hint="eastAsia"/>
          <w:color w:val="000000" w:themeColor="text1"/>
          <w:sz w:val="28"/>
          <w:szCs w:val="28"/>
          <w:highlight w:val="none"/>
          <w:u w:val="single"/>
          <w14:textFill>
            <w14:solidFill>
              <w14:schemeClr w14:val="tx1"/>
            </w14:solidFill>
          </w14:textFill>
        </w:rPr>
        <w:t xml:space="preserve">    </w:t>
      </w:r>
      <w:r>
        <w:rPr>
          <w:rFonts w:hint="eastAsia"/>
          <w:color w:val="000000" w:themeColor="text1"/>
          <w:sz w:val="28"/>
          <w:szCs w:val="28"/>
          <w:highlight w:val="none"/>
          <w14:textFill>
            <w14:solidFill>
              <w14:schemeClr w14:val="tx1"/>
            </w14:solidFill>
          </w14:textFill>
        </w:rPr>
        <w:t>年</w:t>
      </w:r>
      <w:r>
        <w:rPr>
          <w:rFonts w:hint="eastAsia"/>
          <w:color w:val="000000" w:themeColor="text1"/>
          <w:sz w:val="28"/>
          <w:szCs w:val="28"/>
          <w:highlight w:val="none"/>
          <w:u w:val="single"/>
          <w14:textFill>
            <w14:solidFill>
              <w14:schemeClr w14:val="tx1"/>
            </w14:solidFill>
          </w14:textFill>
        </w:rPr>
        <w:t xml:space="preserve">    </w:t>
      </w:r>
      <w:r>
        <w:rPr>
          <w:rFonts w:hint="eastAsia"/>
          <w:color w:val="000000" w:themeColor="text1"/>
          <w:sz w:val="28"/>
          <w:szCs w:val="28"/>
          <w:highlight w:val="none"/>
          <w14:textFill>
            <w14:solidFill>
              <w14:schemeClr w14:val="tx1"/>
            </w14:solidFill>
          </w14:textFill>
        </w:rPr>
        <w:t>月</w:t>
      </w:r>
      <w:r>
        <w:rPr>
          <w:rFonts w:hint="eastAsia"/>
          <w:color w:val="000000" w:themeColor="text1"/>
          <w:sz w:val="28"/>
          <w:szCs w:val="28"/>
          <w:highlight w:val="none"/>
          <w:u w:val="single"/>
          <w14:textFill>
            <w14:solidFill>
              <w14:schemeClr w14:val="tx1"/>
            </w14:solidFill>
          </w14:textFill>
        </w:rPr>
        <w:t xml:space="preserve">    </w:t>
      </w:r>
      <w:r>
        <w:rPr>
          <w:rFonts w:hint="eastAsia"/>
          <w:color w:val="000000" w:themeColor="text1"/>
          <w:sz w:val="28"/>
          <w:szCs w:val="28"/>
          <w:highlight w:val="none"/>
          <w14:textFill>
            <w14:solidFill>
              <w14:schemeClr w14:val="tx1"/>
            </w14:solidFill>
          </w14:textFill>
        </w:rPr>
        <w:t>日</w:t>
      </w:r>
      <w:bookmarkEnd w:id="236"/>
      <w:bookmarkEnd w:id="237"/>
      <w:bookmarkEnd w:id="238"/>
    </w:p>
    <w:p w14:paraId="30D4D2A8">
      <w:pPr>
        <w:spacing w:line="360" w:lineRule="auto"/>
        <w:jc w:val="center"/>
        <w:rPr>
          <w:rFonts w:ascii="宋体" w:hAnsi="宋体"/>
          <w:b/>
          <w:color w:val="000000" w:themeColor="text1"/>
          <w:sz w:val="44"/>
          <w:szCs w:val="44"/>
          <w:highlight w:val="none"/>
          <w14:textFill>
            <w14:solidFill>
              <w14:schemeClr w14:val="tx1"/>
            </w14:solidFill>
          </w14:textFill>
        </w:rPr>
      </w:pPr>
      <w:r>
        <w:rPr>
          <w:rFonts w:hint="eastAsia" w:ascii="宋体" w:hAnsi="宋体"/>
          <w:b/>
          <w:color w:val="000000" w:themeColor="text1"/>
          <w:sz w:val="44"/>
          <w:szCs w:val="44"/>
          <w:highlight w:val="none"/>
          <w14:textFill>
            <w14:solidFill>
              <w14:schemeClr w14:val="tx1"/>
            </w14:solidFill>
          </w14:textFill>
        </w:rPr>
        <w:t>目  录</w:t>
      </w:r>
    </w:p>
    <w:p w14:paraId="0013555E">
      <w:pPr>
        <w:spacing w:line="360" w:lineRule="auto"/>
        <w:jc w:val="center"/>
        <w:rPr>
          <w:rFonts w:ascii="宋体" w:hAnsi="宋体"/>
          <w:b/>
          <w:color w:val="000000" w:themeColor="text1"/>
          <w:sz w:val="32"/>
          <w:szCs w:val="32"/>
          <w:highlight w:val="none"/>
          <w14:textFill>
            <w14:solidFill>
              <w14:schemeClr w14:val="tx1"/>
            </w14:solidFill>
          </w14:textFill>
        </w:rPr>
      </w:pPr>
    </w:p>
    <w:p w14:paraId="7D245851">
      <w:pPr>
        <w:spacing w:line="50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一、磋商函</w:t>
      </w:r>
    </w:p>
    <w:p w14:paraId="00581205">
      <w:pPr>
        <w:spacing w:line="50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二、法定代表人（负责人）身份证明及授权委托书</w:t>
      </w:r>
    </w:p>
    <w:p w14:paraId="2614133B">
      <w:pPr>
        <w:spacing w:line="50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三、磋商保证金</w:t>
      </w:r>
    </w:p>
    <w:p w14:paraId="238C7720">
      <w:pPr>
        <w:spacing w:line="500" w:lineRule="exact"/>
        <w:ind w:firstLine="480" w:firstLineChars="200"/>
        <w:rPr>
          <w:rFonts w:hint="eastAsia" w:ascii="宋体" w:hAnsi="宋体" w:eastAsia="宋体"/>
          <w:color w:val="000000" w:themeColor="text1"/>
          <w:sz w:val="24"/>
          <w:szCs w:val="24"/>
          <w:highlight w:val="none"/>
          <w:lang w:eastAsia="zh-CN"/>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四、磋商报价</w:t>
      </w:r>
      <w:r>
        <w:rPr>
          <w:rFonts w:hint="eastAsia" w:ascii="宋体" w:hAnsi="宋体"/>
          <w:color w:val="000000" w:themeColor="text1"/>
          <w:sz w:val="24"/>
          <w:szCs w:val="24"/>
          <w:highlight w:val="none"/>
          <w:lang w:eastAsia="zh-CN"/>
          <w14:textFill>
            <w14:solidFill>
              <w14:schemeClr w14:val="tx1"/>
            </w14:solidFill>
          </w14:textFill>
        </w:rPr>
        <w:t>表</w:t>
      </w:r>
    </w:p>
    <w:p w14:paraId="50F95E78">
      <w:pPr>
        <w:spacing w:line="50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五、服务内容及标准偏离表</w:t>
      </w:r>
    </w:p>
    <w:p w14:paraId="1F9A638B">
      <w:pPr>
        <w:spacing w:line="50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六、供应商符合供应商资格条件的证明文件</w:t>
      </w:r>
    </w:p>
    <w:p w14:paraId="607BD380">
      <w:pPr>
        <w:spacing w:line="50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七、技术方案</w:t>
      </w:r>
    </w:p>
    <w:p w14:paraId="627C6D9A">
      <w:pPr>
        <w:spacing w:line="50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八、供应商认为需提供的其他资料</w:t>
      </w:r>
    </w:p>
    <w:p w14:paraId="2F8DEC08">
      <w:pPr>
        <w:spacing w:line="500" w:lineRule="exact"/>
        <w:ind w:firstLine="480" w:firstLineChars="200"/>
        <w:rPr>
          <w:rFonts w:ascii="宋体" w:hAnsi="宋体"/>
          <w:color w:val="000000" w:themeColor="text1"/>
          <w:sz w:val="24"/>
          <w:szCs w:val="24"/>
          <w:highlight w:val="none"/>
          <w14:textFill>
            <w14:solidFill>
              <w14:schemeClr w14:val="tx1"/>
            </w14:solidFill>
          </w14:textFill>
        </w:rPr>
      </w:pPr>
    </w:p>
    <w:p w14:paraId="71B0AE2E">
      <w:pPr>
        <w:spacing w:line="500" w:lineRule="exact"/>
        <w:ind w:firstLine="480" w:firstLineChars="200"/>
        <w:rPr>
          <w:rFonts w:ascii="宋体" w:hAnsi="宋体"/>
          <w:color w:val="000000" w:themeColor="text1"/>
          <w:sz w:val="24"/>
          <w:szCs w:val="24"/>
          <w:highlight w:val="none"/>
          <w14:textFill>
            <w14:solidFill>
              <w14:schemeClr w14:val="tx1"/>
            </w14:solidFill>
          </w14:textFill>
        </w:rPr>
      </w:pPr>
    </w:p>
    <w:p w14:paraId="4E5FB8CB">
      <w:pPr>
        <w:spacing w:line="500" w:lineRule="exact"/>
        <w:jc w:val="center"/>
        <w:rPr>
          <w:rFonts w:ascii="宋体" w:hAnsi="宋体"/>
          <w:b/>
          <w:color w:val="000000" w:themeColor="text1"/>
          <w:sz w:val="24"/>
          <w:szCs w:val="24"/>
          <w:highlight w:val="none"/>
          <w14:textFill>
            <w14:solidFill>
              <w14:schemeClr w14:val="tx1"/>
            </w14:solidFill>
          </w14:textFill>
        </w:rPr>
      </w:pPr>
    </w:p>
    <w:p w14:paraId="53243DCA">
      <w:pPr>
        <w:spacing w:line="500" w:lineRule="exact"/>
        <w:ind w:firstLine="482" w:firstLineChars="200"/>
        <w:jc w:val="left"/>
        <w:rPr>
          <w:rFonts w:ascii="宋体" w:hAnsi="宋体" w:cs="宋体"/>
          <w:b/>
          <w:color w:val="000000" w:themeColor="text1"/>
          <w:sz w:val="24"/>
          <w:szCs w:val="24"/>
          <w:highlight w:val="none"/>
          <w14:textFill>
            <w14:solidFill>
              <w14:schemeClr w14:val="tx1"/>
            </w14:solidFill>
          </w14:textFill>
        </w:rPr>
      </w:pPr>
      <w:r>
        <w:rPr>
          <w:rFonts w:hint="eastAsia" w:ascii="宋体" w:hAnsi="宋体" w:cs="宋体"/>
          <w:b/>
          <w:color w:val="000000" w:themeColor="text1"/>
          <w:sz w:val="24"/>
          <w:szCs w:val="24"/>
          <w:highlight w:val="none"/>
          <w14:textFill>
            <w14:solidFill>
              <w14:schemeClr w14:val="tx1"/>
            </w14:solidFill>
          </w14:textFill>
        </w:rPr>
        <w:t>备注：响应文件及目录必须编制页码。</w:t>
      </w:r>
    </w:p>
    <w:p w14:paraId="155D4131">
      <w:pPr>
        <w:spacing w:line="360" w:lineRule="auto"/>
        <w:jc w:val="left"/>
        <w:rPr>
          <w:rFonts w:ascii="宋体" w:hAnsi="宋体"/>
          <w:b/>
          <w:color w:val="000000" w:themeColor="text1"/>
          <w:highlight w:val="none"/>
          <w14:textFill>
            <w14:solidFill>
              <w14:schemeClr w14:val="tx1"/>
            </w14:solidFill>
          </w14:textFill>
        </w:rPr>
      </w:pPr>
    </w:p>
    <w:p w14:paraId="61DB6926">
      <w:pPr>
        <w:pStyle w:val="19"/>
        <w:spacing w:line="360" w:lineRule="auto"/>
        <w:ind w:firstLine="420" w:firstLineChars="200"/>
        <w:rPr>
          <w:rFonts w:hAnsi="宋体" w:cs="Times New Roman"/>
          <w:color w:val="000000" w:themeColor="text1"/>
          <w:highlight w:val="none"/>
          <w14:textFill>
            <w14:solidFill>
              <w14:schemeClr w14:val="tx1"/>
            </w14:solidFill>
          </w14:textFill>
        </w:rPr>
        <w:sectPr>
          <w:pgSz w:w="11905" w:h="16838"/>
          <w:pgMar w:top="1440" w:right="1803" w:bottom="1440" w:left="1803" w:header="1140" w:footer="720" w:gutter="0"/>
          <w:pgNumType w:fmt="decimal"/>
          <w:cols w:space="0" w:num="1"/>
          <w:docGrid w:type="lines" w:linePitch="317" w:charSpace="0"/>
        </w:sectPr>
      </w:pPr>
    </w:p>
    <w:p w14:paraId="7137021F">
      <w:pPr>
        <w:spacing w:line="360" w:lineRule="auto"/>
        <w:jc w:val="center"/>
        <w:outlineLvl w:val="1"/>
        <w:rPr>
          <w:rFonts w:cs="Times New Roman"/>
          <w:b/>
          <w:bCs/>
          <w:color w:val="000000" w:themeColor="text1"/>
          <w:sz w:val="32"/>
          <w:szCs w:val="32"/>
          <w:highlight w:val="none"/>
          <w14:textFill>
            <w14:solidFill>
              <w14:schemeClr w14:val="tx1"/>
            </w14:solidFill>
          </w14:textFill>
        </w:rPr>
      </w:pPr>
      <w:bookmarkStart w:id="239" w:name="_Toc4018"/>
      <w:bookmarkStart w:id="240" w:name="_Toc21555"/>
      <w:bookmarkStart w:id="241" w:name="_Toc32405"/>
      <w:bookmarkStart w:id="242" w:name="_Toc4909"/>
      <w:bookmarkStart w:id="243" w:name="_Toc24738"/>
      <w:r>
        <w:rPr>
          <w:rFonts w:hint="eastAsia" w:cs="宋体"/>
          <w:b/>
          <w:bCs/>
          <w:color w:val="000000" w:themeColor="text1"/>
          <w:sz w:val="32"/>
          <w:szCs w:val="32"/>
          <w:highlight w:val="none"/>
          <w14:textFill>
            <w14:solidFill>
              <w14:schemeClr w14:val="tx1"/>
            </w14:solidFill>
          </w14:textFill>
        </w:rPr>
        <w:t>一、磋商函</w:t>
      </w:r>
      <w:bookmarkEnd w:id="239"/>
      <w:bookmarkEnd w:id="240"/>
      <w:bookmarkEnd w:id="241"/>
      <w:bookmarkEnd w:id="242"/>
      <w:bookmarkEnd w:id="243"/>
    </w:p>
    <w:p w14:paraId="5D4F5668">
      <w:pPr>
        <w:pStyle w:val="19"/>
        <w:spacing w:line="360" w:lineRule="auto"/>
        <w:rPr>
          <w:rFonts w:hAnsi="宋体" w:cs="Times New Roman"/>
          <w:color w:val="000000" w:themeColor="text1"/>
          <w:highlight w:val="none"/>
          <w14:textFill>
            <w14:solidFill>
              <w14:schemeClr w14:val="tx1"/>
            </w14:solidFill>
          </w14:textFill>
        </w:rPr>
      </w:pPr>
    </w:p>
    <w:p w14:paraId="2136283B">
      <w:pPr>
        <w:spacing w:line="360" w:lineRule="auto"/>
        <w:rPr>
          <w:rFonts w:ascii="宋体" w:hAnsi="宋体"/>
          <w:color w:val="000000" w:themeColor="text1"/>
          <w:sz w:val="24"/>
          <w:szCs w:val="24"/>
          <w:highlight w:val="none"/>
          <w14:textFill>
            <w14:solidFill>
              <w14:schemeClr w14:val="tx1"/>
            </w14:solidFill>
          </w14:textFill>
        </w:rPr>
      </w:pPr>
      <w:bookmarkStart w:id="244" w:name="_Toc466454741"/>
      <w:bookmarkStart w:id="245" w:name="_Toc465257490"/>
      <w:bookmarkStart w:id="246" w:name="_Toc466466385"/>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 xml:space="preserve">（采购人名称）: </w:t>
      </w:r>
    </w:p>
    <w:p w14:paraId="2D660073">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1．我方已仔细研究了</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（项目名称）竞争性磋商文件的全部内容，愿意以</w:t>
      </w:r>
      <w:r>
        <w:rPr>
          <w:rFonts w:hint="eastAsia"/>
          <w:color w:val="000000" w:themeColor="text1"/>
          <w:sz w:val="24"/>
          <w:szCs w:val="24"/>
          <w:highlight w:val="none"/>
          <w14:textFill>
            <w14:solidFill>
              <w14:schemeClr w14:val="tx1"/>
            </w14:solidFill>
          </w14:textFill>
        </w:rPr>
        <w:t>第二轮的最终报价做为本项目的</w:t>
      </w:r>
      <w:r>
        <w:rPr>
          <w:rFonts w:hint="eastAsia" w:ascii="宋体" w:hAnsi="宋体"/>
          <w:color w:val="000000" w:themeColor="text1"/>
          <w:sz w:val="24"/>
          <w:szCs w:val="24"/>
          <w:highlight w:val="none"/>
          <w14:textFill>
            <w14:solidFill>
              <w14:schemeClr w14:val="tx1"/>
            </w14:solidFill>
          </w14:textFill>
        </w:rPr>
        <w:t>磋商总报价，合同履行期限</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，按合同约定实施和完成承包服务项目，服务质量达到</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 xml:space="preserve"> 要求。</w:t>
      </w:r>
    </w:p>
    <w:p w14:paraId="4CF525CA">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2．我方承诺磋商有效期为</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日历天，在磋商有效期内不修改、</w:t>
      </w:r>
      <w:r>
        <w:rPr>
          <w:rFonts w:hint="eastAsia" w:ascii="宋体" w:hAnsi="宋体"/>
          <w:color w:val="000000" w:themeColor="text1"/>
          <w:sz w:val="24"/>
          <w:szCs w:val="24"/>
          <w:highlight w:val="none"/>
          <w:lang w:eastAsia="zh-CN"/>
          <w14:textFill>
            <w14:solidFill>
              <w14:schemeClr w14:val="tx1"/>
            </w14:solidFill>
          </w14:textFill>
        </w:rPr>
        <w:t>不</w:t>
      </w:r>
      <w:r>
        <w:rPr>
          <w:rFonts w:hint="eastAsia" w:ascii="宋体" w:hAnsi="宋体"/>
          <w:color w:val="000000" w:themeColor="text1"/>
          <w:sz w:val="24"/>
          <w:szCs w:val="24"/>
          <w:highlight w:val="none"/>
          <w14:textFill>
            <w14:solidFill>
              <w14:schemeClr w14:val="tx1"/>
            </w14:solidFill>
          </w14:textFill>
        </w:rPr>
        <w:t>撤销响应文件。</w:t>
      </w:r>
    </w:p>
    <w:p w14:paraId="047CAF3D">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3．随同本磋商响应函递交磋商响应保证金一份，金额为人民币（大写）</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元（</w:t>
      </w:r>
      <w:r>
        <w:rPr>
          <w:rFonts w:hint="eastAsia" w:ascii="宋体" w:hAnsi="宋体"/>
          <w:color w:val="000000" w:themeColor="text1"/>
          <w:sz w:val="24"/>
          <w:szCs w:val="24"/>
          <w:highlight w:val="none"/>
          <w:lang w:eastAsia="zh-CN"/>
          <w14:textFill>
            <w14:solidFill>
              <w14:schemeClr w14:val="tx1"/>
            </w14:solidFill>
          </w14:textFill>
        </w:rPr>
        <w:t>¥</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w:t>
      </w:r>
    </w:p>
    <w:p w14:paraId="24E65B7F">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4．如我方成交：</w:t>
      </w:r>
    </w:p>
    <w:p w14:paraId="1629A98D">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(l）我方承诺在收到成交通知书后，在成交通知书规定的期限内与你方签订合同。</w:t>
      </w:r>
    </w:p>
    <w:p w14:paraId="5BAAE423">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(2）随同本磋商响应函递交的磋商响应函附录属于合同文件的组成部分。</w:t>
      </w:r>
    </w:p>
    <w:p w14:paraId="36320A7A">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(3）我方承诺按照竞争性磋商文件规定向你方递交履约担保。</w:t>
      </w:r>
    </w:p>
    <w:p w14:paraId="04DB2C2D">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(4）我方承诺在合同约定的期限内完成全部合同内容。</w:t>
      </w:r>
    </w:p>
    <w:p w14:paraId="4D148460">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5．我方在此声明，所递交的响应文件及有关资料内容完整、真实和准确，且不存在第二章“供应商须知”第1.4.3 项规定的任何一种情形。</w:t>
      </w:r>
    </w:p>
    <w:p w14:paraId="26A144E3">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 xml:space="preserve">6. </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（其他补充说明）。</w:t>
      </w:r>
    </w:p>
    <w:p w14:paraId="6AC6D5A7">
      <w:pPr>
        <w:spacing w:line="360" w:lineRule="auto"/>
        <w:jc w:val="righ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供应商：</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w:t>
      </w:r>
      <w:r>
        <w:rPr>
          <w:rFonts w:hint="eastAsia" w:ascii="宋体" w:hAnsi="宋体"/>
          <w:color w:val="000000" w:themeColor="text1"/>
          <w:sz w:val="24"/>
          <w:szCs w:val="24"/>
          <w:highlight w:val="none"/>
          <w:lang w:eastAsia="zh-CN"/>
          <w14:textFill>
            <w14:solidFill>
              <w14:schemeClr w14:val="tx1"/>
            </w14:solidFill>
          </w14:textFill>
        </w:rPr>
        <w:t>盖单位公章</w:t>
      </w:r>
      <w:r>
        <w:rPr>
          <w:rFonts w:hint="eastAsia" w:ascii="宋体" w:hAnsi="宋体"/>
          <w:color w:val="000000" w:themeColor="text1"/>
          <w:sz w:val="24"/>
          <w:szCs w:val="24"/>
          <w:highlight w:val="none"/>
          <w14:textFill>
            <w14:solidFill>
              <w14:schemeClr w14:val="tx1"/>
            </w14:solidFill>
          </w14:textFill>
        </w:rPr>
        <w:t>）</w:t>
      </w:r>
    </w:p>
    <w:p w14:paraId="08F638CE">
      <w:pPr>
        <w:spacing w:line="360" w:lineRule="auto"/>
        <w:jc w:val="righ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法定代表人（负责人）或其委托代理人：</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（签字）</w:t>
      </w:r>
    </w:p>
    <w:p w14:paraId="148F5652">
      <w:pPr>
        <w:spacing w:line="360" w:lineRule="auto"/>
        <w:ind w:firstLine="2940" w:firstLineChars="1225"/>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地    址：</w:t>
      </w:r>
      <w:r>
        <w:rPr>
          <w:rFonts w:hint="eastAsia" w:ascii="宋体" w:hAnsi="宋体"/>
          <w:color w:val="000000" w:themeColor="text1"/>
          <w:sz w:val="24"/>
          <w:szCs w:val="24"/>
          <w:highlight w:val="none"/>
          <w:u w:val="single"/>
          <w14:textFill>
            <w14:solidFill>
              <w14:schemeClr w14:val="tx1"/>
            </w14:solidFill>
          </w14:textFill>
        </w:rPr>
        <w:t xml:space="preserve">                                        </w:t>
      </w:r>
    </w:p>
    <w:p w14:paraId="49E92201">
      <w:pPr>
        <w:spacing w:line="360" w:lineRule="auto"/>
        <w:ind w:firstLine="2940" w:firstLineChars="1225"/>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网    址：</w:t>
      </w:r>
      <w:r>
        <w:rPr>
          <w:rFonts w:hint="eastAsia" w:ascii="宋体" w:hAnsi="宋体"/>
          <w:color w:val="000000" w:themeColor="text1"/>
          <w:sz w:val="24"/>
          <w:szCs w:val="24"/>
          <w:highlight w:val="none"/>
          <w:u w:val="single"/>
          <w14:textFill>
            <w14:solidFill>
              <w14:schemeClr w14:val="tx1"/>
            </w14:solidFill>
          </w14:textFill>
        </w:rPr>
        <w:t xml:space="preserve">                                        </w:t>
      </w:r>
    </w:p>
    <w:p w14:paraId="25AAABC9">
      <w:pPr>
        <w:spacing w:line="360" w:lineRule="auto"/>
        <w:ind w:firstLine="2940" w:firstLineChars="1225"/>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电    话：</w:t>
      </w:r>
      <w:r>
        <w:rPr>
          <w:rFonts w:hint="eastAsia" w:ascii="宋体" w:hAnsi="宋体"/>
          <w:color w:val="000000" w:themeColor="text1"/>
          <w:sz w:val="24"/>
          <w:szCs w:val="24"/>
          <w:highlight w:val="none"/>
          <w:u w:val="single"/>
          <w14:textFill>
            <w14:solidFill>
              <w14:schemeClr w14:val="tx1"/>
            </w14:solidFill>
          </w14:textFill>
        </w:rPr>
        <w:t xml:space="preserve">                                        </w:t>
      </w:r>
    </w:p>
    <w:p w14:paraId="727324F4">
      <w:pPr>
        <w:spacing w:line="360" w:lineRule="auto"/>
        <w:ind w:firstLine="2940" w:firstLineChars="1225"/>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传    真：</w:t>
      </w:r>
      <w:r>
        <w:rPr>
          <w:rFonts w:hint="eastAsia" w:ascii="宋体" w:hAnsi="宋体"/>
          <w:color w:val="000000" w:themeColor="text1"/>
          <w:sz w:val="24"/>
          <w:szCs w:val="24"/>
          <w:highlight w:val="none"/>
          <w:u w:val="single"/>
          <w14:textFill>
            <w14:solidFill>
              <w14:schemeClr w14:val="tx1"/>
            </w14:solidFill>
          </w14:textFill>
        </w:rPr>
        <w:t xml:space="preserve">                                        </w:t>
      </w:r>
    </w:p>
    <w:p w14:paraId="32603B96">
      <w:pPr>
        <w:spacing w:line="360" w:lineRule="auto"/>
        <w:ind w:firstLine="2940" w:firstLineChars="1225"/>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邮政编码：</w:t>
      </w:r>
      <w:r>
        <w:rPr>
          <w:rFonts w:hint="eastAsia" w:ascii="宋体" w:hAnsi="宋体"/>
          <w:color w:val="000000" w:themeColor="text1"/>
          <w:sz w:val="24"/>
          <w:szCs w:val="24"/>
          <w:highlight w:val="none"/>
          <w:u w:val="single"/>
          <w14:textFill>
            <w14:solidFill>
              <w14:schemeClr w14:val="tx1"/>
            </w14:solidFill>
          </w14:textFill>
        </w:rPr>
        <w:t xml:space="preserve">                                        </w:t>
      </w:r>
    </w:p>
    <w:p w14:paraId="3A5C6AAB">
      <w:pPr>
        <w:spacing w:line="360" w:lineRule="auto"/>
        <w:ind w:firstLine="4569" w:firstLineChars="1904"/>
        <w:jc w:val="right"/>
        <w:rPr>
          <w:rFonts w:ascii="宋体" w:hAnsi="宋体"/>
          <w:color w:val="000000" w:themeColor="text1"/>
          <w:highlight w:val="none"/>
          <w14:textFill>
            <w14:solidFill>
              <w14:schemeClr w14:val="tx1"/>
            </w14:solidFill>
          </w14:textFill>
        </w:rPr>
        <w:sectPr>
          <w:pgSz w:w="11905" w:h="16838"/>
          <w:pgMar w:top="1440" w:right="1803" w:bottom="1440" w:left="1803" w:header="1140" w:footer="720" w:gutter="0"/>
          <w:pgNumType w:fmt="decimal"/>
          <w:cols w:space="0" w:num="1"/>
          <w:docGrid w:type="lines" w:linePitch="317" w:charSpace="0"/>
        </w:sectPr>
      </w:pPr>
      <w:r>
        <w:rPr>
          <w:rFonts w:hint="eastAsia" w:ascii="宋体" w:hAnsi="宋体"/>
          <w:color w:val="000000" w:themeColor="text1"/>
          <w:sz w:val="24"/>
          <w:szCs w:val="24"/>
          <w:highlight w:val="none"/>
          <w:lang w:eastAsia="zh-CN"/>
          <w14:textFill>
            <w14:solidFill>
              <w14:schemeClr w14:val="tx1"/>
            </w14:solidFill>
          </w14:textFill>
        </w:rPr>
        <w:t>日期：</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年</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月</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日</w:t>
      </w:r>
    </w:p>
    <w:bookmarkEnd w:id="244"/>
    <w:bookmarkEnd w:id="245"/>
    <w:bookmarkEnd w:id="246"/>
    <w:p w14:paraId="238A2339">
      <w:pPr>
        <w:spacing w:line="360" w:lineRule="auto"/>
        <w:ind w:firstLine="643" w:firstLineChars="200"/>
        <w:jc w:val="center"/>
        <w:outlineLvl w:val="1"/>
        <w:rPr>
          <w:rFonts w:ascii="宋体" w:cs="Times New Roman"/>
          <w:b/>
          <w:bCs/>
          <w:color w:val="000000" w:themeColor="text1"/>
          <w:sz w:val="32"/>
          <w:szCs w:val="32"/>
          <w:highlight w:val="none"/>
          <w14:textFill>
            <w14:solidFill>
              <w14:schemeClr w14:val="tx1"/>
            </w14:solidFill>
          </w14:textFill>
        </w:rPr>
      </w:pPr>
      <w:bookmarkStart w:id="247" w:name="_Toc21044"/>
      <w:bookmarkStart w:id="248" w:name="_Toc16771"/>
      <w:bookmarkStart w:id="249" w:name="_Toc18357"/>
      <w:bookmarkStart w:id="250" w:name="_Toc32622"/>
      <w:bookmarkStart w:id="251" w:name="_Toc23726"/>
      <w:r>
        <w:rPr>
          <w:rFonts w:hint="eastAsia" w:cs="宋体"/>
          <w:b/>
          <w:bCs/>
          <w:color w:val="000000" w:themeColor="text1"/>
          <w:sz w:val="32"/>
          <w:szCs w:val="32"/>
          <w:highlight w:val="none"/>
          <w14:textFill>
            <w14:solidFill>
              <w14:schemeClr w14:val="tx1"/>
            </w14:solidFill>
          </w14:textFill>
        </w:rPr>
        <w:t>二、</w:t>
      </w:r>
      <w:bookmarkEnd w:id="247"/>
      <w:bookmarkEnd w:id="248"/>
      <w:bookmarkEnd w:id="249"/>
      <w:bookmarkEnd w:id="250"/>
      <w:r>
        <w:rPr>
          <w:rFonts w:hint="eastAsia" w:cs="宋体"/>
          <w:b/>
          <w:bCs/>
          <w:color w:val="000000" w:themeColor="text1"/>
          <w:sz w:val="32"/>
          <w:szCs w:val="32"/>
          <w:highlight w:val="none"/>
          <w14:textFill>
            <w14:solidFill>
              <w14:schemeClr w14:val="tx1"/>
            </w14:solidFill>
          </w14:textFill>
        </w:rPr>
        <w:t>法定代表人身份证明及授权委托书</w:t>
      </w:r>
      <w:bookmarkEnd w:id="251"/>
    </w:p>
    <w:p w14:paraId="57C926DE">
      <w:pPr>
        <w:spacing w:line="360" w:lineRule="auto"/>
        <w:ind w:left="0" w:leftChars="0" w:firstLine="0" w:firstLineChars="0"/>
        <w:jc w:val="center"/>
        <w:rPr>
          <w:rFonts w:ascii="宋体" w:hAnsi="宋体"/>
          <w:color w:val="000000" w:themeColor="text1"/>
          <w:highlight w:val="none"/>
          <w14:textFill>
            <w14:solidFill>
              <w14:schemeClr w14:val="tx1"/>
            </w14:solidFill>
          </w14:textFill>
        </w:rPr>
      </w:pPr>
      <w:r>
        <w:rPr>
          <w:rFonts w:hint="eastAsia" w:ascii="宋体" w:hAnsi="宋体"/>
          <w:b/>
          <w:bCs/>
          <w:color w:val="000000" w:themeColor="text1"/>
          <w:sz w:val="24"/>
          <w:szCs w:val="24"/>
          <w:highlight w:val="none"/>
          <w14:textFill>
            <w14:solidFill>
              <w14:schemeClr w14:val="tx1"/>
            </w14:solidFill>
          </w14:textFill>
        </w:rPr>
        <w:t>（一）</w:t>
      </w:r>
      <w:r>
        <w:rPr>
          <w:rFonts w:hint="eastAsia" w:ascii="宋体" w:hAnsi="宋体"/>
          <w:b/>
          <w:bCs/>
          <w:color w:val="000000" w:themeColor="text1"/>
          <w:sz w:val="28"/>
          <w:szCs w:val="28"/>
          <w:highlight w:val="none"/>
          <w14:textFill>
            <w14:solidFill>
              <w14:schemeClr w14:val="tx1"/>
            </w14:solidFill>
          </w14:textFill>
        </w:rPr>
        <w:t>法定代表人身份证明</w:t>
      </w:r>
    </w:p>
    <w:p w14:paraId="42E2BB1B">
      <w:pPr>
        <w:spacing w:line="360" w:lineRule="auto"/>
        <w:ind w:firstLine="420" w:firstLineChars="200"/>
        <w:rPr>
          <w:rFonts w:ascii="宋体" w:hAnsi="宋体"/>
          <w:color w:val="000000" w:themeColor="text1"/>
          <w:highlight w:val="none"/>
          <w14:textFill>
            <w14:solidFill>
              <w14:schemeClr w14:val="tx1"/>
            </w14:solidFill>
          </w14:textFill>
        </w:rPr>
      </w:pPr>
    </w:p>
    <w:p w14:paraId="48D93F40">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供应商名称：</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 xml:space="preserve"> </w:t>
      </w:r>
    </w:p>
    <w:p w14:paraId="3E4B1E0A">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单位性质：</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 xml:space="preserve"> </w:t>
      </w:r>
    </w:p>
    <w:p w14:paraId="3589F743">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地址：</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 xml:space="preserve"> </w:t>
      </w:r>
    </w:p>
    <w:p w14:paraId="622C72A2">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成立时间：</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年</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月</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日</w:t>
      </w:r>
    </w:p>
    <w:p w14:paraId="57073679">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经营期限：</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 xml:space="preserve"> </w:t>
      </w:r>
    </w:p>
    <w:p w14:paraId="44B4C7D2">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姓名：</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性别：</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年龄：</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职务：</w:t>
      </w:r>
      <w:r>
        <w:rPr>
          <w:rFonts w:hint="eastAsia" w:ascii="宋体" w:hAnsi="宋体"/>
          <w:color w:val="000000" w:themeColor="text1"/>
          <w:sz w:val="24"/>
          <w:szCs w:val="24"/>
          <w:highlight w:val="none"/>
          <w:u w:val="single"/>
          <w14:textFill>
            <w14:solidFill>
              <w14:schemeClr w14:val="tx1"/>
            </w14:solidFill>
          </w14:textFill>
        </w:rPr>
        <w:t xml:space="preserve">       </w:t>
      </w:r>
    </w:p>
    <w:p w14:paraId="7D45C059">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系</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（供应商名称）的法定代表人（负责人）。</w:t>
      </w:r>
    </w:p>
    <w:p w14:paraId="0CCD6E1C">
      <w:pPr>
        <w:spacing w:line="360" w:lineRule="auto"/>
        <w:ind w:firstLine="960" w:firstLineChars="4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特此证明。</w:t>
      </w:r>
    </w:p>
    <w:p w14:paraId="572FFAF7">
      <w:pPr>
        <w:spacing w:line="360" w:lineRule="auto"/>
        <w:ind w:firstLine="420" w:firstLineChars="200"/>
        <w:rPr>
          <w:rFonts w:ascii="宋体" w:cs="Times New Roman"/>
          <w:color w:val="000000" w:themeColor="text1"/>
          <w:highlight w:val="none"/>
          <w14:textFill>
            <w14:solidFill>
              <w14:schemeClr w14:val="tx1"/>
            </w14:solidFill>
          </w14:textFill>
        </w:rPr>
      </w:pPr>
    </w:p>
    <w:p w14:paraId="4662C44A">
      <w:pPr>
        <w:spacing w:line="360" w:lineRule="auto"/>
        <w:ind w:firstLine="420" w:firstLineChars="200"/>
        <w:rPr>
          <w:rFonts w:ascii="宋体" w:cs="Times New Roman"/>
          <w:color w:val="000000" w:themeColor="text1"/>
          <w:highlight w:val="none"/>
          <w14:textFill>
            <w14:solidFill>
              <w14:schemeClr w14:val="tx1"/>
            </w14:solidFill>
          </w14:textFill>
        </w:rPr>
      </w:pPr>
    </w:p>
    <w:p w14:paraId="011A9FD7">
      <w:pPr>
        <w:spacing w:line="360" w:lineRule="auto"/>
        <w:ind w:firstLine="420" w:firstLineChars="200"/>
        <w:rPr>
          <w:rFonts w:ascii="宋体" w:cs="Times New Roman"/>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1257300</wp:posOffset>
                </wp:positionH>
                <wp:positionV relativeFrom="paragraph">
                  <wp:posOffset>0</wp:posOffset>
                </wp:positionV>
                <wp:extent cx="3086100" cy="1485900"/>
                <wp:effectExtent l="0" t="0" r="0" b="0"/>
                <wp:wrapNone/>
                <wp:docPr id="1" name="文本框 8"/>
                <wp:cNvGraphicFramePr/>
                <a:graphic xmlns:a="http://schemas.openxmlformats.org/drawingml/2006/main">
                  <a:graphicData uri="http://schemas.microsoft.com/office/word/2010/wordprocessingShape">
                    <wps:wsp>
                      <wps:cNvSpPr txBox="1"/>
                      <wps:spPr>
                        <a:xfrm>
                          <a:off x="0" y="0"/>
                          <a:ext cx="3086100" cy="14859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00CBBCF3">
                            <w:pPr>
                              <w:jc w:val="center"/>
                              <w:rPr>
                                <w:rFonts w:ascii="黑体" w:eastAsia="黑体" w:cs="Times New Roman"/>
                                <w:sz w:val="32"/>
                                <w:szCs w:val="32"/>
                              </w:rPr>
                            </w:pPr>
                          </w:p>
                          <w:p w14:paraId="3D397BE3">
                            <w:pPr>
                              <w:jc w:val="center"/>
                              <w:rPr>
                                <w:rFonts w:hint="eastAsia" w:ascii="黑体" w:eastAsia="黑体" w:cs="Times New Roman"/>
                                <w:sz w:val="24"/>
                                <w:szCs w:val="24"/>
                                <w:lang w:eastAsia="zh-CN"/>
                              </w:rPr>
                            </w:pPr>
                            <w:r>
                              <w:rPr>
                                <w:rFonts w:hint="eastAsia" w:ascii="黑体" w:eastAsia="黑体" w:cs="黑体"/>
                                <w:sz w:val="24"/>
                                <w:szCs w:val="24"/>
                              </w:rPr>
                              <w:t>法定代表人（负责人）身份证复印件</w:t>
                            </w:r>
                            <w:r>
                              <w:rPr>
                                <w:rFonts w:hint="eastAsia" w:ascii="黑体" w:eastAsia="黑体" w:cs="黑体"/>
                                <w:sz w:val="24"/>
                                <w:szCs w:val="24"/>
                                <w:lang w:eastAsia="zh-CN"/>
                              </w:rPr>
                              <w:t>正、反</w:t>
                            </w:r>
                          </w:p>
                        </w:txbxContent>
                      </wps:txbx>
                      <wps:bodyPr wrap="square" upright="1"/>
                    </wps:wsp>
                  </a:graphicData>
                </a:graphic>
              </wp:anchor>
            </w:drawing>
          </mc:Choice>
          <mc:Fallback>
            <w:pict>
              <v:shape id="文本框 8" o:spid="_x0000_s1026" o:spt="202" type="#_x0000_t202" style="position:absolute;left:0pt;margin-left:99pt;margin-top:0pt;height:117pt;width:243pt;z-index:251659264;mso-width-relative:page;mso-height-relative:page;" fillcolor="#FFFFFF" filled="t" stroked="t" coordsize="21600,21600" o:gfxdata="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A/3Wt1gAAAAgBAAAPAAAAAAAA&#10;AAEAIAAAACIAAABkcnMvZG93bnJldi54bWxQSwECFAAUAAAACACHTuJA9TBy3xQCAABFBAAADgAA&#10;AAAAAAABACAAAAAlAQAAZHJzL2Uyb0RvYy54bWxQSwUGAAAAAAYABgBZAQAAqwUAAAAA&#10;">
                <v:fill on="t" focussize="0,0"/>
                <v:stroke color="#000000" joinstyle="miter"/>
                <v:imagedata o:title=""/>
                <o:lock v:ext="edit" aspectratio="f"/>
                <v:textbox>
                  <w:txbxContent>
                    <w:p w14:paraId="00CBBCF3">
                      <w:pPr>
                        <w:jc w:val="center"/>
                        <w:rPr>
                          <w:rFonts w:ascii="黑体" w:eastAsia="黑体" w:cs="Times New Roman"/>
                          <w:sz w:val="32"/>
                          <w:szCs w:val="32"/>
                        </w:rPr>
                      </w:pPr>
                    </w:p>
                    <w:p w14:paraId="3D397BE3">
                      <w:pPr>
                        <w:jc w:val="center"/>
                        <w:rPr>
                          <w:rFonts w:hint="eastAsia" w:ascii="黑体" w:eastAsia="黑体" w:cs="Times New Roman"/>
                          <w:sz w:val="24"/>
                          <w:szCs w:val="24"/>
                          <w:lang w:eastAsia="zh-CN"/>
                        </w:rPr>
                      </w:pPr>
                      <w:r>
                        <w:rPr>
                          <w:rFonts w:hint="eastAsia" w:ascii="黑体" w:eastAsia="黑体" w:cs="黑体"/>
                          <w:sz w:val="24"/>
                          <w:szCs w:val="24"/>
                        </w:rPr>
                        <w:t>法定代表人（负责人）身份证复印件</w:t>
                      </w:r>
                      <w:r>
                        <w:rPr>
                          <w:rFonts w:hint="eastAsia" w:ascii="黑体" w:eastAsia="黑体" w:cs="黑体"/>
                          <w:sz w:val="24"/>
                          <w:szCs w:val="24"/>
                          <w:lang w:eastAsia="zh-CN"/>
                        </w:rPr>
                        <w:t>正、反</w:t>
                      </w:r>
                    </w:p>
                  </w:txbxContent>
                </v:textbox>
              </v:shape>
            </w:pict>
          </mc:Fallback>
        </mc:AlternateContent>
      </w:r>
    </w:p>
    <w:p w14:paraId="626759D6">
      <w:pPr>
        <w:spacing w:line="360" w:lineRule="auto"/>
        <w:ind w:firstLine="420" w:firstLineChars="200"/>
        <w:rPr>
          <w:rFonts w:ascii="宋体" w:cs="Times New Roman"/>
          <w:color w:val="000000" w:themeColor="text1"/>
          <w:highlight w:val="none"/>
          <w14:textFill>
            <w14:solidFill>
              <w14:schemeClr w14:val="tx1"/>
            </w14:solidFill>
          </w14:textFill>
        </w:rPr>
      </w:pPr>
    </w:p>
    <w:p w14:paraId="332FFDC0">
      <w:pPr>
        <w:spacing w:line="360" w:lineRule="auto"/>
        <w:ind w:firstLine="420" w:firstLineChars="200"/>
        <w:rPr>
          <w:rFonts w:ascii="宋体" w:cs="Times New Roman"/>
          <w:color w:val="000000" w:themeColor="text1"/>
          <w:highlight w:val="none"/>
          <w14:textFill>
            <w14:solidFill>
              <w14:schemeClr w14:val="tx1"/>
            </w14:solidFill>
          </w14:textFill>
        </w:rPr>
      </w:pPr>
    </w:p>
    <w:p w14:paraId="1C4BF700">
      <w:pPr>
        <w:spacing w:line="360" w:lineRule="auto"/>
        <w:ind w:firstLine="420" w:firstLineChars="200"/>
        <w:rPr>
          <w:rFonts w:ascii="宋体" w:cs="Times New Roman"/>
          <w:color w:val="000000" w:themeColor="text1"/>
          <w:highlight w:val="none"/>
          <w14:textFill>
            <w14:solidFill>
              <w14:schemeClr w14:val="tx1"/>
            </w14:solidFill>
          </w14:textFill>
        </w:rPr>
      </w:pPr>
    </w:p>
    <w:p w14:paraId="203C07A5">
      <w:pPr>
        <w:spacing w:line="360" w:lineRule="auto"/>
        <w:ind w:firstLine="420" w:firstLineChars="200"/>
        <w:rPr>
          <w:rFonts w:ascii="宋体" w:cs="Times New Roman"/>
          <w:color w:val="000000" w:themeColor="text1"/>
          <w:highlight w:val="none"/>
          <w14:textFill>
            <w14:solidFill>
              <w14:schemeClr w14:val="tx1"/>
            </w14:solidFill>
          </w14:textFill>
        </w:rPr>
      </w:pPr>
    </w:p>
    <w:p w14:paraId="3CB7A3C5">
      <w:pPr>
        <w:spacing w:line="360" w:lineRule="auto"/>
        <w:ind w:firstLine="420" w:firstLineChars="200"/>
        <w:rPr>
          <w:rFonts w:ascii="宋体" w:cs="Times New Roman"/>
          <w:color w:val="000000" w:themeColor="text1"/>
          <w:highlight w:val="none"/>
          <w14:textFill>
            <w14:solidFill>
              <w14:schemeClr w14:val="tx1"/>
            </w14:solidFill>
          </w14:textFill>
        </w:rPr>
      </w:pPr>
    </w:p>
    <w:p w14:paraId="7159E316">
      <w:pPr>
        <w:spacing w:line="360" w:lineRule="auto"/>
        <w:ind w:firstLine="420" w:firstLineChars="200"/>
        <w:rPr>
          <w:rFonts w:ascii="宋体" w:cs="Times New Roman"/>
          <w:color w:val="000000" w:themeColor="text1"/>
          <w:highlight w:val="none"/>
          <w14:textFill>
            <w14:solidFill>
              <w14:schemeClr w14:val="tx1"/>
            </w14:solidFill>
          </w14:textFill>
        </w:rPr>
      </w:pPr>
    </w:p>
    <w:p w14:paraId="547EF744">
      <w:pPr>
        <w:spacing w:line="360" w:lineRule="auto"/>
        <w:ind w:firstLine="420" w:firstLineChars="200"/>
        <w:rPr>
          <w:rFonts w:ascii="宋体" w:cs="Times New Roman"/>
          <w:color w:val="000000" w:themeColor="text1"/>
          <w:highlight w:val="none"/>
          <w14:textFill>
            <w14:solidFill>
              <w14:schemeClr w14:val="tx1"/>
            </w14:solidFill>
          </w14:textFill>
        </w:rPr>
      </w:pPr>
    </w:p>
    <w:p w14:paraId="4C2E1C6C">
      <w:pPr>
        <w:spacing w:line="360" w:lineRule="auto"/>
        <w:ind w:firstLine="420" w:firstLineChars="200"/>
        <w:rPr>
          <w:rFonts w:ascii="宋体" w:cs="Times New Roman"/>
          <w:color w:val="000000" w:themeColor="text1"/>
          <w:highlight w:val="none"/>
          <w14:textFill>
            <w14:solidFill>
              <w14:schemeClr w14:val="tx1"/>
            </w14:solidFill>
          </w14:textFill>
        </w:rPr>
      </w:pPr>
    </w:p>
    <w:p w14:paraId="06507C50">
      <w:pPr>
        <w:spacing w:line="360" w:lineRule="auto"/>
        <w:ind w:firstLine="420" w:firstLineChars="200"/>
        <w:rPr>
          <w:rFonts w:ascii="宋体" w:cs="Times New Roman"/>
          <w:color w:val="000000" w:themeColor="text1"/>
          <w:highlight w:val="none"/>
          <w14:textFill>
            <w14:solidFill>
              <w14:schemeClr w14:val="tx1"/>
            </w14:solidFill>
          </w14:textFill>
        </w:rPr>
      </w:pPr>
    </w:p>
    <w:p w14:paraId="13DF370C">
      <w:pPr>
        <w:spacing w:line="360" w:lineRule="auto"/>
        <w:jc w:val="right"/>
        <w:rPr>
          <w:rFonts w:ascii="宋体" w:cs="Times New Roman"/>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供应商名称：</w:t>
      </w:r>
      <w:r>
        <w:rPr>
          <w:rFonts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eastAsia="zh-CN"/>
          <w14:textFill>
            <w14:solidFill>
              <w14:schemeClr w14:val="tx1"/>
            </w14:solidFill>
          </w14:textFill>
        </w:rPr>
        <w:t>盖单位公章</w:t>
      </w:r>
      <w:r>
        <w:rPr>
          <w:rFonts w:hint="eastAsia" w:ascii="宋体" w:hAnsi="宋体" w:cs="宋体"/>
          <w:color w:val="000000" w:themeColor="text1"/>
          <w:sz w:val="24"/>
          <w:szCs w:val="24"/>
          <w:highlight w:val="none"/>
          <w14:textFill>
            <w14:solidFill>
              <w14:schemeClr w14:val="tx1"/>
            </w14:solidFill>
          </w14:textFill>
        </w:rPr>
        <w:t>）</w:t>
      </w:r>
    </w:p>
    <w:p w14:paraId="5CE8336C">
      <w:pPr>
        <w:spacing w:line="360" w:lineRule="auto"/>
        <w:ind w:firstLine="5160" w:firstLineChars="2150"/>
        <w:rPr>
          <w:rFonts w:ascii="宋体" w:cs="Times New Roman"/>
          <w:color w:val="000000" w:themeColor="text1"/>
          <w:sz w:val="24"/>
          <w:szCs w:val="24"/>
          <w:highlight w:val="none"/>
          <w:u w:val="single"/>
          <w14:textFill>
            <w14:solidFill>
              <w14:schemeClr w14:val="tx1"/>
            </w14:solidFill>
          </w14:textFill>
        </w:rPr>
      </w:pPr>
    </w:p>
    <w:p w14:paraId="74EC61FD">
      <w:pPr>
        <w:pStyle w:val="19"/>
        <w:spacing w:line="360" w:lineRule="auto"/>
        <w:ind w:firstLine="480" w:firstLineChars="200"/>
        <w:jc w:val="right"/>
        <w:rPr>
          <w:rFonts w:hAnsi="宋体" w:cs="Times New Roman"/>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 xml:space="preserve"> </w:t>
      </w:r>
      <w:r>
        <w:rPr>
          <w:rFonts w:hint="eastAsia" w:ascii="宋体" w:hAnsi="宋体"/>
          <w:color w:val="000000" w:themeColor="text1"/>
          <w:sz w:val="24"/>
          <w:szCs w:val="24"/>
          <w:highlight w:val="none"/>
          <w:lang w:eastAsia="zh-CN"/>
          <w14:textFill>
            <w14:solidFill>
              <w14:schemeClr w14:val="tx1"/>
            </w14:solidFill>
          </w14:textFill>
        </w:rPr>
        <w:t>日期：</w:t>
      </w:r>
      <w:r>
        <w:rPr>
          <w:rFonts w:hint="eastAsia" w:hAnsi="宋体"/>
          <w:color w:val="000000" w:themeColor="text1"/>
          <w:sz w:val="24"/>
          <w:szCs w:val="24"/>
          <w:highlight w:val="none"/>
          <w:u w:val="single"/>
          <w14:textFill>
            <w14:solidFill>
              <w14:schemeClr w14:val="tx1"/>
            </w14:solidFill>
          </w14:textFill>
        </w:rPr>
        <w:t xml:space="preserve">      </w:t>
      </w:r>
      <w:r>
        <w:rPr>
          <w:rFonts w:hint="eastAsia" w:hAnsi="宋体"/>
          <w:color w:val="000000" w:themeColor="text1"/>
          <w:sz w:val="24"/>
          <w:szCs w:val="24"/>
          <w:highlight w:val="none"/>
          <w14:textFill>
            <w14:solidFill>
              <w14:schemeClr w14:val="tx1"/>
            </w14:solidFill>
          </w14:textFill>
        </w:rPr>
        <w:t>年</w:t>
      </w:r>
      <w:r>
        <w:rPr>
          <w:rFonts w:hint="eastAsia" w:hAnsi="宋体"/>
          <w:color w:val="000000" w:themeColor="text1"/>
          <w:sz w:val="24"/>
          <w:szCs w:val="24"/>
          <w:highlight w:val="none"/>
          <w:u w:val="single"/>
          <w14:textFill>
            <w14:solidFill>
              <w14:schemeClr w14:val="tx1"/>
            </w14:solidFill>
          </w14:textFill>
        </w:rPr>
        <w:t xml:space="preserve">     </w:t>
      </w:r>
      <w:r>
        <w:rPr>
          <w:rFonts w:hint="eastAsia" w:hAnsi="宋体"/>
          <w:color w:val="000000" w:themeColor="text1"/>
          <w:sz w:val="24"/>
          <w:szCs w:val="24"/>
          <w:highlight w:val="none"/>
          <w14:textFill>
            <w14:solidFill>
              <w14:schemeClr w14:val="tx1"/>
            </w14:solidFill>
          </w14:textFill>
        </w:rPr>
        <w:t>月</w:t>
      </w:r>
      <w:r>
        <w:rPr>
          <w:rFonts w:hint="eastAsia" w:hAnsi="宋体"/>
          <w:color w:val="000000" w:themeColor="text1"/>
          <w:sz w:val="24"/>
          <w:szCs w:val="24"/>
          <w:highlight w:val="none"/>
          <w:u w:val="single"/>
          <w14:textFill>
            <w14:solidFill>
              <w14:schemeClr w14:val="tx1"/>
            </w14:solidFill>
          </w14:textFill>
        </w:rPr>
        <w:t xml:space="preserve">     </w:t>
      </w:r>
      <w:r>
        <w:rPr>
          <w:rFonts w:hint="eastAsia" w:hAnsi="宋体"/>
          <w:color w:val="000000" w:themeColor="text1"/>
          <w:sz w:val="24"/>
          <w:szCs w:val="24"/>
          <w:highlight w:val="none"/>
          <w14:textFill>
            <w14:solidFill>
              <w14:schemeClr w14:val="tx1"/>
            </w14:solidFill>
          </w14:textFill>
        </w:rPr>
        <w:t>日</w:t>
      </w:r>
    </w:p>
    <w:p w14:paraId="4D56AF53">
      <w:pPr>
        <w:pStyle w:val="19"/>
        <w:ind w:firstLine="420" w:firstLineChars="200"/>
        <w:rPr>
          <w:rFonts w:hAnsi="宋体" w:cs="Times New Roman"/>
          <w:color w:val="000000" w:themeColor="text1"/>
          <w:highlight w:val="none"/>
          <w14:textFill>
            <w14:solidFill>
              <w14:schemeClr w14:val="tx1"/>
            </w14:solidFill>
          </w14:textFill>
        </w:rPr>
      </w:pPr>
    </w:p>
    <w:p w14:paraId="6FF2D699">
      <w:pPr>
        <w:pStyle w:val="19"/>
        <w:spacing w:line="360" w:lineRule="auto"/>
        <w:jc w:val="center"/>
        <w:rPr>
          <w:rFonts w:hAnsi="宋体" w:cs="Times New Roman"/>
          <w:b/>
          <w:bCs/>
          <w:color w:val="000000" w:themeColor="text1"/>
          <w:sz w:val="32"/>
          <w:szCs w:val="32"/>
          <w:highlight w:val="none"/>
          <w14:textFill>
            <w14:solidFill>
              <w14:schemeClr w14:val="tx1"/>
            </w14:solidFill>
          </w14:textFill>
        </w:rPr>
      </w:pPr>
      <w:bookmarkStart w:id="252" w:name="_Toc466454742"/>
      <w:bookmarkStart w:id="253" w:name="_Toc466466386"/>
      <w:bookmarkStart w:id="254" w:name="_Toc465257491"/>
      <w:r>
        <w:rPr>
          <w:rFonts w:cs="Times New Roman"/>
          <w:color w:val="000000" w:themeColor="text1"/>
          <w:sz w:val="28"/>
          <w:szCs w:val="28"/>
          <w:highlight w:val="none"/>
          <w14:textFill>
            <w14:solidFill>
              <w14:schemeClr w14:val="tx1"/>
            </w14:solidFill>
          </w14:textFill>
        </w:rPr>
        <w:br w:type="page"/>
      </w:r>
      <w:bookmarkEnd w:id="252"/>
      <w:bookmarkEnd w:id="253"/>
      <w:bookmarkEnd w:id="254"/>
      <w:r>
        <w:rPr>
          <w:rFonts w:hint="eastAsia"/>
          <w:b/>
          <w:color w:val="000000" w:themeColor="text1"/>
          <w:sz w:val="28"/>
          <w:szCs w:val="28"/>
          <w:highlight w:val="none"/>
          <w14:textFill>
            <w14:solidFill>
              <w14:schemeClr w14:val="tx1"/>
            </w14:solidFill>
          </w14:textFill>
        </w:rPr>
        <w:t xml:space="preserve">（二） </w:t>
      </w:r>
      <w:r>
        <w:rPr>
          <w:rFonts w:hint="eastAsia" w:hAnsi="宋体"/>
          <w:b/>
          <w:bCs/>
          <w:color w:val="000000" w:themeColor="text1"/>
          <w:sz w:val="32"/>
          <w:szCs w:val="32"/>
          <w:highlight w:val="none"/>
          <w14:textFill>
            <w14:solidFill>
              <w14:schemeClr w14:val="tx1"/>
            </w14:solidFill>
          </w14:textFill>
        </w:rPr>
        <w:t>授权委托书</w:t>
      </w:r>
    </w:p>
    <w:p w14:paraId="754C4F1F">
      <w:pPr>
        <w:spacing w:line="360" w:lineRule="auto"/>
        <w:ind w:firstLine="480" w:firstLineChars="200"/>
        <w:rPr>
          <w:rFonts w:ascii="宋体" w:hAnsi="宋体"/>
          <w:color w:val="000000" w:themeColor="text1"/>
          <w:sz w:val="24"/>
          <w:szCs w:val="24"/>
          <w:highlight w:val="none"/>
          <w14:textFill>
            <w14:solidFill>
              <w14:schemeClr w14:val="tx1"/>
            </w14:solidFill>
          </w14:textFill>
        </w:rPr>
      </w:pPr>
    </w:p>
    <w:p w14:paraId="1D486296">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本人</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（姓名）系</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（供应商名称）的法定代表人，现委托</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（姓名）为我方代理人。代理人根据授权，以我方名义签署、澄清、说明、补正、递交、撤回、修改</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（项目名称）</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响应文件、签订合同和处理有关事宜，其法律后果由我方承担。</w:t>
      </w:r>
    </w:p>
    <w:p w14:paraId="20D99438">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委托期限：</w:t>
      </w:r>
      <w:r>
        <w:rPr>
          <w:rFonts w:hint="eastAsia" w:ascii="宋体" w:hAnsi="宋体"/>
          <w:color w:val="000000" w:themeColor="text1"/>
          <w:sz w:val="24"/>
          <w:szCs w:val="24"/>
          <w:highlight w:val="none"/>
          <w:u w:val="single"/>
          <w14:textFill>
            <w14:solidFill>
              <w14:schemeClr w14:val="tx1"/>
            </w14:solidFill>
          </w14:textFill>
        </w:rPr>
        <w:t xml:space="preserve">                                </w:t>
      </w:r>
    </w:p>
    <w:p w14:paraId="510194C8">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代理人无转委托权。</w:t>
      </w:r>
    </w:p>
    <w:p w14:paraId="13E24FE6">
      <w:pPr>
        <w:spacing w:line="360" w:lineRule="auto"/>
        <w:ind w:firstLine="420" w:firstLineChars="200"/>
        <w:rPr>
          <w:rFonts w:ascii="宋体" w:hAnsi="宋体"/>
          <w:color w:val="000000" w:themeColor="text1"/>
          <w:highlight w:val="none"/>
          <w14:textFill>
            <w14:solidFill>
              <w14:schemeClr w14:val="tx1"/>
            </w14:solidFill>
          </w14:textFill>
        </w:rPr>
      </w:pPr>
    </w:p>
    <w:p w14:paraId="7F91CC11">
      <w:pPr>
        <w:spacing w:line="360" w:lineRule="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1466850</wp:posOffset>
                </wp:positionH>
                <wp:positionV relativeFrom="paragraph">
                  <wp:posOffset>-635</wp:posOffset>
                </wp:positionV>
                <wp:extent cx="2867025" cy="1584960"/>
                <wp:effectExtent l="0" t="0" r="0" b="0"/>
                <wp:wrapNone/>
                <wp:docPr id="2" name="文本框 15"/>
                <wp:cNvGraphicFramePr/>
                <a:graphic xmlns:a="http://schemas.openxmlformats.org/drawingml/2006/main">
                  <a:graphicData uri="http://schemas.microsoft.com/office/word/2010/wordprocessingShape">
                    <wps:wsp>
                      <wps:cNvSpPr txBox="1"/>
                      <wps:spPr>
                        <a:xfrm>
                          <a:off x="0" y="0"/>
                          <a:ext cx="2867025" cy="158496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1682A9B1">
                            <w:pPr>
                              <w:rPr>
                                <w:rFonts w:ascii="黑体" w:eastAsia="黑体"/>
                                <w:sz w:val="32"/>
                                <w:szCs w:val="32"/>
                              </w:rPr>
                            </w:pPr>
                          </w:p>
                          <w:p w14:paraId="6661AAE0">
                            <w:pPr>
                              <w:jc w:val="center"/>
                              <w:rPr>
                                <w:rFonts w:hint="eastAsia" w:ascii="黑体" w:eastAsia="黑体"/>
                                <w:sz w:val="24"/>
                                <w:lang w:eastAsia="zh-CN"/>
                              </w:rPr>
                            </w:pPr>
                            <w:r>
                              <w:rPr>
                                <w:rFonts w:hint="eastAsia" w:ascii="黑体" w:eastAsia="黑体"/>
                                <w:sz w:val="24"/>
                              </w:rPr>
                              <w:t>法定代表人身份证复印件</w:t>
                            </w:r>
                            <w:r>
                              <w:rPr>
                                <w:rFonts w:hint="eastAsia" w:ascii="黑体" w:eastAsia="黑体"/>
                                <w:sz w:val="24"/>
                                <w:lang w:eastAsia="zh-CN"/>
                              </w:rPr>
                              <w:t>正、反</w:t>
                            </w:r>
                          </w:p>
                        </w:txbxContent>
                      </wps:txbx>
                      <wps:bodyPr wrap="square" upright="1"/>
                    </wps:wsp>
                  </a:graphicData>
                </a:graphic>
              </wp:anchor>
            </w:drawing>
          </mc:Choice>
          <mc:Fallback>
            <w:pict>
              <v:shape id="文本框 15" o:spid="_x0000_s1026" o:spt="202" type="#_x0000_t202" style="position:absolute;left:0pt;margin-left:115.5pt;margin-top:-0.05pt;height:124.8pt;width:225.75pt;z-index:251660288;mso-width-relative:page;mso-height-relative:page;" fillcolor="#FFFFFF" filled="t" stroked="t" coordsize="21600,21600" o:gfxdata="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TGupe9kAAAAJAQAA&#10;DwAAAAAAAAABACAAAAAiAAAAZHJzL2Rvd25yZXYueG1sUEsBAhQAFAAAAAgAh07iQB7e8LcYAgAA&#10;RgQAAA4AAAAAAAAAAQAgAAAAKAEAAGRycy9lMm9Eb2MueG1sUEsFBgAAAAAGAAYAWQEAALIFAAAA&#10;AA==&#10;">
                <v:fill on="t" focussize="0,0"/>
                <v:stroke color="#000000" joinstyle="miter"/>
                <v:imagedata o:title=""/>
                <o:lock v:ext="edit" aspectratio="f"/>
                <v:textbox>
                  <w:txbxContent>
                    <w:p w14:paraId="1682A9B1">
                      <w:pPr>
                        <w:rPr>
                          <w:rFonts w:ascii="黑体" w:eastAsia="黑体"/>
                          <w:sz w:val="32"/>
                          <w:szCs w:val="32"/>
                        </w:rPr>
                      </w:pPr>
                    </w:p>
                    <w:p w14:paraId="6661AAE0">
                      <w:pPr>
                        <w:jc w:val="center"/>
                        <w:rPr>
                          <w:rFonts w:hint="eastAsia" w:ascii="黑体" w:eastAsia="黑体"/>
                          <w:sz w:val="24"/>
                          <w:lang w:eastAsia="zh-CN"/>
                        </w:rPr>
                      </w:pPr>
                      <w:r>
                        <w:rPr>
                          <w:rFonts w:hint="eastAsia" w:ascii="黑体" w:eastAsia="黑体"/>
                          <w:sz w:val="24"/>
                        </w:rPr>
                        <w:t>法定代表人身份证复印件</w:t>
                      </w:r>
                      <w:r>
                        <w:rPr>
                          <w:rFonts w:hint="eastAsia" w:ascii="黑体" w:eastAsia="黑体"/>
                          <w:sz w:val="24"/>
                          <w:lang w:eastAsia="zh-CN"/>
                        </w:rPr>
                        <w:t>正、反</w:t>
                      </w:r>
                    </w:p>
                  </w:txbxContent>
                </v:textbox>
              </v:shape>
            </w:pict>
          </mc:Fallback>
        </mc:AlternateContent>
      </w:r>
    </w:p>
    <w:p w14:paraId="1D5C0D26">
      <w:pPr>
        <w:spacing w:line="360" w:lineRule="auto"/>
        <w:ind w:firstLine="420" w:firstLineChars="200"/>
        <w:rPr>
          <w:rFonts w:ascii="宋体" w:hAnsi="宋体"/>
          <w:color w:val="000000" w:themeColor="text1"/>
          <w:highlight w:val="none"/>
          <w14:textFill>
            <w14:solidFill>
              <w14:schemeClr w14:val="tx1"/>
            </w14:solidFill>
          </w14:textFill>
        </w:rPr>
      </w:pPr>
    </w:p>
    <w:p w14:paraId="3D64781A">
      <w:pPr>
        <w:spacing w:line="360" w:lineRule="auto"/>
        <w:ind w:firstLine="420" w:firstLineChars="200"/>
        <w:rPr>
          <w:rFonts w:ascii="宋体" w:hAnsi="宋体"/>
          <w:color w:val="000000" w:themeColor="text1"/>
          <w:highlight w:val="none"/>
          <w14:textFill>
            <w14:solidFill>
              <w14:schemeClr w14:val="tx1"/>
            </w14:solidFill>
          </w14:textFill>
        </w:rPr>
      </w:pPr>
    </w:p>
    <w:p w14:paraId="1B5F00B4">
      <w:pPr>
        <w:spacing w:line="360" w:lineRule="auto"/>
        <w:ind w:firstLine="420" w:firstLineChars="200"/>
        <w:rPr>
          <w:rFonts w:ascii="宋体" w:hAnsi="宋体"/>
          <w:color w:val="000000" w:themeColor="text1"/>
          <w:highlight w:val="none"/>
          <w14:textFill>
            <w14:solidFill>
              <w14:schemeClr w14:val="tx1"/>
            </w14:solidFill>
          </w14:textFill>
        </w:rPr>
      </w:pPr>
    </w:p>
    <w:p w14:paraId="44A08154">
      <w:pPr>
        <w:spacing w:line="360" w:lineRule="auto"/>
        <w:ind w:firstLine="420" w:firstLineChars="200"/>
        <w:rPr>
          <w:rFonts w:ascii="宋体" w:hAnsi="宋体"/>
          <w:color w:val="000000" w:themeColor="text1"/>
          <w:highlight w:val="none"/>
          <w14:textFill>
            <w14:solidFill>
              <w14:schemeClr w14:val="tx1"/>
            </w14:solidFill>
          </w14:textFill>
        </w:rPr>
      </w:pPr>
    </w:p>
    <w:p w14:paraId="3EF7279C">
      <w:pPr>
        <w:spacing w:line="360" w:lineRule="auto"/>
        <w:ind w:firstLine="420" w:firstLineChars="200"/>
        <w:rPr>
          <w:rFonts w:ascii="宋体" w:hAnsi="宋体"/>
          <w:color w:val="000000" w:themeColor="text1"/>
          <w:highlight w:val="none"/>
          <w14:textFill>
            <w14:solidFill>
              <w14:schemeClr w14:val="tx1"/>
            </w14:solidFill>
          </w14:textFill>
        </w:rPr>
      </w:pPr>
    </w:p>
    <w:p w14:paraId="55DAB853">
      <w:pPr>
        <w:spacing w:line="360" w:lineRule="auto"/>
        <w:ind w:right="-13" w:rightChars="-6"/>
        <w:jc w:val="righ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供应商：</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w:t>
      </w:r>
      <w:r>
        <w:rPr>
          <w:rFonts w:hint="eastAsia" w:ascii="宋体" w:hAnsi="宋体"/>
          <w:color w:val="000000" w:themeColor="text1"/>
          <w:sz w:val="24"/>
          <w:szCs w:val="24"/>
          <w:highlight w:val="none"/>
          <w:lang w:eastAsia="zh-CN"/>
          <w14:textFill>
            <w14:solidFill>
              <w14:schemeClr w14:val="tx1"/>
            </w14:solidFill>
          </w14:textFill>
        </w:rPr>
        <w:t>盖单位公章</w:t>
      </w:r>
      <w:r>
        <w:rPr>
          <w:rFonts w:hint="eastAsia" w:ascii="宋体" w:hAnsi="宋体"/>
          <w:color w:val="000000" w:themeColor="text1"/>
          <w:sz w:val="24"/>
          <w:szCs w:val="24"/>
          <w:highlight w:val="none"/>
          <w14:textFill>
            <w14:solidFill>
              <w14:schemeClr w14:val="tx1"/>
            </w14:solidFill>
          </w14:textFill>
        </w:rPr>
        <w:t>）</w:t>
      </w:r>
    </w:p>
    <w:p w14:paraId="13122687">
      <w:pPr>
        <w:spacing w:line="360" w:lineRule="auto"/>
        <w:ind w:firstLine="3840" w:firstLineChars="1600"/>
        <w:jc w:val="center"/>
        <w:rPr>
          <w:rFonts w:ascii="宋体" w:hAnsi="宋体"/>
          <w:color w:val="000000" w:themeColor="text1"/>
          <w:sz w:val="24"/>
          <w:szCs w:val="24"/>
          <w:highlight w:val="none"/>
          <w14:textFill>
            <w14:solidFill>
              <w14:schemeClr w14:val="tx1"/>
            </w14:solidFill>
          </w14:textFill>
        </w:rPr>
      </w:pPr>
    </w:p>
    <w:p w14:paraId="1D2A279F">
      <w:pPr>
        <w:spacing w:line="360" w:lineRule="auto"/>
        <w:ind w:right="-13" w:rightChars="-6"/>
        <w:jc w:val="righ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法定代表人：</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（签</w:t>
      </w:r>
      <w:r>
        <w:rPr>
          <w:rFonts w:hint="eastAsia" w:ascii="宋体" w:hAnsi="宋体"/>
          <w:color w:val="000000" w:themeColor="text1"/>
          <w:sz w:val="24"/>
          <w:szCs w:val="24"/>
          <w:highlight w:val="none"/>
          <w:lang w:val="en-US" w:eastAsia="zh-CN"/>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字）</w:t>
      </w:r>
    </w:p>
    <w:p w14:paraId="16FBC96C">
      <w:pPr>
        <w:spacing w:line="360" w:lineRule="auto"/>
        <w:rPr>
          <w:rFonts w:ascii="宋体" w:hAnsi="宋体"/>
          <w:color w:val="000000" w:themeColor="text1"/>
          <w:highlight w:val="none"/>
          <w14:textFill>
            <w14:solidFill>
              <w14:schemeClr w14:val="tx1"/>
            </w14:solidFill>
          </w14:textFill>
        </w:rPr>
      </w:pPr>
    </w:p>
    <w:p w14:paraId="02B21F7E">
      <w:pPr>
        <w:spacing w:line="360" w:lineRule="auto"/>
        <w:ind w:firstLine="42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column">
                  <wp:posOffset>1466850</wp:posOffset>
                </wp:positionH>
                <wp:positionV relativeFrom="paragraph">
                  <wp:posOffset>-635</wp:posOffset>
                </wp:positionV>
                <wp:extent cx="2867025" cy="1584960"/>
                <wp:effectExtent l="0" t="0" r="0" b="0"/>
                <wp:wrapNone/>
                <wp:docPr id="3" name="文本框 16"/>
                <wp:cNvGraphicFramePr/>
                <a:graphic xmlns:a="http://schemas.openxmlformats.org/drawingml/2006/main">
                  <a:graphicData uri="http://schemas.microsoft.com/office/word/2010/wordprocessingShape">
                    <wps:wsp>
                      <wps:cNvSpPr txBox="1"/>
                      <wps:spPr>
                        <a:xfrm>
                          <a:off x="0" y="0"/>
                          <a:ext cx="2867025" cy="158496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08A67AE4">
                            <w:pPr>
                              <w:rPr>
                                <w:rFonts w:ascii="黑体" w:eastAsia="黑体"/>
                                <w:sz w:val="32"/>
                                <w:szCs w:val="32"/>
                              </w:rPr>
                            </w:pPr>
                          </w:p>
                          <w:p w14:paraId="4C4C6EFE">
                            <w:pPr>
                              <w:jc w:val="center"/>
                              <w:rPr>
                                <w:rFonts w:hint="eastAsia" w:ascii="黑体" w:eastAsia="黑体"/>
                                <w:sz w:val="24"/>
                                <w:lang w:eastAsia="zh-CN"/>
                              </w:rPr>
                            </w:pPr>
                            <w:r>
                              <w:rPr>
                                <w:rFonts w:hint="eastAsia" w:ascii="黑体" w:eastAsia="黑体"/>
                                <w:sz w:val="24"/>
                              </w:rPr>
                              <w:t>委托代理人身份证复印件</w:t>
                            </w:r>
                            <w:r>
                              <w:rPr>
                                <w:rFonts w:hint="eastAsia" w:ascii="黑体" w:eastAsia="黑体"/>
                                <w:sz w:val="24"/>
                                <w:lang w:eastAsia="zh-CN"/>
                              </w:rPr>
                              <w:t>正、反</w:t>
                            </w:r>
                          </w:p>
                        </w:txbxContent>
                      </wps:txbx>
                      <wps:bodyPr wrap="square" upright="1"/>
                    </wps:wsp>
                  </a:graphicData>
                </a:graphic>
              </wp:anchor>
            </w:drawing>
          </mc:Choice>
          <mc:Fallback>
            <w:pict>
              <v:shape id="文本框 16" o:spid="_x0000_s1026" o:spt="202" type="#_x0000_t202" style="position:absolute;left:0pt;margin-left:115.5pt;margin-top:-0.05pt;height:124.8pt;width:225.75pt;z-index:251661312;mso-width-relative:page;mso-height-relative:page;" fillcolor="#FFFFFF" filled="t" stroked="t" coordsize="21600,21600" o:gfxdata="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TGupe9kAAAAJAQAA&#10;DwAAAAAAAAABACAAAAAiAAAAZHJzL2Rvd25yZXYueG1sUEsBAhQAFAAAAAgAh07iQA839xoYAgAA&#10;RgQAAA4AAAAAAAAAAQAgAAAAKAEAAGRycy9lMm9Eb2MueG1sUEsFBgAAAAAGAAYAWQEAALIFAAAA&#10;AA==&#10;">
                <v:fill on="t" focussize="0,0"/>
                <v:stroke color="#000000" joinstyle="miter"/>
                <v:imagedata o:title=""/>
                <o:lock v:ext="edit" aspectratio="f"/>
                <v:textbox>
                  <w:txbxContent>
                    <w:p w14:paraId="08A67AE4">
                      <w:pPr>
                        <w:rPr>
                          <w:rFonts w:ascii="黑体" w:eastAsia="黑体"/>
                          <w:sz w:val="32"/>
                          <w:szCs w:val="32"/>
                        </w:rPr>
                      </w:pPr>
                    </w:p>
                    <w:p w14:paraId="4C4C6EFE">
                      <w:pPr>
                        <w:jc w:val="center"/>
                        <w:rPr>
                          <w:rFonts w:hint="eastAsia" w:ascii="黑体" w:eastAsia="黑体"/>
                          <w:sz w:val="24"/>
                          <w:lang w:eastAsia="zh-CN"/>
                        </w:rPr>
                      </w:pPr>
                      <w:r>
                        <w:rPr>
                          <w:rFonts w:hint="eastAsia" w:ascii="黑体" w:eastAsia="黑体"/>
                          <w:sz w:val="24"/>
                        </w:rPr>
                        <w:t>委托代理人身份证复印件</w:t>
                      </w:r>
                      <w:r>
                        <w:rPr>
                          <w:rFonts w:hint="eastAsia" w:ascii="黑体" w:eastAsia="黑体"/>
                          <w:sz w:val="24"/>
                          <w:lang w:eastAsia="zh-CN"/>
                        </w:rPr>
                        <w:t>正、反</w:t>
                      </w:r>
                    </w:p>
                  </w:txbxContent>
                </v:textbox>
              </v:shape>
            </w:pict>
          </mc:Fallback>
        </mc:AlternateContent>
      </w:r>
    </w:p>
    <w:p w14:paraId="4DCCE86B">
      <w:pPr>
        <w:spacing w:line="360" w:lineRule="auto"/>
        <w:ind w:firstLine="420" w:firstLineChars="200"/>
        <w:rPr>
          <w:rFonts w:ascii="宋体" w:hAnsi="宋体"/>
          <w:color w:val="000000" w:themeColor="text1"/>
          <w:highlight w:val="none"/>
          <w14:textFill>
            <w14:solidFill>
              <w14:schemeClr w14:val="tx1"/>
            </w14:solidFill>
          </w14:textFill>
        </w:rPr>
      </w:pPr>
    </w:p>
    <w:p w14:paraId="60B1EA3F">
      <w:pPr>
        <w:spacing w:line="360" w:lineRule="auto"/>
        <w:ind w:firstLine="420" w:firstLineChars="200"/>
        <w:rPr>
          <w:rFonts w:ascii="宋体" w:hAnsi="宋体"/>
          <w:color w:val="000000" w:themeColor="text1"/>
          <w:highlight w:val="none"/>
          <w14:textFill>
            <w14:solidFill>
              <w14:schemeClr w14:val="tx1"/>
            </w14:solidFill>
          </w14:textFill>
        </w:rPr>
      </w:pPr>
    </w:p>
    <w:p w14:paraId="516B424B">
      <w:pPr>
        <w:spacing w:line="360" w:lineRule="auto"/>
        <w:ind w:firstLine="420" w:firstLineChars="200"/>
        <w:rPr>
          <w:rFonts w:ascii="宋体" w:hAnsi="宋体"/>
          <w:color w:val="000000" w:themeColor="text1"/>
          <w:highlight w:val="none"/>
          <w14:textFill>
            <w14:solidFill>
              <w14:schemeClr w14:val="tx1"/>
            </w14:solidFill>
          </w14:textFill>
        </w:rPr>
      </w:pPr>
    </w:p>
    <w:p w14:paraId="6CBF7B77">
      <w:pPr>
        <w:spacing w:line="360" w:lineRule="auto"/>
        <w:ind w:firstLine="420" w:firstLineChars="200"/>
        <w:rPr>
          <w:rFonts w:ascii="宋体" w:hAnsi="宋体"/>
          <w:color w:val="000000" w:themeColor="text1"/>
          <w:highlight w:val="none"/>
          <w14:textFill>
            <w14:solidFill>
              <w14:schemeClr w14:val="tx1"/>
            </w14:solidFill>
          </w14:textFill>
        </w:rPr>
      </w:pPr>
    </w:p>
    <w:p w14:paraId="123574F0">
      <w:pPr>
        <w:spacing w:line="360" w:lineRule="auto"/>
        <w:ind w:firstLine="420" w:firstLineChars="200"/>
        <w:rPr>
          <w:rFonts w:ascii="宋体" w:hAnsi="宋体"/>
          <w:color w:val="000000" w:themeColor="text1"/>
          <w:highlight w:val="none"/>
          <w14:textFill>
            <w14:solidFill>
              <w14:schemeClr w14:val="tx1"/>
            </w14:solidFill>
          </w14:textFill>
        </w:rPr>
      </w:pPr>
    </w:p>
    <w:p w14:paraId="3C74039C">
      <w:pPr>
        <w:wordWrap w:val="0"/>
        <w:spacing w:line="360" w:lineRule="auto"/>
        <w:ind w:right="-13" w:rightChars="-6"/>
        <w:jc w:val="righ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委托代理人：</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（签字）性  别：</w:t>
      </w:r>
      <w:r>
        <w:rPr>
          <w:rFonts w:hint="eastAsia" w:ascii="宋体" w:hAnsi="宋体"/>
          <w:color w:val="000000" w:themeColor="text1"/>
          <w:sz w:val="24"/>
          <w:szCs w:val="24"/>
          <w:highlight w:val="none"/>
          <w:u w:val="single"/>
          <w14:textFill>
            <w14:solidFill>
              <w14:schemeClr w14:val="tx1"/>
            </w14:solidFill>
          </w14:textFill>
        </w:rPr>
        <w:t xml:space="preserve">          </w:t>
      </w:r>
    </w:p>
    <w:p w14:paraId="312387F6">
      <w:pPr>
        <w:spacing w:line="360" w:lineRule="auto"/>
        <w:ind w:right="-13" w:rightChars="-6"/>
        <w:jc w:val="right"/>
        <w:rPr>
          <w:rFonts w:ascii="宋体" w:hAnsi="宋体"/>
          <w:color w:val="000000" w:themeColor="text1"/>
          <w:sz w:val="24"/>
          <w:szCs w:val="24"/>
          <w:highlight w:val="none"/>
          <w14:textFill>
            <w14:solidFill>
              <w14:schemeClr w14:val="tx1"/>
            </w14:solidFill>
          </w14:textFill>
        </w:rPr>
      </w:pPr>
    </w:p>
    <w:p w14:paraId="72E1C36D">
      <w:pPr>
        <w:wordWrap w:val="0"/>
        <w:spacing w:line="360" w:lineRule="auto"/>
        <w:ind w:right="-13" w:rightChars="-6"/>
        <w:jc w:val="right"/>
        <w:rPr>
          <w:rFonts w:ascii="宋体" w:hAnsi="宋体"/>
          <w:color w:val="000000" w:themeColor="text1"/>
          <w:highlight w:val="none"/>
          <w:u w:val="singl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年  龄：</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 xml:space="preserve">           职  务：</w:t>
      </w:r>
      <w:r>
        <w:rPr>
          <w:rFonts w:hint="eastAsia" w:ascii="宋体" w:hAnsi="宋体" w:cs="宋体"/>
          <w:color w:val="000000" w:themeColor="text1"/>
          <w:sz w:val="24"/>
          <w:szCs w:val="24"/>
          <w:highlight w:val="none"/>
          <w:u w:val="single"/>
          <w14:textFill>
            <w14:solidFill>
              <w14:schemeClr w14:val="tx1"/>
            </w14:solidFill>
          </w14:textFill>
        </w:rPr>
        <w:t xml:space="preserve">         </w:t>
      </w:r>
    </w:p>
    <w:p w14:paraId="6F907DD9">
      <w:pPr>
        <w:spacing w:line="360" w:lineRule="auto"/>
        <w:jc w:val="center"/>
        <w:outlineLvl w:val="1"/>
        <w:rPr>
          <w:b/>
          <w:color w:val="000000" w:themeColor="text1"/>
          <w:sz w:val="32"/>
          <w:szCs w:val="32"/>
          <w:highlight w:val="none"/>
          <w14:textFill>
            <w14:solidFill>
              <w14:schemeClr w14:val="tx1"/>
            </w14:solidFill>
          </w14:textFill>
        </w:rPr>
      </w:pPr>
      <w:bookmarkStart w:id="255" w:name="_Toc4246"/>
      <w:bookmarkStart w:id="256" w:name="_Toc23387"/>
      <w:bookmarkStart w:id="257" w:name="_Toc5936"/>
      <w:bookmarkStart w:id="258" w:name="_Toc2769"/>
      <w:bookmarkStart w:id="259" w:name="_Toc15138"/>
      <w:r>
        <w:rPr>
          <w:rFonts w:hint="eastAsia"/>
          <w:b/>
          <w:color w:val="000000" w:themeColor="text1"/>
          <w:sz w:val="32"/>
          <w:szCs w:val="32"/>
          <w:highlight w:val="none"/>
          <w14:textFill>
            <w14:solidFill>
              <w14:schemeClr w14:val="tx1"/>
            </w14:solidFill>
          </w14:textFill>
        </w:rPr>
        <w:t>三、磋商保证金</w:t>
      </w:r>
      <w:bookmarkEnd w:id="255"/>
      <w:bookmarkEnd w:id="256"/>
      <w:bookmarkEnd w:id="257"/>
      <w:bookmarkEnd w:id="258"/>
      <w:bookmarkEnd w:id="259"/>
    </w:p>
    <w:p w14:paraId="46C77CF5">
      <w:pPr>
        <w:spacing w:line="360" w:lineRule="auto"/>
        <w:ind w:firstLine="480" w:firstLineChars="200"/>
        <w:rPr>
          <w:rFonts w:ascii="宋体" w:hAnsi="宋体" w:cs="宋体"/>
          <w:color w:val="000000" w:themeColor="text1"/>
          <w:kern w:val="0"/>
          <w:sz w:val="24"/>
          <w:szCs w:val="24"/>
          <w:highlight w:val="none"/>
          <w14:textFill>
            <w14:solidFill>
              <w14:schemeClr w14:val="tx1"/>
            </w14:solidFill>
          </w14:textFill>
        </w:rPr>
      </w:pPr>
    </w:p>
    <w:p w14:paraId="2BACE1DB">
      <w:pPr>
        <w:spacing w:line="360" w:lineRule="auto"/>
        <w:ind w:firstLine="480" w:firstLineChars="200"/>
        <w:rPr>
          <w:rFonts w:ascii="宋体" w:hAnsi="宋体" w:cs="宋体"/>
          <w:color w:val="000000" w:themeColor="text1"/>
          <w:kern w:val="0"/>
          <w:sz w:val="24"/>
          <w:szCs w:val="24"/>
          <w:highlight w:val="none"/>
          <w14:textFill>
            <w14:solidFill>
              <w14:schemeClr w14:val="tx1"/>
            </w14:solidFill>
          </w14:textFill>
        </w:rPr>
      </w:pPr>
      <w:r>
        <w:rPr>
          <w:rFonts w:hint="eastAsia" w:ascii="宋体" w:hAnsi="宋体" w:cs="宋体"/>
          <w:color w:val="000000" w:themeColor="text1"/>
          <w:kern w:val="0"/>
          <w:sz w:val="24"/>
          <w:szCs w:val="24"/>
          <w:highlight w:val="none"/>
          <w14:textFill>
            <w14:solidFill>
              <w14:schemeClr w14:val="tx1"/>
            </w14:solidFill>
          </w14:textFill>
        </w:rPr>
        <w:t>若采用现金或支票，供应商应在此提供汇款凭证的复印件、开户许可证复印件，并填写备注表格。</w:t>
      </w:r>
    </w:p>
    <w:p w14:paraId="5178769C">
      <w:pPr>
        <w:spacing w:line="360" w:lineRule="auto"/>
        <w:ind w:firstLine="480" w:firstLineChars="200"/>
        <w:rPr>
          <w:rFonts w:ascii="宋体" w:hAnsi="宋体" w:cs="宋体"/>
          <w:color w:val="000000" w:themeColor="text1"/>
          <w:kern w:val="0"/>
          <w:sz w:val="24"/>
          <w:szCs w:val="24"/>
          <w:highlight w:val="none"/>
          <w14:textFill>
            <w14:solidFill>
              <w14:schemeClr w14:val="tx1"/>
            </w14:solidFill>
          </w14:textFill>
        </w:rPr>
      </w:pPr>
    </w:p>
    <w:p w14:paraId="406CF90D">
      <w:pPr>
        <w:spacing w:line="360" w:lineRule="auto"/>
        <w:ind w:firstLine="480" w:firstLineChars="200"/>
        <w:rPr>
          <w:rFonts w:ascii="宋体" w:hAnsi="宋体" w:cs="宋体"/>
          <w:color w:val="000000" w:themeColor="text1"/>
          <w:kern w:val="0"/>
          <w:sz w:val="24"/>
          <w:szCs w:val="24"/>
          <w:highlight w:val="none"/>
          <w14:textFill>
            <w14:solidFill>
              <w14:schemeClr w14:val="tx1"/>
            </w14:solidFill>
          </w14:textFill>
        </w:rPr>
      </w:pPr>
    </w:p>
    <w:p w14:paraId="43FF8F67">
      <w:pPr>
        <w:spacing w:line="360" w:lineRule="auto"/>
        <w:ind w:firstLine="480" w:firstLineChars="200"/>
        <w:rPr>
          <w:rFonts w:ascii="宋体" w:hAnsi="宋体" w:cs="宋体"/>
          <w:color w:val="000000" w:themeColor="text1"/>
          <w:kern w:val="0"/>
          <w:sz w:val="24"/>
          <w:szCs w:val="24"/>
          <w:highlight w:val="none"/>
          <w14:textFill>
            <w14:solidFill>
              <w14:schemeClr w14:val="tx1"/>
            </w14:solidFill>
          </w14:textFill>
        </w:rPr>
      </w:pPr>
      <w:r>
        <w:rPr>
          <w:rFonts w:hint="eastAsia" w:ascii="宋体" w:hAnsi="宋体" w:cs="宋体"/>
          <w:color w:val="000000" w:themeColor="text1"/>
          <w:kern w:val="0"/>
          <w:sz w:val="24"/>
          <w:szCs w:val="24"/>
          <w:highlight w:val="none"/>
          <w14:textFill>
            <w14:solidFill>
              <w14:schemeClr w14:val="tx1"/>
            </w14:solidFill>
          </w14:textFill>
        </w:rPr>
        <w:t>若采用银行保函，供应商应在此提供银行保函的复印件，并填写备注表格。</w:t>
      </w:r>
    </w:p>
    <w:p w14:paraId="5E838AC1">
      <w:pPr>
        <w:spacing w:line="360" w:lineRule="auto"/>
        <w:ind w:firstLine="480" w:firstLineChars="200"/>
        <w:rPr>
          <w:rFonts w:ascii="宋体" w:hAnsi="宋体" w:cs="宋体"/>
          <w:color w:val="000000" w:themeColor="text1"/>
          <w:kern w:val="0"/>
          <w:sz w:val="24"/>
          <w:szCs w:val="24"/>
          <w:highlight w:val="none"/>
          <w14:textFill>
            <w14:solidFill>
              <w14:schemeClr w14:val="tx1"/>
            </w14:solidFill>
          </w14:textFill>
        </w:rPr>
      </w:pPr>
    </w:p>
    <w:p w14:paraId="24084B85">
      <w:pPr>
        <w:spacing w:line="360" w:lineRule="auto"/>
        <w:rPr>
          <w:rFonts w:ascii="宋体" w:hAnsi="宋体"/>
          <w:b/>
          <w:color w:val="000000" w:themeColor="text1"/>
          <w:sz w:val="24"/>
          <w:szCs w:val="24"/>
          <w:highlight w:val="none"/>
          <w14:textFill>
            <w14:solidFill>
              <w14:schemeClr w14:val="tx1"/>
            </w14:solidFill>
          </w14:textFill>
        </w:rPr>
      </w:pPr>
      <w:r>
        <w:rPr>
          <w:rFonts w:hint="eastAsia" w:ascii="宋体" w:hAnsi="宋体"/>
          <w:b/>
          <w:color w:val="000000" w:themeColor="text1"/>
          <w:sz w:val="24"/>
          <w:szCs w:val="24"/>
          <w:highlight w:val="none"/>
          <w14:textFill>
            <w14:solidFill>
              <w14:schemeClr w14:val="tx1"/>
            </w14:solidFill>
          </w14:textFill>
        </w:rPr>
        <w:t>备注：（必填）</w:t>
      </w:r>
    </w:p>
    <w:p w14:paraId="10EBACC0">
      <w:pPr>
        <w:spacing w:line="360" w:lineRule="auto"/>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1、供应商可采用采购人认可的磋商保函格式，但相关内容不得背离竞争性磋商文件约定的实质性内容。</w:t>
      </w:r>
    </w:p>
    <w:p w14:paraId="55587F4C">
      <w:pPr>
        <w:autoSpaceDE w:val="0"/>
        <w:autoSpaceDN w:val="0"/>
        <w:adjustRightInd w:val="0"/>
        <w:spacing w:line="360" w:lineRule="auto"/>
        <w:jc w:val="lef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2、根据本单位递交保证金的形式填写下表信息。</w:t>
      </w:r>
    </w:p>
    <w:p w14:paraId="537375C1">
      <w:pPr>
        <w:autoSpaceDE w:val="0"/>
        <w:autoSpaceDN w:val="0"/>
        <w:adjustRightInd w:val="0"/>
        <w:spacing w:line="360" w:lineRule="auto"/>
        <w:jc w:val="left"/>
        <w:rPr>
          <w:rFonts w:ascii="宋体" w:hAnsi="宋体"/>
          <w:color w:val="000000" w:themeColor="text1"/>
          <w:sz w:val="24"/>
          <w:szCs w:val="24"/>
          <w:highlight w:val="none"/>
          <w14:textFill>
            <w14:solidFill>
              <w14:schemeClr w14:val="tx1"/>
            </w14:solidFill>
          </w14:textFill>
        </w:rPr>
      </w:pPr>
    </w:p>
    <w:tbl>
      <w:tblPr>
        <w:tblStyle w:val="32"/>
        <w:tblW w:w="84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7"/>
        <w:gridCol w:w="5886"/>
      </w:tblGrid>
      <w:tr w14:paraId="6D993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57" w:type="dxa"/>
            <w:vAlign w:val="center"/>
          </w:tcPr>
          <w:p w14:paraId="55F7BE03">
            <w:pPr>
              <w:spacing w:line="360" w:lineRule="auto"/>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磋商保证金缴纳形式</w:t>
            </w:r>
          </w:p>
        </w:tc>
        <w:tc>
          <w:tcPr>
            <w:tcW w:w="5886" w:type="dxa"/>
            <w:vAlign w:val="center"/>
          </w:tcPr>
          <w:p w14:paraId="2E94AA01">
            <w:pPr>
              <w:spacing w:line="360" w:lineRule="auto"/>
              <w:ind w:firstLine="120" w:firstLineChars="50"/>
              <w:jc w:val="lef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□现金支票     □保兑支票       □银行汇票</w:t>
            </w:r>
          </w:p>
          <w:p w14:paraId="71E92C3B">
            <w:pPr>
              <w:spacing w:line="360" w:lineRule="auto"/>
              <w:ind w:firstLine="120" w:firstLineChars="50"/>
              <w:jc w:val="left"/>
              <w:rPr>
                <w:rFonts w:hint="eastAsia"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□银行保函     □担保公司保函   □保险保函</w:t>
            </w:r>
          </w:p>
          <w:p w14:paraId="0C568AE2">
            <w:pPr>
              <w:pStyle w:val="2"/>
              <w:keepNext w:val="0"/>
              <w:keepLines w:val="0"/>
              <w:pageBreakBefore w:val="0"/>
              <w:widowControl w:val="0"/>
              <w:kinsoku/>
              <w:wordWrap/>
              <w:overflowPunct/>
              <w:topLinePunct w:val="0"/>
              <w:autoSpaceDE/>
              <w:autoSpaceDN/>
              <w:bidi w:val="0"/>
              <w:adjustRightInd/>
              <w:snapToGrid/>
              <w:spacing w:line="360" w:lineRule="auto"/>
              <w:ind w:left="0" w:leftChars="0" w:firstLine="120" w:firstLineChars="50"/>
              <w:textAlignment w:val="auto"/>
            </w:pPr>
            <w:r>
              <w:rPr>
                <w:rFonts w:hint="eastAsia" w:ascii="宋体" w:hAnsi="宋体" w:eastAsia="宋体" w:cs="Calibri"/>
                <w:color w:val="000000" w:themeColor="text1"/>
                <w:kern w:val="2"/>
                <w:sz w:val="24"/>
                <w:szCs w:val="24"/>
                <w:highlight w:val="none"/>
                <w:lang w:val="en-US" w:eastAsia="zh-CN" w:bidi="ar-SA"/>
                <w14:textFill>
                  <w14:solidFill>
                    <w14:schemeClr w14:val="tx1"/>
                  </w14:solidFill>
                </w14:textFill>
              </w:rPr>
              <w:t>□转账</w:t>
            </w:r>
          </w:p>
        </w:tc>
      </w:tr>
      <w:tr w14:paraId="5934B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6" w:hRule="atLeast"/>
          <w:jc w:val="center"/>
        </w:trPr>
        <w:tc>
          <w:tcPr>
            <w:tcW w:w="2557" w:type="dxa"/>
            <w:vAlign w:val="center"/>
          </w:tcPr>
          <w:p w14:paraId="7B9EED53">
            <w:pPr>
              <w:spacing w:line="360" w:lineRule="auto"/>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供应商</w:t>
            </w:r>
            <w:r>
              <w:rPr>
                <w:rFonts w:hint="eastAsia" w:ascii="Calibri" w:hAnsi="Calibri"/>
                <w:color w:val="000000" w:themeColor="text1"/>
                <w:sz w:val="24"/>
                <w:szCs w:val="24"/>
                <w:highlight w:val="none"/>
                <w14:textFill>
                  <w14:solidFill>
                    <w14:schemeClr w14:val="tx1"/>
                  </w14:solidFill>
                </w14:textFill>
              </w:rPr>
              <w:t>基本账户</w:t>
            </w:r>
            <w:r>
              <w:rPr>
                <w:rFonts w:hint="eastAsia" w:ascii="宋体" w:hAnsi="宋体"/>
                <w:color w:val="000000" w:themeColor="text1"/>
                <w:sz w:val="24"/>
                <w:szCs w:val="24"/>
                <w:highlight w:val="none"/>
                <w14:textFill>
                  <w14:solidFill>
                    <w14:schemeClr w14:val="tx1"/>
                  </w14:solidFill>
                </w14:textFill>
              </w:rPr>
              <w:t>开户银行或承保银名称</w:t>
            </w:r>
          </w:p>
        </w:tc>
        <w:tc>
          <w:tcPr>
            <w:tcW w:w="5886" w:type="dxa"/>
            <w:vAlign w:val="center"/>
          </w:tcPr>
          <w:p w14:paraId="1CFA3DF6">
            <w:pPr>
              <w:spacing w:line="360" w:lineRule="auto"/>
              <w:jc w:val="center"/>
              <w:rPr>
                <w:rFonts w:ascii="宋体" w:hAnsi="宋体"/>
                <w:color w:val="000000" w:themeColor="text1"/>
                <w:sz w:val="24"/>
                <w:szCs w:val="24"/>
                <w:highlight w:val="none"/>
                <w14:textFill>
                  <w14:solidFill>
                    <w14:schemeClr w14:val="tx1"/>
                  </w14:solidFill>
                </w14:textFill>
              </w:rPr>
            </w:pPr>
          </w:p>
        </w:tc>
      </w:tr>
      <w:tr w14:paraId="5EC33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57" w:type="dxa"/>
            <w:vAlign w:val="center"/>
          </w:tcPr>
          <w:p w14:paraId="56CF9D82">
            <w:pPr>
              <w:spacing w:line="360" w:lineRule="auto"/>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经营地址</w:t>
            </w:r>
          </w:p>
        </w:tc>
        <w:tc>
          <w:tcPr>
            <w:tcW w:w="5886" w:type="dxa"/>
            <w:vAlign w:val="center"/>
          </w:tcPr>
          <w:p w14:paraId="478341E3">
            <w:pPr>
              <w:spacing w:line="360" w:lineRule="auto"/>
              <w:jc w:val="center"/>
              <w:rPr>
                <w:rFonts w:ascii="宋体" w:hAnsi="宋体"/>
                <w:color w:val="000000" w:themeColor="text1"/>
                <w:sz w:val="24"/>
                <w:szCs w:val="24"/>
                <w:highlight w:val="none"/>
                <w14:textFill>
                  <w14:solidFill>
                    <w14:schemeClr w14:val="tx1"/>
                  </w14:solidFill>
                </w14:textFill>
              </w:rPr>
            </w:pPr>
          </w:p>
        </w:tc>
      </w:tr>
      <w:tr w14:paraId="27082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57" w:type="dxa"/>
            <w:vAlign w:val="center"/>
          </w:tcPr>
          <w:p w14:paraId="457FD153">
            <w:pPr>
              <w:spacing w:line="360" w:lineRule="auto"/>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联系电话</w:t>
            </w:r>
          </w:p>
        </w:tc>
        <w:tc>
          <w:tcPr>
            <w:tcW w:w="5886" w:type="dxa"/>
            <w:vAlign w:val="center"/>
          </w:tcPr>
          <w:p w14:paraId="0500E89C">
            <w:pPr>
              <w:spacing w:line="360" w:lineRule="auto"/>
              <w:jc w:val="center"/>
              <w:rPr>
                <w:rFonts w:ascii="宋体" w:hAnsi="宋体"/>
                <w:color w:val="000000" w:themeColor="text1"/>
                <w:sz w:val="24"/>
                <w:szCs w:val="24"/>
                <w:highlight w:val="none"/>
                <w14:textFill>
                  <w14:solidFill>
                    <w14:schemeClr w14:val="tx1"/>
                  </w14:solidFill>
                </w14:textFill>
              </w:rPr>
            </w:pPr>
          </w:p>
        </w:tc>
      </w:tr>
    </w:tbl>
    <w:p w14:paraId="7C1DBFA5">
      <w:pPr>
        <w:spacing w:line="360" w:lineRule="auto"/>
        <w:jc w:val="left"/>
        <w:rPr>
          <w:color w:val="000000" w:themeColor="text1"/>
          <w:highlight w:val="none"/>
          <w14:textFill>
            <w14:solidFill>
              <w14:schemeClr w14:val="tx1"/>
            </w14:solidFill>
          </w14:textFill>
        </w:rPr>
      </w:pPr>
    </w:p>
    <w:p w14:paraId="51AFA58B">
      <w:pPr>
        <w:spacing w:line="360" w:lineRule="auto"/>
        <w:jc w:val="righ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供应商：</w:t>
      </w:r>
      <w:r>
        <w:rPr>
          <w:rFonts w:hint="eastAsia" w:ascii="新宋体" w:hAnsi="新宋体" w:eastAsia="新宋体"/>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w:t>
      </w:r>
      <w:r>
        <w:rPr>
          <w:rFonts w:hint="eastAsia"/>
          <w:color w:val="000000" w:themeColor="text1"/>
          <w:sz w:val="24"/>
          <w:szCs w:val="24"/>
          <w:highlight w:val="none"/>
          <w:lang w:eastAsia="zh-CN"/>
          <w14:textFill>
            <w14:solidFill>
              <w14:schemeClr w14:val="tx1"/>
            </w14:solidFill>
          </w14:textFill>
        </w:rPr>
        <w:t>盖单位公章</w:t>
      </w:r>
      <w:r>
        <w:rPr>
          <w:rFonts w:hint="eastAsia"/>
          <w:color w:val="000000" w:themeColor="text1"/>
          <w:sz w:val="24"/>
          <w:szCs w:val="24"/>
          <w:highlight w:val="none"/>
          <w14:textFill>
            <w14:solidFill>
              <w14:schemeClr w14:val="tx1"/>
            </w14:solidFill>
          </w14:textFill>
        </w:rPr>
        <w:t>）</w:t>
      </w:r>
    </w:p>
    <w:p w14:paraId="60FB8F28">
      <w:pPr>
        <w:spacing w:line="360" w:lineRule="auto"/>
        <w:ind w:firstLine="3420" w:firstLineChars="1425"/>
        <w:rPr>
          <w:color w:val="000000" w:themeColor="text1"/>
          <w:sz w:val="24"/>
          <w:szCs w:val="24"/>
          <w:highlight w:val="none"/>
          <w14:textFill>
            <w14:solidFill>
              <w14:schemeClr w14:val="tx1"/>
            </w14:solidFill>
          </w14:textFill>
        </w:rPr>
      </w:pPr>
    </w:p>
    <w:p w14:paraId="0588EDEC">
      <w:pPr>
        <w:spacing w:line="360" w:lineRule="auto"/>
        <w:jc w:val="righ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法定代表人或其委托代理人：</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（签</w:t>
      </w:r>
      <w:r>
        <w:rPr>
          <w:rFonts w:hint="eastAsia"/>
          <w:color w:val="000000" w:themeColor="text1"/>
          <w:sz w:val="24"/>
          <w:szCs w:val="24"/>
          <w:highlight w:val="none"/>
          <w:lang w:val="en-US" w:eastAsia="zh-CN"/>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字）</w:t>
      </w:r>
    </w:p>
    <w:p w14:paraId="4250790C">
      <w:pPr>
        <w:spacing w:line="360" w:lineRule="auto"/>
        <w:ind w:firstLine="3420" w:firstLineChars="1425"/>
        <w:rPr>
          <w:color w:val="000000" w:themeColor="text1"/>
          <w:sz w:val="24"/>
          <w:szCs w:val="24"/>
          <w:highlight w:val="none"/>
          <w14:textFill>
            <w14:solidFill>
              <w14:schemeClr w14:val="tx1"/>
            </w14:solidFill>
          </w14:textFill>
        </w:rPr>
      </w:pPr>
    </w:p>
    <w:p w14:paraId="56BF3A55">
      <w:pPr>
        <w:pStyle w:val="31"/>
        <w:ind w:firstLine="4560" w:firstLineChars="1900"/>
        <w:rPr>
          <w:highlight w:val="none"/>
        </w:rPr>
      </w:pPr>
      <w:r>
        <w:rPr>
          <w:rFonts w:hint="eastAsia" w:hAnsi="宋体"/>
          <w:color w:val="000000" w:themeColor="text1"/>
          <w:sz w:val="24"/>
          <w:szCs w:val="24"/>
          <w:highlight w:val="none"/>
          <w14:textFill>
            <w14:solidFill>
              <w14:schemeClr w14:val="tx1"/>
            </w14:solidFill>
          </w14:textFill>
        </w:rPr>
        <w:t>日期：</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年</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月</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日</w:t>
      </w:r>
    </w:p>
    <w:p w14:paraId="000A5C22">
      <w:pPr>
        <w:spacing w:line="360" w:lineRule="auto"/>
        <w:jc w:val="center"/>
        <w:outlineLvl w:val="1"/>
        <w:rPr>
          <w:b/>
          <w:color w:val="000000" w:themeColor="text1"/>
          <w:sz w:val="28"/>
          <w:szCs w:val="28"/>
          <w:highlight w:val="none"/>
          <w14:textFill>
            <w14:solidFill>
              <w14:schemeClr w14:val="tx1"/>
            </w14:solidFill>
          </w14:textFill>
        </w:rPr>
      </w:pPr>
      <w:r>
        <w:rPr>
          <w:color w:val="000000" w:themeColor="text1"/>
          <w:highlight w:val="none"/>
          <w14:textFill>
            <w14:solidFill>
              <w14:schemeClr w14:val="tx1"/>
            </w14:solidFill>
          </w14:textFill>
        </w:rPr>
        <w:br w:type="page"/>
      </w:r>
      <w:bookmarkStart w:id="260" w:name="_Toc12737"/>
      <w:bookmarkStart w:id="261" w:name="_Toc32698"/>
      <w:bookmarkStart w:id="262" w:name="_Toc1722"/>
      <w:bookmarkStart w:id="263" w:name="_Toc18539"/>
      <w:bookmarkStart w:id="264" w:name="_Toc14389"/>
      <w:r>
        <w:rPr>
          <w:rFonts w:hint="eastAsia"/>
          <w:b/>
          <w:color w:val="000000" w:themeColor="text1"/>
          <w:sz w:val="32"/>
          <w:szCs w:val="32"/>
          <w:highlight w:val="none"/>
          <w14:textFill>
            <w14:solidFill>
              <w14:schemeClr w14:val="tx1"/>
            </w14:solidFill>
          </w14:textFill>
        </w:rPr>
        <w:t>四、磋商报价表</w:t>
      </w:r>
      <w:bookmarkEnd w:id="260"/>
      <w:bookmarkEnd w:id="261"/>
      <w:bookmarkEnd w:id="262"/>
      <w:bookmarkEnd w:id="263"/>
      <w:bookmarkEnd w:id="264"/>
    </w:p>
    <w:p w14:paraId="025EA9C9">
      <w:pPr>
        <w:spacing w:before="317" w:beforeLines="100" w:after="317" w:afterLines="100" w:line="360" w:lineRule="auto"/>
        <w:ind w:firstLine="480" w:firstLineChars="200"/>
        <w:rPr>
          <w:rFonts w:ascii="宋体" w:hAnsi="宋体"/>
          <w:b/>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项目名称</w:t>
      </w:r>
      <w:r>
        <w:rPr>
          <w:rFonts w:hint="eastAsia" w:ascii="宋体" w:hAnsi="宋体"/>
          <w:b/>
          <w:color w:val="000000" w:themeColor="text1"/>
          <w:sz w:val="24"/>
          <w:szCs w:val="24"/>
          <w:highlight w:val="none"/>
          <w14:textFill>
            <w14:solidFill>
              <w14:schemeClr w14:val="tx1"/>
            </w14:solidFill>
          </w14:textFill>
        </w:rPr>
        <w:t>：</w:t>
      </w:r>
      <w:r>
        <w:rPr>
          <w:rFonts w:hint="eastAsia" w:ascii="宋体" w:hAnsi="宋体"/>
          <w:b/>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b/>
          <w:color w:val="000000" w:themeColor="text1"/>
          <w:sz w:val="24"/>
          <w:szCs w:val="24"/>
          <w:highlight w:val="none"/>
          <w14:textFill>
            <w14:solidFill>
              <w14:schemeClr w14:val="tx1"/>
            </w14:solidFill>
          </w14:textFill>
        </w:rPr>
        <w:t xml:space="preserve"> </w:t>
      </w:r>
    </w:p>
    <w:p w14:paraId="1D9E1A00">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项目编号：</w:t>
      </w:r>
      <w:r>
        <w:rPr>
          <w:rFonts w:hint="eastAsia" w:ascii="宋体" w:hAnsi="宋体"/>
          <w:b/>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 xml:space="preserve"> </w:t>
      </w:r>
    </w:p>
    <w:p w14:paraId="4A20C773">
      <w:pPr>
        <w:spacing w:line="360" w:lineRule="auto"/>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 xml:space="preserve">                                                                </w:t>
      </w:r>
    </w:p>
    <w:tbl>
      <w:tblPr>
        <w:tblStyle w:val="32"/>
        <w:tblW w:w="8299" w:type="dxa"/>
        <w:tblInd w:w="1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5"/>
        <w:gridCol w:w="3533"/>
        <w:gridCol w:w="1827"/>
        <w:gridCol w:w="1484"/>
      </w:tblGrid>
      <w:tr w14:paraId="45E74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455" w:type="dxa"/>
            <w:vAlign w:val="center"/>
          </w:tcPr>
          <w:p w14:paraId="0C6434F0">
            <w:pPr>
              <w:spacing w:line="360" w:lineRule="auto"/>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供应商名称</w:t>
            </w:r>
          </w:p>
        </w:tc>
        <w:tc>
          <w:tcPr>
            <w:tcW w:w="3533" w:type="dxa"/>
            <w:vAlign w:val="center"/>
          </w:tcPr>
          <w:p w14:paraId="472FD0F4">
            <w:pPr>
              <w:spacing w:line="360" w:lineRule="auto"/>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磋商报价（元）</w:t>
            </w:r>
          </w:p>
        </w:tc>
        <w:tc>
          <w:tcPr>
            <w:tcW w:w="1827" w:type="dxa"/>
            <w:vAlign w:val="center"/>
          </w:tcPr>
          <w:p w14:paraId="78C320DF">
            <w:pPr>
              <w:spacing w:line="360" w:lineRule="auto"/>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合同履行期限</w:t>
            </w:r>
          </w:p>
        </w:tc>
        <w:tc>
          <w:tcPr>
            <w:tcW w:w="1484" w:type="dxa"/>
            <w:vAlign w:val="center"/>
          </w:tcPr>
          <w:p w14:paraId="5F096898">
            <w:pPr>
              <w:spacing w:line="360" w:lineRule="auto"/>
              <w:jc w:val="center"/>
              <w:rPr>
                <w:rFonts w:hint="eastAsia" w:ascii="宋体" w:hAnsi="宋体" w:eastAsia="宋体"/>
                <w:color w:val="000000" w:themeColor="text1"/>
                <w:sz w:val="24"/>
                <w:szCs w:val="24"/>
                <w:highlight w:val="none"/>
                <w:lang w:eastAsia="zh-CN"/>
                <w14:textFill>
                  <w14:solidFill>
                    <w14:schemeClr w14:val="tx1"/>
                  </w14:solidFill>
                </w14:textFill>
              </w:rPr>
            </w:pPr>
            <w:r>
              <w:rPr>
                <w:rFonts w:hint="eastAsia" w:ascii="宋体" w:hAnsi="宋体"/>
                <w:color w:val="000000" w:themeColor="text1"/>
                <w:sz w:val="24"/>
                <w:szCs w:val="24"/>
                <w:highlight w:val="none"/>
                <w:lang w:eastAsia="zh-CN"/>
                <w14:textFill>
                  <w14:solidFill>
                    <w14:schemeClr w14:val="tx1"/>
                  </w14:solidFill>
                </w14:textFill>
              </w:rPr>
              <w:t>服务要求</w:t>
            </w:r>
          </w:p>
        </w:tc>
      </w:tr>
      <w:tr w14:paraId="13A36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1455" w:type="dxa"/>
            <w:vMerge w:val="restart"/>
            <w:vAlign w:val="center"/>
          </w:tcPr>
          <w:p w14:paraId="3E6729EF">
            <w:pPr>
              <w:spacing w:line="360" w:lineRule="auto"/>
              <w:ind w:left="57" w:right="57" w:firstLine="57"/>
              <w:jc w:val="center"/>
              <w:rPr>
                <w:rFonts w:ascii="宋体" w:hAnsi="宋体"/>
                <w:color w:val="000000" w:themeColor="text1"/>
                <w:sz w:val="24"/>
                <w:szCs w:val="24"/>
                <w:highlight w:val="none"/>
                <w14:textFill>
                  <w14:solidFill>
                    <w14:schemeClr w14:val="tx1"/>
                  </w14:solidFill>
                </w14:textFill>
              </w:rPr>
            </w:pPr>
          </w:p>
        </w:tc>
        <w:tc>
          <w:tcPr>
            <w:tcW w:w="3533" w:type="dxa"/>
            <w:vAlign w:val="center"/>
          </w:tcPr>
          <w:p w14:paraId="14CA0308">
            <w:pPr>
              <w:spacing w:line="360" w:lineRule="auto"/>
              <w:jc w:val="lef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大写：</w:t>
            </w:r>
          </w:p>
        </w:tc>
        <w:tc>
          <w:tcPr>
            <w:tcW w:w="1827" w:type="dxa"/>
            <w:vMerge w:val="restart"/>
            <w:vAlign w:val="center"/>
          </w:tcPr>
          <w:p w14:paraId="601A61E1">
            <w:pPr>
              <w:spacing w:line="360" w:lineRule="auto"/>
              <w:ind w:left="57" w:right="57" w:firstLine="57"/>
              <w:jc w:val="center"/>
              <w:rPr>
                <w:rFonts w:ascii="宋体" w:hAnsi="宋体"/>
                <w:color w:val="000000" w:themeColor="text1"/>
                <w:sz w:val="24"/>
                <w:szCs w:val="24"/>
                <w:highlight w:val="none"/>
                <w14:textFill>
                  <w14:solidFill>
                    <w14:schemeClr w14:val="tx1"/>
                  </w14:solidFill>
                </w14:textFill>
              </w:rPr>
            </w:pPr>
          </w:p>
        </w:tc>
        <w:tc>
          <w:tcPr>
            <w:tcW w:w="1484" w:type="dxa"/>
            <w:vMerge w:val="restart"/>
            <w:vAlign w:val="center"/>
          </w:tcPr>
          <w:p w14:paraId="50002482">
            <w:pPr>
              <w:spacing w:line="360" w:lineRule="auto"/>
              <w:ind w:left="57" w:right="57" w:firstLine="57"/>
              <w:jc w:val="center"/>
              <w:rPr>
                <w:rFonts w:ascii="宋体" w:hAnsi="宋体"/>
                <w:color w:val="000000" w:themeColor="text1"/>
                <w:sz w:val="24"/>
                <w:szCs w:val="24"/>
                <w:highlight w:val="none"/>
                <w14:textFill>
                  <w14:solidFill>
                    <w14:schemeClr w14:val="tx1"/>
                  </w14:solidFill>
                </w14:textFill>
              </w:rPr>
            </w:pPr>
          </w:p>
        </w:tc>
      </w:tr>
      <w:tr w14:paraId="08E49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1455" w:type="dxa"/>
            <w:vMerge w:val="continue"/>
            <w:vAlign w:val="center"/>
          </w:tcPr>
          <w:p w14:paraId="20A4BE19">
            <w:pPr>
              <w:spacing w:line="360" w:lineRule="auto"/>
              <w:ind w:left="57" w:right="57" w:firstLine="57"/>
              <w:jc w:val="center"/>
              <w:rPr>
                <w:rFonts w:ascii="宋体" w:hAnsi="宋体"/>
                <w:color w:val="000000" w:themeColor="text1"/>
                <w:sz w:val="24"/>
                <w:szCs w:val="24"/>
                <w:highlight w:val="none"/>
                <w14:textFill>
                  <w14:solidFill>
                    <w14:schemeClr w14:val="tx1"/>
                  </w14:solidFill>
                </w14:textFill>
              </w:rPr>
            </w:pPr>
          </w:p>
        </w:tc>
        <w:tc>
          <w:tcPr>
            <w:tcW w:w="3533" w:type="dxa"/>
            <w:vAlign w:val="center"/>
          </w:tcPr>
          <w:p w14:paraId="064F297C">
            <w:pPr>
              <w:spacing w:line="360" w:lineRule="auto"/>
              <w:jc w:val="lef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小写：</w:t>
            </w:r>
          </w:p>
        </w:tc>
        <w:tc>
          <w:tcPr>
            <w:tcW w:w="1827" w:type="dxa"/>
            <w:vMerge w:val="continue"/>
            <w:vAlign w:val="center"/>
          </w:tcPr>
          <w:p w14:paraId="30A88535">
            <w:pPr>
              <w:spacing w:line="360" w:lineRule="auto"/>
              <w:ind w:left="57" w:right="57" w:firstLine="57"/>
              <w:jc w:val="center"/>
              <w:rPr>
                <w:rFonts w:ascii="宋体" w:hAnsi="宋体"/>
                <w:color w:val="000000" w:themeColor="text1"/>
                <w:sz w:val="24"/>
                <w:szCs w:val="24"/>
                <w:highlight w:val="none"/>
                <w14:textFill>
                  <w14:solidFill>
                    <w14:schemeClr w14:val="tx1"/>
                  </w14:solidFill>
                </w14:textFill>
              </w:rPr>
            </w:pPr>
          </w:p>
        </w:tc>
        <w:tc>
          <w:tcPr>
            <w:tcW w:w="1484" w:type="dxa"/>
            <w:vMerge w:val="continue"/>
            <w:vAlign w:val="center"/>
          </w:tcPr>
          <w:p w14:paraId="669B7651">
            <w:pPr>
              <w:spacing w:line="360" w:lineRule="auto"/>
              <w:ind w:left="57" w:right="57" w:firstLine="57"/>
              <w:jc w:val="center"/>
              <w:rPr>
                <w:rFonts w:ascii="宋体" w:hAnsi="宋体"/>
                <w:color w:val="000000" w:themeColor="text1"/>
                <w:sz w:val="24"/>
                <w:szCs w:val="24"/>
                <w:highlight w:val="none"/>
                <w14:textFill>
                  <w14:solidFill>
                    <w14:schemeClr w14:val="tx1"/>
                  </w14:solidFill>
                </w14:textFill>
              </w:rPr>
            </w:pPr>
          </w:p>
        </w:tc>
      </w:tr>
      <w:tr w14:paraId="40B9F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atLeast"/>
        </w:trPr>
        <w:tc>
          <w:tcPr>
            <w:tcW w:w="1455" w:type="dxa"/>
            <w:vAlign w:val="center"/>
          </w:tcPr>
          <w:p w14:paraId="2D92AE73">
            <w:pPr>
              <w:spacing w:line="360" w:lineRule="auto"/>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备注</w:t>
            </w:r>
          </w:p>
        </w:tc>
        <w:tc>
          <w:tcPr>
            <w:tcW w:w="6844" w:type="dxa"/>
            <w:gridSpan w:val="3"/>
          </w:tcPr>
          <w:p w14:paraId="15081138">
            <w:pPr>
              <w:spacing w:line="360" w:lineRule="auto"/>
              <w:rPr>
                <w:rFonts w:ascii="宋体" w:hAnsi="宋体"/>
                <w:color w:val="000000" w:themeColor="text1"/>
                <w:sz w:val="24"/>
                <w:szCs w:val="24"/>
                <w:highlight w:val="none"/>
                <w14:textFill>
                  <w14:solidFill>
                    <w14:schemeClr w14:val="tx1"/>
                  </w14:solidFill>
                </w14:textFill>
              </w:rPr>
            </w:pPr>
          </w:p>
        </w:tc>
      </w:tr>
    </w:tbl>
    <w:p w14:paraId="022CD9C5">
      <w:pPr>
        <w:spacing w:line="360" w:lineRule="auto"/>
        <w:ind w:left="840" w:hanging="840" w:hangingChars="350"/>
        <w:rPr>
          <w:rFonts w:ascii="宋体" w:hAnsi="宋体"/>
          <w:color w:val="000000" w:themeColor="text1"/>
          <w:sz w:val="24"/>
          <w:szCs w:val="24"/>
          <w:highlight w:val="none"/>
          <w14:textFill>
            <w14:solidFill>
              <w14:schemeClr w14:val="tx1"/>
            </w14:solidFill>
          </w14:textFill>
        </w:rPr>
      </w:pPr>
    </w:p>
    <w:p w14:paraId="21A1E44E">
      <w:pPr>
        <w:spacing w:line="360" w:lineRule="auto"/>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报价说明：</w:t>
      </w:r>
    </w:p>
    <w:p w14:paraId="6E224E43">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1、报价中应包含对项目服务的全部内容进行报价，其中磋商报价中已包括</w:t>
      </w:r>
      <w:r>
        <w:rPr>
          <w:rFonts w:hint="eastAsia"/>
          <w:bCs/>
          <w:color w:val="000000" w:themeColor="text1"/>
          <w:sz w:val="24"/>
          <w:szCs w:val="24"/>
          <w:highlight w:val="none"/>
          <w14:textFill>
            <w14:solidFill>
              <w14:schemeClr w14:val="tx1"/>
            </w14:solidFill>
          </w14:textFill>
        </w:rPr>
        <w:t>利润、管理费、税金及合同包含的所有风险、责任等各项应有费用。</w:t>
      </w:r>
    </w:p>
    <w:p w14:paraId="31068179">
      <w:pPr>
        <w:spacing w:line="360" w:lineRule="auto"/>
        <w:ind w:firstLine="566" w:firstLineChars="236"/>
        <w:rPr>
          <w:rFonts w:hint="eastAsia"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2、供应商在计算报价时应考虑自身的管理水平和其他风险，在项目实施期间不因政策性费率、物价和市场因素的变化而调整。</w:t>
      </w:r>
    </w:p>
    <w:p w14:paraId="4EF7D3C8">
      <w:pPr>
        <w:spacing w:line="360" w:lineRule="auto"/>
        <w:ind w:firstLine="480" w:firstLineChars="200"/>
        <w:rPr>
          <w:rFonts w:ascii="宋体" w:hAnsi="宋体"/>
          <w:color w:val="000000" w:themeColor="text1"/>
          <w:sz w:val="24"/>
          <w:szCs w:val="24"/>
          <w:highlight w:val="none"/>
          <w14:textFill>
            <w14:solidFill>
              <w14:schemeClr w14:val="tx1"/>
            </w14:solidFill>
          </w14:textFill>
        </w:rPr>
      </w:pPr>
    </w:p>
    <w:p w14:paraId="5E52FA91">
      <w:pPr>
        <w:spacing w:line="360" w:lineRule="auto"/>
        <w:ind w:firstLine="616" w:firstLineChars="257"/>
        <w:rPr>
          <w:color w:val="000000" w:themeColor="text1"/>
          <w:sz w:val="24"/>
          <w:szCs w:val="24"/>
          <w:highlight w:val="none"/>
          <w14:textFill>
            <w14:solidFill>
              <w14:schemeClr w14:val="tx1"/>
            </w14:solidFill>
          </w14:textFill>
        </w:rPr>
      </w:pPr>
    </w:p>
    <w:p w14:paraId="03A5CC83">
      <w:pPr>
        <w:spacing w:line="360" w:lineRule="auto"/>
        <w:ind w:firstLine="616" w:firstLineChars="257"/>
        <w:rPr>
          <w:color w:val="000000" w:themeColor="text1"/>
          <w:sz w:val="24"/>
          <w:szCs w:val="24"/>
          <w:highlight w:val="none"/>
          <w14:textFill>
            <w14:solidFill>
              <w14:schemeClr w14:val="tx1"/>
            </w14:solidFill>
          </w14:textFill>
        </w:rPr>
      </w:pPr>
    </w:p>
    <w:p w14:paraId="10C10B66">
      <w:pPr>
        <w:spacing w:line="360" w:lineRule="auto"/>
        <w:jc w:val="righ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供应商：</w:t>
      </w:r>
      <w:r>
        <w:rPr>
          <w:rFonts w:hint="eastAsia" w:ascii="新宋体" w:hAnsi="新宋体" w:eastAsia="新宋体"/>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w:t>
      </w:r>
      <w:r>
        <w:rPr>
          <w:rFonts w:hint="eastAsia"/>
          <w:color w:val="000000" w:themeColor="text1"/>
          <w:sz w:val="24"/>
          <w:szCs w:val="24"/>
          <w:highlight w:val="none"/>
          <w:lang w:eastAsia="zh-CN"/>
          <w14:textFill>
            <w14:solidFill>
              <w14:schemeClr w14:val="tx1"/>
            </w14:solidFill>
          </w14:textFill>
        </w:rPr>
        <w:t>盖单位公章</w:t>
      </w:r>
      <w:r>
        <w:rPr>
          <w:rFonts w:hint="eastAsia"/>
          <w:color w:val="000000" w:themeColor="text1"/>
          <w:sz w:val="24"/>
          <w:szCs w:val="24"/>
          <w:highlight w:val="none"/>
          <w14:textFill>
            <w14:solidFill>
              <w14:schemeClr w14:val="tx1"/>
            </w14:solidFill>
          </w14:textFill>
        </w:rPr>
        <w:t>）</w:t>
      </w:r>
    </w:p>
    <w:p w14:paraId="51562CFD">
      <w:pPr>
        <w:spacing w:line="360" w:lineRule="auto"/>
        <w:ind w:firstLine="3420" w:firstLineChars="1425"/>
        <w:rPr>
          <w:color w:val="000000" w:themeColor="text1"/>
          <w:sz w:val="24"/>
          <w:szCs w:val="24"/>
          <w:highlight w:val="none"/>
          <w14:textFill>
            <w14:solidFill>
              <w14:schemeClr w14:val="tx1"/>
            </w14:solidFill>
          </w14:textFill>
        </w:rPr>
      </w:pPr>
    </w:p>
    <w:p w14:paraId="7C38E15A">
      <w:pPr>
        <w:spacing w:line="360" w:lineRule="auto"/>
        <w:jc w:val="righ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法定代表人或其委托代理人：</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（签</w:t>
      </w:r>
      <w:r>
        <w:rPr>
          <w:rFonts w:hint="eastAsia"/>
          <w:color w:val="000000" w:themeColor="text1"/>
          <w:sz w:val="24"/>
          <w:szCs w:val="24"/>
          <w:highlight w:val="none"/>
          <w:lang w:val="en-US" w:eastAsia="zh-CN"/>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字）</w:t>
      </w:r>
    </w:p>
    <w:p w14:paraId="5A6F6D66">
      <w:pPr>
        <w:spacing w:line="360" w:lineRule="auto"/>
        <w:ind w:firstLine="3420" w:firstLineChars="1425"/>
        <w:rPr>
          <w:color w:val="000000" w:themeColor="text1"/>
          <w:sz w:val="24"/>
          <w:szCs w:val="24"/>
          <w:highlight w:val="none"/>
          <w14:textFill>
            <w14:solidFill>
              <w14:schemeClr w14:val="tx1"/>
            </w14:solidFill>
          </w14:textFill>
        </w:rPr>
      </w:pPr>
    </w:p>
    <w:p w14:paraId="3B1BF77A">
      <w:pPr>
        <w:pStyle w:val="19"/>
        <w:spacing w:line="360" w:lineRule="auto"/>
        <w:ind w:firstLine="3360"/>
        <w:jc w:val="right"/>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日期：</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年</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月</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日</w:t>
      </w:r>
    </w:p>
    <w:p w14:paraId="6A1C0FBB">
      <w:pPr>
        <w:spacing w:line="360" w:lineRule="auto"/>
        <w:rPr>
          <w:color w:val="000000" w:themeColor="text1"/>
          <w:sz w:val="24"/>
          <w:szCs w:val="24"/>
          <w:highlight w:val="none"/>
          <w14:textFill>
            <w14:solidFill>
              <w14:schemeClr w14:val="tx1"/>
            </w14:solidFill>
          </w14:textFill>
        </w:rPr>
        <w:sectPr>
          <w:pgSz w:w="11905" w:h="16838"/>
          <w:pgMar w:top="1440" w:right="1803" w:bottom="1440" w:left="1803" w:header="1140" w:footer="720" w:gutter="0"/>
          <w:pgNumType w:fmt="decimal"/>
          <w:cols w:space="0" w:num="1"/>
          <w:docGrid w:type="lines" w:linePitch="317" w:charSpace="0"/>
        </w:sectPr>
      </w:pPr>
    </w:p>
    <w:p w14:paraId="6616D4C7">
      <w:pPr>
        <w:spacing w:line="360" w:lineRule="auto"/>
        <w:jc w:val="center"/>
        <w:outlineLvl w:val="1"/>
        <w:rPr>
          <w:rFonts w:cs="Times New Roman"/>
          <w:b/>
          <w:bCs/>
          <w:color w:val="000000" w:themeColor="text1"/>
          <w:sz w:val="32"/>
          <w:szCs w:val="32"/>
          <w:highlight w:val="none"/>
          <w14:textFill>
            <w14:solidFill>
              <w14:schemeClr w14:val="tx1"/>
            </w14:solidFill>
          </w14:textFill>
        </w:rPr>
      </w:pPr>
      <w:bookmarkStart w:id="265" w:name="_Toc1818"/>
      <w:bookmarkStart w:id="266" w:name="_Toc29094"/>
      <w:bookmarkStart w:id="267" w:name="_Toc14698"/>
      <w:bookmarkStart w:id="268" w:name="_Toc9884"/>
      <w:bookmarkStart w:id="269" w:name="_Toc5896"/>
      <w:r>
        <w:rPr>
          <w:rFonts w:hint="eastAsia" w:cs="宋体"/>
          <w:b/>
          <w:bCs/>
          <w:color w:val="000000" w:themeColor="text1"/>
          <w:sz w:val="32"/>
          <w:szCs w:val="32"/>
          <w:highlight w:val="none"/>
          <w14:textFill>
            <w14:solidFill>
              <w14:schemeClr w14:val="tx1"/>
            </w14:solidFill>
          </w14:textFill>
        </w:rPr>
        <w:t>五、服务内容及标准偏离表</w:t>
      </w:r>
      <w:bookmarkEnd w:id="265"/>
      <w:bookmarkEnd w:id="266"/>
      <w:bookmarkEnd w:id="267"/>
      <w:bookmarkEnd w:id="268"/>
      <w:bookmarkEnd w:id="269"/>
    </w:p>
    <w:p w14:paraId="159A7DCA">
      <w:pPr>
        <w:pStyle w:val="19"/>
        <w:spacing w:line="360" w:lineRule="auto"/>
        <w:ind w:firstLine="420" w:firstLineChars="200"/>
        <w:rPr>
          <w:rFonts w:hAnsi="宋体" w:cs="Times New Roman"/>
          <w:color w:val="000000" w:themeColor="text1"/>
          <w:highlight w:val="none"/>
          <w14:textFill>
            <w14:solidFill>
              <w14:schemeClr w14:val="tx1"/>
            </w14:solidFill>
          </w14:textFill>
        </w:rPr>
      </w:pPr>
    </w:p>
    <w:p w14:paraId="6D016782">
      <w:pPr>
        <w:pStyle w:val="19"/>
        <w:spacing w:line="360" w:lineRule="auto"/>
        <w:ind w:firstLine="480" w:firstLineChars="200"/>
        <w:rPr>
          <w:rFonts w:hAnsi="宋体"/>
          <w:color w:val="000000" w:themeColor="text1"/>
          <w:sz w:val="24"/>
          <w:highlight w:val="none"/>
          <w14:textFill>
            <w14:solidFill>
              <w14:schemeClr w14:val="tx1"/>
            </w14:solidFill>
          </w14:textFill>
        </w:rPr>
      </w:pPr>
    </w:p>
    <w:p w14:paraId="0B89E5BB">
      <w:pPr>
        <w:pStyle w:val="19"/>
        <w:spacing w:line="360" w:lineRule="auto"/>
        <w:ind w:firstLine="480" w:firstLineChars="200"/>
        <w:rPr>
          <w:rFonts w:hAnsi="宋体"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项目名称：</w:t>
      </w:r>
      <w:r>
        <w:rPr>
          <w:rFonts w:hint="eastAsia" w:ascii="宋体" w:hAnsi="宋体"/>
          <w:b/>
          <w:color w:val="000000" w:themeColor="text1"/>
          <w:sz w:val="24"/>
          <w:szCs w:val="24"/>
          <w:highlight w:val="none"/>
          <w:u w:val="single"/>
          <w:lang w:val="en-US" w:eastAsia="zh-CN"/>
          <w14:textFill>
            <w14:solidFill>
              <w14:schemeClr w14:val="tx1"/>
            </w14:solidFill>
          </w14:textFill>
        </w:rPr>
        <w:t xml:space="preserve">                             </w:t>
      </w:r>
    </w:p>
    <w:p w14:paraId="20DFD4B6">
      <w:pPr>
        <w:spacing w:line="360" w:lineRule="auto"/>
        <w:ind w:firstLine="480" w:firstLineChars="20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项目编号：</w:t>
      </w:r>
      <w:r>
        <w:rPr>
          <w:rFonts w:hint="eastAsia" w:ascii="宋体" w:hAnsi="宋体"/>
          <w:b/>
          <w:color w:val="000000" w:themeColor="text1"/>
          <w:sz w:val="24"/>
          <w:szCs w:val="24"/>
          <w:highlight w:val="none"/>
          <w:u w:val="single"/>
          <w:lang w:val="en-US" w:eastAsia="zh-CN"/>
          <w14:textFill>
            <w14:solidFill>
              <w14:schemeClr w14:val="tx1"/>
            </w14:solidFill>
          </w14:textFill>
        </w:rPr>
        <w:t xml:space="preserve">                             </w:t>
      </w:r>
      <w:r>
        <w:rPr>
          <w:rFonts w:hint="eastAsia" w:hAnsi="宋体"/>
          <w:color w:val="000000" w:themeColor="text1"/>
          <w:sz w:val="24"/>
          <w:szCs w:val="24"/>
          <w:highlight w:val="none"/>
          <w14:textFill>
            <w14:solidFill>
              <w14:schemeClr w14:val="tx1"/>
            </w14:solidFill>
          </w14:textFill>
        </w:rPr>
        <w:t>　　　</w:t>
      </w:r>
    </w:p>
    <w:p w14:paraId="2167B620">
      <w:pPr>
        <w:pStyle w:val="13"/>
        <w:spacing w:line="360" w:lineRule="auto"/>
        <w:rPr>
          <w:color w:val="000000" w:themeColor="text1"/>
          <w:szCs w:val="24"/>
          <w:highlight w:val="none"/>
          <w14:textFill>
            <w14:solidFill>
              <w14:schemeClr w14:val="tx1"/>
            </w14:solidFill>
          </w14:textFill>
        </w:rPr>
      </w:pPr>
    </w:p>
    <w:tbl>
      <w:tblPr>
        <w:tblStyle w:val="32"/>
        <w:tblW w:w="8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6"/>
        <w:gridCol w:w="2473"/>
        <w:gridCol w:w="2605"/>
        <w:gridCol w:w="1193"/>
        <w:gridCol w:w="1130"/>
      </w:tblGrid>
      <w:tr w14:paraId="27082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1" w:hRule="atLeast"/>
          <w:jc w:val="center"/>
        </w:trPr>
        <w:tc>
          <w:tcPr>
            <w:tcW w:w="926" w:type="dxa"/>
            <w:tcBorders>
              <w:top w:val="single" w:color="auto" w:sz="4" w:space="0"/>
              <w:left w:val="single" w:color="auto" w:sz="4" w:space="0"/>
              <w:bottom w:val="single" w:color="auto" w:sz="4" w:space="0"/>
              <w:right w:val="single" w:color="auto" w:sz="4" w:space="0"/>
            </w:tcBorders>
            <w:vAlign w:val="center"/>
          </w:tcPr>
          <w:p w14:paraId="0EEE1DD0">
            <w:pPr>
              <w:pStyle w:val="19"/>
              <w:spacing w:line="360" w:lineRule="auto"/>
              <w:jc w:val="center"/>
              <w:rPr>
                <w:rFonts w:hAnsi="宋体"/>
                <w:color w:val="000000" w:themeColor="text1"/>
                <w:sz w:val="24"/>
                <w:szCs w:val="24"/>
                <w:highlight w:val="none"/>
                <w14:textFill>
                  <w14:solidFill>
                    <w14:schemeClr w14:val="tx1"/>
                  </w14:solidFill>
                </w14:textFill>
              </w:rPr>
            </w:pPr>
            <w:bookmarkStart w:id="270" w:name="_Toc27741031"/>
            <w:bookmarkStart w:id="271" w:name="_Toc27741231"/>
            <w:r>
              <w:rPr>
                <w:rFonts w:hint="eastAsia" w:hAnsi="宋体"/>
                <w:color w:val="000000" w:themeColor="text1"/>
                <w:sz w:val="24"/>
                <w:szCs w:val="24"/>
                <w:highlight w:val="none"/>
                <w14:textFill>
                  <w14:solidFill>
                    <w14:schemeClr w14:val="tx1"/>
                  </w14:solidFill>
                </w14:textFill>
              </w:rPr>
              <w:t>序号</w:t>
            </w:r>
            <w:bookmarkEnd w:id="270"/>
            <w:bookmarkEnd w:id="271"/>
          </w:p>
        </w:tc>
        <w:tc>
          <w:tcPr>
            <w:tcW w:w="2473" w:type="dxa"/>
            <w:tcBorders>
              <w:top w:val="single" w:color="auto" w:sz="4" w:space="0"/>
              <w:left w:val="nil"/>
              <w:bottom w:val="single" w:color="auto" w:sz="4" w:space="0"/>
              <w:right w:val="single" w:color="auto" w:sz="4" w:space="0"/>
            </w:tcBorders>
            <w:vAlign w:val="center"/>
          </w:tcPr>
          <w:p w14:paraId="09033627">
            <w:pPr>
              <w:pStyle w:val="19"/>
              <w:spacing w:line="360" w:lineRule="auto"/>
              <w:jc w:val="center"/>
              <w:rPr>
                <w:rFonts w:hAnsi="宋体"/>
                <w:color w:val="000000" w:themeColor="text1"/>
                <w:sz w:val="24"/>
                <w:szCs w:val="24"/>
                <w:highlight w:val="none"/>
                <w14:textFill>
                  <w14:solidFill>
                    <w14:schemeClr w14:val="tx1"/>
                  </w14:solidFill>
                </w14:textFill>
              </w:rPr>
            </w:pPr>
            <w:bookmarkStart w:id="272" w:name="_Toc27741233"/>
            <w:bookmarkStart w:id="273" w:name="_Toc27741033"/>
            <w:r>
              <w:rPr>
                <w:rFonts w:hint="eastAsia" w:hAnsi="宋体"/>
                <w:color w:val="000000" w:themeColor="text1"/>
                <w:sz w:val="24"/>
                <w:szCs w:val="24"/>
                <w:highlight w:val="none"/>
                <w14:textFill>
                  <w14:solidFill>
                    <w14:schemeClr w14:val="tx1"/>
                  </w14:solidFill>
                </w14:textFill>
              </w:rPr>
              <w:t>竞争性磋商文件规定的服务内容及标准</w:t>
            </w:r>
            <w:bookmarkEnd w:id="272"/>
            <w:bookmarkEnd w:id="273"/>
          </w:p>
        </w:tc>
        <w:tc>
          <w:tcPr>
            <w:tcW w:w="2605" w:type="dxa"/>
            <w:tcBorders>
              <w:top w:val="single" w:color="auto" w:sz="4" w:space="0"/>
              <w:left w:val="nil"/>
              <w:bottom w:val="single" w:color="auto" w:sz="4" w:space="0"/>
              <w:right w:val="single" w:color="auto" w:sz="4" w:space="0"/>
            </w:tcBorders>
            <w:vAlign w:val="center"/>
          </w:tcPr>
          <w:p w14:paraId="0619099E">
            <w:pPr>
              <w:pStyle w:val="19"/>
              <w:spacing w:line="360" w:lineRule="auto"/>
              <w:jc w:val="center"/>
              <w:rPr>
                <w:rFonts w:hAnsi="宋体"/>
                <w:color w:val="000000" w:themeColor="text1"/>
                <w:sz w:val="24"/>
                <w:szCs w:val="24"/>
                <w:highlight w:val="none"/>
                <w14:textFill>
                  <w14:solidFill>
                    <w14:schemeClr w14:val="tx1"/>
                  </w14:solidFill>
                </w14:textFill>
              </w:rPr>
            </w:pPr>
            <w:bookmarkStart w:id="274" w:name="_Toc27741034"/>
            <w:bookmarkStart w:id="275" w:name="_Toc27741234"/>
            <w:r>
              <w:rPr>
                <w:rFonts w:hint="eastAsia" w:hAnsi="宋体"/>
                <w:color w:val="000000" w:themeColor="text1"/>
                <w:sz w:val="24"/>
                <w:szCs w:val="24"/>
                <w:highlight w:val="none"/>
                <w14:textFill>
                  <w14:solidFill>
                    <w14:schemeClr w14:val="tx1"/>
                  </w14:solidFill>
                </w14:textFill>
              </w:rPr>
              <w:t>响应文件对应的</w:t>
            </w:r>
            <w:bookmarkEnd w:id="274"/>
            <w:bookmarkEnd w:id="275"/>
          </w:p>
          <w:p w14:paraId="4A78BC86">
            <w:pPr>
              <w:pStyle w:val="19"/>
              <w:spacing w:line="360" w:lineRule="auto"/>
              <w:jc w:val="center"/>
              <w:rPr>
                <w:rFonts w:hAnsi="宋体"/>
                <w:color w:val="000000" w:themeColor="text1"/>
                <w:sz w:val="24"/>
                <w:szCs w:val="24"/>
                <w:highlight w:val="none"/>
                <w14:textFill>
                  <w14:solidFill>
                    <w14:schemeClr w14:val="tx1"/>
                  </w14:solidFill>
                </w14:textFill>
              </w:rPr>
            </w:pPr>
            <w:bookmarkStart w:id="276" w:name="_Toc27741235"/>
            <w:bookmarkStart w:id="277" w:name="_Toc27741035"/>
            <w:r>
              <w:rPr>
                <w:rFonts w:hint="eastAsia" w:hAnsi="宋体"/>
                <w:color w:val="000000" w:themeColor="text1"/>
                <w:sz w:val="24"/>
                <w:szCs w:val="24"/>
                <w:highlight w:val="none"/>
                <w14:textFill>
                  <w14:solidFill>
                    <w14:schemeClr w14:val="tx1"/>
                  </w14:solidFill>
                </w14:textFill>
              </w:rPr>
              <w:t>服务响应条款</w:t>
            </w:r>
            <w:bookmarkEnd w:id="276"/>
            <w:bookmarkEnd w:id="277"/>
          </w:p>
        </w:tc>
        <w:tc>
          <w:tcPr>
            <w:tcW w:w="1193" w:type="dxa"/>
            <w:tcBorders>
              <w:top w:val="single" w:color="auto" w:sz="4" w:space="0"/>
              <w:left w:val="nil"/>
              <w:bottom w:val="single" w:color="auto" w:sz="4" w:space="0"/>
              <w:right w:val="single" w:color="auto" w:sz="4" w:space="0"/>
            </w:tcBorders>
            <w:vAlign w:val="center"/>
          </w:tcPr>
          <w:p w14:paraId="1C402BAC">
            <w:pPr>
              <w:pStyle w:val="19"/>
              <w:spacing w:line="360" w:lineRule="auto"/>
              <w:jc w:val="center"/>
              <w:rPr>
                <w:rFonts w:hAnsi="宋体"/>
                <w:color w:val="000000" w:themeColor="text1"/>
                <w:sz w:val="24"/>
                <w:szCs w:val="24"/>
                <w:highlight w:val="none"/>
                <w14:textFill>
                  <w14:solidFill>
                    <w14:schemeClr w14:val="tx1"/>
                  </w14:solidFill>
                </w14:textFill>
              </w:rPr>
            </w:pPr>
            <w:bookmarkStart w:id="278" w:name="_Toc27741236"/>
            <w:bookmarkStart w:id="279" w:name="_Toc27741036"/>
            <w:r>
              <w:rPr>
                <w:rFonts w:hint="eastAsia" w:hAnsi="宋体"/>
                <w:color w:val="000000" w:themeColor="text1"/>
                <w:sz w:val="24"/>
                <w:szCs w:val="24"/>
                <w:highlight w:val="none"/>
                <w14:textFill>
                  <w14:solidFill>
                    <w14:schemeClr w14:val="tx1"/>
                  </w14:solidFill>
                </w14:textFill>
              </w:rPr>
              <w:t>是否偏离</w:t>
            </w:r>
            <w:bookmarkEnd w:id="278"/>
            <w:bookmarkEnd w:id="279"/>
          </w:p>
        </w:tc>
        <w:tc>
          <w:tcPr>
            <w:tcW w:w="1130" w:type="dxa"/>
            <w:tcBorders>
              <w:top w:val="single" w:color="auto" w:sz="4" w:space="0"/>
              <w:left w:val="nil"/>
              <w:bottom w:val="single" w:color="auto" w:sz="4" w:space="0"/>
              <w:right w:val="single" w:color="auto" w:sz="4" w:space="0"/>
            </w:tcBorders>
            <w:vAlign w:val="center"/>
          </w:tcPr>
          <w:p w14:paraId="26420751">
            <w:pPr>
              <w:pStyle w:val="19"/>
              <w:spacing w:line="360" w:lineRule="auto"/>
              <w:jc w:val="center"/>
              <w:rPr>
                <w:rFonts w:hAnsi="宋体"/>
                <w:color w:val="000000" w:themeColor="text1"/>
                <w:sz w:val="24"/>
                <w:szCs w:val="24"/>
                <w:highlight w:val="none"/>
                <w14:textFill>
                  <w14:solidFill>
                    <w14:schemeClr w14:val="tx1"/>
                  </w14:solidFill>
                </w14:textFill>
              </w:rPr>
            </w:pPr>
            <w:bookmarkStart w:id="280" w:name="_Toc27741237"/>
            <w:bookmarkStart w:id="281" w:name="_Toc27741037"/>
            <w:r>
              <w:rPr>
                <w:rFonts w:hint="eastAsia" w:hAnsi="宋体"/>
                <w:color w:val="000000" w:themeColor="text1"/>
                <w:sz w:val="24"/>
                <w:szCs w:val="24"/>
                <w:highlight w:val="none"/>
                <w14:textFill>
                  <w14:solidFill>
                    <w14:schemeClr w14:val="tx1"/>
                  </w14:solidFill>
                </w14:textFill>
              </w:rPr>
              <w:t>备注</w:t>
            </w:r>
            <w:bookmarkEnd w:id="280"/>
            <w:bookmarkEnd w:id="281"/>
          </w:p>
        </w:tc>
      </w:tr>
      <w:tr w14:paraId="1F765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0" w:hRule="atLeast"/>
          <w:jc w:val="center"/>
        </w:trPr>
        <w:tc>
          <w:tcPr>
            <w:tcW w:w="926" w:type="dxa"/>
            <w:tcBorders>
              <w:top w:val="single" w:color="auto" w:sz="4" w:space="0"/>
              <w:left w:val="single" w:color="auto" w:sz="4" w:space="0"/>
              <w:right w:val="single" w:color="auto" w:sz="4" w:space="0"/>
            </w:tcBorders>
          </w:tcPr>
          <w:p w14:paraId="14DD9025">
            <w:pPr>
              <w:spacing w:line="360" w:lineRule="auto"/>
              <w:jc w:val="left"/>
              <w:rPr>
                <w:rFonts w:ascii="宋体" w:hAnsi="宋体"/>
                <w:color w:val="000000" w:themeColor="text1"/>
                <w:sz w:val="24"/>
                <w:szCs w:val="24"/>
                <w:highlight w:val="none"/>
                <w14:textFill>
                  <w14:solidFill>
                    <w14:schemeClr w14:val="tx1"/>
                  </w14:solidFill>
                </w14:textFill>
              </w:rPr>
            </w:pPr>
          </w:p>
        </w:tc>
        <w:tc>
          <w:tcPr>
            <w:tcW w:w="2473" w:type="dxa"/>
            <w:tcBorders>
              <w:top w:val="single" w:color="auto" w:sz="4" w:space="0"/>
              <w:left w:val="nil"/>
              <w:right w:val="single" w:color="auto" w:sz="4" w:space="0"/>
            </w:tcBorders>
          </w:tcPr>
          <w:p w14:paraId="3928EEA1">
            <w:pPr>
              <w:spacing w:line="360" w:lineRule="auto"/>
              <w:rPr>
                <w:rFonts w:ascii="宋体" w:hAnsi="宋体"/>
                <w:color w:val="000000" w:themeColor="text1"/>
                <w:sz w:val="24"/>
                <w:szCs w:val="24"/>
                <w:highlight w:val="none"/>
                <w14:textFill>
                  <w14:solidFill>
                    <w14:schemeClr w14:val="tx1"/>
                  </w14:solidFill>
                </w14:textFill>
              </w:rPr>
            </w:pPr>
          </w:p>
        </w:tc>
        <w:tc>
          <w:tcPr>
            <w:tcW w:w="2605" w:type="dxa"/>
            <w:tcBorders>
              <w:top w:val="single" w:color="auto" w:sz="4" w:space="0"/>
              <w:left w:val="nil"/>
              <w:right w:val="single" w:color="auto" w:sz="4" w:space="0"/>
            </w:tcBorders>
          </w:tcPr>
          <w:p w14:paraId="0EB365B4">
            <w:pPr>
              <w:spacing w:line="360" w:lineRule="auto"/>
              <w:rPr>
                <w:rFonts w:ascii="宋体" w:hAnsi="宋体"/>
                <w:color w:val="000000" w:themeColor="text1"/>
                <w:sz w:val="24"/>
                <w:szCs w:val="24"/>
                <w:highlight w:val="none"/>
                <w14:textFill>
                  <w14:solidFill>
                    <w14:schemeClr w14:val="tx1"/>
                  </w14:solidFill>
                </w14:textFill>
              </w:rPr>
            </w:pPr>
          </w:p>
        </w:tc>
        <w:tc>
          <w:tcPr>
            <w:tcW w:w="1193" w:type="dxa"/>
            <w:tcBorders>
              <w:top w:val="single" w:color="auto" w:sz="4" w:space="0"/>
              <w:left w:val="nil"/>
              <w:right w:val="single" w:color="auto" w:sz="4" w:space="0"/>
            </w:tcBorders>
          </w:tcPr>
          <w:p w14:paraId="201AB3C7">
            <w:pPr>
              <w:spacing w:line="360" w:lineRule="auto"/>
              <w:rPr>
                <w:rFonts w:ascii="宋体" w:hAnsi="宋体"/>
                <w:color w:val="000000" w:themeColor="text1"/>
                <w:sz w:val="24"/>
                <w:szCs w:val="24"/>
                <w:highlight w:val="none"/>
                <w14:textFill>
                  <w14:solidFill>
                    <w14:schemeClr w14:val="tx1"/>
                  </w14:solidFill>
                </w14:textFill>
              </w:rPr>
            </w:pPr>
          </w:p>
        </w:tc>
        <w:tc>
          <w:tcPr>
            <w:tcW w:w="1130" w:type="dxa"/>
            <w:tcBorders>
              <w:top w:val="single" w:color="auto" w:sz="4" w:space="0"/>
              <w:left w:val="nil"/>
              <w:bottom w:val="single" w:color="auto" w:sz="4" w:space="0"/>
              <w:right w:val="single" w:color="auto" w:sz="4" w:space="0"/>
            </w:tcBorders>
          </w:tcPr>
          <w:p w14:paraId="4F779C2B">
            <w:pPr>
              <w:spacing w:line="360" w:lineRule="auto"/>
              <w:rPr>
                <w:rFonts w:ascii="宋体" w:hAnsi="宋体"/>
                <w:color w:val="000000" w:themeColor="text1"/>
                <w:sz w:val="24"/>
                <w:szCs w:val="24"/>
                <w:highlight w:val="none"/>
                <w14:textFill>
                  <w14:solidFill>
                    <w14:schemeClr w14:val="tx1"/>
                  </w14:solidFill>
                </w14:textFill>
              </w:rPr>
            </w:pPr>
          </w:p>
        </w:tc>
      </w:tr>
    </w:tbl>
    <w:p w14:paraId="4ED5B5ED">
      <w:pPr>
        <w:spacing w:line="360" w:lineRule="auto"/>
        <w:rPr>
          <w:rFonts w:ascii="宋体" w:hAnsi="宋体"/>
          <w:color w:val="000000" w:themeColor="text1"/>
          <w:sz w:val="24"/>
          <w:szCs w:val="24"/>
          <w:highlight w:val="none"/>
          <w14:textFill>
            <w14:solidFill>
              <w14:schemeClr w14:val="tx1"/>
            </w14:solidFill>
          </w14:textFill>
        </w:rPr>
      </w:pPr>
    </w:p>
    <w:p w14:paraId="2DE4E72E">
      <w:pPr>
        <w:spacing w:line="360" w:lineRule="auto"/>
        <w:rPr>
          <w:rFonts w:ascii="宋体" w:hAnsi="宋体" w:cs="Times New Roman"/>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说明：</w:t>
      </w:r>
    </w:p>
    <w:p w14:paraId="7DE1A875">
      <w:pPr>
        <w:pStyle w:val="12"/>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1.服务条款均应根据响应文件对竞争性磋商文件的偏离情况相对应地填列，如不填写，则视为完全响应竞争性磋商文件的技术及商务要求。</w:t>
      </w:r>
    </w:p>
    <w:p w14:paraId="0449FB26">
      <w:pPr>
        <w:pStyle w:val="12"/>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 xml:space="preserve">2.表内如果填列不全，可另外附页说明并按规定签字和加盖公章。             </w:t>
      </w:r>
    </w:p>
    <w:p w14:paraId="12E8C7BB">
      <w:pPr>
        <w:pStyle w:val="12"/>
        <w:spacing w:line="360" w:lineRule="auto"/>
        <w:ind w:firstLine="480" w:firstLineChars="200"/>
        <w:rPr>
          <w:rFonts w:ascii="宋体" w:hAnsi="宋体"/>
          <w:color w:val="000000" w:themeColor="text1"/>
          <w:sz w:val="24"/>
          <w:szCs w:val="24"/>
          <w:highlight w:val="none"/>
          <w14:textFill>
            <w14:solidFill>
              <w14:schemeClr w14:val="tx1"/>
            </w14:solidFill>
          </w14:textFill>
        </w:rPr>
      </w:pPr>
      <w:bookmarkStart w:id="282" w:name="_Toc27741238"/>
      <w:bookmarkStart w:id="283" w:name="_Toc27741038"/>
      <w:r>
        <w:rPr>
          <w:rFonts w:hint="eastAsia" w:ascii="宋体" w:hAnsi="宋体"/>
          <w:color w:val="000000" w:themeColor="text1"/>
          <w:sz w:val="24"/>
          <w:szCs w:val="24"/>
          <w:highlight w:val="none"/>
          <w14:textFill>
            <w14:solidFill>
              <w14:schemeClr w14:val="tx1"/>
            </w14:solidFill>
          </w14:textFill>
        </w:rPr>
        <w:t>3.采购人要求供应商认真填写本表。</w:t>
      </w:r>
      <w:bookmarkEnd w:id="282"/>
      <w:bookmarkEnd w:id="283"/>
    </w:p>
    <w:p w14:paraId="04DA88AB">
      <w:pPr>
        <w:pStyle w:val="12"/>
        <w:spacing w:line="360" w:lineRule="auto"/>
        <w:ind w:firstLine="480" w:firstLineChars="200"/>
        <w:rPr>
          <w:rFonts w:ascii="宋体" w:hAnsi="宋体"/>
          <w:color w:val="000000" w:themeColor="text1"/>
          <w:sz w:val="24"/>
          <w:szCs w:val="24"/>
          <w:highlight w:val="none"/>
          <w14:textFill>
            <w14:solidFill>
              <w14:schemeClr w14:val="tx1"/>
            </w14:solidFill>
          </w14:textFill>
        </w:rPr>
      </w:pPr>
      <w:bookmarkStart w:id="284" w:name="_Toc27741039"/>
      <w:bookmarkStart w:id="285" w:name="_Toc27741239"/>
      <w:r>
        <w:rPr>
          <w:rFonts w:hint="eastAsia" w:ascii="宋体" w:hAnsi="宋体"/>
          <w:color w:val="000000" w:themeColor="text1"/>
          <w:sz w:val="24"/>
          <w:szCs w:val="24"/>
          <w:highlight w:val="none"/>
          <w14:textFill>
            <w14:solidFill>
              <w14:schemeClr w14:val="tx1"/>
            </w14:solidFill>
          </w14:textFill>
        </w:rPr>
        <w:t>4.此表可根据需要自行拉长加宽。</w:t>
      </w:r>
      <w:bookmarkEnd w:id="284"/>
      <w:bookmarkEnd w:id="285"/>
    </w:p>
    <w:p w14:paraId="61035D69">
      <w:pPr>
        <w:spacing w:line="360" w:lineRule="auto"/>
        <w:rPr>
          <w:rFonts w:cs="宋体"/>
          <w:b/>
          <w:bCs/>
          <w:color w:val="000000" w:themeColor="text1"/>
          <w:sz w:val="24"/>
          <w:szCs w:val="24"/>
          <w:highlight w:val="none"/>
          <w14:textFill>
            <w14:solidFill>
              <w14:schemeClr w14:val="tx1"/>
            </w14:solidFill>
          </w14:textFill>
        </w:rPr>
      </w:pPr>
    </w:p>
    <w:p w14:paraId="345450B3">
      <w:pPr>
        <w:spacing w:line="360" w:lineRule="auto"/>
        <w:ind w:firstLine="482" w:firstLineChars="200"/>
        <w:rPr>
          <w:rFonts w:cs="宋体"/>
          <w:b/>
          <w:bCs/>
          <w:color w:val="000000" w:themeColor="text1"/>
          <w:sz w:val="24"/>
          <w:szCs w:val="24"/>
          <w:highlight w:val="none"/>
          <w14:textFill>
            <w14:solidFill>
              <w14:schemeClr w14:val="tx1"/>
            </w14:solidFill>
          </w14:textFill>
        </w:rPr>
      </w:pPr>
    </w:p>
    <w:p w14:paraId="5888C0E5">
      <w:pPr>
        <w:pStyle w:val="19"/>
        <w:spacing w:line="360" w:lineRule="auto"/>
        <w:ind w:firstLine="480" w:firstLineChars="200"/>
        <w:rPr>
          <w:rFonts w:hAnsi="宋体" w:cs="Times New Roman"/>
          <w:color w:val="000000" w:themeColor="text1"/>
          <w:sz w:val="24"/>
          <w:szCs w:val="24"/>
          <w:highlight w:val="none"/>
          <w14:textFill>
            <w14:solidFill>
              <w14:schemeClr w14:val="tx1"/>
            </w14:solidFill>
          </w14:textFill>
        </w:rPr>
      </w:pPr>
    </w:p>
    <w:p w14:paraId="57BA8A84">
      <w:pPr>
        <w:pStyle w:val="12"/>
        <w:spacing w:line="360" w:lineRule="auto"/>
        <w:ind w:firstLine="1440" w:firstLineChars="600"/>
        <w:jc w:val="right"/>
        <w:rPr>
          <w:rFonts w:ascii="宋体" w:hAnsi="宋体"/>
          <w:color w:val="000000" w:themeColor="text1"/>
          <w:sz w:val="24"/>
          <w:szCs w:val="24"/>
          <w:highlight w:val="none"/>
          <w:u w:val="singl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供应商名称：</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w:t>
      </w:r>
      <w:r>
        <w:rPr>
          <w:rFonts w:hint="eastAsia" w:ascii="宋体" w:hAnsi="宋体"/>
          <w:color w:val="000000" w:themeColor="text1"/>
          <w:sz w:val="24"/>
          <w:szCs w:val="24"/>
          <w:highlight w:val="none"/>
          <w:lang w:eastAsia="zh-CN"/>
          <w14:textFill>
            <w14:solidFill>
              <w14:schemeClr w14:val="tx1"/>
            </w14:solidFill>
          </w14:textFill>
        </w:rPr>
        <w:t>盖单位公章</w:t>
      </w:r>
      <w:r>
        <w:rPr>
          <w:rFonts w:hint="eastAsia" w:ascii="宋体" w:hAnsi="宋体"/>
          <w:color w:val="000000" w:themeColor="text1"/>
          <w:sz w:val="24"/>
          <w:szCs w:val="24"/>
          <w:highlight w:val="none"/>
          <w14:textFill>
            <w14:solidFill>
              <w14:schemeClr w14:val="tx1"/>
            </w14:solidFill>
          </w14:textFill>
        </w:rPr>
        <w:t>)</w:t>
      </w:r>
    </w:p>
    <w:p w14:paraId="17C2FA28">
      <w:pPr>
        <w:pStyle w:val="12"/>
        <w:spacing w:line="360" w:lineRule="auto"/>
        <w:ind w:firstLine="480" w:firstLineChars="200"/>
        <w:jc w:val="righ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法定代表人（负责人）或其授权代表：</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(签</w:t>
      </w:r>
      <w:r>
        <w:rPr>
          <w:rFonts w:hint="eastAsia" w:ascii="宋体" w:hAnsi="宋体"/>
          <w:color w:val="000000" w:themeColor="text1"/>
          <w:sz w:val="24"/>
          <w:szCs w:val="24"/>
          <w:highlight w:val="none"/>
          <w:lang w:val="en-US" w:eastAsia="zh-CN"/>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字)</w:t>
      </w:r>
    </w:p>
    <w:p w14:paraId="4D96F95B">
      <w:pPr>
        <w:pStyle w:val="12"/>
        <w:spacing w:line="360" w:lineRule="auto"/>
        <w:ind w:firstLine="480" w:firstLineChars="200"/>
        <w:jc w:val="right"/>
        <w:rPr>
          <w:rFonts w:ascii="宋体" w:hAnsi="宋体"/>
          <w:color w:val="000000" w:themeColor="text1"/>
          <w:sz w:val="24"/>
          <w:szCs w:val="24"/>
          <w:highlight w:val="none"/>
          <w14:textFill>
            <w14:solidFill>
              <w14:schemeClr w14:val="tx1"/>
            </w14:solidFill>
          </w14:textFill>
        </w:rPr>
      </w:pPr>
    </w:p>
    <w:p w14:paraId="1357B21A">
      <w:pPr>
        <w:pStyle w:val="12"/>
        <w:spacing w:line="360" w:lineRule="auto"/>
        <w:ind w:firstLine="480" w:firstLineChars="200"/>
        <w:jc w:val="righ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日期：</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年</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月</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日</w:t>
      </w:r>
    </w:p>
    <w:p w14:paraId="4C12E022">
      <w:pPr>
        <w:pStyle w:val="19"/>
        <w:spacing w:line="360" w:lineRule="auto"/>
        <w:ind w:firstLine="420" w:firstLineChars="200"/>
        <w:rPr>
          <w:rFonts w:hAnsi="宋体" w:cs="Times New Roman"/>
          <w:color w:val="000000" w:themeColor="text1"/>
          <w:highlight w:val="none"/>
          <w14:textFill>
            <w14:solidFill>
              <w14:schemeClr w14:val="tx1"/>
            </w14:solidFill>
          </w14:textFill>
        </w:rPr>
      </w:pPr>
    </w:p>
    <w:p w14:paraId="46FFC4A4">
      <w:pPr>
        <w:pStyle w:val="19"/>
        <w:spacing w:line="360" w:lineRule="auto"/>
        <w:ind w:firstLine="420" w:firstLineChars="200"/>
        <w:rPr>
          <w:rFonts w:hAnsi="宋体" w:cs="Times New Roman"/>
          <w:color w:val="000000" w:themeColor="text1"/>
          <w:highlight w:val="none"/>
          <w14:textFill>
            <w14:solidFill>
              <w14:schemeClr w14:val="tx1"/>
            </w14:solidFill>
          </w14:textFill>
        </w:rPr>
      </w:pPr>
    </w:p>
    <w:p w14:paraId="08B8261E">
      <w:pPr>
        <w:spacing w:line="360" w:lineRule="auto"/>
        <w:jc w:val="center"/>
        <w:outlineLvl w:val="1"/>
        <w:rPr>
          <w:rFonts w:cs="Times New Roman"/>
          <w:b/>
          <w:bCs/>
          <w:color w:val="000000" w:themeColor="text1"/>
          <w:sz w:val="32"/>
          <w:szCs w:val="32"/>
          <w:highlight w:val="none"/>
          <w14:textFill>
            <w14:solidFill>
              <w14:schemeClr w14:val="tx1"/>
            </w14:solidFill>
          </w14:textFill>
        </w:rPr>
      </w:pPr>
      <w:bookmarkStart w:id="286" w:name="_Toc8229"/>
      <w:bookmarkStart w:id="287" w:name="_Toc24997"/>
      <w:bookmarkStart w:id="288" w:name="_Toc27699"/>
      <w:bookmarkStart w:id="289" w:name="_Toc13214"/>
      <w:bookmarkStart w:id="290" w:name="_Toc31806"/>
      <w:r>
        <w:rPr>
          <w:rFonts w:hint="eastAsia" w:cs="宋体"/>
          <w:b/>
          <w:bCs/>
          <w:color w:val="000000" w:themeColor="text1"/>
          <w:sz w:val="32"/>
          <w:szCs w:val="32"/>
          <w:highlight w:val="none"/>
          <w14:textFill>
            <w14:solidFill>
              <w14:schemeClr w14:val="tx1"/>
            </w14:solidFill>
          </w14:textFill>
        </w:rPr>
        <w:t>六、供应商符合供应商资格条件的证明文件</w:t>
      </w:r>
      <w:bookmarkEnd w:id="286"/>
      <w:bookmarkEnd w:id="287"/>
      <w:bookmarkEnd w:id="288"/>
      <w:bookmarkEnd w:id="289"/>
      <w:bookmarkEnd w:id="290"/>
    </w:p>
    <w:p w14:paraId="2D80502F">
      <w:pPr>
        <w:pStyle w:val="19"/>
        <w:spacing w:line="360" w:lineRule="auto"/>
        <w:jc w:val="center"/>
        <w:outlineLvl w:val="2"/>
        <w:rPr>
          <w:b/>
          <w:bCs/>
          <w:color w:val="000000" w:themeColor="text1"/>
          <w:sz w:val="30"/>
          <w:szCs w:val="30"/>
          <w:highlight w:val="none"/>
          <w14:textFill>
            <w14:solidFill>
              <w14:schemeClr w14:val="tx1"/>
            </w14:solidFill>
          </w14:textFill>
        </w:rPr>
      </w:pPr>
      <w:bookmarkStart w:id="291" w:name="_Toc466466390"/>
      <w:bookmarkStart w:id="292" w:name="_Toc465257495"/>
      <w:bookmarkStart w:id="293" w:name="_Toc466454746"/>
      <w:r>
        <w:rPr>
          <w:rFonts w:hint="eastAsia"/>
          <w:b/>
          <w:bCs/>
          <w:color w:val="000000" w:themeColor="text1"/>
          <w:sz w:val="30"/>
          <w:szCs w:val="30"/>
          <w:highlight w:val="none"/>
          <w14:textFill>
            <w14:solidFill>
              <w14:schemeClr w14:val="tx1"/>
            </w14:solidFill>
          </w14:textFill>
        </w:rPr>
        <w:t>（一）供应商基本情况表</w:t>
      </w:r>
    </w:p>
    <w:p w14:paraId="62A8F64A">
      <w:pPr>
        <w:pStyle w:val="19"/>
        <w:spacing w:line="360" w:lineRule="auto"/>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供应商：</w:t>
      </w:r>
      <w:r>
        <w:rPr>
          <w:rFonts w:hint="eastAsia" w:ascii="宋体" w:hAnsi="宋体"/>
          <w:b/>
          <w:color w:val="000000" w:themeColor="text1"/>
          <w:sz w:val="24"/>
          <w:szCs w:val="24"/>
          <w:highlight w:val="none"/>
          <w:u w:val="single"/>
          <w:lang w:val="en-US" w:eastAsia="zh-CN"/>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w:t>
      </w:r>
      <w:r>
        <w:rPr>
          <w:rFonts w:hint="eastAsia" w:hAnsi="宋体"/>
          <w:color w:val="000000" w:themeColor="text1"/>
          <w:sz w:val="24"/>
          <w:szCs w:val="24"/>
          <w:highlight w:val="none"/>
          <w14:textFill>
            <w14:solidFill>
              <w14:schemeClr w14:val="tx1"/>
            </w14:solidFill>
          </w14:textFill>
        </w:rPr>
        <w:t>公章</w:t>
      </w:r>
      <w:r>
        <w:rPr>
          <w:rFonts w:hAnsi="宋体"/>
          <w:color w:val="000000" w:themeColor="text1"/>
          <w:sz w:val="24"/>
          <w:szCs w:val="24"/>
          <w:highlight w:val="none"/>
          <w14:textFill>
            <w14:solidFill>
              <w14:schemeClr w14:val="tx1"/>
            </w14:solidFill>
          </w14:textFill>
        </w:rPr>
        <w:t>)</w:t>
      </w:r>
    </w:p>
    <w:tbl>
      <w:tblPr>
        <w:tblStyle w:val="32"/>
        <w:tblW w:w="84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8"/>
        <w:gridCol w:w="828"/>
        <w:gridCol w:w="2148"/>
        <w:gridCol w:w="1418"/>
        <w:gridCol w:w="1300"/>
        <w:gridCol w:w="1094"/>
      </w:tblGrid>
      <w:tr w14:paraId="48D66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49" w:hRule="atLeast"/>
          <w:jc w:val="center"/>
        </w:trPr>
        <w:tc>
          <w:tcPr>
            <w:tcW w:w="2496" w:type="dxa"/>
            <w:gridSpan w:val="2"/>
            <w:vAlign w:val="center"/>
          </w:tcPr>
          <w:p w14:paraId="15FFFB1A">
            <w:pPr>
              <w:pStyle w:val="19"/>
              <w:spacing w:line="360" w:lineRule="auto"/>
              <w:jc w:val="center"/>
              <w:rPr>
                <w:rFonts w:hAnsi="宋体"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供应商名称</w:t>
            </w:r>
          </w:p>
        </w:tc>
        <w:tc>
          <w:tcPr>
            <w:tcW w:w="2148" w:type="dxa"/>
            <w:vAlign w:val="center"/>
          </w:tcPr>
          <w:p w14:paraId="5D87ACBA">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c>
          <w:tcPr>
            <w:tcW w:w="2718" w:type="dxa"/>
            <w:gridSpan w:val="2"/>
            <w:vAlign w:val="center"/>
          </w:tcPr>
          <w:p w14:paraId="16A5D794">
            <w:pPr>
              <w:pStyle w:val="19"/>
              <w:spacing w:line="360" w:lineRule="auto"/>
              <w:jc w:val="center"/>
              <w:rPr>
                <w:rFonts w:hAnsi="宋体"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法定代表人（负责人）</w:t>
            </w:r>
          </w:p>
        </w:tc>
        <w:tc>
          <w:tcPr>
            <w:tcW w:w="1094" w:type="dxa"/>
            <w:vAlign w:val="center"/>
          </w:tcPr>
          <w:p w14:paraId="76C32C4B">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r>
      <w:tr w14:paraId="45BC9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2496" w:type="dxa"/>
            <w:gridSpan w:val="2"/>
            <w:vAlign w:val="center"/>
          </w:tcPr>
          <w:p w14:paraId="319BC12E">
            <w:pPr>
              <w:pStyle w:val="19"/>
              <w:spacing w:line="360" w:lineRule="auto"/>
              <w:jc w:val="center"/>
              <w:rPr>
                <w:rFonts w:hAnsi="宋体"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组织机构代码</w:t>
            </w:r>
          </w:p>
        </w:tc>
        <w:tc>
          <w:tcPr>
            <w:tcW w:w="2148" w:type="dxa"/>
            <w:vAlign w:val="center"/>
          </w:tcPr>
          <w:p w14:paraId="6EF03914">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c>
          <w:tcPr>
            <w:tcW w:w="2718" w:type="dxa"/>
            <w:gridSpan w:val="2"/>
            <w:vAlign w:val="center"/>
          </w:tcPr>
          <w:p w14:paraId="6F94AE0D">
            <w:pPr>
              <w:pStyle w:val="19"/>
              <w:spacing w:line="360" w:lineRule="auto"/>
              <w:jc w:val="center"/>
              <w:rPr>
                <w:rFonts w:hAnsi="宋体"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邮政编码</w:t>
            </w:r>
          </w:p>
        </w:tc>
        <w:tc>
          <w:tcPr>
            <w:tcW w:w="1094" w:type="dxa"/>
            <w:vAlign w:val="center"/>
          </w:tcPr>
          <w:p w14:paraId="7217C570">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r>
      <w:tr w14:paraId="41972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2496" w:type="dxa"/>
            <w:gridSpan w:val="2"/>
            <w:vAlign w:val="center"/>
          </w:tcPr>
          <w:p w14:paraId="2E634333">
            <w:pPr>
              <w:pStyle w:val="19"/>
              <w:spacing w:line="360" w:lineRule="auto"/>
              <w:jc w:val="center"/>
              <w:rPr>
                <w:rFonts w:hAnsi="宋体"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授权代表</w:t>
            </w:r>
          </w:p>
        </w:tc>
        <w:tc>
          <w:tcPr>
            <w:tcW w:w="2148" w:type="dxa"/>
            <w:vAlign w:val="center"/>
          </w:tcPr>
          <w:p w14:paraId="01D20FEE">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c>
          <w:tcPr>
            <w:tcW w:w="2718" w:type="dxa"/>
            <w:gridSpan w:val="2"/>
            <w:vAlign w:val="center"/>
          </w:tcPr>
          <w:p w14:paraId="40607FA9">
            <w:pPr>
              <w:pStyle w:val="19"/>
              <w:spacing w:line="360" w:lineRule="auto"/>
              <w:jc w:val="center"/>
              <w:rPr>
                <w:rFonts w:hAnsi="宋体"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联系电话</w:t>
            </w:r>
          </w:p>
        </w:tc>
        <w:tc>
          <w:tcPr>
            <w:tcW w:w="1094" w:type="dxa"/>
            <w:vAlign w:val="center"/>
          </w:tcPr>
          <w:p w14:paraId="2C3ADBB7">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r>
      <w:tr w14:paraId="36914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2496" w:type="dxa"/>
            <w:gridSpan w:val="2"/>
            <w:vAlign w:val="center"/>
          </w:tcPr>
          <w:p w14:paraId="13514C82">
            <w:pPr>
              <w:pStyle w:val="19"/>
              <w:spacing w:line="360" w:lineRule="auto"/>
              <w:jc w:val="center"/>
              <w:rPr>
                <w:rFonts w:hAnsi="宋体"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电子邮箱</w:t>
            </w:r>
          </w:p>
        </w:tc>
        <w:tc>
          <w:tcPr>
            <w:tcW w:w="2148" w:type="dxa"/>
            <w:vAlign w:val="center"/>
          </w:tcPr>
          <w:p w14:paraId="5BFAAE0F">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c>
          <w:tcPr>
            <w:tcW w:w="2718" w:type="dxa"/>
            <w:gridSpan w:val="2"/>
            <w:vAlign w:val="center"/>
          </w:tcPr>
          <w:p w14:paraId="731C8C48">
            <w:pPr>
              <w:pStyle w:val="19"/>
              <w:spacing w:line="360" w:lineRule="auto"/>
              <w:jc w:val="center"/>
              <w:rPr>
                <w:rFonts w:hAnsi="宋体"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传真</w:t>
            </w:r>
          </w:p>
        </w:tc>
        <w:tc>
          <w:tcPr>
            <w:tcW w:w="1094" w:type="dxa"/>
            <w:vAlign w:val="center"/>
          </w:tcPr>
          <w:p w14:paraId="5C0BB5F7">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r>
      <w:tr w14:paraId="32EBB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2496" w:type="dxa"/>
            <w:gridSpan w:val="2"/>
            <w:vAlign w:val="center"/>
          </w:tcPr>
          <w:p w14:paraId="751CDD2C">
            <w:pPr>
              <w:pStyle w:val="19"/>
              <w:spacing w:line="360" w:lineRule="auto"/>
              <w:jc w:val="center"/>
              <w:rPr>
                <w:rFonts w:hAnsi="宋体"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上年营业收入</w:t>
            </w:r>
          </w:p>
        </w:tc>
        <w:tc>
          <w:tcPr>
            <w:tcW w:w="2148" w:type="dxa"/>
            <w:vAlign w:val="center"/>
          </w:tcPr>
          <w:p w14:paraId="38660151">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c>
          <w:tcPr>
            <w:tcW w:w="2718" w:type="dxa"/>
            <w:gridSpan w:val="2"/>
            <w:vAlign w:val="center"/>
          </w:tcPr>
          <w:p w14:paraId="2F73E748">
            <w:pPr>
              <w:pStyle w:val="19"/>
              <w:spacing w:line="360" w:lineRule="auto"/>
              <w:jc w:val="center"/>
              <w:rPr>
                <w:rFonts w:hAnsi="宋体"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员工总人数</w:t>
            </w:r>
          </w:p>
        </w:tc>
        <w:tc>
          <w:tcPr>
            <w:tcW w:w="1094" w:type="dxa"/>
            <w:vAlign w:val="center"/>
          </w:tcPr>
          <w:p w14:paraId="45C9DFB5">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r>
      <w:tr w14:paraId="0F935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2496" w:type="dxa"/>
            <w:gridSpan w:val="2"/>
            <w:vAlign w:val="center"/>
          </w:tcPr>
          <w:p w14:paraId="0CD12A1C">
            <w:pPr>
              <w:pStyle w:val="19"/>
              <w:spacing w:line="360" w:lineRule="auto"/>
              <w:jc w:val="center"/>
              <w:rPr>
                <w:rFonts w:hint="eastAsia"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基本账户开户行及</w:t>
            </w:r>
          </w:p>
          <w:p w14:paraId="1843A793">
            <w:pPr>
              <w:pStyle w:val="19"/>
              <w:spacing w:line="360" w:lineRule="auto"/>
              <w:jc w:val="center"/>
              <w:rPr>
                <w:rFonts w:hAnsi="宋体"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账号</w:t>
            </w:r>
          </w:p>
        </w:tc>
        <w:tc>
          <w:tcPr>
            <w:tcW w:w="5960" w:type="dxa"/>
            <w:gridSpan w:val="4"/>
            <w:vAlign w:val="center"/>
          </w:tcPr>
          <w:p w14:paraId="3F10B763">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r>
      <w:tr w14:paraId="3083D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2496" w:type="dxa"/>
            <w:gridSpan w:val="2"/>
            <w:vAlign w:val="center"/>
          </w:tcPr>
          <w:p w14:paraId="6B1B3427">
            <w:pPr>
              <w:pStyle w:val="19"/>
              <w:spacing w:line="360" w:lineRule="auto"/>
              <w:jc w:val="center"/>
              <w:rPr>
                <w:rFonts w:hAnsi="宋体"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税务登记机关</w:t>
            </w:r>
          </w:p>
        </w:tc>
        <w:tc>
          <w:tcPr>
            <w:tcW w:w="5960" w:type="dxa"/>
            <w:gridSpan w:val="4"/>
            <w:vAlign w:val="center"/>
          </w:tcPr>
          <w:p w14:paraId="40D87E64">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r>
      <w:tr w14:paraId="79DF7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2496" w:type="dxa"/>
            <w:gridSpan w:val="2"/>
            <w:vAlign w:val="center"/>
          </w:tcPr>
          <w:p w14:paraId="10966ABC">
            <w:pPr>
              <w:pStyle w:val="19"/>
              <w:spacing w:line="360" w:lineRule="auto"/>
              <w:jc w:val="center"/>
              <w:rPr>
                <w:rFonts w:hAnsi="宋体"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资质名称</w:t>
            </w:r>
          </w:p>
        </w:tc>
        <w:tc>
          <w:tcPr>
            <w:tcW w:w="2148" w:type="dxa"/>
            <w:vAlign w:val="center"/>
          </w:tcPr>
          <w:p w14:paraId="586AC1BC">
            <w:pPr>
              <w:pStyle w:val="19"/>
              <w:spacing w:line="360" w:lineRule="auto"/>
              <w:jc w:val="center"/>
              <w:rPr>
                <w:rFonts w:hAnsi="宋体"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等级</w:t>
            </w:r>
          </w:p>
        </w:tc>
        <w:tc>
          <w:tcPr>
            <w:tcW w:w="1418" w:type="dxa"/>
            <w:vAlign w:val="center"/>
          </w:tcPr>
          <w:p w14:paraId="2516FDB0">
            <w:pPr>
              <w:pStyle w:val="19"/>
              <w:spacing w:line="360" w:lineRule="auto"/>
              <w:jc w:val="center"/>
              <w:rPr>
                <w:rFonts w:hAnsi="宋体"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发证机关</w:t>
            </w:r>
          </w:p>
        </w:tc>
        <w:tc>
          <w:tcPr>
            <w:tcW w:w="2394" w:type="dxa"/>
            <w:gridSpan w:val="2"/>
            <w:vAlign w:val="center"/>
          </w:tcPr>
          <w:p w14:paraId="1691D588">
            <w:pPr>
              <w:pStyle w:val="19"/>
              <w:spacing w:line="360" w:lineRule="auto"/>
              <w:jc w:val="center"/>
              <w:rPr>
                <w:rFonts w:hAnsi="宋体"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有效期</w:t>
            </w:r>
          </w:p>
        </w:tc>
      </w:tr>
      <w:tr w14:paraId="60790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2496" w:type="dxa"/>
            <w:gridSpan w:val="2"/>
            <w:vAlign w:val="center"/>
          </w:tcPr>
          <w:p w14:paraId="4E13BD49">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c>
          <w:tcPr>
            <w:tcW w:w="2148" w:type="dxa"/>
            <w:vAlign w:val="center"/>
          </w:tcPr>
          <w:p w14:paraId="14E58E0B">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c>
          <w:tcPr>
            <w:tcW w:w="1418" w:type="dxa"/>
            <w:vAlign w:val="center"/>
          </w:tcPr>
          <w:p w14:paraId="46392FC8">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c>
          <w:tcPr>
            <w:tcW w:w="2394" w:type="dxa"/>
            <w:gridSpan w:val="2"/>
            <w:vAlign w:val="center"/>
          </w:tcPr>
          <w:p w14:paraId="7AE927D4">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r>
      <w:tr w14:paraId="5B31B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2496" w:type="dxa"/>
            <w:gridSpan w:val="2"/>
            <w:vAlign w:val="center"/>
          </w:tcPr>
          <w:p w14:paraId="30EC4CF0">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c>
          <w:tcPr>
            <w:tcW w:w="2148" w:type="dxa"/>
            <w:vAlign w:val="center"/>
          </w:tcPr>
          <w:p w14:paraId="3DC58440">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c>
          <w:tcPr>
            <w:tcW w:w="1418" w:type="dxa"/>
            <w:vAlign w:val="center"/>
          </w:tcPr>
          <w:p w14:paraId="7E7CE3CA">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c>
          <w:tcPr>
            <w:tcW w:w="2394" w:type="dxa"/>
            <w:gridSpan w:val="2"/>
            <w:vAlign w:val="center"/>
          </w:tcPr>
          <w:p w14:paraId="39E4D405">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r>
      <w:tr w14:paraId="67815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1668" w:type="dxa"/>
            <w:vAlign w:val="center"/>
          </w:tcPr>
          <w:p w14:paraId="5A40091F">
            <w:pPr>
              <w:pStyle w:val="19"/>
              <w:spacing w:line="360" w:lineRule="auto"/>
              <w:jc w:val="center"/>
              <w:rPr>
                <w:rFonts w:hAnsi="宋体" w:cs="Times New Roman"/>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备注</w:t>
            </w:r>
          </w:p>
        </w:tc>
        <w:tc>
          <w:tcPr>
            <w:tcW w:w="6788" w:type="dxa"/>
            <w:gridSpan w:val="5"/>
            <w:vAlign w:val="center"/>
          </w:tcPr>
          <w:p w14:paraId="5D6EEBFC">
            <w:pPr>
              <w:pStyle w:val="19"/>
              <w:spacing w:line="360" w:lineRule="auto"/>
              <w:jc w:val="center"/>
              <w:rPr>
                <w:rFonts w:hAnsi="宋体" w:cs="Times New Roman"/>
                <w:color w:val="000000" w:themeColor="text1"/>
                <w:sz w:val="24"/>
                <w:szCs w:val="24"/>
                <w:highlight w:val="none"/>
                <w14:textFill>
                  <w14:solidFill>
                    <w14:schemeClr w14:val="tx1"/>
                  </w14:solidFill>
                </w14:textFill>
              </w:rPr>
            </w:pPr>
          </w:p>
        </w:tc>
      </w:tr>
    </w:tbl>
    <w:p w14:paraId="4C651ADF">
      <w:pPr>
        <w:pStyle w:val="19"/>
        <w:spacing w:line="360" w:lineRule="auto"/>
        <w:rPr>
          <w:rFonts w:hAnsi="宋体" w:cs="Times New Roman"/>
          <w:b/>
          <w:color w:val="000000" w:themeColor="text1"/>
          <w:sz w:val="24"/>
          <w:szCs w:val="24"/>
          <w:highlight w:val="none"/>
          <w14:textFill>
            <w14:solidFill>
              <w14:schemeClr w14:val="tx1"/>
            </w14:solidFill>
          </w14:textFill>
        </w:rPr>
      </w:pPr>
      <w:r>
        <w:rPr>
          <w:rFonts w:hint="eastAsia" w:hAnsi="宋体"/>
          <w:b/>
          <w:color w:val="000000" w:themeColor="text1"/>
          <w:sz w:val="24"/>
          <w:szCs w:val="24"/>
          <w:highlight w:val="none"/>
          <w14:textFill>
            <w14:solidFill>
              <w14:schemeClr w14:val="tx1"/>
            </w14:solidFill>
          </w14:textFill>
        </w:rPr>
        <w:t>注：后附营业执照副本或与新版营业执照副本（有二维码的）等相关证书复印件。</w:t>
      </w:r>
    </w:p>
    <w:p w14:paraId="30FFF22C">
      <w:pPr>
        <w:spacing w:line="360" w:lineRule="auto"/>
        <w:jc w:val="center"/>
        <w:outlineLvl w:val="2"/>
        <w:rPr>
          <w:b/>
          <w:bCs/>
          <w:color w:val="000000" w:themeColor="text1"/>
          <w:sz w:val="32"/>
          <w:szCs w:val="32"/>
          <w:highlight w:val="none"/>
          <w14:textFill>
            <w14:solidFill>
              <w14:schemeClr w14:val="tx1"/>
            </w14:solidFill>
          </w14:textFill>
        </w:rPr>
      </w:pPr>
      <w:r>
        <w:rPr>
          <w:rFonts w:hAnsi="宋体" w:cs="Times New Roman"/>
          <w:color w:val="000000" w:themeColor="text1"/>
          <w:sz w:val="24"/>
          <w:highlight w:val="none"/>
          <w14:textFill>
            <w14:solidFill>
              <w14:schemeClr w14:val="tx1"/>
            </w14:solidFill>
          </w14:textFill>
        </w:rPr>
        <w:br w:type="page"/>
      </w:r>
      <w:bookmarkEnd w:id="291"/>
      <w:bookmarkEnd w:id="292"/>
      <w:bookmarkEnd w:id="293"/>
      <w:r>
        <w:rPr>
          <w:rFonts w:hint="eastAsia"/>
          <w:b/>
          <w:bCs/>
          <w:color w:val="000000" w:themeColor="text1"/>
          <w:sz w:val="32"/>
          <w:szCs w:val="32"/>
          <w:highlight w:val="none"/>
          <w14:textFill>
            <w14:solidFill>
              <w14:schemeClr w14:val="tx1"/>
            </w14:solidFill>
          </w14:textFill>
        </w:rPr>
        <w:t>（二）近年度财务状况表</w:t>
      </w:r>
    </w:p>
    <w:p w14:paraId="62F109CE">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49B9BA77">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7C90EBEA">
      <w:pPr>
        <w:spacing w:line="360" w:lineRule="auto"/>
        <w:ind w:firstLine="480" w:firstLineChars="200"/>
        <w:rPr>
          <w:rFonts w:ascii="宋体" w:cs="Times New Roman"/>
          <w:color w:val="000000" w:themeColor="text1"/>
          <w:sz w:val="24"/>
          <w:highlight w:val="non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提供近年（2023年度）财务审计报告或财务报表（含资产负债表、现金流量表、利润表），新成立企业提供当年验资报告或银行出具的公司资信证明</w:t>
      </w:r>
      <w:r>
        <w:rPr>
          <w:rFonts w:hint="eastAsia" w:cs="宋体"/>
          <w:color w:val="000000" w:themeColor="text1"/>
          <w:sz w:val="24"/>
          <w:szCs w:val="24"/>
          <w:highlight w:val="none"/>
          <w14:textFill>
            <w14:solidFill>
              <w14:schemeClr w14:val="tx1"/>
            </w14:solidFill>
          </w14:textFill>
        </w:rPr>
        <w:t>。</w:t>
      </w:r>
    </w:p>
    <w:p w14:paraId="4A313162">
      <w:pPr>
        <w:spacing w:line="360" w:lineRule="auto"/>
        <w:jc w:val="right"/>
        <w:rPr>
          <w:rFonts w:hint="eastAsia"/>
          <w:color w:val="000000" w:themeColor="text1"/>
          <w:sz w:val="24"/>
          <w:szCs w:val="24"/>
          <w:highlight w:val="none"/>
          <w14:textFill>
            <w14:solidFill>
              <w14:schemeClr w14:val="tx1"/>
            </w14:solidFill>
          </w14:textFill>
        </w:rPr>
      </w:pPr>
    </w:p>
    <w:p w14:paraId="427366B6">
      <w:pPr>
        <w:spacing w:line="360" w:lineRule="auto"/>
        <w:jc w:val="right"/>
        <w:rPr>
          <w:rFonts w:hint="eastAsia"/>
          <w:color w:val="000000" w:themeColor="text1"/>
          <w:sz w:val="24"/>
          <w:szCs w:val="24"/>
          <w:highlight w:val="none"/>
          <w14:textFill>
            <w14:solidFill>
              <w14:schemeClr w14:val="tx1"/>
            </w14:solidFill>
          </w14:textFill>
        </w:rPr>
      </w:pPr>
    </w:p>
    <w:p w14:paraId="1AC822C2">
      <w:pPr>
        <w:spacing w:line="360" w:lineRule="auto"/>
        <w:jc w:val="right"/>
        <w:rPr>
          <w:rFonts w:hint="eastAsia"/>
          <w:color w:val="000000" w:themeColor="text1"/>
          <w:sz w:val="24"/>
          <w:szCs w:val="24"/>
          <w:highlight w:val="none"/>
          <w14:textFill>
            <w14:solidFill>
              <w14:schemeClr w14:val="tx1"/>
            </w14:solidFill>
          </w14:textFill>
        </w:rPr>
      </w:pPr>
    </w:p>
    <w:p w14:paraId="7721E639">
      <w:pPr>
        <w:spacing w:line="360" w:lineRule="auto"/>
        <w:jc w:val="right"/>
        <w:rPr>
          <w:rFonts w:hint="eastAsia"/>
          <w:color w:val="000000" w:themeColor="text1"/>
          <w:sz w:val="24"/>
          <w:szCs w:val="24"/>
          <w:highlight w:val="none"/>
          <w14:textFill>
            <w14:solidFill>
              <w14:schemeClr w14:val="tx1"/>
            </w14:solidFill>
          </w14:textFill>
        </w:rPr>
      </w:pPr>
    </w:p>
    <w:p w14:paraId="587D932B">
      <w:pPr>
        <w:spacing w:line="360" w:lineRule="auto"/>
        <w:jc w:val="right"/>
        <w:rPr>
          <w:rFonts w:hint="eastAsia"/>
          <w:color w:val="000000" w:themeColor="text1"/>
          <w:sz w:val="24"/>
          <w:szCs w:val="24"/>
          <w:highlight w:val="none"/>
          <w14:textFill>
            <w14:solidFill>
              <w14:schemeClr w14:val="tx1"/>
            </w14:solidFill>
          </w14:textFill>
        </w:rPr>
      </w:pPr>
    </w:p>
    <w:p w14:paraId="44A6B274">
      <w:pPr>
        <w:spacing w:line="360" w:lineRule="auto"/>
        <w:jc w:val="right"/>
        <w:rPr>
          <w:rFonts w:hint="eastAsia"/>
          <w:color w:val="000000" w:themeColor="text1"/>
          <w:sz w:val="24"/>
          <w:szCs w:val="24"/>
          <w:highlight w:val="none"/>
          <w14:textFill>
            <w14:solidFill>
              <w14:schemeClr w14:val="tx1"/>
            </w14:solidFill>
          </w14:textFill>
        </w:rPr>
      </w:pPr>
    </w:p>
    <w:p w14:paraId="4E4EB2A1">
      <w:pPr>
        <w:spacing w:line="360" w:lineRule="auto"/>
        <w:jc w:val="right"/>
        <w:rPr>
          <w:rFonts w:hint="eastAsia"/>
          <w:color w:val="000000" w:themeColor="text1"/>
          <w:sz w:val="24"/>
          <w:szCs w:val="24"/>
          <w:highlight w:val="none"/>
          <w14:textFill>
            <w14:solidFill>
              <w14:schemeClr w14:val="tx1"/>
            </w14:solidFill>
          </w14:textFill>
        </w:rPr>
      </w:pPr>
    </w:p>
    <w:p w14:paraId="1649FB91">
      <w:pPr>
        <w:spacing w:line="360" w:lineRule="auto"/>
        <w:jc w:val="right"/>
        <w:rPr>
          <w:rFonts w:hint="eastAsia"/>
          <w:color w:val="000000" w:themeColor="text1"/>
          <w:sz w:val="24"/>
          <w:szCs w:val="24"/>
          <w:highlight w:val="none"/>
          <w14:textFill>
            <w14:solidFill>
              <w14:schemeClr w14:val="tx1"/>
            </w14:solidFill>
          </w14:textFill>
        </w:rPr>
      </w:pPr>
    </w:p>
    <w:p w14:paraId="4613BB26">
      <w:pPr>
        <w:spacing w:line="360" w:lineRule="auto"/>
        <w:jc w:val="right"/>
        <w:rPr>
          <w:rFonts w:hint="eastAsia"/>
          <w:color w:val="000000" w:themeColor="text1"/>
          <w:sz w:val="24"/>
          <w:szCs w:val="24"/>
          <w:highlight w:val="none"/>
          <w14:textFill>
            <w14:solidFill>
              <w14:schemeClr w14:val="tx1"/>
            </w14:solidFill>
          </w14:textFill>
        </w:rPr>
      </w:pPr>
    </w:p>
    <w:p w14:paraId="7980E1E0">
      <w:pPr>
        <w:spacing w:line="360" w:lineRule="auto"/>
        <w:jc w:val="right"/>
        <w:rPr>
          <w:rFonts w:hint="eastAsia"/>
          <w:color w:val="000000" w:themeColor="text1"/>
          <w:sz w:val="24"/>
          <w:szCs w:val="24"/>
          <w:highlight w:val="none"/>
          <w14:textFill>
            <w14:solidFill>
              <w14:schemeClr w14:val="tx1"/>
            </w14:solidFill>
          </w14:textFill>
        </w:rPr>
      </w:pPr>
    </w:p>
    <w:p w14:paraId="76F1283C">
      <w:pPr>
        <w:spacing w:line="360" w:lineRule="auto"/>
        <w:jc w:val="right"/>
        <w:rPr>
          <w:rFonts w:hint="eastAsia"/>
          <w:color w:val="000000" w:themeColor="text1"/>
          <w:sz w:val="24"/>
          <w:szCs w:val="24"/>
          <w:highlight w:val="none"/>
          <w14:textFill>
            <w14:solidFill>
              <w14:schemeClr w14:val="tx1"/>
            </w14:solidFill>
          </w14:textFill>
        </w:rPr>
      </w:pPr>
    </w:p>
    <w:p w14:paraId="2AF75973">
      <w:pPr>
        <w:spacing w:line="360" w:lineRule="auto"/>
        <w:jc w:val="right"/>
        <w:rPr>
          <w:rFonts w:hint="eastAsia"/>
          <w:color w:val="000000" w:themeColor="text1"/>
          <w:sz w:val="24"/>
          <w:szCs w:val="24"/>
          <w:highlight w:val="none"/>
          <w14:textFill>
            <w14:solidFill>
              <w14:schemeClr w14:val="tx1"/>
            </w14:solidFill>
          </w14:textFill>
        </w:rPr>
      </w:pPr>
    </w:p>
    <w:p w14:paraId="59948739">
      <w:pPr>
        <w:spacing w:line="360" w:lineRule="auto"/>
        <w:jc w:val="right"/>
        <w:rPr>
          <w:rFonts w:hint="eastAsia"/>
          <w:color w:val="000000" w:themeColor="text1"/>
          <w:sz w:val="24"/>
          <w:szCs w:val="24"/>
          <w:highlight w:val="none"/>
          <w14:textFill>
            <w14:solidFill>
              <w14:schemeClr w14:val="tx1"/>
            </w14:solidFill>
          </w14:textFill>
        </w:rPr>
      </w:pPr>
    </w:p>
    <w:p w14:paraId="43B765A8">
      <w:pPr>
        <w:spacing w:line="360" w:lineRule="auto"/>
        <w:jc w:val="right"/>
        <w:rPr>
          <w:rFonts w:hint="eastAsia"/>
          <w:color w:val="000000" w:themeColor="text1"/>
          <w:sz w:val="24"/>
          <w:szCs w:val="24"/>
          <w:highlight w:val="none"/>
          <w14:textFill>
            <w14:solidFill>
              <w14:schemeClr w14:val="tx1"/>
            </w14:solidFill>
          </w14:textFill>
        </w:rPr>
      </w:pPr>
    </w:p>
    <w:p w14:paraId="1CBCCFC7">
      <w:pPr>
        <w:spacing w:line="360" w:lineRule="auto"/>
        <w:jc w:val="right"/>
        <w:rPr>
          <w:rFonts w:hint="eastAsia"/>
          <w:color w:val="000000" w:themeColor="text1"/>
          <w:sz w:val="24"/>
          <w:szCs w:val="24"/>
          <w:highlight w:val="none"/>
          <w14:textFill>
            <w14:solidFill>
              <w14:schemeClr w14:val="tx1"/>
            </w14:solidFill>
          </w14:textFill>
        </w:rPr>
      </w:pPr>
    </w:p>
    <w:p w14:paraId="5419F243">
      <w:pPr>
        <w:spacing w:line="360" w:lineRule="auto"/>
        <w:jc w:val="right"/>
        <w:rPr>
          <w:rFonts w:hint="eastAsia"/>
          <w:color w:val="000000" w:themeColor="text1"/>
          <w:sz w:val="24"/>
          <w:szCs w:val="24"/>
          <w:highlight w:val="none"/>
          <w14:textFill>
            <w14:solidFill>
              <w14:schemeClr w14:val="tx1"/>
            </w14:solidFill>
          </w14:textFill>
        </w:rPr>
      </w:pPr>
    </w:p>
    <w:p w14:paraId="0FA2C7E1">
      <w:pPr>
        <w:spacing w:line="360" w:lineRule="auto"/>
        <w:jc w:val="righ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供应商：</w:t>
      </w:r>
      <w:r>
        <w:rPr>
          <w:rFonts w:hint="eastAsia" w:ascii="新宋体" w:hAnsi="新宋体" w:eastAsia="新宋体"/>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w:t>
      </w:r>
      <w:r>
        <w:rPr>
          <w:rFonts w:hint="eastAsia"/>
          <w:color w:val="000000" w:themeColor="text1"/>
          <w:sz w:val="24"/>
          <w:szCs w:val="24"/>
          <w:highlight w:val="none"/>
          <w:lang w:eastAsia="zh-CN"/>
          <w14:textFill>
            <w14:solidFill>
              <w14:schemeClr w14:val="tx1"/>
            </w14:solidFill>
          </w14:textFill>
        </w:rPr>
        <w:t>盖单位公章</w:t>
      </w:r>
      <w:r>
        <w:rPr>
          <w:rFonts w:hint="eastAsia"/>
          <w:color w:val="000000" w:themeColor="text1"/>
          <w:sz w:val="24"/>
          <w:szCs w:val="24"/>
          <w:highlight w:val="none"/>
          <w14:textFill>
            <w14:solidFill>
              <w14:schemeClr w14:val="tx1"/>
            </w14:solidFill>
          </w14:textFill>
        </w:rPr>
        <w:t>）</w:t>
      </w:r>
    </w:p>
    <w:p w14:paraId="2FE5BC0B">
      <w:pPr>
        <w:spacing w:line="360" w:lineRule="auto"/>
        <w:ind w:firstLine="3420" w:firstLineChars="1425"/>
        <w:rPr>
          <w:color w:val="000000" w:themeColor="text1"/>
          <w:sz w:val="24"/>
          <w:szCs w:val="24"/>
          <w:highlight w:val="none"/>
          <w14:textFill>
            <w14:solidFill>
              <w14:schemeClr w14:val="tx1"/>
            </w14:solidFill>
          </w14:textFill>
        </w:rPr>
      </w:pPr>
    </w:p>
    <w:p w14:paraId="314A980C">
      <w:pPr>
        <w:spacing w:line="360" w:lineRule="auto"/>
        <w:jc w:val="righ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法定代表人或其委托代理人：</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（签</w:t>
      </w:r>
      <w:r>
        <w:rPr>
          <w:rFonts w:hint="eastAsia"/>
          <w:color w:val="000000" w:themeColor="text1"/>
          <w:sz w:val="24"/>
          <w:szCs w:val="24"/>
          <w:highlight w:val="none"/>
          <w:lang w:val="en-US" w:eastAsia="zh-CN"/>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字）</w:t>
      </w:r>
    </w:p>
    <w:p w14:paraId="60F700B9">
      <w:pPr>
        <w:spacing w:line="360" w:lineRule="auto"/>
        <w:ind w:firstLine="3420" w:firstLineChars="1425"/>
        <w:rPr>
          <w:color w:val="000000" w:themeColor="text1"/>
          <w:sz w:val="24"/>
          <w:szCs w:val="24"/>
          <w:highlight w:val="none"/>
          <w14:textFill>
            <w14:solidFill>
              <w14:schemeClr w14:val="tx1"/>
            </w14:solidFill>
          </w14:textFill>
        </w:rPr>
      </w:pPr>
    </w:p>
    <w:p w14:paraId="009AB50E">
      <w:pPr>
        <w:pStyle w:val="19"/>
        <w:spacing w:line="360" w:lineRule="auto"/>
        <w:ind w:firstLine="5040" w:firstLineChars="2100"/>
        <w:rPr>
          <w:rFonts w:hAnsi="宋体" w:cs="Times New Roman"/>
          <w:color w:val="000000" w:themeColor="text1"/>
          <w:sz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日期：</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年</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月</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日</w:t>
      </w:r>
    </w:p>
    <w:p w14:paraId="7EA5A796">
      <w:pPr>
        <w:spacing w:line="360" w:lineRule="auto"/>
        <w:rPr>
          <w:color w:val="000000" w:themeColor="text1"/>
          <w:sz w:val="30"/>
          <w:szCs w:val="30"/>
          <w:highlight w:val="none"/>
          <w14:textFill>
            <w14:solidFill>
              <w14:schemeClr w14:val="tx1"/>
            </w14:solidFill>
          </w14:textFill>
        </w:rPr>
      </w:pPr>
      <w:bookmarkStart w:id="294" w:name="_Toc466466392"/>
      <w:bookmarkStart w:id="295" w:name="_Toc465257497"/>
      <w:bookmarkStart w:id="296" w:name="_Toc466454748"/>
      <w:r>
        <w:rPr>
          <w:color w:val="000000" w:themeColor="text1"/>
          <w:sz w:val="30"/>
          <w:szCs w:val="30"/>
          <w:highlight w:val="none"/>
          <w14:textFill>
            <w14:solidFill>
              <w14:schemeClr w14:val="tx1"/>
            </w14:solidFill>
          </w14:textFill>
        </w:rPr>
        <w:t xml:space="preserve">  </w:t>
      </w:r>
      <w:r>
        <w:rPr>
          <w:rFonts w:hint="eastAsia"/>
          <w:color w:val="000000" w:themeColor="text1"/>
          <w:sz w:val="30"/>
          <w:szCs w:val="30"/>
          <w:highlight w:val="none"/>
          <w14:textFill>
            <w14:solidFill>
              <w14:schemeClr w14:val="tx1"/>
            </w14:solidFill>
          </w14:textFill>
        </w:rPr>
        <w:t xml:space="preserve">     </w:t>
      </w:r>
    </w:p>
    <w:p w14:paraId="538C0398">
      <w:pPr>
        <w:spacing w:line="360" w:lineRule="auto"/>
        <w:jc w:val="center"/>
        <w:outlineLvl w:val="2"/>
        <w:rPr>
          <w:b/>
          <w:bCs/>
          <w:color w:val="000000" w:themeColor="text1"/>
          <w:sz w:val="32"/>
          <w:szCs w:val="32"/>
          <w:highlight w:val="none"/>
          <w14:textFill>
            <w14:solidFill>
              <w14:schemeClr w14:val="tx1"/>
            </w14:solidFill>
          </w14:textFill>
        </w:rPr>
      </w:pPr>
      <w:r>
        <w:rPr>
          <w:color w:val="000000" w:themeColor="text1"/>
          <w:sz w:val="30"/>
          <w:szCs w:val="30"/>
          <w:highlight w:val="none"/>
          <w14:textFill>
            <w14:solidFill>
              <w14:schemeClr w14:val="tx1"/>
            </w14:solidFill>
          </w14:textFill>
        </w:rPr>
        <w:br w:type="page"/>
      </w:r>
      <w:r>
        <w:rPr>
          <w:rFonts w:hint="eastAsia"/>
          <w:b/>
          <w:bCs/>
          <w:color w:val="000000" w:themeColor="text1"/>
          <w:sz w:val="32"/>
          <w:szCs w:val="32"/>
          <w:highlight w:val="none"/>
          <w14:textFill>
            <w14:solidFill>
              <w14:schemeClr w14:val="tx1"/>
            </w14:solidFill>
          </w14:textFill>
        </w:rPr>
        <w:t>（三）依法缴纳税收</w:t>
      </w:r>
      <w:bookmarkEnd w:id="294"/>
      <w:bookmarkEnd w:id="295"/>
      <w:bookmarkEnd w:id="296"/>
      <w:r>
        <w:rPr>
          <w:rFonts w:hint="eastAsia"/>
          <w:b/>
          <w:bCs/>
          <w:color w:val="000000" w:themeColor="text1"/>
          <w:sz w:val="32"/>
          <w:szCs w:val="32"/>
          <w:highlight w:val="none"/>
          <w14:textFill>
            <w14:solidFill>
              <w14:schemeClr w14:val="tx1"/>
            </w14:solidFill>
          </w14:textFill>
        </w:rPr>
        <w:t>和社会保障资金的相关证明</w:t>
      </w:r>
    </w:p>
    <w:p w14:paraId="52FFCB05">
      <w:pPr>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p>
    <w:p w14:paraId="0D8673EC">
      <w:pPr>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备注：</w:t>
      </w:r>
      <w:r>
        <w:rPr>
          <w:rFonts w:hint="eastAsia" w:ascii="宋体" w:hAnsi="宋体" w:cs="宋体"/>
          <w:color w:val="000000" w:themeColor="text1"/>
          <w:sz w:val="24"/>
          <w:szCs w:val="24"/>
          <w:highlight w:val="none"/>
          <w:lang w:val="zh-CN"/>
          <w14:textFill>
            <w14:solidFill>
              <w14:schemeClr w14:val="tx1"/>
            </w14:solidFill>
          </w14:textFill>
        </w:rPr>
        <w:t>投标人须提供投标截止日期前六个月内任意一个月的依法缴纳税收和社会保障资金相关证明材料</w:t>
      </w:r>
      <w:r>
        <w:rPr>
          <w:rFonts w:hint="eastAsia" w:ascii="宋体" w:hAnsi="宋体" w:cs="宋体"/>
          <w:color w:val="000000" w:themeColor="text1"/>
          <w:sz w:val="24"/>
          <w:szCs w:val="24"/>
          <w:highlight w:val="none"/>
          <w14:textFill>
            <w14:solidFill>
              <w14:schemeClr w14:val="tx1"/>
            </w14:solidFill>
          </w14:textFill>
        </w:rPr>
        <w:t>。</w:t>
      </w:r>
    </w:p>
    <w:p w14:paraId="302D6002">
      <w:pPr>
        <w:pStyle w:val="19"/>
        <w:ind w:firstLine="480" w:firstLineChars="200"/>
        <w:rPr>
          <w:rFonts w:hAnsi="宋体" w:cs="Times New Roman"/>
          <w:color w:val="000000" w:themeColor="text1"/>
          <w:sz w:val="24"/>
          <w:highlight w:val="none"/>
          <w14:textFill>
            <w14:solidFill>
              <w14:schemeClr w14:val="tx1"/>
            </w14:solidFill>
          </w14:textFill>
        </w:rPr>
      </w:pPr>
    </w:p>
    <w:p w14:paraId="22D70A19">
      <w:pPr>
        <w:spacing w:line="360" w:lineRule="auto"/>
        <w:jc w:val="right"/>
        <w:rPr>
          <w:rFonts w:hint="eastAsia"/>
          <w:color w:val="000000" w:themeColor="text1"/>
          <w:sz w:val="24"/>
          <w:szCs w:val="24"/>
          <w:highlight w:val="none"/>
          <w14:textFill>
            <w14:solidFill>
              <w14:schemeClr w14:val="tx1"/>
            </w14:solidFill>
          </w14:textFill>
        </w:rPr>
      </w:pPr>
    </w:p>
    <w:p w14:paraId="6740B88D">
      <w:pPr>
        <w:spacing w:line="360" w:lineRule="auto"/>
        <w:jc w:val="right"/>
        <w:rPr>
          <w:rFonts w:hint="eastAsia"/>
          <w:color w:val="000000" w:themeColor="text1"/>
          <w:sz w:val="24"/>
          <w:szCs w:val="24"/>
          <w:highlight w:val="none"/>
          <w14:textFill>
            <w14:solidFill>
              <w14:schemeClr w14:val="tx1"/>
            </w14:solidFill>
          </w14:textFill>
        </w:rPr>
      </w:pPr>
    </w:p>
    <w:p w14:paraId="61D60C36">
      <w:pPr>
        <w:spacing w:line="360" w:lineRule="auto"/>
        <w:jc w:val="right"/>
        <w:rPr>
          <w:rFonts w:hint="eastAsia"/>
          <w:color w:val="000000" w:themeColor="text1"/>
          <w:sz w:val="24"/>
          <w:szCs w:val="24"/>
          <w:highlight w:val="none"/>
          <w14:textFill>
            <w14:solidFill>
              <w14:schemeClr w14:val="tx1"/>
            </w14:solidFill>
          </w14:textFill>
        </w:rPr>
      </w:pPr>
    </w:p>
    <w:p w14:paraId="75644953">
      <w:pPr>
        <w:spacing w:line="360" w:lineRule="auto"/>
        <w:jc w:val="right"/>
        <w:rPr>
          <w:rFonts w:hint="eastAsia"/>
          <w:color w:val="000000" w:themeColor="text1"/>
          <w:sz w:val="24"/>
          <w:szCs w:val="24"/>
          <w:highlight w:val="none"/>
          <w14:textFill>
            <w14:solidFill>
              <w14:schemeClr w14:val="tx1"/>
            </w14:solidFill>
          </w14:textFill>
        </w:rPr>
      </w:pPr>
    </w:p>
    <w:p w14:paraId="1A78C1EA">
      <w:pPr>
        <w:spacing w:line="360" w:lineRule="auto"/>
        <w:jc w:val="right"/>
        <w:rPr>
          <w:rFonts w:hint="eastAsia"/>
          <w:color w:val="000000" w:themeColor="text1"/>
          <w:sz w:val="24"/>
          <w:szCs w:val="24"/>
          <w:highlight w:val="none"/>
          <w14:textFill>
            <w14:solidFill>
              <w14:schemeClr w14:val="tx1"/>
            </w14:solidFill>
          </w14:textFill>
        </w:rPr>
      </w:pPr>
    </w:p>
    <w:p w14:paraId="12B4827D">
      <w:pPr>
        <w:spacing w:line="360" w:lineRule="auto"/>
        <w:jc w:val="right"/>
        <w:rPr>
          <w:rFonts w:hint="eastAsia"/>
          <w:color w:val="000000" w:themeColor="text1"/>
          <w:sz w:val="24"/>
          <w:szCs w:val="24"/>
          <w:highlight w:val="none"/>
          <w14:textFill>
            <w14:solidFill>
              <w14:schemeClr w14:val="tx1"/>
            </w14:solidFill>
          </w14:textFill>
        </w:rPr>
      </w:pPr>
    </w:p>
    <w:p w14:paraId="76279487">
      <w:pPr>
        <w:spacing w:line="360" w:lineRule="auto"/>
        <w:jc w:val="right"/>
        <w:rPr>
          <w:rFonts w:hint="eastAsia"/>
          <w:color w:val="000000" w:themeColor="text1"/>
          <w:sz w:val="24"/>
          <w:szCs w:val="24"/>
          <w:highlight w:val="none"/>
          <w14:textFill>
            <w14:solidFill>
              <w14:schemeClr w14:val="tx1"/>
            </w14:solidFill>
          </w14:textFill>
        </w:rPr>
      </w:pPr>
    </w:p>
    <w:p w14:paraId="55E7E911">
      <w:pPr>
        <w:spacing w:line="360" w:lineRule="auto"/>
        <w:jc w:val="right"/>
        <w:rPr>
          <w:rFonts w:hint="eastAsia"/>
          <w:color w:val="000000" w:themeColor="text1"/>
          <w:sz w:val="24"/>
          <w:szCs w:val="24"/>
          <w:highlight w:val="none"/>
          <w14:textFill>
            <w14:solidFill>
              <w14:schemeClr w14:val="tx1"/>
            </w14:solidFill>
          </w14:textFill>
        </w:rPr>
      </w:pPr>
    </w:p>
    <w:p w14:paraId="099E1D88">
      <w:pPr>
        <w:spacing w:line="360" w:lineRule="auto"/>
        <w:jc w:val="right"/>
        <w:rPr>
          <w:rFonts w:hint="eastAsia"/>
          <w:color w:val="000000" w:themeColor="text1"/>
          <w:sz w:val="24"/>
          <w:szCs w:val="24"/>
          <w:highlight w:val="none"/>
          <w14:textFill>
            <w14:solidFill>
              <w14:schemeClr w14:val="tx1"/>
            </w14:solidFill>
          </w14:textFill>
        </w:rPr>
      </w:pPr>
    </w:p>
    <w:p w14:paraId="4A86CC0C">
      <w:pPr>
        <w:spacing w:line="360" w:lineRule="auto"/>
        <w:jc w:val="right"/>
        <w:rPr>
          <w:rFonts w:hint="eastAsia"/>
          <w:color w:val="000000" w:themeColor="text1"/>
          <w:sz w:val="24"/>
          <w:szCs w:val="24"/>
          <w:highlight w:val="none"/>
          <w14:textFill>
            <w14:solidFill>
              <w14:schemeClr w14:val="tx1"/>
            </w14:solidFill>
          </w14:textFill>
        </w:rPr>
      </w:pPr>
    </w:p>
    <w:p w14:paraId="4E46D1CA">
      <w:pPr>
        <w:spacing w:line="360" w:lineRule="auto"/>
        <w:jc w:val="right"/>
        <w:rPr>
          <w:rFonts w:hint="eastAsia"/>
          <w:color w:val="000000" w:themeColor="text1"/>
          <w:sz w:val="24"/>
          <w:szCs w:val="24"/>
          <w:highlight w:val="none"/>
          <w14:textFill>
            <w14:solidFill>
              <w14:schemeClr w14:val="tx1"/>
            </w14:solidFill>
          </w14:textFill>
        </w:rPr>
      </w:pPr>
    </w:p>
    <w:p w14:paraId="213304FA">
      <w:pPr>
        <w:spacing w:line="360" w:lineRule="auto"/>
        <w:jc w:val="right"/>
        <w:rPr>
          <w:rFonts w:hint="eastAsia"/>
          <w:color w:val="000000" w:themeColor="text1"/>
          <w:sz w:val="24"/>
          <w:szCs w:val="24"/>
          <w:highlight w:val="none"/>
          <w14:textFill>
            <w14:solidFill>
              <w14:schemeClr w14:val="tx1"/>
            </w14:solidFill>
          </w14:textFill>
        </w:rPr>
      </w:pPr>
    </w:p>
    <w:p w14:paraId="743EDDB6">
      <w:pPr>
        <w:spacing w:line="360" w:lineRule="auto"/>
        <w:jc w:val="right"/>
        <w:rPr>
          <w:rFonts w:hint="eastAsia"/>
          <w:color w:val="000000" w:themeColor="text1"/>
          <w:sz w:val="24"/>
          <w:szCs w:val="24"/>
          <w:highlight w:val="none"/>
          <w14:textFill>
            <w14:solidFill>
              <w14:schemeClr w14:val="tx1"/>
            </w14:solidFill>
          </w14:textFill>
        </w:rPr>
      </w:pPr>
    </w:p>
    <w:p w14:paraId="023C4FEF">
      <w:pPr>
        <w:spacing w:line="360" w:lineRule="auto"/>
        <w:jc w:val="right"/>
        <w:rPr>
          <w:rFonts w:hint="eastAsia"/>
          <w:color w:val="000000" w:themeColor="text1"/>
          <w:sz w:val="24"/>
          <w:szCs w:val="24"/>
          <w:highlight w:val="none"/>
          <w14:textFill>
            <w14:solidFill>
              <w14:schemeClr w14:val="tx1"/>
            </w14:solidFill>
          </w14:textFill>
        </w:rPr>
      </w:pPr>
    </w:p>
    <w:p w14:paraId="4DD8B2B9">
      <w:pPr>
        <w:spacing w:line="360" w:lineRule="auto"/>
        <w:jc w:val="right"/>
        <w:rPr>
          <w:rFonts w:hint="eastAsia"/>
          <w:color w:val="000000" w:themeColor="text1"/>
          <w:sz w:val="24"/>
          <w:szCs w:val="24"/>
          <w:highlight w:val="none"/>
          <w14:textFill>
            <w14:solidFill>
              <w14:schemeClr w14:val="tx1"/>
            </w14:solidFill>
          </w14:textFill>
        </w:rPr>
      </w:pPr>
    </w:p>
    <w:p w14:paraId="6C9D73C8">
      <w:pPr>
        <w:spacing w:line="360" w:lineRule="auto"/>
        <w:jc w:val="right"/>
        <w:rPr>
          <w:rFonts w:hint="eastAsia"/>
          <w:color w:val="000000" w:themeColor="text1"/>
          <w:sz w:val="24"/>
          <w:szCs w:val="24"/>
          <w:highlight w:val="none"/>
          <w14:textFill>
            <w14:solidFill>
              <w14:schemeClr w14:val="tx1"/>
            </w14:solidFill>
          </w14:textFill>
        </w:rPr>
      </w:pPr>
    </w:p>
    <w:p w14:paraId="54473686">
      <w:pPr>
        <w:spacing w:line="360" w:lineRule="auto"/>
        <w:jc w:val="right"/>
        <w:rPr>
          <w:rFonts w:hint="eastAsia"/>
          <w:color w:val="000000" w:themeColor="text1"/>
          <w:sz w:val="24"/>
          <w:szCs w:val="24"/>
          <w:highlight w:val="none"/>
          <w14:textFill>
            <w14:solidFill>
              <w14:schemeClr w14:val="tx1"/>
            </w14:solidFill>
          </w14:textFill>
        </w:rPr>
      </w:pPr>
    </w:p>
    <w:p w14:paraId="50927181">
      <w:pPr>
        <w:spacing w:line="360" w:lineRule="auto"/>
        <w:jc w:val="right"/>
        <w:rPr>
          <w:rFonts w:hint="eastAsia"/>
          <w:color w:val="000000" w:themeColor="text1"/>
          <w:sz w:val="24"/>
          <w:szCs w:val="24"/>
          <w:highlight w:val="none"/>
          <w14:textFill>
            <w14:solidFill>
              <w14:schemeClr w14:val="tx1"/>
            </w14:solidFill>
          </w14:textFill>
        </w:rPr>
      </w:pPr>
    </w:p>
    <w:p w14:paraId="0B4151BD">
      <w:pPr>
        <w:spacing w:line="360" w:lineRule="auto"/>
        <w:jc w:val="righ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供应商：</w:t>
      </w:r>
      <w:r>
        <w:rPr>
          <w:rFonts w:hint="eastAsia" w:ascii="新宋体" w:hAnsi="新宋体" w:eastAsia="新宋体"/>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w:t>
      </w:r>
      <w:r>
        <w:rPr>
          <w:rFonts w:hint="eastAsia"/>
          <w:color w:val="000000" w:themeColor="text1"/>
          <w:sz w:val="24"/>
          <w:szCs w:val="24"/>
          <w:highlight w:val="none"/>
          <w:lang w:eastAsia="zh-CN"/>
          <w14:textFill>
            <w14:solidFill>
              <w14:schemeClr w14:val="tx1"/>
            </w14:solidFill>
          </w14:textFill>
        </w:rPr>
        <w:t>盖单位公章</w:t>
      </w:r>
      <w:r>
        <w:rPr>
          <w:rFonts w:hint="eastAsia"/>
          <w:color w:val="000000" w:themeColor="text1"/>
          <w:sz w:val="24"/>
          <w:szCs w:val="24"/>
          <w:highlight w:val="none"/>
          <w14:textFill>
            <w14:solidFill>
              <w14:schemeClr w14:val="tx1"/>
            </w14:solidFill>
          </w14:textFill>
        </w:rPr>
        <w:t>）</w:t>
      </w:r>
    </w:p>
    <w:p w14:paraId="6E1B3862">
      <w:pPr>
        <w:spacing w:line="360" w:lineRule="auto"/>
        <w:ind w:firstLine="3420" w:firstLineChars="1425"/>
        <w:rPr>
          <w:color w:val="000000" w:themeColor="text1"/>
          <w:sz w:val="24"/>
          <w:szCs w:val="24"/>
          <w:highlight w:val="none"/>
          <w14:textFill>
            <w14:solidFill>
              <w14:schemeClr w14:val="tx1"/>
            </w14:solidFill>
          </w14:textFill>
        </w:rPr>
      </w:pPr>
    </w:p>
    <w:p w14:paraId="075D1ABD">
      <w:pPr>
        <w:spacing w:line="360" w:lineRule="auto"/>
        <w:jc w:val="righ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法定代表人或其委托代理人：</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（签</w:t>
      </w:r>
      <w:r>
        <w:rPr>
          <w:rFonts w:hint="eastAsia"/>
          <w:color w:val="000000" w:themeColor="text1"/>
          <w:sz w:val="24"/>
          <w:szCs w:val="24"/>
          <w:highlight w:val="none"/>
          <w:lang w:val="en-US" w:eastAsia="zh-CN"/>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字）</w:t>
      </w:r>
    </w:p>
    <w:p w14:paraId="7E6BF978">
      <w:pPr>
        <w:spacing w:line="360" w:lineRule="auto"/>
        <w:ind w:firstLine="3420" w:firstLineChars="1425"/>
        <w:rPr>
          <w:color w:val="000000" w:themeColor="text1"/>
          <w:sz w:val="24"/>
          <w:szCs w:val="24"/>
          <w:highlight w:val="none"/>
          <w14:textFill>
            <w14:solidFill>
              <w14:schemeClr w14:val="tx1"/>
            </w14:solidFill>
          </w14:textFill>
        </w:rPr>
      </w:pPr>
    </w:p>
    <w:p w14:paraId="328D0244">
      <w:pPr>
        <w:pStyle w:val="19"/>
        <w:ind w:firstLine="5040" w:firstLineChars="2100"/>
        <w:rPr>
          <w:rFonts w:hAnsi="宋体" w:cs="Times New Roman"/>
          <w:color w:val="000000" w:themeColor="text1"/>
          <w:sz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日期：</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年</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月</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日</w:t>
      </w:r>
    </w:p>
    <w:p w14:paraId="58CD5BD6">
      <w:pPr>
        <w:pStyle w:val="19"/>
        <w:spacing w:line="360" w:lineRule="auto"/>
        <w:jc w:val="center"/>
        <w:outlineLvl w:val="2"/>
        <w:rPr>
          <w:b/>
          <w:bCs/>
          <w:color w:val="000000" w:themeColor="text1"/>
          <w:sz w:val="30"/>
          <w:szCs w:val="30"/>
          <w:highlight w:val="none"/>
          <w14:textFill>
            <w14:solidFill>
              <w14:schemeClr w14:val="tx1"/>
            </w14:solidFill>
          </w14:textFill>
        </w:rPr>
      </w:pPr>
      <w:r>
        <w:rPr>
          <w:rFonts w:hAnsi="宋体" w:cs="Times New Roman"/>
          <w:color w:val="000000" w:themeColor="text1"/>
          <w:highlight w:val="none"/>
          <w14:textFill>
            <w14:solidFill>
              <w14:schemeClr w14:val="tx1"/>
            </w14:solidFill>
          </w14:textFill>
        </w:rPr>
        <w:br w:type="page"/>
      </w:r>
      <w:r>
        <w:rPr>
          <w:rFonts w:hint="eastAsia"/>
          <w:b/>
          <w:bCs/>
          <w:color w:val="000000" w:themeColor="text1"/>
          <w:sz w:val="32"/>
          <w:szCs w:val="32"/>
          <w:highlight w:val="none"/>
          <w14:textFill>
            <w14:solidFill>
              <w14:schemeClr w14:val="tx1"/>
            </w14:solidFill>
          </w14:textFill>
        </w:rPr>
        <w:t>（四）承诺书</w:t>
      </w:r>
    </w:p>
    <w:p w14:paraId="28F02D1D">
      <w:pPr>
        <w:pStyle w:val="27"/>
        <w:spacing w:line="360" w:lineRule="auto"/>
        <w:rPr>
          <w:color w:val="000000" w:themeColor="text1"/>
          <w:highlight w:val="none"/>
          <w14:textFill>
            <w14:solidFill>
              <w14:schemeClr w14:val="tx1"/>
            </w14:solidFill>
          </w14:textFill>
        </w:rPr>
      </w:pPr>
    </w:p>
    <w:p w14:paraId="3B8C20F4">
      <w:pPr>
        <w:widowControl/>
        <w:spacing w:line="500" w:lineRule="exact"/>
        <w:jc w:val="center"/>
        <w:outlineLvl w:val="3"/>
        <w:rPr>
          <w:rFonts w:ascii="宋体" w:hAnsi="宋体" w:cs="Times New Roman"/>
          <w:color w:val="000000" w:themeColor="text1"/>
          <w:sz w:val="28"/>
          <w:szCs w:val="28"/>
          <w:highlight w:val="none"/>
          <w14:textFill>
            <w14:solidFill>
              <w14:schemeClr w14:val="tx1"/>
            </w14:solidFill>
          </w14:textFill>
        </w:rPr>
      </w:pPr>
      <w:r>
        <w:rPr>
          <w:rFonts w:hint="eastAsia" w:ascii="宋体" w:hAnsi="宋体" w:cs="Times New Roman"/>
          <w:color w:val="000000" w:themeColor="text1"/>
          <w:sz w:val="28"/>
          <w:szCs w:val="28"/>
          <w:highlight w:val="none"/>
          <w14:textFill>
            <w14:solidFill>
              <w14:schemeClr w14:val="tx1"/>
            </w14:solidFill>
          </w14:textFill>
        </w:rPr>
        <w:t>（1）参加政府采购活动前三年内，在经营活动中没有重大违法记录的承诺书</w:t>
      </w:r>
    </w:p>
    <w:p w14:paraId="514F2256">
      <w:pPr>
        <w:spacing w:line="50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本单位郑重声明：</w:t>
      </w:r>
    </w:p>
    <w:p w14:paraId="3A824682">
      <w:pPr>
        <w:spacing w:line="50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我单位在</w:t>
      </w:r>
      <w:r>
        <w:rPr>
          <w:rFonts w:hint="eastAsia" w:ascii="宋体" w:hAnsi="宋体" w:cs="Times New Roman"/>
          <w:color w:val="000000" w:themeColor="text1"/>
          <w:sz w:val="24"/>
          <w:szCs w:val="24"/>
          <w:highlight w:val="none"/>
          <w14:textFill>
            <w14:solidFill>
              <w14:schemeClr w14:val="tx1"/>
            </w14:solidFill>
          </w14:textFill>
        </w:rPr>
        <w:t>参加政府采购活动前三年内，</w:t>
      </w:r>
      <w:r>
        <w:rPr>
          <w:rFonts w:hint="eastAsia" w:ascii="宋体" w:hAnsi="宋体"/>
          <w:color w:val="000000" w:themeColor="text1"/>
          <w:sz w:val="24"/>
          <w:szCs w:val="24"/>
          <w:highlight w:val="none"/>
          <w14:textFill>
            <w14:solidFill>
              <w14:schemeClr w14:val="tx1"/>
            </w14:solidFill>
          </w14:textFill>
        </w:rPr>
        <w:t>在经营活动中没有重大违法记录，包括：</w:t>
      </w:r>
    </w:p>
    <w:p w14:paraId="401EDF8B">
      <w:pPr>
        <w:spacing w:line="50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我单位或者其法定代表人（负责人）、管理人员未因经营活动中的违法行为受到刑事处罚或者责令停产停业、吊销许可证或者执照、较大数额罚款等行政处罚。</w:t>
      </w:r>
    </w:p>
    <w:p w14:paraId="7A0B7517">
      <w:pPr>
        <w:spacing w:line="50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特此承诺！</w:t>
      </w:r>
    </w:p>
    <w:p w14:paraId="0A0462F6">
      <w:pPr>
        <w:spacing w:line="500" w:lineRule="exact"/>
        <w:ind w:firstLine="480" w:firstLineChars="200"/>
        <w:rPr>
          <w:rFonts w:ascii="宋体" w:hAnsi="宋体"/>
          <w:color w:val="000000" w:themeColor="text1"/>
          <w:sz w:val="24"/>
          <w:szCs w:val="24"/>
          <w:highlight w:val="none"/>
          <w14:textFill>
            <w14:solidFill>
              <w14:schemeClr w14:val="tx1"/>
            </w14:solidFill>
          </w14:textFill>
        </w:rPr>
      </w:pPr>
    </w:p>
    <w:p w14:paraId="467BA986">
      <w:pPr>
        <w:spacing w:line="500" w:lineRule="exact"/>
        <w:ind w:firstLine="480" w:firstLineChars="200"/>
        <w:rPr>
          <w:rFonts w:ascii="宋体" w:hAnsi="宋体"/>
          <w:color w:val="000000" w:themeColor="text1"/>
          <w:sz w:val="24"/>
          <w:szCs w:val="24"/>
          <w:highlight w:val="none"/>
          <w14:textFill>
            <w14:solidFill>
              <w14:schemeClr w14:val="tx1"/>
            </w14:solidFill>
          </w14:textFill>
        </w:rPr>
      </w:pPr>
    </w:p>
    <w:p w14:paraId="366BE6F1">
      <w:pPr>
        <w:spacing w:line="500" w:lineRule="exact"/>
        <w:ind w:firstLine="480" w:firstLineChars="200"/>
        <w:rPr>
          <w:rFonts w:ascii="宋体" w:hAnsi="宋体"/>
          <w:color w:val="000000" w:themeColor="text1"/>
          <w:sz w:val="24"/>
          <w:szCs w:val="24"/>
          <w:highlight w:val="none"/>
          <w14:textFill>
            <w14:solidFill>
              <w14:schemeClr w14:val="tx1"/>
            </w14:solidFill>
          </w14:textFill>
        </w:rPr>
      </w:pPr>
    </w:p>
    <w:p w14:paraId="2CB654ED">
      <w:pPr>
        <w:spacing w:line="500" w:lineRule="exact"/>
        <w:ind w:firstLine="420" w:firstLineChars="175"/>
        <w:jc w:val="righ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供应商：</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w:t>
      </w:r>
      <w:r>
        <w:rPr>
          <w:rFonts w:hint="eastAsia" w:ascii="宋体" w:hAnsi="宋体"/>
          <w:color w:val="000000" w:themeColor="text1"/>
          <w:sz w:val="24"/>
          <w:szCs w:val="24"/>
          <w:highlight w:val="none"/>
          <w:lang w:eastAsia="zh-CN"/>
          <w14:textFill>
            <w14:solidFill>
              <w14:schemeClr w14:val="tx1"/>
            </w14:solidFill>
          </w14:textFill>
        </w:rPr>
        <w:t>盖单位公章</w:t>
      </w:r>
      <w:r>
        <w:rPr>
          <w:rFonts w:hint="eastAsia" w:ascii="宋体" w:hAnsi="宋体"/>
          <w:color w:val="000000" w:themeColor="text1"/>
          <w:sz w:val="24"/>
          <w:szCs w:val="24"/>
          <w:highlight w:val="none"/>
          <w14:textFill>
            <w14:solidFill>
              <w14:schemeClr w14:val="tx1"/>
            </w14:solidFill>
          </w14:textFill>
        </w:rPr>
        <w:t>）</w:t>
      </w:r>
    </w:p>
    <w:p w14:paraId="45ABC10F">
      <w:pPr>
        <w:spacing w:line="500" w:lineRule="exact"/>
        <w:jc w:val="left"/>
        <w:rPr>
          <w:rFonts w:ascii="宋体" w:hAnsi="宋体"/>
          <w:color w:val="000000" w:themeColor="text1"/>
          <w:sz w:val="24"/>
          <w:szCs w:val="24"/>
          <w:highlight w:val="none"/>
          <w14:textFill>
            <w14:solidFill>
              <w14:schemeClr w14:val="tx1"/>
            </w14:solidFill>
          </w14:textFill>
        </w:rPr>
      </w:pPr>
    </w:p>
    <w:p w14:paraId="2D14FDA9">
      <w:pPr>
        <w:spacing w:line="500" w:lineRule="exact"/>
        <w:jc w:val="righ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法定代表人或其委托代理人：</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（签</w:t>
      </w:r>
      <w:r>
        <w:rPr>
          <w:rFonts w:hint="eastAsia" w:ascii="宋体" w:hAnsi="宋体"/>
          <w:color w:val="000000" w:themeColor="text1"/>
          <w:sz w:val="24"/>
          <w:szCs w:val="24"/>
          <w:highlight w:val="none"/>
          <w:lang w:val="en-US" w:eastAsia="zh-CN"/>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字）</w:t>
      </w:r>
    </w:p>
    <w:p w14:paraId="1F3F8B33">
      <w:pPr>
        <w:spacing w:line="500" w:lineRule="exact"/>
        <w:jc w:val="left"/>
        <w:rPr>
          <w:rFonts w:ascii="宋体" w:hAnsi="宋体"/>
          <w:color w:val="000000" w:themeColor="text1"/>
          <w:sz w:val="24"/>
          <w:szCs w:val="24"/>
          <w:highlight w:val="none"/>
          <w14:textFill>
            <w14:solidFill>
              <w14:schemeClr w14:val="tx1"/>
            </w14:solidFill>
          </w14:textFill>
        </w:rPr>
      </w:pPr>
    </w:p>
    <w:p w14:paraId="232E452A">
      <w:pPr>
        <w:spacing w:line="500" w:lineRule="exact"/>
        <w:jc w:val="righ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日  期：</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年</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月</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日</w:t>
      </w:r>
    </w:p>
    <w:p w14:paraId="74666936">
      <w:pPr>
        <w:widowControl/>
        <w:spacing w:line="500" w:lineRule="exact"/>
        <w:jc w:val="center"/>
        <w:outlineLvl w:val="3"/>
        <w:rPr>
          <w:rFonts w:ascii="宋体" w:hAnsi="宋体" w:cs="Times New Roman"/>
          <w:color w:val="000000" w:themeColor="text1"/>
          <w:sz w:val="32"/>
          <w:szCs w:val="32"/>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br w:type="page"/>
      </w:r>
      <w:r>
        <w:rPr>
          <w:rFonts w:hint="eastAsia" w:ascii="宋体" w:hAnsi="宋体" w:cs="Times New Roman"/>
          <w:color w:val="000000" w:themeColor="text1"/>
          <w:sz w:val="28"/>
          <w:szCs w:val="28"/>
          <w:highlight w:val="none"/>
          <w14:textFill>
            <w14:solidFill>
              <w14:schemeClr w14:val="tx1"/>
            </w14:solidFill>
          </w14:textFill>
        </w:rPr>
        <w:t>（2）无不良信用记录承诺书</w:t>
      </w:r>
    </w:p>
    <w:p w14:paraId="73FC4FBD">
      <w:pPr>
        <w:spacing w:line="360" w:lineRule="auto"/>
        <w:rPr>
          <w:rFonts w:ascii="宋体" w:hAnsi="宋体"/>
          <w:color w:val="000000" w:themeColor="text1"/>
          <w:sz w:val="24"/>
          <w:szCs w:val="20"/>
          <w:highlight w:val="none"/>
          <w14:textFill>
            <w14:solidFill>
              <w14:schemeClr w14:val="tx1"/>
            </w14:solidFill>
          </w14:textFill>
        </w:rPr>
      </w:pPr>
    </w:p>
    <w:p w14:paraId="7F05F283">
      <w:pPr>
        <w:spacing w:line="500" w:lineRule="exac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致</w:t>
      </w:r>
      <w:r>
        <w:rPr>
          <w:rFonts w:hint="eastAsia" w:ascii="宋体" w:hAnsi="宋体"/>
          <w:color w:val="000000" w:themeColor="text1"/>
          <w:sz w:val="24"/>
          <w:szCs w:val="24"/>
          <w:highlight w:val="none"/>
          <w:u w:val="single"/>
          <w14:textFill>
            <w14:solidFill>
              <w14:schemeClr w14:val="tx1"/>
            </w14:solidFill>
          </w14:textFill>
        </w:rPr>
        <w:t xml:space="preserve">          </w:t>
      </w:r>
      <w:r>
        <w:rPr>
          <w:rFonts w:ascii="宋体" w:hAnsi="宋体"/>
          <w:color w:val="000000" w:themeColor="text1"/>
          <w:sz w:val="24"/>
          <w:szCs w:val="24"/>
          <w:highlight w:val="none"/>
          <w14:textFill>
            <w14:solidFill>
              <w14:schemeClr w14:val="tx1"/>
            </w14:solidFill>
          </w14:textFill>
        </w:rPr>
        <w:t>(</w:t>
      </w:r>
      <w:r>
        <w:rPr>
          <w:rFonts w:hint="eastAsia" w:ascii="宋体" w:hAnsi="宋体"/>
          <w:color w:val="000000" w:themeColor="text1"/>
          <w:sz w:val="24"/>
          <w:szCs w:val="24"/>
          <w:highlight w:val="none"/>
          <w14:textFill>
            <w14:solidFill>
              <w14:schemeClr w14:val="tx1"/>
            </w14:solidFill>
          </w14:textFill>
        </w:rPr>
        <w:t>采购人</w:t>
      </w:r>
      <w:r>
        <w:rPr>
          <w:rFonts w:ascii="宋体" w:hAnsi="宋体"/>
          <w:color w:val="000000" w:themeColor="text1"/>
          <w:sz w:val="24"/>
          <w:szCs w:val="24"/>
          <w:highlight w:val="none"/>
          <w14:textFill>
            <w14:solidFill>
              <w14:schemeClr w14:val="tx1"/>
            </w14:solidFill>
          </w14:textFill>
        </w:rPr>
        <w:t>)</w:t>
      </w:r>
      <w:r>
        <w:rPr>
          <w:rFonts w:hint="eastAsia" w:ascii="宋体" w:hAnsi="宋体"/>
          <w:color w:val="000000" w:themeColor="text1"/>
          <w:sz w:val="24"/>
          <w:szCs w:val="24"/>
          <w:highlight w:val="none"/>
          <w14:textFill>
            <w14:solidFill>
              <w14:schemeClr w14:val="tx1"/>
            </w14:solidFill>
          </w14:textFill>
        </w:rPr>
        <w:t>：</w:t>
      </w:r>
    </w:p>
    <w:p w14:paraId="78D22EA1">
      <w:pPr>
        <w:spacing w:line="500" w:lineRule="exact"/>
        <w:rPr>
          <w:rFonts w:ascii="宋体"/>
          <w:color w:val="000000" w:themeColor="text1"/>
          <w:sz w:val="24"/>
          <w:szCs w:val="24"/>
          <w:highlight w:val="none"/>
          <w14:textFill>
            <w14:solidFill>
              <w14:schemeClr w14:val="tx1"/>
            </w14:solidFill>
          </w14:textFill>
        </w:rPr>
      </w:pPr>
      <w:r>
        <w:rPr>
          <w:rFonts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本单位郑重承诺，我单位无以下不良信用记录情形：</w:t>
      </w:r>
    </w:p>
    <w:p w14:paraId="18D77B81">
      <w:pPr>
        <w:spacing w:line="500" w:lineRule="exact"/>
        <w:ind w:firstLine="435"/>
        <w:rPr>
          <w:rFonts w:ascii="宋体"/>
          <w:color w:val="000000" w:themeColor="text1"/>
          <w:sz w:val="24"/>
          <w:szCs w:val="24"/>
          <w:highlight w:val="none"/>
          <w14:textFill>
            <w14:solidFill>
              <w14:schemeClr w14:val="tx1"/>
            </w14:solidFill>
          </w14:textFill>
        </w:rPr>
      </w:pPr>
      <w:r>
        <w:rPr>
          <w:rFonts w:ascii="宋体" w:hAnsi="宋体" w:cs="宋体"/>
          <w:color w:val="000000" w:themeColor="text1"/>
          <w:sz w:val="24"/>
          <w:szCs w:val="24"/>
          <w:highlight w:val="none"/>
          <w14:textFill>
            <w14:solidFill>
              <w14:schemeClr w14:val="tx1"/>
            </w14:solidFill>
          </w14:textFill>
        </w:rPr>
        <w:t>1</w:t>
      </w:r>
      <w:r>
        <w:rPr>
          <w:rFonts w:hint="eastAsia" w:ascii="宋体" w:hAnsi="宋体" w:cs="宋体"/>
          <w:color w:val="000000" w:themeColor="text1"/>
          <w:sz w:val="24"/>
          <w:szCs w:val="24"/>
          <w:highlight w:val="none"/>
          <w14:textFill>
            <w14:solidFill>
              <w14:schemeClr w14:val="tx1"/>
            </w14:solidFill>
          </w14:textFill>
        </w:rPr>
        <w:t>、被人民法院列入失信被执行人；</w:t>
      </w:r>
    </w:p>
    <w:p w14:paraId="770F77CD">
      <w:pPr>
        <w:spacing w:line="500" w:lineRule="exact"/>
        <w:ind w:firstLine="435"/>
        <w:rPr>
          <w:rFonts w:ascii="宋体"/>
          <w:color w:val="000000" w:themeColor="text1"/>
          <w:sz w:val="24"/>
          <w:szCs w:val="24"/>
          <w:highlight w:val="none"/>
          <w14:textFill>
            <w14:solidFill>
              <w14:schemeClr w14:val="tx1"/>
            </w14:solidFill>
          </w14:textFill>
        </w:rPr>
      </w:pPr>
      <w:r>
        <w:rPr>
          <w:rFonts w:ascii="宋体" w:hAnsi="宋体" w:cs="宋体"/>
          <w:color w:val="000000" w:themeColor="text1"/>
          <w:sz w:val="24"/>
          <w:szCs w:val="24"/>
          <w:highlight w:val="none"/>
          <w14:textFill>
            <w14:solidFill>
              <w14:schemeClr w14:val="tx1"/>
            </w14:solidFill>
          </w14:textFill>
        </w:rPr>
        <w:t>2</w:t>
      </w:r>
      <w:r>
        <w:rPr>
          <w:rFonts w:hint="eastAsia" w:ascii="宋体" w:hAnsi="宋体" w:cs="宋体"/>
          <w:color w:val="000000" w:themeColor="text1"/>
          <w:sz w:val="24"/>
          <w:szCs w:val="24"/>
          <w:highlight w:val="none"/>
          <w14:textFill>
            <w14:solidFill>
              <w14:schemeClr w14:val="tx1"/>
            </w14:solidFill>
          </w14:textFill>
        </w:rPr>
        <w:t>、被税务部门列入</w:t>
      </w:r>
      <w:r>
        <w:rPr>
          <w:rFonts w:hint="eastAsia" w:ascii="宋体" w:hAnsi="宋体" w:cs="宋体"/>
          <w:color w:val="000000" w:themeColor="text1"/>
          <w:sz w:val="24"/>
          <w:szCs w:val="24"/>
          <w:highlight w:val="none"/>
          <w:lang w:eastAsia="zh-CN"/>
          <w14:textFill>
            <w14:solidFill>
              <w14:schemeClr w14:val="tx1"/>
            </w14:solidFill>
          </w14:textFill>
        </w:rPr>
        <w:t>重大税收违法失信主体</w:t>
      </w:r>
      <w:r>
        <w:rPr>
          <w:rFonts w:hint="eastAsia" w:ascii="宋体" w:hAnsi="宋体" w:cs="宋体"/>
          <w:color w:val="000000" w:themeColor="text1"/>
          <w:sz w:val="24"/>
          <w:szCs w:val="24"/>
          <w:highlight w:val="none"/>
          <w14:textFill>
            <w14:solidFill>
              <w14:schemeClr w14:val="tx1"/>
            </w14:solidFill>
          </w14:textFill>
        </w:rPr>
        <w:t>；</w:t>
      </w:r>
    </w:p>
    <w:p w14:paraId="304B29DF">
      <w:pPr>
        <w:spacing w:line="500" w:lineRule="exact"/>
        <w:ind w:firstLine="435"/>
        <w:rPr>
          <w:rFonts w:ascii="宋体"/>
          <w:color w:val="000000" w:themeColor="text1"/>
          <w:sz w:val="24"/>
          <w:szCs w:val="24"/>
          <w:highlight w:val="none"/>
          <w14:textFill>
            <w14:solidFill>
              <w14:schemeClr w14:val="tx1"/>
            </w14:solidFill>
          </w14:textFill>
        </w:rPr>
      </w:pPr>
      <w:r>
        <w:rPr>
          <w:rFonts w:ascii="宋体" w:hAnsi="宋体" w:cs="宋体"/>
          <w:color w:val="000000" w:themeColor="text1"/>
          <w:sz w:val="24"/>
          <w:szCs w:val="24"/>
          <w:highlight w:val="none"/>
          <w14:textFill>
            <w14:solidFill>
              <w14:schemeClr w14:val="tx1"/>
            </w14:solidFill>
          </w14:textFill>
        </w:rPr>
        <w:t>3</w:t>
      </w:r>
      <w:r>
        <w:rPr>
          <w:rFonts w:hint="eastAsia" w:ascii="宋体" w:hAnsi="宋体" w:cs="宋体"/>
          <w:color w:val="000000" w:themeColor="text1"/>
          <w:sz w:val="24"/>
          <w:szCs w:val="24"/>
          <w:highlight w:val="none"/>
          <w14:textFill>
            <w14:solidFill>
              <w14:schemeClr w14:val="tx1"/>
            </w14:solidFill>
          </w14:textFill>
        </w:rPr>
        <w:t>、被政府采购监管部门列入政府采购严重违法失信行为记录名单；</w:t>
      </w:r>
    </w:p>
    <w:p w14:paraId="13A6789F">
      <w:pPr>
        <w:spacing w:line="500" w:lineRule="exact"/>
        <w:ind w:firstLine="435"/>
        <w:rPr>
          <w:rFonts w:ascii="宋体"/>
          <w:color w:val="000000" w:themeColor="text1"/>
          <w:sz w:val="24"/>
          <w:szCs w:val="24"/>
          <w:highlight w:val="none"/>
          <w14:textFill>
            <w14:solidFill>
              <w14:schemeClr w14:val="tx1"/>
            </w14:solidFill>
          </w14:textFill>
        </w:rPr>
      </w:pPr>
      <w:r>
        <w:rPr>
          <w:rFonts w:ascii="宋体" w:hAnsi="宋体" w:cs="宋体"/>
          <w:color w:val="000000" w:themeColor="text1"/>
          <w:sz w:val="24"/>
          <w:szCs w:val="24"/>
          <w:highlight w:val="none"/>
          <w14:textFill>
            <w14:solidFill>
              <w14:schemeClr w14:val="tx1"/>
            </w14:solidFill>
          </w14:textFill>
        </w:rPr>
        <w:t>4</w:t>
      </w:r>
      <w:r>
        <w:rPr>
          <w:rFonts w:hint="eastAsia" w:ascii="宋体" w:hAnsi="宋体" w:cs="宋体"/>
          <w:color w:val="000000" w:themeColor="text1"/>
          <w:sz w:val="24"/>
          <w:szCs w:val="24"/>
          <w:highlight w:val="none"/>
          <w14:textFill>
            <w14:solidFill>
              <w14:schemeClr w14:val="tx1"/>
            </w14:solidFill>
          </w14:textFill>
        </w:rPr>
        <w:t>、不符合政府采购法第二十二条规定的条件。</w:t>
      </w:r>
    </w:p>
    <w:p w14:paraId="77D86E32">
      <w:pPr>
        <w:spacing w:line="500" w:lineRule="exact"/>
        <w:ind w:firstLine="435"/>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我单位已就上述不良信用行为按照磋商文件中</w:t>
      </w:r>
      <w:r>
        <w:rPr>
          <w:rFonts w:hint="eastAsia" w:ascii="宋体" w:hAnsi="宋体" w:cs="宋体"/>
          <w:bCs/>
          <w:color w:val="000000" w:themeColor="text1"/>
          <w:sz w:val="24"/>
          <w:szCs w:val="24"/>
          <w:highlight w:val="none"/>
          <w14:textFill>
            <w14:solidFill>
              <w14:schemeClr w14:val="tx1"/>
            </w14:solidFill>
          </w14:textFill>
        </w:rPr>
        <w:t>供应商须知前附表</w:t>
      </w:r>
      <w:r>
        <w:rPr>
          <w:rFonts w:hint="eastAsia" w:ascii="宋体" w:hAnsi="宋体" w:cs="宋体"/>
          <w:color w:val="000000" w:themeColor="text1"/>
          <w:sz w:val="24"/>
          <w:szCs w:val="24"/>
          <w:highlight w:val="none"/>
          <w14:textFill>
            <w14:solidFill>
              <w14:schemeClr w14:val="tx1"/>
            </w14:solidFill>
          </w14:textFill>
        </w:rPr>
        <w:t>规定进行了查询。我单位承诺：合同签订前，若我单位具有不良信用记录情形，贵方可取消我单位中标资格或者不授予合同，所有责任由我单位自行承担。同时，我单位愿意无条件接受监管部门的调查处理。</w:t>
      </w:r>
      <w:r>
        <w:rPr>
          <w:rFonts w:ascii="宋体" w:hAnsi="宋体" w:cs="宋体"/>
          <w:color w:val="000000" w:themeColor="text1"/>
          <w:sz w:val="24"/>
          <w:szCs w:val="24"/>
          <w:highlight w:val="none"/>
          <w14:textFill>
            <w14:solidFill>
              <w14:schemeClr w14:val="tx1"/>
            </w14:solidFill>
          </w14:textFill>
        </w:rPr>
        <w:t xml:space="preserve"> </w:t>
      </w:r>
    </w:p>
    <w:p w14:paraId="506283D6">
      <w:pPr>
        <w:tabs>
          <w:tab w:val="left" w:pos="630"/>
        </w:tabs>
        <w:spacing w:line="500" w:lineRule="exact"/>
        <w:ind w:firstLine="630"/>
        <w:rPr>
          <w:rFonts w:ascii="宋体"/>
          <w:color w:val="000000" w:themeColor="text1"/>
          <w:sz w:val="24"/>
          <w:szCs w:val="24"/>
          <w:highlight w:val="none"/>
          <w14:textFill>
            <w14:solidFill>
              <w14:schemeClr w14:val="tx1"/>
            </w14:solidFill>
          </w14:textFill>
        </w:rPr>
      </w:pPr>
    </w:p>
    <w:p w14:paraId="6CBF8744">
      <w:pPr>
        <w:spacing w:line="500" w:lineRule="exact"/>
        <w:ind w:firstLine="4228" w:firstLineChars="1762"/>
        <w:rPr>
          <w:rFonts w:ascii="宋体"/>
          <w:color w:val="000000" w:themeColor="text1"/>
          <w:sz w:val="24"/>
          <w:szCs w:val="24"/>
          <w:highlight w:val="none"/>
          <w14:textFill>
            <w14:solidFill>
              <w14:schemeClr w14:val="tx1"/>
            </w14:solidFill>
          </w14:textFill>
        </w:rPr>
      </w:pPr>
    </w:p>
    <w:p w14:paraId="0E29CC29">
      <w:pPr>
        <w:spacing w:line="500" w:lineRule="exact"/>
        <w:ind w:firstLine="2880" w:firstLineChars="1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供应商：</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w:t>
      </w:r>
      <w:r>
        <w:rPr>
          <w:rFonts w:hint="eastAsia" w:ascii="宋体" w:hAnsi="宋体"/>
          <w:color w:val="000000" w:themeColor="text1"/>
          <w:sz w:val="24"/>
          <w:szCs w:val="24"/>
          <w:highlight w:val="none"/>
          <w:lang w:eastAsia="zh-CN"/>
          <w14:textFill>
            <w14:solidFill>
              <w14:schemeClr w14:val="tx1"/>
            </w14:solidFill>
          </w14:textFill>
        </w:rPr>
        <w:t>盖单位公章</w:t>
      </w:r>
      <w:r>
        <w:rPr>
          <w:rFonts w:hint="eastAsia" w:ascii="宋体" w:hAnsi="宋体"/>
          <w:color w:val="000000" w:themeColor="text1"/>
          <w:sz w:val="24"/>
          <w:szCs w:val="24"/>
          <w:highlight w:val="none"/>
          <w14:textFill>
            <w14:solidFill>
              <w14:schemeClr w14:val="tx1"/>
            </w14:solidFill>
          </w14:textFill>
        </w:rPr>
        <w:t>）</w:t>
      </w:r>
    </w:p>
    <w:p w14:paraId="3483871C">
      <w:pPr>
        <w:spacing w:line="500" w:lineRule="exact"/>
        <w:rPr>
          <w:rFonts w:ascii="宋体" w:hAnsi="宋体"/>
          <w:color w:val="000000" w:themeColor="text1"/>
          <w:sz w:val="24"/>
          <w:szCs w:val="24"/>
          <w:highlight w:val="none"/>
          <w14:textFill>
            <w14:solidFill>
              <w14:schemeClr w14:val="tx1"/>
            </w14:solidFill>
          </w14:textFill>
        </w:rPr>
      </w:pPr>
    </w:p>
    <w:p w14:paraId="0DA74BCE">
      <w:pPr>
        <w:spacing w:line="500" w:lineRule="exact"/>
        <w:ind w:firstLine="2880" w:firstLineChars="1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法定代表人或其委托代理人：</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（签    字）</w:t>
      </w:r>
    </w:p>
    <w:p w14:paraId="01A5B281">
      <w:pPr>
        <w:spacing w:line="500" w:lineRule="exact"/>
        <w:jc w:val="left"/>
        <w:rPr>
          <w:rFonts w:ascii="宋体" w:hAnsi="宋体"/>
          <w:color w:val="000000" w:themeColor="text1"/>
          <w:sz w:val="24"/>
          <w:szCs w:val="24"/>
          <w:highlight w:val="none"/>
          <w14:textFill>
            <w14:solidFill>
              <w14:schemeClr w14:val="tx1"/>
            </w14:solidFill>
          </w14:textFill>
        </w:rPr>
      </w:pPr>
    </w:p>
    <w:p w14:paraId="680CD5A6">
      <w:pPr>
        <w:spacing w:line="500" w:lineRule="exact"/>
        <w:jc w:val="righ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 xml:space="preserve"> </w:t>
      </w:r>
      <w:r>
        <w:rPr>
          <w:rFonts w:hint="eastAsia" w:ascii="宋体" w:hAnsi="宋体"/>
          <w:color w:val="000000" w:themeColor="text1"/>
          <w:sz w:val="24"/>
          <w:szCs w:val="24"/>
          <w:highlight w:val="none"/>
          <w:lang w:eastAsia="zh-CN"/>
          <w14:textFill>
            <w14:solidFill>
              <w14:schemeClr w14:val="tx1"/>
            </w14:solidFill>
          </w14:textFill>
        </w:rPr>
        <w:t>日期：</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年</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月</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日</w:t>
      </w:r>
    </w:p>
    <w:p w14:paraId="76919028">
      <w:pPr>
        <w:spacing w:line="500" w:lineRule="exact"/>
        <w:ind w:firstLine="480" w:firstLineChars="200"/>
        <w:rPr>
          <w:rFonts w:ascii="宋体" w:hAnsi="宋体"/>
          <w:color w:val="000000" w:themeColor="text1"/>
          <w:sz w:val="24"/>
          <w:szCs w:val="24"/>
          <w:highlight w:val="none"/>
          <w14:textFill>
            <w14:solidFill>
              <w14:schemeClr w14:val="tx1"/>
            </w14:solidFill>
          </w14:textFill>
        </w:rPr>
      </w:pPr>
    </w:p>
    <w:p w14:paraId="6BCDBDA5">
      <w:pPr>
        <w:spacing w:line="360" w:lineRule="auto"/>
        <w:jc w:val="left"/>
        <w:rPr>
          <w:rFonts w:ascii="宋体" w:hAnsi="宋体"/>
          <w:color w:val="000000" w:themeColor="text1"/>
          <w:sz w:val="24"/>
          <w:highlight w:val="none"/>
          <w14:textFill>
            <w14:solidFill>
              <w14:schemeClr w14:val="tx1"/>
            </w14:solidFill>
          </w14:textFill>
        </w:rPr>
      </w:pPr>
    </w:p>
    <w:p w14:paraId="59E4B332">
      <w:pPr>
        <w:ind w:firstLine="480" w:firstLineChars="200"/>
        <w:rPr>
          <w:rFonts w:ascii="宋体" w:hAnsi="宋体"/>
          <w:color w:val="000000" w:themeColor="text1"/>
          <w:sz w:val="24"/>
          <w:szCs w:val="20"/>
          <w:highlight w:val="none"/>
          <w14:textFill>
            <w14:solidFill>
              <w14:schemeClr w14:val="tx1"/>
            </w14:solidFill>
          </w14:textFill>
        </w:rPr>
      </w:pPr>
    </w:p>
    <w:p w14:paraId="762F8EEF">
      <w:pPr>
        <w:ind w:firstLine="480" w:firstLineChars="200"/>
        <w:rPr>
          <w:rFonts w:ascii="宋体" w:hAnsi="宋体"/>
          <w:color w:val="000000" w:themeColor="text1"/>
          <w:sz w:val="24"/>
          <w:szCs w:val="20"/>
          <w:highlight w:val="none"/>
          <w14:textFill>
            <w14:solidFill>
              <w14:schemeClr w14:val="tx1"/>
            </w14:solidFill>
          </w14:textFill>
        </w:rPr>
      </w:pPr>
    </w:p>
    <w:p w14:paraId="0F0A2136">
      <w:pPr>
        <w:ind w:firstLine="480" w:firstLineChars="200"/>
        <w:rPr>
          <w:rFonts w:ascii="宋体" w:hAnsi="宋体"/>
          <w:color w:val="000000" w:themeColor="text1"/>
          <w:sz w:val="24"/>
          <w:szCs w:val="20"/>
          <w:highlight w:val="none"/>
          <w14:textFill>
            <w14:solidFill>
              <w14:schemeClr w14:val="tx1"/>
            </w14:solidFill>
          </w14:textFill>
        </w:rPr>
      </w:pPr>
    </w:p>
    <w:p w14:paraId="3770775D">
      <w:pPr>
        <w:ind w:firstLine="480" w:firstLineChars="200"/>
        <w:rPr>
          <w:rFonts w:ascii="宋体" w:hAnsi="宋体"/>
          <w:color w:val="000000" w:themeColor="text1"/>
          <w:sz w:val="24"/>
          <w:szCs w:val="20"/>
          <w:highlight w:val="none"/>
          <w14:textFill>
            <w14:solidFill>
              <w14:schemeClr w14:val="tx1"/>
            </w14:solidFill>
          </w14:textFill>
        </w:rPr>
      </w:pPr>
    </w:p>
    <w:p w14:paraId="2364D7FF">
      <w:pPr>
        <w:spacing w:line="360" w:lineRule="auto"/>
        <w:jc w:val="left"/>
        <w:rPr>
          <w:rFonts w:ascii="宋体" w:hAnsi="宋体"/>
          <w:color w:val="000000" w:themeColor="text1"/>
          <w:sz w:val="24"/>
          <w:highlight w:val="none"/>
          <w14:textFill>
            <w14:solidFill>
              <w14:schemeClr w14:val="tx1"/>
            </w14:solidFill>
          </w14:textFill>
        </w:rPr>
      </w:pPr>
    </w:p>
    <w:p w14:paraId="68004E95">
      <w:pPr>
        <w:rPr>
          <w:rFonts w:ascii="宋体" w:hAnsi="宋体"/>
          <w:color w:val="000000" w:themeColor="text1"/>
          <w:sz w:val="22"/>
          <w:szCs w:val="22"/>
          <w:highlight w:val="none"/>
          <w14:textFill>
            <w14:solidFill>
              <w14:schemeClr w14:val="tx1"/>
            </w14:solidFill>
          </w14:textFill>
        </w:rPr>
      </w:pPr>
    </w:p>
    <w:p w14:paraId="1EFCA1D6">
      <w:pPr>
        <w:rPr>
          <w:rFonts w:ascii="宋体" w:hAnsi="宋体"/>
          <w:b/>
          <w:color w:val="000000" w:themeColor="text1"/>
          <w:sz w:val="32"/>
          <w:szCs w:val="22"/>
          <w:highlight w:val="none"/>
          <w14:textFill>
            <w14:solidFill>
              <w14:schemeClr w14:val="tx1"/>
            </w14:solidFill>
          </w14:textFill>
        </w:rPr>
      </w:pPr>
    </w:p>
    <w:p w14:paraId="2AC7337E">
      <w:pPr>
        <w:widowControl/>
        <w:spacing w:line="360" w:lineRule="auto"/>
        <w:jc w:val="center"/>
        <w:outlineLvl w:val="3"/>
        <w:rPr>
          <w:rFonts w:ascii="宋体" w:hAnsi="宋体" w:cs="Times New Roman"/>
          <w:color w:val="000000" w:themeColor="text1"/>
          <w:sz w:val="32"/>
          <w:szCs w:val="32"/>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br w:type="page"/>
      </w:r>
      <w:r>
        <w:rPr>
          <w:rFonts w:hint="eastAsia" w:ascii="宋体" w:hAnsi="宋体" w:cs="Times New Roman"/>
          <w:color w:val="000000" w:themeColor="text1"/>
          <w:sz w:val="28"/>
          <w:szCs w:val="28"/>
          <w:highlight w:val="none"/>
          <w14:textFill>
            <w14:solidFill>
              <w14:schemeClr w14:val="tx1"/>
            </w14:solidFill>
          </w14:textFill>
        </w:rPr>
        <w:t>（3）未列入政府取消投标资格记录期间的承诺书</w:t>
      </w:r>
    </w:p>
    <w:p w14:paraId="06A1D7BC">
      <w:pPr>
        <w:widowControl/>
        <w:spacing w:line="360" w:lineRule="auto"/>
        <w:ind w:firstLine="964" w:firstLineChars="400"/>
        <w:jc w:val="center"/>
        <w:rPr>
          <w:rFonts w:ascii="宋体" w:hAnsi="宋体" w:cs="宋体"/>
          <w:b/>
          <w:bCs/>
          <w:color w:val="000000" w:themeColor="text1"/>
          <w:sz w:val="24"/>
          <w:highlight w:val="none"/>
          <w14:textFill>
            <w14:solidFill>
              <w14:schemeClr w14:val="tx1"/>
            </w14:solidFill>
          </w14:textFill>
        </w:rPr>
      </w:pPr>
    </w:p>
    <w:p w14:paraId="67B2A39F">
      <w:pPr>
        <w:spacing w:line="360" w:lineRule="auto"/>
        <w:rPr>
          <w:rFonts w:ascii="宋体" w:hAnsi="宋体"/>
          <w:color w:val="000000" w:themeColor="text1"/>
          <w:sz w:val="24"/>
          <w:highlight w:val="none"/>
          <w14:textFill>
            <w14:solidFill>
              <w14:schemeClr w14:val="tx1"/>
            </w14:solidFill>
          </w14:textFill>
        </w:rPr>
      </w:pPr>
    </w:p>
    <w:p w14:paraId="623DA365">
      <w:pPr>
        <w:spacing w:line="500" w:lineRule="exac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致：</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（采购人）</w:t>
      </w:r>
    </w:p>
    <w:p w14:paraId="739948B2">
      <w:pPr>
        <w:spacing w:line="500" w:lineRule="exact"/>
        <w:rPr>
          <w:rFonts w:ascii="宋体" w:hAnsi="宋体"/>
          <w:color w:val="000000" w:themeColor="text1"/>
          <w:sz w:val="24"/>
          <w:szCs w:val="24"/>
          <w:highlight w:val="none"/>
          <w14:textFill>
            <w14:solidFill>
              <w14:schemeClr w14:val="tx1"/>
            </w14:solidFill>
          </w14:textFill>
        </w:rPr>
      </w:pPr>
    </w:p>
    <w:p w14:paraId="2C531B45">
      <w:pPr>
        <w:spacing w:line="500" w:lineRule="exact"/>
        <w:ind w:firstLine="540" w:firstLineChars="225"/>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我单位未被列入政府取消投标资格的记录。</w:t>
      </w:r>
    </w:p>
    <w:p w14:paraId="11C29E36">
      <w:pPr>
        <w:spacing w:line="500" w:lineRule="exact"/>
        <w:ind w:firstLine="540" w:firstLineChars="225"/>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特此承诺！</w:t>
      </w:r>
    </w:p>
    <w:p w14:paraId="42F308A9">
      <w:pPr>
        <w:spacing w:line="500" w:lineRule="exact"/>
        <w:ind w:firstLine="420"/>
        <w:rPr>
          <w:rFonts w:ascii="宋体" w:hAnsi="宋体"/>
          <w:color w:val="000000" w:themeColor="text1"/>
          <w:sz w:val="24"/>
          <w:szCs w:val="24"/>
          <w:highlight w:val="none"/>
          <w14:textFill>
            <w14:solidFill>
              <w14:schemeClr w14:val="tx1"/>
            </w14:solidFill>
          </w14:textFill>
        </w:rPr>
      </w:pPr>
    </w:p>
    <w:p w14:paraId="08E1F543">
      <w:pPr>
        <w:spacing w:line="500" w:lineRule="exact"/>
        <w:ind w:firstLine="420"/>
        <w:rPr>
          <w:rFonts w:ascii="宋体" w:hAnsi="宋体"/>
          <w:color w:val="000000" w:themeColor="text1"/>
          <w:sz w:val="24"/>
          <w:szCs w:val="24"/>
          <w:highlight w:val="none"/>
          <w14:textFill>
            <w14:solidFill>
              <w14:schemeClr w14:val="tx1"/>
            </w14:solidFill>
          </w14:textFill>
        </w:rPr>
      </w:pPr>
    </w:p>
    <w:p w14:paraId="1C574FE5">
      <w:pPr>
        <w:spacing w:line="500" w:lineRule="exact"/>
        <w:ind w:firstLine="420"/>
        <w:rPr>
          <w:rFonts w:ascii="宋体" w:hAnsi="宋体"/>
          <w:color w:val="000000" w:themeColor="text1"/>
          <w:sz w:val="24"/>
          <w:szCs w:val="24"/>
          <w:highlight w:val="none"/>
          <w14:textFill>
            <w14:solidFill>
              <w14:schemeClr w14:val="tx1"/>
            </w14:solidFill>
          </w14:textFill>
        </w:rPr>
      </w:pPr>
    </w:p>
    <w:p w14:paraId="6296F8E7">
      <w:pPr>
        <w:spacing w:line="500" w:lineRule="exact"/>
        <w:ind w:firstLine="4228" w:firstLineChars="1762"/>
        <w:rPr>
          <w:rFonts w:ascii="宋体"/>
          <w:color w:val="000000" w:themeColor="text1"/>
          <w:sz w:val="24"/>
          <w:szCs w:val="24"/>
          <w:highlight w:val="none"/>
          <w14:textFill>
            <w14:solidFill>
              <w14:schemeClr w14:val="tx1"/>
            </w14:solidFill>
          </w14:textFill>
        </w:rPr>
      </w:pPr>
    </w:p>
    <w:p w14:paraId="5A785913">
      <w:pPr>
        <w:spacing w:line="500" w:lineRule="exact"/>
        <w:ind w:firstLine="2640" w:firstLineChars="11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供应商：</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w:t>
      </w:r>
      <w:r>
        <w:rPr>
          <w:rFonts w:hint="eastAsia" w:ascii="宋体" w:hAnsi="宋体"/>
          <w:color w:val="000000" w:themeColor="text1"/>
          <w:sz w:val="24"/>
          <w:szCs w:val="24"/>
          <w:highlight w:val="none"/>
          <w:lang w:eastAsia="zh-CN"/>
          <w14:textFill>
            <w14:solidFill>
              <w14:schemeClr w14:val="tx1"/>
            </w14:solidFill>
          </w14:textFill>
        </w:rPr>
        <w:t>盖单位公章</w:t>
      </w:r>
      <w:r>
        <w:rPr>
          <w:rFonts w:hint="eastAsia" w:ascii="宋体" w:hAnsi="宋体"/>
          <w:color w:val="000000" w:themeColor="text1"/>
          <w:sz w:val="24"/>
          <w:szCs w:val="24"/>
          <w:highlight w:val="none"/>
          <w14:textFill>
            <w14:solidFill>
              <w14:schemeClr w14:val="tx1"/>
            </w14:solidFill>
          </w14:textFill>
        </w:rPr>
        <w:t>）</w:t>
      </w:r>
    </w:p>
    <w:p w14:paraId="6E49F07D">
      <w:pPr>
        <w:spacing w:line="500" w:lineRule="exact"/>
        <w:jc w:val="left"/>
        <w:rPr>
          <w:rFonts w:ascii="宋体" w:hAnsi="宋体"/>
          <w:color w:val="000000" w:themeColor="text1"/>
          <w:sz w:val="24"/>
          <w:szCs w:val="24"/>
          <w:highlight w:val="none"/>
          <w14:textFill>
            <w14:solidFill>
              <w14:schemeClr w14:val="tx1"/>
            </w14:solidFill>
          </w14:textFill>
        </w:rPr>
      </w:pPr>
    </w:p>
    <w:p w14:paraId="1033B514">
      <w:pPr>
        <w:spacing w:line="500" w:lineRule="exact"/>
        <w:ind w:firstLine="2640" w:firstLineChars="11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法定代表人或其委托代理人：</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 xml:space="preserve">（签    </w:t>
      </w:r>
      <w:r>
        <w:rPr>
          <w:rFonts w:hint="eastAsia" w:ascii="宋体" w:hAnsi="宋体"/>
          <w:color w:val="000000" w:themeColor="text1"/>
          <w:sz w:val="24"/>
          <w:szCs w:val="24"/>
          <w:highlight w:val="none"/>
          <w:lang w:val="en-US" w:eastAsia="zh-CN"/>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字）</w:t>
      </w:r>
    </w:p>
    <w:p w14:paraId="36B78371">
      <w:pPr>
        <w:spacing w:line="500" w:lineRule="exact"/>
        <w:jc w:val="left"/>
        <w:rPr>
          <w:rFonts w:ascii="宋体" w:hAnsi="宋体"/>
          <w:color w:val="000000" w:themeColor="text1"/>
          <w:sz w:val="24"/>
          <w:szCs w:val="24"/>
          <w:highlight w:val="none"/>
          <w14:textFill>
            <w14:solidFill>
              <w14:schemeClr w14:val="tx1"/>
            </w14:solidFill>
          </w14:textFill>
        </w:rPr>
      </w:pPr>
    </w:p>
    <w:p w14:paraId="5AC862EB">
      <w:pPr>
        <w:spacing w:line="500" w:lineRule="exact"/>
        <w:jc w:val="righ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 xml:space="preserve"> </w:t>
      </w:r>
      <w:r>
        <w:rPr>
          <w:rFonts w:hint="eastAsia" w:ascii="宋体" w:hAnsi="宋体"/>
          <w:color w:val="000000" w:themeColor="text1"/>
          <w:sz w:val="24"/>
          <w:szCs w:val="24"/>
          <w:highlight w:val="none"/>
          <w:lang w:eastAsia="zh-CN"/>
          <w14:textFill>
            <w14:solidFill>
              <w14:schemeClr w14:val="tx1"/>
            </w14:solidFill>
          </w14:textFill>
        </w:rPr>
        <w:t>日期：</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年</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月</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日</w:t>
      </w:r>
    </w:p>
    <w:p w14:paraId="783A473D">
      <w:pPr>
        <w:autoSpaceDE w:val="0"/>
        <w:autoSpaceDN w:val="0"/>
        <w:adjustRightInd w:val="0"/>
        <w:spacing w:line="500" w:lineRule="exact"/>
        <w:jc w:val="center"/>
        <w:outlineLvl w:val="3"/>
        <w:rPr>
          <w:rFonts w:ascii="宋体" w:hAnsi="宋体" w:cs="宋体"/>
          <w:color w:val="000000" w:themeColor="text1"/>
          <w:sz w:val="28"/>
          <w:szCs w:val="28"/>
          <w:highlight w:val="none"/>
          <w:lang w:val="zh-CN"/>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br w:type="page"/>
      </w:r>
      <w:r>
        <w:rPr>
          <w:rFonts w:hint="eastAsia" w:ascii="宋体" w:hAnsi="宋体" w:cs="Times New Roman"/>
          <w:color w:val="000000" w:themeColor="text1"/>
          <w:sz w:val="28"/>
          <w:szCs w:val="28"/>
          <w:highlight w:val="none"/>
          <w:lang w:val="zh-CN"/>
          <w14:textFill>
            <w14:solidFill>
              <w14:schemeClr w14:val="tx1"/>
            </w14:solidFill>
          </w14:textFill>
        </w:rPr>
        <w:t>（</w:t>
      </w:r>
      <w:r>
        <w:rPr>
          <w:rFonts w:hint="eastAsia" w:ascii="宋体" w:hAnsi="宋体" w:cs="Times New Roman"/>
          <w:color w:val="000000" w:themeColor="text1"/>
          <w:sz w:val="28"/>
          <w:szCs w:val="28"/>
          <w:highlight w:val="none"/>
          <w14:textFill>
            <w14:solidFill>
              <w14:schemeClr w14:val="tx1"/>
            </w14:solidFill>
          </w14:textFill>
        </w:rPr>
        <w:t>4</w:t>
      </w:r>
      <w:r>
        <w:rPr>
          <w:rFonts w:hint="eastAsia" w:ascii="宋体" w:hAnsi="宋体" w:cs="Times New Roman"/>
          <w:color w:val="000000" w:themeColor="text1"/>
          <w:sz w:val="28"/>
          <w:szCs w:val="28"/>
          <w:highlight w:val="none"/>
          <w:lang w:val="zh-CN"/>
          <w14:textFill>
            <w14:solidFill>
              <w14:schemeClr w14:val="tx1"/>
            </w14:solidFill>
          </w14:textFill>
        </w:rPr>
        <w:t>）</w:t>
      </w:r>
      <w:r>
        <w:rPr>
          <w:rFonts w:hint="eastAsia" w:ascii="宋体" w:hAnsi="宋体" w:cs="宋体"/>
          <w:color w:val="000000" w:themeColor="text1"/>
          <w:sz w:val="28"/>
          <w:szCs w:val="28"/>
          <w:highlight w:val="none"/>
          <w:lang w:val="zh-CN"/>
          <w14:textFill>
            <w14:solidFill>
              <w14:schemeClr w14:val="tx1"/>
            </w14:solidFill>
          </w14:textFill>
        </w:rPr>
        <w:t>完全响应竞争性磋商文件的承诺书</w:t>
      </w:r>
    </w:p>
    <w:p w14:paraId="22DE2E80">
      <w:pPr>
        <w:spacing w:line="360" w:lineRule="auto"/>
        <w:rPr>
          <w:rFonts w:ascii="宋体" w:hAnsi="宋体"/>
          <w:color w:val="000000" w:themeColor="text1"/>
          <w:sz w:val="24"/>
          <w:szCs w:val="24"/>
          <w:highlight w:val="none"/>
          <w14:textFill>
            <w14:solidFill>
              <w14:schemeClr w14:val="tx1"/>
            </w14:solidFill>
          </w14:textFill>
        </w:rPr>
      </w:pPr>
    </w:p>
    <w:p w14:paraId="490A7B0B">
      <w:pPr>
        <w:spacing w:line="500" w:lineRule="exac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致：</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(采购人名称)</w:t>
      </w:r>
    </w:p>
    <w:p w14:paraId="0A7C2D55">
      <w:pPr>
        <w:spacing w:line="500" w:lineRule="exact"/>
        <w:rPr>
          <w:rFonts w:ascii="宋体" w:hAnsi="宋体"/>
          <w:color w:val="000000" w:themeColor="text1"/>
          <w:sz w:val="24"/>
          <w:szCs w:val="24"/>
          <w:highlight w:val="none"/>
          <w14:textFill>
            <w14:solidFill>
              <w14:schemeClr w14:val="tx1"/>
            </w14:solidFill>
          </w14:textFill>
        </w:rPr>
      </w:pPr>
    </w:p>
    <w:p w14:paraId="54526330">
      <w:pPr>
        <w:spacing w:after="120" w:line="50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我方在此声明,我方完全响应</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（项目名称）</w:t>
      </w:r>
      <w:r>
        <w:rPr>
          <w:rFonts w:hint="eastAsia" w:ascii="宋体" w:hAnsi="宋体"/>
          <w:color w:val="000000" w:themeColor="text1"/>
          <w:sz w:val="24"/>
          <w:szCs w:val="24"/>
          <w:highlight w:val="none"/>
          <w:u w:val="single"/>
          <w14:textFill>
            <w14:solidFill>
              <w14:schemeClr w14:val="tx1"/>
            </w14:solidFill>
          </w14:textFill>
        </w:rPr>
        <w:t>竞争性磋商文件的全部商务条款及技术标准和采购要求，无任何负偏离</w:t>
      </w:r>
      <w:r>
        <w:rPr>
          <w:rFonts w:hint="eastAsia" w:ascii="宋体" w:hAnsi="宋体"/>
          <w:color w:val="000000" w:themeColor="text1"/>
          <w:sz w:val="24"/>
          <w:szCs w:val="24"/>
          <w:highlight w:val="none"/>
          <w14:textFill>
            <w14:solidFill>
              <w14:schemeClr w14:val="tx1"/>
            </w14:solidFill>
          </w14:textFill>
        </w:rPr>
        <w:t>。我方保证上述信息的真实和准确，</w:t>
      </w:r>
    </w:p>
    <w:p w14:paraId="3A1D1F04">
      <w:pPr>
        <w:spacing w:after="120" w:line="500" w:lineRule="exact"/>
        <w:ind w:firstLine="480" w:firstLineChars="200"/>
        <w:rPr>
          <w:bCs/>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采购人</w:t>
      </w:r>
      <w:r>
        <w:rPr>
          <w:rFonts w:hint="eastAsia" w:ascii="Calibri"/>
          <w:color w:val="000000" w:themeColor="text1"/>
          <w:sz w:val="24"/>
          <w:szCs w:val="24"/>
          <w:highlight w:val="none"/>
          <w14:textFill>
            <w14:solidFill>
              <w14:schemeClr w14:val="tx1"/>
            </w14:solidFill>
          </w14:textFill>
        </w:rPr>
        <w:t>采购后一经发现我方存在虚假信息或有不符合项，采购人有权单方终止合同，并拒付货款，全部退货处理，我方赔偿由此造成的全部损失并承担全部法律责任。</w:t>
      </w:r>
    </w:p>
    <w:p w14:paraId="3682A0B9">
      <w:pPr>
        <w:spacing w:line="500" w:lineRule="exact"/>
        <w:ind w:firstLine="540" w:firstLineChars="225"/>
        <w:rPr>
          <w:rFonts w:ascii="宋体" w:hAnsi="宋体"/>
          <w:color w:val="000000" w:themeColor="text1"/>
          <w:sz w:val="24"/>
          <w:szCs w:val="24"/>
          <w:highlight w:val="none"/>
          <w14:textFill>
            <w14:solidFill>
              <w14:schemeClr w14:val="tx1"/>
            </w14:solidFill>
          </w14:textFill>
        </w:rPr>
      </w:pPr>
    </w:p>
    <w:p w14:paraId="79ECFC52">
      <w:pPr>
        <w:spacing w:line="500" w:lineRule="exact"/>
        <w:ind w:firstLine="480" w:firstLineChars="200"/>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特此承诺。</w:t>
      </w:r>
    </w:p>
    <w:p w14:paraId="62952430">
      <w:pPr>
        <w:spacing w:line="500" w:lineRule="exact"/>
        <w:ind w:firstLine="540" w:firstLineChars="225"/>
        <w:rPr>
          <w:rFonts w:ascii="宋体" w:hAnsi="宋体"/>
          <w:color w:val="000000" w:themeColor="text1"/>
          <w:sz w:val="24"/>
          <w:szCs w:val="24"/>
          <w:highlight w:val="none"/>
          <w14:textFill>
            <w14:solidFill>
              <w14:schemeClr w14:val="tx1"/>
            </w14:solidFill>
          </w14:textFill>
        </w:rPr>
      </w:pPr>
    </w:p>
    <w:p w14:paraId="59DF040C">
      <w:pPr>
        <w:spacing w:line="500" w:lineRule="exact"/>
        <w:ind w:firstLine="616" w:firstLineChars="257"/>
        <w:rPr>
          <w:color w:val="000000" w:themeColor="text1"/>
          <w:sz w:val="24"/>
          <w:szCs w:val="24"/>
          <w:highlight w:val="none"/>
          <w14:textFill>
            <w14:solidFill>
              <w14:schemeClr w14:val="tx1"/>
            </w14:solidFill>
          </w14:textFill>
        </w:rPr>
      </w:pPr>
    </w:p>
    <w:p w14:paraId="50F9BBE1">
      <w:pPr>
        <w:spacing w:line="500" w:lineRule="exact"/>
        <w:ind w:firstLine="616" w:firstLineChars="257"/>
        <w:rPr>
          <w:color w:val="000000" w:themeColor="text1"/>
          <w:sz w:val="24"/>
          <w:szCs w:val="24"/>
          <w:highlight w:val="none"/>
          <w14:textFill>
            <w14:solidFill>
              <w14:schemeClr w14:val="tx1"/>
            </w14:solidFill>
          </w14:textFill>
        </w:rPr>
      </w:pPr>
    </w:p>
    <w:p w14:paraId="36EDDEDA">
      <w:pPr>
        <w:spacing w:line="500" w:lineRule="exact"/>
        <w:ind w:firstLine="616" w:firstLineChars="257"/>
        <w:rPr>
          <w:color w:val="000000" w:themeColor="text1"/>
          <w:sz w:val="24"/>
          <w:szCs w:val="24"/>
          <w:highlight w:val="none"/>
          <w14:textFill>
            <w14:solidFill>
              <w14:schemeClr w14:val="tx1"/>
            </w14:solidFill>
          </w14:textFill>
        </w:rPr>
      </w:pPr>
    </w:p>
    <w:p w14:paraId="4EB597D9">
      <w:pPr>
        <w:spacing w:line="500" w:lineRule="exact"/>
        <w:ind w:firstLine="616" w:firstLineChars="257"/>
        <w:rPr>
          <w:color w:val="000000" w:themeColor="text1"/>
          <w:sz w:val="24"/>
          <w:szCs w:val="24"/>
          <w:highlight w:val="none"/>
          <w14:textFill>
            <w14:solidFill>
              <w14:schemeClr w14:val="tx1"/>
            </w14:solidFill>
          </w14:textFill>
        </w:rPr>
      </w:pPr>
    </w:p>
    <w:p w14:paraId="44B5E629">
      <w:pPr>
        <w:spacing w:line="500" w:lineRule="exact"/>
        <w:ind w:firstLine="616" w:firstLineChars="257"/>
        <w:rPr>
          <w:color w:val="000000" w:themeColor="text1"/>
          <w:sz w:val="24"/>
          <w:szCs w:val="24"/>
          <w:highlight w:val="none"/>
          <w14:textFill>
            <w14:solidFill>
              <w14:schemeClr w14:val="tx1"/>
            </w14:solidFill>
          </w14:textFill>
        </w:rPr>
      </w:pPr>
    </w:p>
    <w:p w14:paraId="71C3E4ED">
      <w:pPr>
        <w:spacing w:line="500" w:lineRule="exact"/>
        <w:ind w:firstLine="616" w:firstLineChars="257"/>
        <w:rPr>
          <w:color w:val="000000" w:themeColor="text1"/>
          <w:sz w:val="24"/>
          <w:szCs w:val="24"/>
          <w:highlight w:val="none"/>
          <w14:textFill>
            <w14:solidFill>
              <w14:schemeClr w14:val="tx1"/>
            </w14:solidFill>
          </w14:textFill>
        </w:rPr>
      </w:pPr>
    </w:p>
    <w:p w14:paraId="6442D8F0">
      <w:pPr>
        <w:spacing w:line="500" w:lineRule="exact"/>
        <w:ind w:firstLine="2640" w:firstLineChars="11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供应商：</w:t>
      </w:r>
      <w:r>
        <w:rPr>
          <w:rFonts w:hint="eastAsia" w:ascii="新宋体" w:hAnsi="新宋体" w:eastAsia="新宋体"/>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w:t>
      </w:r>
      <w:r>
        <w:rPr>
          <w:rFonts w:hint="eastAsia"/>
          <w:color w:val="000000" w:themeColor="text1"/>
          <w:sz w:val="24"/>
          <w:szCs w:val="24"/>
          <w:highlight w:val="none"/>
          <w:lang w:eastAsia="zh-CN"/>
          <w14:textFill>
            <w14:solidFill>
              <w14:schemeClr w14:val="tx1"/>
            </w14:solidFill>
          </w14:textFill>
        </w:rPr>
        <w:t>盖单位公章</w:t>
      </w:r>
      <w:r>
        <w:rPr>
          <w:rFonts w:hint="eastAsia"/>
          <w:color w:val="000000" w:themeColor="text1"/>
          <w:sz w:val="24"/>
          <w:szCs w:val="24"/>
          <w:highlight w:val="none"/>
          <w14:textFill>
            <w14:solidFill>
              <w14:schemeClr w14:val="tx1"/>
            </w14:solidFill>
          </w14:textFill>
        </w:rPr>
        <w:t>）</w:t>
      </w:r>
    </w:p>
    <w:p w14:paraId="67DBA829">
      <w:pPr>
        <w:spacing w:line="500" w:lineRule="exact"/>
        <w:rPr>
          <w:color w:val="000000" w:themeColor="text1"/>
          <w:sz w:val="24"/>
          <w:szCs w:val="24"/>
          <w:highlight w:val="none"/>
          <w14:textFill>
            <w14:solidFill>
              <w14:schemeClr w14:val="tx1"/>
            </w14:solidFill>
          </w14:textFill>
        </w:rPr>
      </w:pPr>
    </w:p>
    <w:p w14:paraId="697A0A5B">
      <w:pPr>
        <w:spacing w:line="500" w:lineRule="exact"/>
        <w:ind w:firstLine="2640" w:firstLineChars="11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法定代表人或其委托代理人：</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 xml:space="preserve">（签   </w:t>
      </w:r>
      <w:r>
        <w:rPr>
          <w:rFonts w:hint="eastAsia"/>
          <w:color w:val="000000" w:themeColor="text1"/>
          <w:sz w:val="24"/>
          <w:szCs w:val="24"/>
          <w:highlight w:val="none"/>
          <w:lang w:val="en-US" w:eastAsia="zh-CN"/>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 xml:space="preserve"> 字）</w:t>
      </w:r>
    </w:p>
    <w:p w14:paraId="53759BD5">
      <w:pPr>
        <w:spacing w:line="500" w:lineRule="exact"/>
        <w:ind w:firstLine="3420" w:firstLineChars="1425"/>
        <w:rPr>
          <w:color w:val="000000" w:themeColor="text1"/>
          <w:sz w:val="24"/>
          <w:szCs w:val="24"/>
          <w:highlight w:val="none"/>
          <w14:textFill>
            <w14:solidFill>
              <w14:schemeClr w14:val="tx1"/>
            </w14:solidFill>
          </w14:textFill>
        </w:rPr>
      </w:pPr>
    </w:p>
    <w:p w14:paraId="100D0585">
      <w:pPr>
        <w:widowControl/>
        <w:spacing w:line="500" w:lineRule="exact"/>
        <w:jc w:val="right"/>
        <w:rPr>
          <w:rFonts w:ascii="宋体" w:hAnsi="宋体" w:cs="Times New Roman"/>
          <w:color w:val="000000" w:themeColor="text1"/>
          <w:sz w:val="24"/>
          <w:szCs w:val="24"/>
          <w:highlight w:val="none"/>
          <w:lang w:val="zh-CN"/>
          <w14:textFill>
            <w14:solidFill>
              <w14:schemeClr w14:val="tx1"/>
            </w14:solidFill>
          </w14:textFill>
        </w:rPr>
        <w:sectPr>
          <w:pgSz w:w="11905" w:h="16838"/>
          <w:pgMar w:top="1440" w:right="1803" w:bottom="1440" w:left="1803" w:header="1140" w:footer="720" w:gutter="0"/>
          <w:pgNumType w:fmt="decimal"/>
          <w:cols w:space="0" w:num="1"/>
          <w:docGrid w:type="lines" w:linePitch="317" w:charSpace="0"/>
        </w:sectPr>
      </w:pPr>
      <w:r>
        <w:rPr>
          <w:rFonts w:hint="eastAsia" w:ascii="宋体" w:hAnsi="宋体"/>
          <w:color w:val="000000" w:themeColor="text1"/>
          <w:sz w:val="24"/>
          <w:szCs w:val="24"/>
          <w:highlight w:val="none"/>
          <w14:textFill>
            <w14:solidFill>
              <w14:schemeClr w14:val="tx1"/>
            </w14:solidFill>
          </w14:textFill>
        </w:rPr>
        <w:t xml:space="preserve">                                </w:t>
      </w:r>
      <w:r>
        <w:rPr>
          <w:rFonts w:hint="eastAsia" w:ascii="宋体" w:hAnsi="宋体"/>
          <w:color w:val="000000" w:themeColor="text1"/>
          <w:sz w:val="24"/>
          <w:szCs w:val="24"/>
          <w:highlight w:val="none"/>
          <w:lang w:eastAsia="zh-CN"/>
          <w14:textFill>
            <w14:solidFill>
              <w14:schemeClr w14:val="tx1"/>
            </w14:solidFill>
          </w14:textFill>
        </w:rPr>
        <w:t>日期：</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年</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月</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日</w:t>
      </w:r>
    </w:p>
    <w:p w14:paraId="45DF76A9">
      <w:pPr>
        <w:widowControl/>
        <w:spacing w:line="360" w:lineRule="auto"/>
        <w:jc w:val="center"/>
        <w:outlineLvl w:val="3"/>
        <w:rPr>
          <w:rFonts w:ascii="宋体" w:hAnsi="宋体" w:cs="Times New Roman"/>
          <w:color w:val="000000" w:themeColor="text1"/>
          <w:sz w:val="32"/>
          <w:szCs w:val="32"/>
          <w:highlight w:val="none"/>
          <w14:textFill>
            <w14:solidFill>
              <w14:schemeClr w14:val="tx1"/>
            </w14:solidFill>
          </w14:textFill>
        </w:rPr>
      </w:pPr>
      <w:r>
        <w:rPr>
          <w:rFonts w:hint="eastAsia" w:ascii="宋体" w:hAnsi="宋体" w:cs="Times New Roman"/>
          <w:color w:val="000000" w:themeColor="text1"/>
          <w:sz w:val="32"/>
          <w:szCs w:val="32"/>
          <w:highlight w:val="none"/>
          <w:lang w:val="zh-CN"/>
          <w14:textFill>
            <w14:solidFill>
              <w14:schemeClr w14:val="tx1"/>
            </w14:solidFill>
          </w14:textFill>
        </w:rPr>
        <w:t>（</w:t>
      </w:r>
      <w:r>
        <w:rPr>
          <w:rFonts w:hint="eastAsia" w:ascii="宋体" w:hAnsi="宋体" w:cs="Times New Roman"/>
          <w:color w:val="000000" w:themeColor="text1"/>
          <w:sz w:val="32"/>
          <w:szCs w:val="32"/>
          <w:highlight w:val="none"/>
          <w14:textFill>
            <w14:solidFill>
              <w14:schemeClr w14:val="tx1"/>
            </w14:solidFill>
          </w14:textFill>
        </w:rPr>
        <w:t>5</w:t>
      </w:r>
      <w:r>
        <w:rPr>
          <w:rFonts w:hint="eastAsia" w:ascii="宋体" w:hAnsi="宋体" w:cs="Times New Roman"/>
          <w:color w:val="000000" w:themeColor="text1"/>
          <w:sz w:val="32"/>
          <w:szCs w:val="32"/>
          <w:highlight w:val="none"/>
          <w:lang w:val="zh-CN"/>
          <w14:textFill>
            <w14:solidFill>
              <w14:schemeClr w14:val="tx1"/>
            </w14:solidFill>
          </w14:textFill>
        </w:rPr>
        <w:t>）政府采购诚信承诺书</w:t>
      </w:r>
    </w:p>
    <w:p w14:paraId="78E1CFCF">
      <w:pPr>
        <w:spacing w:line="360" w:lineRule="auto"/>
        <w:jc w:val="center"/>
        <w:rPr>
          <w:rFonts w:ascii="宋体" w:hAnsi="宋体" w:cs="宋体"/>
          <w:b/>
          <w:color w:val="000000" w:themeColor="text1"/>
          <w:kern w:val="0"/>
          <w:sz w:val="32"/>
          <w:szCs w:val="18"/>
          <w:highlight w:val="none"/>
          <w14:textFill>
            <w14:solidFill>
              <w14:schemeClr w14:val="tx1"/>
            </w14:solidFill>
          </w14:textFill>
        </w:rPr>
      </w:pPr>
    </w:p>
    <w:p w14:paraId="7BF6469C">
      <w:pPr>
        <w:spacing w:line="360" w:lineRule="auto"/>
        <w:rPr>
          <w:rFonts w:ascii="宋体" w:hAnsi="宋体"/>
          <w:bCs/>
          <w:color w:val="000000" w:themeColor="text1"/>
          <w:sz w:val="24"/>
          <w:szCs w:val="24"/>
          <w:highlight w:val="none"/>
          <w14:textFill>
            <w14:solidFill>
              <w14:schemeClr w14:val="tx1"/>
            </w14:solidFill>
          </w14:textFill>
        </w:rPr>
      </w:pPr>
      <w:r>
        <w:rPr>
          <w:rFonts w:hint="eastAsia" w:ascii="宋体" w:hAnsi="宋体"/>
          <w:bCs/>
          <w:color w:val="000000" w:themeColor="text1"/>
          <w:sz w:val="24"/>
          <w:szCs w:val="24"/>
          <w:highlight w:val="none"/>
          <w:u w:val="single"/>
          <w14:textFill>
            <w14:solidFill>
              <w14:schemeClr w14:val="tx1"/>
            </w14:solidFill>
          </w14:textFill>
        </w:rPr>
        <w:t xml:space="preserve">     (采购人）     </w:t>
      </w:r>
      <w:r>
        <w:rPr>
          <w:rFonts w:hint="eastAsia" w:ascii="宋体" w:hAnsi="宋体"/>
          <w:bCs/>
          <w:color w:val="000000" w:themeColor="text1"/>
          <w:sz w:val="24"/>
          <w:szCs w:val="24"/>
          <w:highlight w:val="none"/>
          <w14:textFill>
            <w14:solidFill>
              <w14:schemeClr w14:val="tx1"/>
            </w14:solidFill>
          </w14:textFill>
        </w:rPr>
        <w:t>：</w:t>
      </w:r>
    </w:p>
    <w:p w14:paraId="6DB2B4B8">
      <w:pPr>
        <w:spacing w:line="360" w:lineRule="auto"/>
        <w:ind w:firstLine="480" w:firstLineChars="200"/>
        <w:rPr>
          <w:rFonts w:ascii="宋体" w:hAnsi="宋体"/>
          <w:bCs/>
          <w:color w:val="000000" w:themeColor="text1"/>
          <w:sz w:val="24"/>
          <w:szCs w:val="24"/>
          <w:highlight w:val="none"/>
          <w14:textFill>
            <w14:solidFill>
              <w14:schemeClr w14:val="tx1"/>
            </w14:solidFill>
          </w14:textFill>
        </w:rPr>
      </w:pPr>
      <w:r>
        <w:rPr>
          <w:rFonts w:hint="eastAsia" w:ascii="宋体" w:hAnsi="宋体"/>
          <w:bCs/>
          <w:color w:val="000000" w:themeColor="text1"/>
          <w:sz w:val="24"/>
          <w:szCs w:val="24"/>
          <w:highlight w:val="none"/>
          <w14:textFill>
            <w14:solidFill>
              <w14:schemeClr w14:val="tx1"/>
            </w14:solidFill>
          </w14:textFill>
        </w:rPr>
        <w:t>我公司</w:t>
      </w:r>
      <w:r>
        <w:rPr>
          <w:rFonts w:hint="eastAsia" w:ascii="宋体" w:hAnsi="宋体"/>
          <w:bCs/>
          <w:color w:val="000000" w:themeColor="text1"/>
          <w:sz w:val="24"/>
          <w:szCs w:val="24"/>
          <w:highlight w:val="none"/>
          <w:u w:val="single"/>
          <w14:textFill>
            <w14:solidFill>
              <w14:schemeClr w14:val="tx1"/>
            </w14:solidFill>
          </w14:textFill>
        </w:rPr>
        <w:t xml:space="preserve">    （供应商名称） </w:t>
      </w:r>
      <w:r>
        <w:rPr>
          <w:rFonts w:hint="eastAsia" w:ascii="宋体" w:hAnsi="宋体"/>
          <w:bCs/>
          <w:color w:val="000000" w:themeColor="text1"/>
          <w:sz w:val="24"/>
          <w:szCs w:val="24"/>
          <w:highlight w:val="none"/>
          <w14:textFill>
            <w14:solidFill>
              <w14:schemeClr w14:val="tx1"/>
            </w14:solidFill>
          </w14:textFill>
        </w:rPr>
        <w:t>已详细阅读了</w:t>
      </w:r>
      <w:r>
        <w:rPr>
          <w:rFonts w:hint="eastAsia" w:ascii="宋体" w:hAnsi="宋体"/>
          <w:bCs/>
          <w:color w:val="000000" w:themeColor="text1"/>
          <w:sz w:val="24"/>
          <w:szCs w:val="24"/>
          <w:highlight w:val="none"/>
          <w:u w:val="single"/>
          <w14:textFill>
            <w14:solidFill>
              <w14:schemeClr w14:val="tx1"/>
            </w14:solidFill>
          </w14:textFill>
        </w:rPr>
        <w:t xml:space="preserve">     （项目名称）        </w:t>
      </w:r>
      <w:r>
        <w:rPr>
          <w:rFonts w:hint="eastAsia" w:ascii="宋体" w:hAnsi="宋体"/>
          <w:bCs/>
          <w:color w:val="000000" w:themeColor="text1"/>
          <w:sz w:val="24"/>
          <w:szCs w:val="24"/>
          <w:highlight w:val="none"/>
          <w14:textFill>
            <w14:solidFill>
              <w14:schemeClr w14:val="tx1"/>
            </w14:solidFill>
          </w14:textFill>
        </w:rPr>
        <w:t>项目（项目编号：</w:t>
      </w:r>
      <w:r>
        <w:rPr>
          <w:rFonts w:hint="eastAsia" w:ascii="宋体" w:hAnsi="宋体"/>
          <w:bCs/>
          <w:color w:val="000000" w:themeColor="text1"/>
          <w:sz w:val="24"/>
          <w:szCs w:val="24"/>
          <w:highlight w:val="none"/>
          <w:u w:val="single"/>
          <w14:textFill>
            <w14:solidFill>
              <w14:schemeClr w14:val="tx1"/>
            </w14:solidFill>
          </w14:textFill>
        </w:rPr>
        <w:t xml:space="preserve">          </w:t>
      </w:r>
      <w:r>
        <w:rPr>
          <w:rFonts w:hint="eastAsia" w:ascii="宋体" w:hAnsi="宋体"/>
          <w:bCs/>
          <w:color w:val="000000" w:themeColor="text1"/>
          <w:sz w:val="24"/>
          <w:szCs w:val="24"/>
          <w:highlight w:val="none"/>
          <w14:textFill>
            <w14:solidFill>
              <w14:schemeClr w14:val="tx1"/>
            </w14:solidFill>
          </w14:textFill>
        </w:rPr>
        <w:t>）的竞争性磋商文件，自愿参加本次磋商，现就有关事项郑重承诺如下：</w:t>
      </w:r>
    </w:p>
    <w:p w14:paraId="363A119C">
      <w:pPr>
        <w:spacing w:line="360" w:lineRule="auto"/>
        <w:ind w:firstLine="480" w:firstLineChars="200"/>
        <w:rPr>
          <w:rFonts w:ascii="宋体" w:hAnsi="宋体"/>
          <w:bCs/>
          <w:color w:val="000000" w:themeColor="text1"/>
          <w:sz w:val="24"/>
          <w:szCs w:val="24"/>
          <w:highlight w:val="none"/>
          <w14:textFill>
            <w14:solidFill>
              <w14:schemeClr w14:val="tx1"/>
            </w14:solidFill>
          </w14:textFill>
        </w:rPr>
      </w:pPr>
      <w:r>
        <w:rPr>
          <w:rFonts w:hint="eastAsia" w:ascii="宋体" w:hAnsi="宋体"/>
          <w:bCs/>
          <w:color w:val="000000" w:themeColor="text1"/>
          <w:sz w:val="24"/>
          <w:szCs w:val="24"/>
          <w:highlight w:val="none"/>
          <w14:textFill>
            <w14:solidFill>
              <w14:schemeClr w14:val="tx1"/>
            </w14:solidFill>
          </w14:textFill>
        </w:rPr>
        <w:t>一、诚信报价，材料真实。我公司保证所提供的全部材料、报价内容均真实、合法、有效，保证不出借或者借用其他企业资质，不以他人名义报价，不弄虚作假；未列入失信被执行人、</w:t>
      </w:r>
      <w:r>
        <w:rPr>
          <w:rFonts w:hint="eastAsia" w:ascii="宋体" w:hAnsi="宋体"/>
          <w:bCs/>
          <w:color w:val="000000" w:themeColor="text1"/>
          <w:sz w:val="24"/>
          <w:szCs w:val="24"/>
          <w:highlight w:val="none"/>
          <w:lang w:eastAsia="zh-CN"/>
          <w14:textFill>
            <w14:solidFill>
              <w14:schemeClr w14:val="tx1"/>
            </w14:solidFill>
          </w14:textFill>
        </w:rPr>
        <w:t>重大税收违法失信主体</w:t>
      </w:r>
      <w:r>
        <w:rPr>
          <w:rFonts w:hint="eastAsia" w:ascii="宋体" w:hAnsi="宋体"/>
          <w:bCs/>
          <w:color w:val="000000" w:themeColor="text1"/>
          <w:sz w:val="24"/>
          <w:szCs w:val="24"/>
          <w:highlight w:val="none"/>
          <w14:textFill>
            <w14:solidFill>
              <w14:schemeClr w14:val="tx1"/>
            </w14:solidFill>
          </w14:textFill>
        </w:rPr>
        <w:t>、政府采购严重违法失信行为记录名单及其他不符合《中华人民共和国政府采购法》第二十二条规定条件。</w:t>
      </w:r>
    </w:p>
    <w:p w14:paraId="657C8C87">
      <w:pPr>
        <w:spacing w:line="360" w:lineRule="auto"/>
        <w:ind w:firstLine="480" w:firstLineChars="200"/>
        <w:rPr>
          <w:rFonts w:ascii="宋体" w:hAnsi="宋体"/>
          <w:bCs/>
          <w:color w:val="000000" w:themeColor="text1"/>
          <w:sz w:val="24"/>
          <w:szCs w:val="24"/>
          <w:highlight w:val="none"/>
          <w14:textFill>
            <w14:solidFill>
              <w14:schemeClr w14:val="tx1"/>
            </w14:solidFill>
          </w14:textFill>
        </w:rPr>
      </w:pPr>
      <w:r>
        <w:rPr>
          <w:rFonts w:hint="eastAsia" w:ascii="宋体" w:hAnsi="宋体"/>
          <w:bCs/>
          <w:color w:val="000000" w:themeColor="text1"/>
          <w:sz w:val="24"/>
          <w:szCs w:val="24"/>
          <w:highlight w:val="none"/>
          <w14:textFill>
            <w14:solidFill>
              <w14:schemeClr w14:val="tx1"/>
            </w14:solidFill>
          </w14:textFill>
        </w:rPr>
        <w:t>二、遵纪守法，公平竞争。不与其他供应商相互串通、哄抬价格，不排挤其他供应商，不损害采购人的合法权益；不向采购人、采购代理机构、磋商小组成员等及其他参与采购活动的人员行贿或采用其他不正当手段谋取成交；</w:t>
      </w:r>
    </w:p>
    <w:p w14:paraId="563E9A51">
      <w:pPr>
        <w:spacing w:line="360" w:lineRule="auto"/>
        <w:ind w:firstLine="480" w:firstLineChars="200"/>
        <w:rPr>
          <w:rFonts w:ascii="宋体" w:hAnsi="宋体"/>
          <w:bCs/>
          <w:color w:val="000000" w:themeColor="text1"/>
          <w:sz w:val="24"/>
          <w:szCs w:val="24"/>
          <w:highlight w:val="none"/>
          <w14:textFill>
            <w14:solidFill>
              <w14:schemeClr w14:val="tx1"/>
            </w14:solidFill>
          </w14:textFill>
        </w:rPr>
      </w:pPr>
      <w:r>
        <w:rPr>
          <w:rFonts w:hint="eastAsia" w:ascii="宋体" w:hAnsi="宋体"/>
          <w:bCs/>
          <w:color w:val="000000" w:themeColor="text1"/>
          <w:sz w:val="24"/>
          <w:szCs w:val="24"/>
          <w:highlight w:val="none"/>
          <w14:textFill>
            <w14:solidFill>
              <w14:schemeClr w14:val="tx1"/>
            </w14:solidFill>
          </w14:textFill>
        </w:rPr>
        <w:t>三、不捏造事实或借用他人名义进行虚假、恶意质疑和投诉，不以质疑或投诉为名排挤竞争对手，干扰政府采购秩序；</w:t>
      </w:r>
    </w:p>
    <w:p w14:paraId="706C42D2">
      <w:pPr>
        <w:spacing w:line="360" w:lineRule="auto"/>
        <w:ind w:firstLine="480" w:firstLineChars="200"/>
        <w:rPr>
          <w:rFonts w:ascii="宋体" w:hAnsi="宋体"/>
          <w:bCs/>
          <w:color w:val="000000" w:themeColor="text1"/>
          <w:sz w:val="24"/>
          <w:szCs w:val="24"/>
          <w:highlight w:val="none"/>
          <w14:textFill>
            <w14:solidFill>
              <w14:schemeClr w14:val="tx1"/>
            </w14:solidFill>
          </w14:textFill>
        </w:rPr>
      </w:pPr>
      <w:r>
        <w:rPr>
          <w:rFonts w:hint="eastAsia" w:ascii="宋体" w:hAnsi="宋体"/>
          <w:bCs/>
          <w:color w:val="000000" w:themeColor="text1"/>
          <w:sz w:val="24"/>
          <w:szCs w:val="24"/>
          <w:highlight w:val="none"/>
          <w14:textFill>
            <w14:solidFill>
              <w14:schemeClr w14:val="tx1"/>
            </w14:solidFill>
          </w14:textFill>
        </w:rPr>
        <w:t>四、若成交后，将按照规定及时与采购人签订政府采购合同，不与采购人订立有悖于采购结果的合同或协议；严格履行政府采购合同，不降低合同约定的产品质量及相关服务，不擅自变更、中止、终止合同，或者拒绝履行合同义务。</w:t>
      </w:r>
    </w:p>
    <w:p w14:paraId="37C6C475">
      <w:pPr>
        <w:spacing w:line="360" w:lineRule="auto"/>
        <w:ind w:firstLine="480" w:firstLineChars="200"/>
        <w:rPr>
          <w:rFonts w:ascii="宋体" w:hAnsi="宋体"/>
          <w:bCs/>
          <w:color w:val="000000" w:themeColor="text1"/>
          <w:sz w:val="24"/>
          <w:szCs w:val="24"/>
          <w:highlight w:val="none"/>
          <w14:textFill>
            <w14:solidFill>
              <w14:schemeClr w14:val="tx1"/>
            </w14:solidFill>
          </w14:textFill>
        </w:rPr>
      </w:pPr>
      <w:r>
        <w:rPr>
          <w:rFonts w:hint="eastAsia" w:ascii="宋体" w:hAnsi="宋体"/>
          <w:bCs/>
          <w:color w:val="000000" w:themeColor="text1"/>
          <w:sz w:val="24"/>
          <w:szCs w:val="24"/>
          <w:highlight w:val="none"/>
          <w14:textFill>
            <w14:solidFill>
              <w14:schemeClr w14:val="tx1"/>
            </w14:solidFill>
          </w14:textFill>
        </w:rPr>
        <w:t>若有违反以上承诺内容的行为，我公司自愿接受取消磋商资格、记入信用档案、没收磋商保证金、媒体通报、1～3年内禁止参与政府采购活动等处罚；如已成交的，自动放弃成交资格，并承担全部法律责任；给采购人造成损失的，依法承担赔偿责任。</w:t>
      </w:r>
    </w:p>
    <w:p w14:paraId="65F9A6FA">
      <w:pPr>
        <w:spacing w:line="360" w:lineRule="auto"/>
        <w:ind w:right="480"/>
        <w:jc w:val="left"/>
        <w:rPr>
          <w:rFonts w:ascii="宋体" w:hAnsi="宋体"/>
          <w:color w:val="000000" w:themeColor="text1"/>
          <w:sz w:val="24"/>
          <w:szCs w:val="24"/>
          <w:highlight w:val="none"/>
          <w14:textFill>
            <w14:solidFill>
              <w14:schemeClr w14:val="tx1"/>
            </w14:solidFill>
          </w14:textFill>
        </w:rPr>
      </w:pPr>
      <w:r>
        <w:rPr>
          <w:rFonts w:hint="eastAsia" w:ascii="宋体" w:hAnsi="宋体"/>
          <w:bCs/>
          <w:color w:val="000000" w:themeColor="text1"/>
          <w:sz w:val="24"/>
          <w:szCs w:val="24"/>
          <w:highlight w:val="non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 xml:space="preserve">     供应商：</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w:t>
      </w:r>
      <w:r>
        <w:rPr>
          <w:rFonts w:hint="eastAsia" w:ascii="宋体" w:hAnsi="宋体"/>
          <w:color w:val="000000" w:themeColor="text1"/>
          <w:sz w:val="24"/>
          <w:szCs w:val="24"/>
          <w:highlight w:val="none"/>
          <w:lang w:eastAsia="zh-CN"/>
          <w14:textFill>
            <w14:solidFill>
              <w14:schemeClr w14:val="tx1"/>
            </w14:solidFill>
          </w14:textFill>
        </w:rPr>
        <w:t>盖单位公章</w:t>
      </w:r>
      <w:r>
        <w:rPr>
          <w:rFonts w:hint="eastAsia" w:ascii="宋体" w:hAnsi="宋体"/>
          <w:color w:val="000000" w:themeColor="text1"/>
          <w:sz w:val="24"/>
          <w:szCs w:val="24"/>
          <w:highlight w:val="none"/>
          <w14:textFill>
            <w14:solidFill>
              <w14:schemeClr w14:val="tx1"/>
            </w14:solidFill>
          </w14:textFill>
        </w:rPr>
        <w:t>）</w:t>
      </w:r>
    </w:p>
    <w:p w14:paraId="7E46895D">
      <w:pPr>
        <w:spacing w:line="360" w:lineRule="auto"/>
        <w:ind w:right="-94" w:firstLine="2640" w:firstLineChars="11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法定代表人或其委托代理人：</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（签    字）</w:t>
      </w:r>
    </w:p>
    <w:p w14:paraId="67B14462">
      <w:pPr>
        <w:spacing w:line="360" w:lineRule="auto"/>
        <w:jc w:val="right"/>
        <w:rPr>
          <w:rFonts w:ascii="宋体" w:hAnsi="宋体"/>
          <w:color w:val="000000" w:themeColor="text1"/>
          <w:sz w:val="24"/>
          <w:szCs w:val="24"/>
          <w:highlight w:val="none"/>
          <w14:textFill>
            <w14:solidFill>
              <w14:schemeClr w14:val="tx1"/>
            </w14:solidFill>
          </w14:textFill>
        </w:rPr>
      </w:pPr>
    </w:p>
    <w:p w14:paraId="0F3A87F3">
      <w:pPr>
        <w:spacing w:line="360" w:lineRule="auto"/>
        <w:ind w:right="480"/>
        <w:jc w:val="right"/>
        <w:rPr>
          <w:rFonts w:ascii="宋体" w:hAnsi="宋体"/>
          <w:color w:val="000000" w:themeColor="text1"/>
          <w:sz w:val="24"/>
          <w:szCs w:val="24"/>
          <w:highlight w:val="none"/>
          <w14:textFill>
            <w14:solidFill>
              <w14:schemeClr w14:val="tx1"/>
            </w14:solidFill>
          </w14:textFill>
        </w:rPr>
        <w:sectPr>
          <w:pgSz w:w="11905" w:h="16838"/>
          <w:pgMar w:top="1440" w:right="1803" w:bottom="1440" w:left="1803" w:header="1140" w:footer="720" w:gutter="0"/>
          <w:pgNumType w:fmt="decimal"/>
          <w:cols w:space="0" w:num="1"/>
          <w:docGrid w:type="lines" w:linePitch="317" w:charSpace="0"/>
        </w:sectPr>
      </w:pPr>
      <w:r>
        <w:rPr>
          <w:rFonts w:hint="eastAsia" w:ascii="宋体" w:hAnsi="宋体"/>
          <w:color w:val="000000" w:themeColor="text1"/>
          <w:sz w:val="24"/>
          <w:szCs w:val="24"/>
          <w:highlight w:val="none"/>
          <w14:textFill>
            <w14:solidFill>
              <w14:schemeClr w14:val="tx1"/>
            </w14:solidFill>
          </w14:textFill>
        </w:rPr>
        <w:t xml:space="preserve">                                     </w:t>
      </w:r>
      <w:r>
        <w:rPr>
          <w:rFonts w:hint="eastAsia" w:ascii="宋体" w:hAnsi="宋体"/>
          <w:color w:val="000000" w:themeColor="text1"/>
          <w:sz w:val="24"/>
          <w:szCs w:val="24"/>
          <w:highlight w:val="none"/>
          <w:lang w:eastAsia="zh-CN"/>
          <w14:textFill>
            <w14:solidFill>
              <w14:schemeClr w14:val="tx1"/>
            </w14:solidFill>
          </w14:textFill>
        </w:rPr>
        <w:t>日期：</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年</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月</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日</w:t>
      </w:r>
    </w:p>
    <w:p w14:paraId="5909AA80">
      <w:pPr>
        <w:widowControl/>
        <w:spacing w:line="360" w:lineRule="auto"/>
        <w:jc w:val="center"/>
        <w:outlineLvl w:val="3"/>
        <w:rPr>
          <w:rFonts w:ascii="宋体" w:hAnsi="宋体" w:cs="Times New Roman"/>
          <w:color w:val="000000" w:themeColor="text1"/>
          <w:sz w:val="32"/>
          <w:szCs w:val="32"/>
          <w:highlight w:val="none"/>
          <w:lang w:val="zh-CN"/>
          <w14:textFill>
            <w14:solidFill>
              <w14:schemeClr w14:val="tx1"/>
            </w14:solidFill>
          </w14:textFill>
        </w:rPr>
      </w:pPr>
      <w:r>
        <w:rPr>
          <w:rFonts w:hint="eastAsia" w:ascii="宋体" w:hAnsi="宋体" w:cs="Times New Roman"/>
          <w:color w:val="000000" w:themeColor="text1"/>
          <w:sz w:val="28"/>
          <w:szCs w:val="28"/>
          <w:highlight w:val="none"/>
          <w:lang w:val="zh-CN"/>
          <w14:textFill>
            <w14:solidFill>
              <w14:schemeClr w14:val="tx1"/>
            </w14:solidFill>
          </w14:textFill>
        </w:rPr>
        <w:t>（</w:t>
      </w:r>
      <w:r>
        <w:rPr>
          <w:rFonts w:hint="eastAsia" w:ascii="宋体" w:hAnsi="宋体" w:cs="Times New Roman"/>
          <w:color w:val="000000" w:themeColor="text1"/>
          <w:sz w:val="28"/>
          <w:szCs w:val="28"/>
          <w:highlight w:val="none"/>
          <w14:textFill>
            <w14:solidFill>
              <w14:schemeClr w14:val="tx1"/>
            </w14:solidFill>
          </w14:textFill>
        </w:rPr>
        <w:t>6</w:t>
      </w:r>
      <w:r>
        <w:rPr>
          <w:rFonts w:hint="eastAsia" w:ascii="宋体" w:hAnsi="宋体" w:cs="Times New Roman"/>
          <w:color w:val="000000" w:themeColor="text1"/>
          <w:sz w:val="28"/>
          <w:szCs w:val="28"/>
          <w:highlight w:val="none"/>
          <w:lang w:val="zh-CN"/>
          <w14:textFill>
            <w14:solidFill>
              <w14:schemeClr w14:val="tx1"/>
            </w14:solidFill>
          </w14:textFill>
        </w:rPr>
        <w:t>）无投资参股关系关联企业同时磋商的承诺书</w:t>
      </w:r>
    </w:p>
    <w:p w14:paraId="101BCF63">
      <w:pPr>
        <w:widowControl/>
        <w:spacing w:line="360" w:lineRule="auto"/>
        <w:jc w:val="center"/>
        <w:rPr>
          <w:rFonts w:ascii="宋体" w:hAnsi="宋体" w:cs="Times New Roman"/>
          <w:color w:val="000000" w:themeColor="text1"/>
          <w:sz w:val="24"/>
          <w:highlight w:val="none"/>
          <w:lang w:val="zh-CN"/>
          <w14:textFill>
            <w14:solidFill>
              <w14:schemeClr w14:val="tx1"/>
            </w14:solidFill>
          </w14:textFill>
        </w:rPr>
      </w:pPr>
    </w:p>
    <w:p w14:paraId="58E7F47A">
      <w:pPr>
        <w:spacing w:line="360" w:lineRule="auto"/>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致：</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（采购人）</w:t>
      </w:r>
    </w:p>
    <w:p w14:paraId="2571BABA">
      <w:pPr>
        <w:spacing w:line="360" w:lineRule="auto"/>
        <w:rPr>
          <w:rFonts w:ascii="宋体" w:hAnsi="宋体"/>
          <w:color w:val="000000" w:themeColor="text1"/>
          <w:sz w:val="24"/>
          <w:szCs w:val="24"/>
          <w:highlight w:val="none"/>
          <w14:textFill>
            <w14:solidFill>
              <w14:schemeClr w14:val="tx1"/>
            </w14:solidFill>
          </w14:textFill>
        </w:rPr>
      </w:pPr>
    </w:p>
    <w:p w14:paraId="29D1C239">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我单位承诺：无下列情况！</w:t>
      </w:r>
    </w:p>
    <w:p w14:paraId="66184CCF">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具有投资参股关系的关联企业,或具有直接管理和被管理关系的母子公司，或同一母公司的子公司，或法定代表人为同一人的两个及两个以上法人同时对同一标段投标。与采购人存在利害关系可能影响投标公正性的法人、其他组织或者个人。单位负责人为同一人或者存在控股、管理关系的不同单位，参加同一标段投标或者未划分标段的同一项目投标。</w:t>
      </w:r>
    </w:p>
    <w:p w14:paraId="5F8B52E7">
      <w:pPr>
        <w:spacing w:line="360" w:lineRule="auto"/>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特此声明！</w:t>
      </w:r>
    </w:p>
    <w:p w14:paraId="3BD7E3AD">
      <w:pPr>
        <w:spacing w:line="360" w:lineRule="auto"/>
        <w:ind w:firstLine="420"/>
        <w:rPr>
          <w:rFonts w:ascii="宋体" w:hAnsi="宋体"/>
          <w:color w:val="000000" w:themeColor="text1"/>
          <w:sz w:val="24"/>
          <w:szCs w:val="24"/>
          <w:highlight w:val="none"/>
          <w14:textFill>
            <w14:solidFill>
              <w14:schemeClr w14:val="tx1"/>
            </w14:solidFill>
          </w14:textFill>
        </w:rPr>
      </w:pPr>
    </w:p>
    <w:p w14:paraId="4419064E">
      <w:pPr>
        <w:spacing w:line="360" w:lineRule="auto"/>
        <w:ind w:firstLine="420"/>
        <w:rPr>
          <w:rFonts w:ascii="宋体" w:hAnsi="宋体"/>
          <w:color w:val="000000" w:themeColor="text1"/>
          <w:sz w:val="24"/>
          <w:szCs w:val="24"/>
          <w:highlight w:val="none"/>
          <w14:textFill>
            <w14:solidFill>
              <w14:schemeClr w14:val="tx1"/>
            </w14:solidFill>
          </w14:textFill>
        </w:rPr>
      </w:pPr>
    </w:p>
    <w:p w14:paraId="4DE7E398">
      <w:pPr>
        <w:spacing w:line="360" w:lineRule="auto"/>
        <w:ind w:firstLine="4228" w:firstLineChars="1762"/>
        <w:rPr>
          <w:rFonts w:ascii="宋体"/>
          <w:color w:val="000000" w:themeColor="text1"/>
          <w:sz w:val="24"/>
          <w:szCs w:val="24"/>
          <w:highlight w:val="none"/>
          <w14:textFill>
            <w14:solidFill>
              <w14:schemeClr w14:val="tx1"/>
            </w14:solidFill>
          </w14:textFill>
        </w:rPr>
      </w:pPr>
    </w:p>
    <w:p w14:paraId="329D7D76">
      <w:pPr>
        <w:spacing w:line="360" w:lineRule="auto"/>
        <w:ind w:firstLine="420" w:firstLineChars="175"/>
        <w:jc w:val="righ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供应商：</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w:t>
      </w:r>
      <w:r>
        <w:rPr>
          <w:rFonts w:hint="eastAsia" w:ascii="宋体" w:hAnsi="宋体"/>
          <w:color w:val="000000" w:themeColor="text1"/>
          <w:sz w:val="24"/>
          <w:szCs w:val="24"/>
          <w:highlight w:val="none"/>
          <w:lang w:eastAsia="zh-CN"/>
          <w14:textFill>
            <w14:solidFill>
              <w14:schemeClr w14:val="tx1"/>
            </w14:solidFill>
          </w14:textFill>
        </w:rPr>
        <w:t>盖单位公章</w:t>
      </w:r>
      <w:r>
        <w:rPr>
          <w:rFonts w:hint="eastAsia" w:ascii="宋体" w:hAnsi="宋体"/>
          <w:color w:val="000000" w:themeColor="text1"/>
          <w:sz w:val="24"/>
          <w:szCs w:val="24"/>
          <w:highlight w:val="none"/>
          <w14:textFill>
            <w14:solidFill>
              <w14:schemeClr w14:val="tx1"/>
            </w14:solidFill>
          </w14:textFill>
        </w:rPr>
        <w:t>）</w:t>
      </w:r>
    </w:p>
    <w:p w14:paraId="2EE939A3">
      <w:pPr>
        <w:spacing w:line="360" w:lineRule="auto"/>
        <w:jc w:val="left"/>
        <w:rPr>
          <w:rFonts w:ascii="宋体" w:hAnsi="宋体"/>
          <w:color w:val="000000" w:themeColor="text1"/>
          <w:sz w:val="24"/>
          <w:szCs w:val="24"/>
          <w:highlight w:val="none"/>
          <w14:textFill>
            <w14:solidFill>
              <w14:schemeClr w14:val="tx1"/>
            </w14:solidFill>
          </w14:textFill>
        </w:rPr>
      </w:pPr>
    </w:p>
    <w:p w14:paraId="5B180161">
      <w:pPr>
        <w:spacing w:line="360" w:lineRule="auto"/>
        <w:jc w:val="righ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法定代表人或其委托代理人：</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（签</w:t>
      </w:r>
      <w:r>
        <w:rPr>
          <w:rFonts w:hint="eastAsia" w:ascii="宋体" w:hAnsi="宋体"/>
          <w:color w:val="000000" w:themeColor="text1"/>
          <w:sz w:val="24"/>
          <w:szCs w:val="24"/>
          <w:highlight w:val="none"/>
          <w:lang w:val="en-US" w:eastAsia="zh-CN"/>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字）</w:t>
      </w:r>
    </w:p>
    <w:p w14:paraId="74154094">
      <w:pPr>
        <w:pStyle w:val="13"/>
        <w:spacing w:line="360" w:lineRule="auto"/>
        <w:rPr>
          <w:color w:val="000000" w:themeColor="text1"/>
          <w:highlight w:val="none"/>
          <w14:textFill>
            <w14:solidFill>
              <w14:schemeClr w14:val="tx1"/>
            </w14:solidFill>
          </w14:textFill>
        </w:rPr>
      </w:pPr>
    </w:p>
    <w:p w14:paraId="315F2AB3">
      <w:pPr>
        <w:spacing w:line="360" w:lineRule="auto"/>
        <w:jc w:val="left"/>
        <w:rPr>
          <w:rFonts w:ascii="宋体" w:hAnsi="宋体"/>
          <w:color w:val="000000" w:themeColor="text1"/>
          <w:sz w:val="24"/>
          <w:szCs w:val="24"/>
          <w:highlight w:val="none"/>
          <w14:textFill>
            <w14:solidFill>
              <w14:schemeClr w14:val="tx1"/>
            </w14:solidFill>
          </w14:textFill>
        </w:rPr>
      </w:pPr>
    </w:p>
    <w:p w14:paraId="1E4726CD">
      <w:pPr>
        <w:spacing w:line="360" w:lineRule="auto"/>
        <w:jc w:val="right"/>
        <w:rPr>
          <w:rFonts w:hint="eastAsia"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 xml:space="preserve"> </w:t>
      </w:r>
      <w:r>
        <w:rPr>
          <w:rFonts w:hint="eastAsia" w:ascii="宋体" w:hAnsi="宋体"/>
          <w:color w:val="000000" w:themeColor="text1"/>
          <w:sz w:val="24"/>
          <w:szCs w:val="24"/>
          <w:highlight w:val="none"/>
          <w:lang w:eastAsia="zh-CN"/>
          <w14:textFill>
            <w14:solidFill>
              <w14:schemeClr w14:val="tx1"/>
            </w14:solidFill>
          </w14:textFill>
        </w:rPr>
        <w:t>日期：</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年</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月</w:t>
      </w:r>
      <w:r>
        <w:rPr>
          <w:rFonts w:hint="eastAsia" w:ascii="宋体" w:hAnsi="宋体"/>
          <w:color w:val="000000" w:themeColor="text1"/>
          <w:sz w:val="24"/>
          <w:szCs w:val="24"/>
          <w:highlight w:val="none"/>
          <w:u w:val="single"/>
          <w14:textFill>
            <w14:solidFill>
              <w14:schemeClr w14:val="tx1"/>
            </w14:solidFill>
          </w14:textFill>
        </w:rPr>
        <w:t xml:space="preserve">     </w:t>
      </w:r>
      <w:r>
        <w:rPr>
          <w:rFonts w:hint="eastAsia" w:ascii="宋体" w:hAnsi="宋体"/>
          <w:color w:val="000000" w:themeColor="text1"/>
          <w:sz w:val="24"/>
          <w:szCs w:val="24"/>
          <w:highlight w:val="none"/>
          <w14:textFill>
            <w14:solidFill>
              <w14:schemeClr w14:val="tx1"/>
            </w14:solidFill>
          </w14:textFill>
        </w:rPr>
        <w:t>日</w:t>
      </w:r>
    </w:p>
    <w:p w14:paraId="704C6A51">
      <w:pPr>
        <w:pStyle w:val="13"/>
        <w:rPr>
          <w:rFonts w:hint="eastAsia" w:ascii="宋体" w:hAnsi="宋体"/>
          <w:color w:val="000000" w:themeColor="text1"/>
          <w:sz w:val="24"/>
          <w:szCs w:val="24"/>
          <w:highlight w:val="none"/>
          <w14:textFill>
            <w14:solidFill>
              <w14:schemeClr w14:val="tx1"/>
            </w14:solidFill>
          </w14:textFill>
        </w:rPr>
      </w:pPr>
    </w:p>
    <w:p w14:paraId="7323C310">
      <w:pPr>
        <w:pStyle w:val="13"/>
        <w:rPr>
          <w:rFonts w:hint="eastAsia" w:ascii="宋体" w:hAnsi="宋体"/>
          <w:color w:val="000000" w:themeColor="text1"/>
          <w:sz w:val="24"/>
          <w:szCs w:val="24"/>
          <w:highlight w:val="none"/>
          <w14:textFill>
            <w14:solidFill>
              <w14:schemeClr w14:val="tx1"/>
            </w14:solidFill>
          </w14:textFill>
        </w:rPr>
      </w:pPr>
    </w:p>
    <w:p w14:paraId="210048F0">
      <w:pPr>
        <w:pStyle w:val="13"/>
        <w:rPr>
          <w:rFonts w:hint="eastAsia" w:ascii="宋体" w:hAnsi="宋体"/>
          <w:color w:val="000000" w:themeColor="text1"/>
          <w:sz w:val="24"/>
          <w:szCs w:val="24"/>
          <w:highlight w:val="none"/>
          <w14:textFill>
            <w14:solidFill>
              <w14:schemeClr w14:val="tx1"/>
            </w14:solidFill>
          </w14:textFill>
        </w:rPr>
      </w:pPr>
    </w:p>
    <w:p w14:paraId="50896337">
      <w:pPr>
        <w:pStyle w:val="13"/>
        <w:rPr>
          <w:rFonts w:hint="eastAsia" w:ascii="宋体" w:hAnsi="宋体"/>
          <w:color w:val="000000" w:themeColor="text1"/>
          <w:sz w:val="24"/>
          <w:szCs w:val="24"/>
          <w:highlight w:val="none"/>
          <w14:textFill>
            <w14:solidFill>
              <w14:schemeClr w14:val="tx1"/>
            </w14:solidFill>
          </w14:textFill>
        </w:rPr>
      </w:pPr>
    </w:p>
    <w:p w14:paraId="45F90F49">
      <w:pPr>
        <w:pStyle w:val="13"/>
        <w:rPr>
          <w:rFonts w:hint="eastAsia" w:ascii="宋体" w:hAnsi="宋体"/>
          <w:color w:val="000000" w:themeColor="text1"/>
          <w:sz w:val="24"/>
          <w:szCs w:val="24"/>
          <w:highlight w:val="none"/>
          <w14:textFill>
            <w14:solidFill>
              <w14:schemeClr w14:val="tx1"/>
            </w14:solidFill>
          </w14:textFill>
        </w:rPr>
      </w:pPr>
    </w:p>
    <w:p w14:paraId="76C591D6">
      <w:pPr>
        <w:pStyle w:val="13"/>
        <w:rPr>
          <w:rFonts w:hint="eastAsia" w:ascii="宋体" w:hAnsi="宋体"/>
          <w:color w:val="000000" w:themeColor="text1"/>
          <w:sz w:val="24"/>
          <w:szCs w:val="24"/>
          <w:highlight w:val="none"/>
          <w14:textFill>
            <w14:solidFill>
              <w14:schemeClr w14:val="tx1"/>
            </w14:solidFill>
          </w14:textFill>
        </w:rPr>
      </w:pPr>
    </w:p>
    <w:p w14:paraId="47126427">
      <w:pPr>
        <w:pStyle w:val="13"/>
        <w:rPr>
          <w:rFonts w:hint="eastAsia" w:ascii="宋体" w:hAnsi="宋体"/>
          <w:color w:val="000000" w:themeColor="text1"/>
          <w:sz w:val="24"/>
          <w:szCs w:val="24"/>
          <w:highlight w:val="none"/>
          <w14:textFill>
            <w14:solidFill>
              <w14:schemeClr w14:val="tx1"/>
            </w14:solidFill>
          </w14:textFill>
        </w:rPr>
      </w:pPr>
    </w:p>
    <w:p w14:paraId="5E3874E0">
      <w:pPr>
        <w:pStyle w:val="13"/>
        <w:rPr>
          <w:rFonts w:hint="eastAsia" w:ascii="宋体" w:hAnsi="宋体"/>
          <w:color w:val="000000" w:themeColor="text1"/>
          <w:sz w:val="24"/>
          <w:szCs w:val="24"/>
          <w:highlight w:val="none"/>
          <w14:textFill>
            <w14:solidFill>
              <w14:schemeClr w14:val="tx1"/>
            </w14:solidFill>
          </w14:textFill>
        </w:rPr>
      </w:pPr>
    </w:p>
    <w:p w14:paraId="5ED422ED">
      <w:pPr>
        <w:pStyle w:val="13"/>
        <w:rPr>
          <w:rFonts w:hint="eastAsia" w:ascii="宋体" w:hAnsi="宋体"/>
          <w:color w:val="000000" w:themeColor="text1"/>
          <w:sz w:val="24"/>
          <w:szCs w:val="24"/>
          <w:highlight w:val="none"/>
          <w14:textFill>
            <w14:solidFill>
              <w14:schemeClr w14:val="tx1"/>
            </w14:solidFill>
          </w14:textFill>
        </w:rPr>
      </w:pPr>
    </w:p>
    <w:p w14:paraId="12E98223">
      <w:pPr>
        <w:pStyle w:val="19"/>
        <w:spacing w:line="360" w:lineRule="auto"/>
        <w:jc w:val="center"/>
        <w:outlineLvl w:val="2"/>
        <w:rPr>
          <w:color w:val="000000" w:themeColor="text1"/>
          <w:sz w:val="32"/>
          <w:szCs w:val="32"/>
          <w:highlight w:val="none"/>
          <w14:textFill>
            <w14:solidFill>
              <w14:schemeClr w14:val="tx1"/>
            </w14:solidFill>
          </w14:textFill>
        </w:rPr>
      </w:pPr>
      <w:r>
        <w:rPr>
          <w:rFonts w:hint="eastAsia"/>
          <w:color w:val="000000" w:themeColor="text1"/>
          <w:sz w:val="32"/>
          <w:szCs w:val="32"/>
          <w:highlight w:val="none"/>
          <w14:textFill>
            <w14:solidFill>
              <w14:schemeClr w14:val="tx1"/>
            </w14:solidFill>
          </w14:textFill>
        </w:rPr>
        <w:t>（五）网络截图</w:t>
      </w:r>
    </w:p>
    <w:p w14:paraId="052ADD93">
      <w:pPr>
        <w:pStyle w:val="27"/>
        <w:spacing w:line="360" w:lineRule="auto"/>
        <w:rPr>
          <w:color w:val="000000" w:themeColor="text1"/>
          <w:highlight w:val="none"/>
          <w14:textFill>
            <w14:solidFill>
              <w14:schemeClr w14:val="tx1"/>
            </w14:solidFill>
          </w14:textFill>
        </w:rPr>
      </w:pPr>
    </w:p>
    <w:p w14:paraId="0143AAA3">
      <w:pPr>
        <w:pStyle w:val="27"/>
        <w:spacing w:line="360" w:lineRule="auto"/>
        <w:rPr>
          <w:rFonts w:ascii="宋体" w:hAnsi="宋体" w:cs="宋体"/>
          <w:color w:val="000000" w:themeColor="text1"/>
          <w:sz w:val="24"/>
          <w:szCs w:val="24"/>
          <w:highlight w:val="none"/>
          <w14:textFill>
            <w14:solidFill>
              <w14:schemeClr w14:val="tx1"/>
            </w14:solidFill>
          </w14:textFill>
        </w:rPr>
      </w:pPr>
    </w:p>
    <w:p w14:paraId="3823DDFF">
      <w:pPr>
        <w:spacing w:line="360" w:lineRule="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（1）未被列入“信用中国”网站(www.creditchina.gov.cn)、“中国政府采购网”(www.ccgp.gov.cn)等渠道信用记录失信被执行人、</w:t>
      </w:r>
      <w:r>
        <w:rPr>
          <w:rFonts w:hint="eastAsia" w:ascii="宋体" w:hAnsi="宋体" w:cs="宋体"/>
          <w:color w:val="000000" w:themeColor="text1"/>
          <w:sz w:val="24"/>
          <w:szCs w:val="24"/>
          <w:highlight w:val="none"/>
          <w:lang w:eastAsia="zh-CN"/>
          <w14:textFill>
            <w14:solidFill>
              <w14:schemeClr w14:val="tx1"/>
            </w14:solidFill>
          </w14:textFill>
        </w:rPr>
        <w:t>重大税收违法失信主体</w:t>
      </w:r>
      <w:r>
        <w:rPr>
          <w:rFonts w:hint="eastAsia" w:ascii="宋体" w:hAnsi="宋体" w:cs="宋体"/>
          <w:color w:val="000000" w:themeColor="text1"/>
          <w:sz w:val="24"/>
          <w:szCs w:val="24"/>
          <w:highlight w:val="none"/>
          <w14:textFill>
            <w14:solidFill>
              <w14:schemeClr w14:val="tx1"/>
            </w14:solidFill>
          </w14:textFill>
        </w:rPr>
        <w:t>、政府采购严重违法失信行为记录</w:t>
      </w:r>
      <w:r>
        <w:rPr>
          <w:rFonts w:hint="eastAsia" w:ascii="宋体" w:hAnsi="宋体" w:cs="宋体"/>
          <w:color w:val="000000" w:themeColor="text1"/>
          <w:sz w:val="24"/>
          <w:szCs w:val="24"/>
          <w:highlight w:val="none"/>
          <w:lang w:eastAsia="zh-CN"/>
          <w14:textFill>
            <w14:solidFill>
              <w14:schemeClr w14:val="tx1"/>
            </w14:solidFill>
          </w14:textFill>
        </w:rPr>
        <w:t>。</w:t>
      </w:r>
    </w:p>
    <w:p w14:paraId="635C09F5">
      <w:pPr>
        <w:spacing w:line="36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sectPr>
          <w:pgSz w:w="11905" w:h="16838"/>
          <w:pgMar w:top="1440" w:right="1803" w:bottom="1440" w:left="1803" w:header="1140" w:footer="720" w:gutter="0"/>
          <w:pgNumType w:fmt="decimal"/>
          <w:cols w:space="0" w:num="1"/>
          <w:docGrid w:type="lines" w:linePitch="317" w:charSpace="0"/>
        </w:sectPr>
      </w:pPr>
      <w:r>
        <w:rPr>
          <w:rFonts w:hint="eastAsia" w:ascii="宋体" w:hAnsi="宋体" w:cs="宋体"/>
          <w:color w:val="000000" w:themeColor="text1"/>
          <w:sz w:val="24"/>
          <w:szCs w:val="24"/>
          <w:highlight w:val="none"/>
          <w14:textFill>
            <w14:solidFill>
              <w14:schemeClr w14:val="tx1"/>
            </w14:solidFill>
          </w14:textFill>
        </w:rPr>
        <w:t>注：提供相关查询记录网络截图</w:t>
      </w:r>
      <w:r>
        <w:rPr>
          <w:rFonts w:hint="eastAsia" w:ascii="宋体" w:hAnsi="宋体" w:cs="宋体"/>
          <w:color w:val="000000" w:themeColor="text1"/>
          <w:sz w:val="24"/>
          <w:szCs w:val="24"/>
          <w:highlight w:val="none"/>
          <w:lang w:eastAsia="zh-CN"/>
          <w14:textFill>
            <w14:solidFill>
              <w14:schemeClr w14:val="tx1"/>
            </w14:solidFill>
          </w14:textFill>
        </w:rPr>
        <w:t>加盖公章</w:t>
      </w:r>
      <w:r>
        <w:rPr>
          <w:rFonts w:hint="eastAsia" w:ascii="宋体" w:hAnsi="宋体" w:cs="宋体"/>
          <w:color w:val="000000" w:themeColor="text1"/>
          <w:sz w:val="24"/>
          <w:szCs w:val="24"/>
          <w:highlight w:val="none"/>
          <w:lang w:val="en-US" w:eastAsia="zh-CN"/>
          <w14:textFill>
            <w14:solidFill>
              <w14:schemeClr w14:val="tx1"/>
            </w14:solidFill>
          </w14:textFill>
        </w:rPr>
        <w:t>。</w:t>
      </w:r>
    </w:p>
    <w:p w14:paraId="691AFF68">
      <w:pPr>
        <w:spacing w:line="500" w:lineRule="exac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（2）未被工商行政管理机关在全国企业信用信息公示系统（http://www.gsxt.gov.cn/）中列入严重违法失信企业名单</w:t>
      </w:r>
      <w:r>
        <w:rPr>
          <w:rFonts w:hint="eastAsia" w:ascii="宋体" w:hAnsi="宋体" w:cs="宋体"/>
          <w:color w:val="000000" w:themeColor="text1"/>
          <w:sz w:val="24"/>
          <w:szCs w:val="24"/>
          <w:highlight w:val="none"/>
          <w:lang w:eastAsia="zh-CN"/>
          <w14:textFill>
            <w14:solidFill>
              <w14:schemeClr w14:val="tx1"/>
            </w14:solidFill>
          </w14:textFill>
        </w:rPr>
        <w:t>。</w:t>
      </w:r>
    </w:p>
    <w:p w14:paraId="359E7311">
      <w:pPr>
        <w:pStyle w:val="78"/>
        <w:spacing w:after="0" w:line="500" w:lineRule="atLeast"/>
        <w:jc w:val="center"/>
        <w:rPr>
          <w:rFonts w:hint="eastAsia" w:eastAsia="宋体"/>
          <w:b w:val="0"/>
          <w:bCs w:val="0"/>
          <w:color w:val="000000" w:themeColor="text1"/>
          <w:sz w:val="24"/>
          <w:szCs w:val="24"/>
          <w:highlight w:val="none"/>
          <w:lang w:eastAsia="zh-CN"/>
          <w14:textFill>
            <w14:solidFill>
              <w14:schemeClr w14:val="tx1"/>
            </w14:solidFill>
          </w14:textFill>
        </w:rPr>
      </w:pPr>
      <w:r>
        <w:rPr>
          <w:rFonts w:hint="eastAsia"/>
          <w:b w:val="0"/>
          <w:bCs w:val="0"/>
          <w:color w:val="000000" w:themeColor="text1"/>
          <w:sz w:val="24"/>
          <w:szCs w:val="24"/>
          <w:highlight w:val="none"/>
          <w14:textFill>
            <w14:solidFill>
              <w14:schemeClr w14:val="tx1"/>
            </w14:solidFill>
          </w14:textFill>
        </w:rPr>
        <w:t>注：提供相关查询记录网络截图</w:t>
      </w:r>
      <w:r>
        <w:rPr>
          <w:rFonts w:hint="eastAsia"/>
          <w:b w:val="0"/>
          <w:bCs w:val="0"/>
          <w:color w:val="000000" w:themeColor="text1"/>
          <w:sz w:val="24"/>
          <w:szCs w:val="24"/>
          <w:highlight w:val="none"/>
          <w:lang w:eastAsia="zh-CN"/>
          <w14:textFill>
            <w14:solidFill>
              <w14:schemeClr w14:val="tx1"/>
            </w14:solidFill>
          </w14:textFill>
        </w:rPr>
        <w:t>加盖公章。</w:t>
      </w:r>
    </w:p>
    <w:p w14:paraId="775C3E85">
      <w:pPr>
        <w:pStyle w:val="78"/>
        <w:spacing w:after="0" w:line="500" w:lineRule="atLeast"/>
        <w:rPr>
          <w:b w:val="0"/>
          <w:bCs w:val="0"/>
          <w:color w:val="000000" w:themeColor="text1"/>
          <w:sz w:val="24"/>
          <w:szCs w:val="24"/>
          <w:highlight w:val="none"/>
          <w14:textFill>
            <w14:solidFill>
              <w14:schemeClr w14:val="tx1"/>
            </w14:solidFill>
          </w14:textFill>
        </w:rPr>
      </w:pPr>
    </w:p>
    <w:p w14:paraId="03F6CDFC">
      <w:pPr>
        <w:pStyle w:val="78"/>
        <w:spacing w:after="0" w:line="500" w:lineRule="atLeast"/>
        <w:rPr>
          <w:b w:val="0"/>
          <w:bCs w:val="0"/>
          <w:color w:val="000000" w:themeColor="text1"/>
          <w:sz w:val="24"/>
          <w:szCs w:val="24"/>
          <w:highlight w:val="none"/>
          <w14:textFill>
            <w14:solidFill>
              <w14:schemeClr w14:val="tx1"/>
            </w14:solidFill>
          </w14:textFill>
        </w:rPr>
      </w:pPr>
    </w:p>
    <w:p w14:paraId="6D26536E">
      <w:pPr>
        <w:pStyle w:val="78"/>
        <w:spacing w:after="0" w:line="500" w:lineRule="atLeast"/>
        <w:rPr>
          <w:b w:val="0"/>
          <w:bCs w:val="0"/>
          <w:color w:val="000000" w:themeColor="text1"/>
          <w:sz w:val="24"/>
          <w:szCs w:val="24"/>
          <w:highlight w:val="none"/>
          <w14:textFill>
            <w14:solidFill>
              <w14:schemeClr w14:val="tx1"/>
            </w14:solidFill>
          </w14:textFill>
        </w:rPr>
      </w:pPr>
    </w:p>
    <w:p w14:paraId="3B9AB1EE">
      <w:pPr>
        <w:pStyle w:val="78"/>
        <w:spacing w:after="0" w:line="500" w:lineRule="atLeast"/>
        <w:rPr>
          <w:b w:val="0"/>
          <w:bCs w:val="0"/>
          <w:color w:val="000000" w:themeColor="text1"/>
          <w:sz w:val="24"/>
          <w:szCs w:val="24"/>
          <w:highlight w:val="none"/>
          <w14:textFill>
            <w14:solidFill>
              <w14:schemeClr w14:val="tx1"/>
            </w14:solidFill>
          </w14:textFill>
        </w:rPr>
      </w:pPr>
    </w:p>
    <w:p w14:paraId="00B5D8B1">
      <w:pPr>
        <w:pStyle w:val="78"/>
        <w:spacing w:after="0" w:line="500" w:lineRule="atLeast"/>
        <w:rPr>
          <w:b w:val="0"/>
          <w:bCs w:val="0"/>
          <w:color w:val="000000" w:themeColor="text1"/>
          <w:sz w:val="24"/>
          <w:szCs w:val="24"/>
          <w:highlight w:val="none"/>
          <w14:textFill>
            <w14:solidFill>
              <w14:schemeClr w14:val="tx1"/>
            </w14:solidFill>
          </w14:textFill>
        </w:rPr>
      </w:pPr>
    </w:p>
    <w:p w14:paraId="5A371533">
      <w:pPr>
        <w:pStyle w:val="78"/>
        <w:spacing w:after="0" w:line="500" w:lineRule="atLeast"/>
        <w:rPr>
          <w:b w:val="0"/>
          <w:bCs w:val="0"/>
          <w:color w:val="000000" w:themeColor="text1"/>
          <w:sz w:val="24"/>
          <w:szCs w:val="24"/>
          <w:highlight w:val="none"/>
          <w14:textFill>
            <w14:solidFill>
              <w14:schemeClr w14:val="tx1"/>
            </w14:solidFill>
          </w14:textFill>
        </w:rPr>
      </w:pPr>
    </w:p>
    <w:p w14:paraId="5F7D6BF9">
      <w:pPr>
        <w:pStyle w:val="78"/>
        <w:spacing w:after="0" w:line="500" w:lineRule="atLeast"/>
        <w:rPr>
          <w:b w:val="0"/>
          <w:bCs w:val="0"/>
          <w:color w:val="000000" w:themeColor="text1"/>
          <w:sz w:val="24"/>
          <w:szCs w:val="24"/>
          <w:highlight w:val="none"/>
          <w14:textFill>
            <w14:solidFill>
              <w14:schemeClr w14:val="tx1"/>
            </w14:solidFill>
          </w14:textFill>
        </w:rPr>
      </w:pPr>
    </w:p>
    <w:p w14:paraId="40FDFDDB">
      <w:pPr>
        <w:pStyle w:val="78"/>
        <w:spacing w:after="0" w:line="500" w:lineRule="atLeast"/>
        <w:rPr>
          <w:b w:val="0"/>
          <w:bCs w:val="0"/>
          <w:color w:val="000000" w:themeColor="text1"/>
          <w:sz w:val="24"/>
          <w:szCs w:val="24"/>
          <w:highlight w:val="none"/>
          <w14:textFill>
            <w14:solidFill>
              <w14:schemeClr w14:val="tx1"/>
            </w14:solidFill>
          </w14:textFill>
        </w:rPr>
      </w:pPr>
    </w:p>
    <w:p w14:paraId="3E9482A8">
      <w:pPr>
        <w:pStyle w:val="78"/>
        <w:spacing w:after="0" w:line="500" w:lineRule="atLeast"/>
        <w:rPr>
          <w:b w:val="0"/>
          <w:bCs w:val="0"/>
          <w:color w:val="000000" w:themeColor="text1"/>
          <w:sz w:val="24"/>
          <w:szCs w:val="24"/>
          <w:highlight w:val="none"/>
          <w14:textFill>
            <w14:solidFill>
              <w14:schemeClr w14:val="tx1"/>
            </w14:solidFill>
          </w14:textFill>
        </w:rPr>
      </w:pPr>
    </w:p>
    <w:p w14:paraId="5D3CE51E">
      <w:pPr>
        <w:pStyle w:val="78"/>
        <w:spacing w:after="0" w:line="500" w:lineRule="atLeast"/>
        <w:rPr>
          <w:b w:val="0"/>
          <w:bCs w:val="0"/>
          <w:color w:val="000000" w:themeColor="text1"/>
          <w:sz w:val="24"/>
          <w:szCs w:val="24"/>
          <w:highlight w:val="none"/>
          <w14:textFill>
            <w14:solidFill>
              <w14:schemeClr w14:val="tx1"/>
            </w14:solidFill>
          </w14:textFill>
        </w:rPr>
      </w:pPr>
    </w:p>
    <w:p w14:paraId="70A4FED1">
      <w:pPr>
        <w:pStyle w:val="78"/>
        <w:spacing w:after="0" w:line="500" w:lineRule="atLeast"/>
        <w:rPr>
          <w:b w:val="0"/>
          <w:bCs w:val="0"/>
          <w:color w:val="000000" w:themeColor="text1"/>
          <w:sz w:val="24"/>
          <w:szCs w:val="24"/>
          <w:highlight w:val="none"/>
          <w14:textFill>
            <w14:solidFill>
              <w14:schemeClr w14:val="tx1"/>
            </w14:solidFill>
          </w14:textFill>
        </w:rPr>
      </w:pPr>
    </w:p>
    <w:p w14:paraId="3AE4D6E4">
      <w:pPr>
        <w:pStyle w:val="78"/>
        <w:spacing w:after="0" w:line="500" w:lineRule="atLeast"/>
        <w:rPr>
          <w:b w:val="0"/>
          <w:bCs w:val="0"/>
          <w:color w:val="000000" w:themeColor="text1"/>
          <w:sz w:val="24"/>
          <w:szCs w:val="24"/>
          <w:highlight w:val="none"/>
          <w14:textFill>
            <w14:solidFill>
              <w14:schemeClr w14:val="tx1"/>
            </w14:solidFill>
          </w14:textFill>
        </w:rPr>
      </w:pPr>
    </w:p>
    <w:p w14:paraId="0A621AF3">
      <w:pPr>
        <w:pStyle w:val="78"/>
        <w:spacing w:after="0" w:line="500" w:lineRule="atLeast"/>
        <w:rPr>
          <w:b w:val="0"/>
          <w:bCs w:val="0"/>
          <w:color w:val="000000" w:themeColor="text1"/>
          <w:sz w:val="24"/>
          <w:szCs w:val="24"/>
          <w:highlight w:val="none"/>
          <w14:textFill>
            <w14:solidFill>
              <w14:schemeClr w14:val="tx1"/>
            </w14:solidFill>
          </w14:textFill>
        </w:rPr>
      </w:pPr>
    </w:p>
    <w:p w14:paraId="3B5230DF">
      <w:pPr>
        <w:pStyle w:val="78"/>
        <w:spacing w:after="0" w:line="500" w:lineRule="atLeast"/>
        <w:rPr>
          <w:b w:val="0"/>
          <w:bCs w:val="0"/>
          <w:color w:val="000000" w:themeColor="text1"/>
          <w:sz w:val="24"/>
          <w:szCs w:val="24"/>
          <w:highlight w:val="none"/>
          <w14:textFill>
            <w14:solidFill>
              <w14:schemeClr w14:val="tx1"/>
            </w14:solidFill>
          </w14:textFill>
        </w:rPr>
      </w:pPr>
    </w:p>
    <w:p w14:paraId="51B8A05F">
      <w:pPr>
        <w:pStyle w:val="78"/>
        <w:spacing w:after="0" w:line="500" w:lineRule="atLeast"/>
        <w:rPr>
          <w:b w:val="0"/>
          <w:bCs w:val="0"/>
          <w:color w:val="000000" w:themeColor="text1"/>
          <w:sz w:val="24"/>
          <w:szCs w:val="24"/>
          <w:highlight w:val="none"/>
          <w14:textFill>
            <w14:solidFill>
              <w14:schemeClr w14:val="tx1"/>
            </w14:solidFill>
          </w14:textFill>
        </w:rPr>
      </w:pPr>
    </w:p>
    <w:p w14:paraId="7967495E">
      <w:pPr>
        <w:pStyle w:val="78"/>
        <w:spacing w:after="0" w:line="500" w:lineRule="atLeast"/>
        <w:rPr>
          <w:b w:val="0"/>
          <w:bCs w:val="0"/>
          <w:color w:val="000000" w:themeColor="text1"/>
          <w:sz w:val="24"/>
          <w:szCs w:val="24"/>
          <w:highlight w:val="none"/>
          <w14:textFill>
            <w14:solidFill>
              <w14:schemeClr w14:val="tx1"/>
            </w14:solidFill>
          </w14:textFill>
        </w:rPr>
      </w:pPr>
    </w:p>
    <w:p w14:paraId="54358DDB">
      <w:pPr>
        <w:pStyle w:val="78"/>
        <w:spacing w:after="0" w:line="500" w:lineRule="atLeast"/>
        <w:rPr>
          <w:b w:val="0"/>
          <w:bCs w:val="0"/>
          <w:color w:val="000000" w:themeColor="text1"/>
          <w:sz w:val="24"/>
          <w:szCs w:val="24"/>
          <w:highlight w:val="none"/>
          <w14:textFill>
            <w14:solidFill>
              <w14:schemeClr w14:val="tx1"/>
            </w14:solidFill>
          </w14:textFill>
        </w:rPr>
      </w:pPr>
    </w:p>
    <w:p w14:paraId="0804C5D5">
      <w:pPr>
        <w:pStyle w:val="78"/>
        <w:spacing w:after="0" w:line="500" w:lineRule="atLeast"/>
        <w:rPr>
          <w:b w:val="0"/>
          <w:bCs w:val="0"/>
          <w:color w:val="000000" w:themeColor="text1"/>
          <w:sz w:val="24"/>
          <w:szCs w:val="24"/>
          <w:highlight w:val="none"/>
          <w14:textFill>
            <w14:solidFill>
              <w14:schemeClr w14:val="tx1"/>
            </w14:solidFill>
          </w14:textFill>
        </w:rPr>
      </w:pPr>
    </w:p>
    <w:p w14:paraId="068A9AD0">
      <w:pPr>
        <w:pStyle w:val="78"/>
        <w:spacing w:after="0" w:line="500" w:lineRule="atLeast"/>
        <w:rPr>
          <w:b w:val="0"/>
          <w:bCs w:val="0"/>
          <w:color w:val="000000" w:themeColor="text1"/>
          <w:sz w:val="24"/>
          <w:szCs w:val="24"/>
          <w:highlight w:val="none"/>
          <w14:textFill>
            <w14:solidFill>
              <w14:schemeClr w14:val="tx1"/>
            </w14:solidFill>
          </w14:textFill>
        </w:rPr>
      </w:pPr>
    </w:p>
    <w:p w14:paraId="57BD5409">
      <w:pPr>
        <w:pStyle w:val="78"/>
        <w:spacing w:after="0" w:line="500" w:lineRule="atLeast"/>
        <w:rPr>
          <w:b w:val="0"/>
          <w:bCs w:val="0"/>
          <w:color w:val="000000" w:themeColor="text1"/>
          <w:sz w:val="24"/>
          <w:szCs w:val="24"/>
          <w:highlight w:val="none"/>
          <w14:textFill>
            <w14:solidFill>
              <w14:schemeClr w14:val="tx1"/>
            </w14:solidFill>
          </w14:textFill>
        </w:rPr>
      </w:pPr>
    </w:p>
    <w:p w14:paraId="27867B00">
      <w:pPr>
        <w:pStyle w:val="78"/>
        <w:spacing w:after="0" w:line="500" w:lineRule="atLeast"/>
        <w:rPr>
          <w:b w:val="0"/>
          <w:bCs w:val="0"/>
          <w:color w:val="000000" w:themeColor="text1"/>
          <w:sz w:val="24"/>
          <w:szCs w:val="24"/>
          <w:highlight w:val="none"/>
          <w14:textFill>
            <w14:solidFill>
              <w14:schemeClr w14:val="tx1"/>
            </w14:solidFill>
          </w14:textFill>
        </w:rPr>
      </w:pPr>
    </w:p>
    <w:p w14:paraId="2BCC0078">
      <w:pPr>
        <w:pStyle w:val="78"/>
        <w:spacing w:after="0" w:line="500" w:lineRule="atLeast"/>
        <w:rPr>
          <w:b w:val="0"/>
          <w:bCs w:val="0"/>
          <w:color w:val="000000" w:themeColor="text1"/>
          <w:sz w:val="24"/>
          <w:szCs w:val="24"/>
          <w:highlight w:val="none"/>
          <w14:textFill>
            <w14:solidFill>
              <w14:schemeClr w14:val="tx1"/>
            </w14:solidFill>
          </w14:textFill>
        </w:rPr>
      </w:pPr>
    </w:p>
    <w:p w14:paraId="1D5770A1">
      <w:pPr>
        <w:pStyle w:val="78"/>
        <w:spacing w:after="0" w:line="500" w:lineRule="atLeast"/>
        <w:rPr>
          <w:b w:val="0"/>
          <w:bCs w:val="0"/>
          <w:color w:val="000000" w:themeColor="text1"/>
          <w:sz w:val="24"/>
          <w:szCs w:val="24"/>
          <w:highlight w:val="none"/>
          <w14:textFill>
            <w14:solidFill>
              <w14:schemeClr w14:val="tx1"/>
            </w14:solidFill>
          </w14:textFill>
        </w:rPr>
      </w:pPr>
    </w:p>
    <w:p w14:paraId="70CDDDC4">
      <w:pPr>
        <w:pStyle w:val="78"/>
        <w:spacing w:after="0" w:line="500" w:lineRule="atLeast"/>
        <w:rPr>
          <w:b w:val="0"/>
          <w:bCs w:val="0"/>
          <w:color w:val="000000" w:themeColor="text1"/>
          <w:sz w:val="24"/>
          <w:szCs w:val="24"/>
          <w:highlight w:val="none"/>
          <w14:textFill>
            <w14:solidFill>
              <w14:schemeClr w14:val="tx1"/>
            </w14:solidFill>
          </w14:textFill>
        </w:rPr>
      </w:pPr>
    </w:p>
    <w:p w14:paraId="186A8304">
      <w:pPr>
        <w:pStyle w:val="78"/>
        <w:spacing w:after="0" w:line="500" w:lineRule="atLeast"/>
        <w:rPr>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14:textFill>
            <w14:solidFill>
              <w14:schemeClr w14:val="tx1"/>
            </w14:solidFill>
          </w14:textFill>
        </w:rPr>
        <w:t>（</w:t>
      </w:r>
      <w:r>
        <w:rPr>
          <w:rFonts w:hint="eastAsia"/>
          <w:b w:val="0"/>
          <w:bCs w:val="0"/>
          <w:color w:val="000000" w:themeColor="text1"/>
          <w:sz w:val="24"/>
          <w:szCs w:val="24"/>
          <w:highlight w:val="none"/>
          <w:lang w:val="en-US" w:eastAsia="zh-CN"/>
          <w14:textFill>
            <w14:solidFill>
              <w14:schemeClr w14:val="tx1"/>
            </w14:solidFill>
          </w14:textFill>
        </w:rPr>
        <w:t xml:space="preserve"> 3 </w:t>
      </w:r>
      <w:r>
        <w:rPr>
          <w:rFonts w:hint="eastAsia"/>
          <w:b w:val="0"/>
          <w:bCs w:val="0"/>
          <w:color w:val="000000" w:themeColor="text1"/>
          <w:sz w:val="24"/>
          <w:szCs w:val="24"/>
          <w:highlight w:val="none"/>
          <w14:textFill>
            <w14:solidFill>
              <w14:schemeClr w14:val="tx1"/>
            </w14:solidFill>
          </w14:textFill>
        </w:rPr>
        <w:t>）</w:t>
      </w:r>
      <w:r>
        <w:rPr>
          <w:b w:val="0"/>
          <w:bCs w:val="0"/>
          <w:color w:val="000000" w:themeColor="text1"/>
          <w:sz w:val="24"/>
          <w:szCs w:val="24"/>
          <w:highlight w:val="none"/>
          <w14:textFill>
            <w14:solidFill>
              <w14:schemeClr w14:val="tx1"/>
            </w14:solidFill>
          </w14:textFill>
        </w:rPr>
        <w:t>供应商须对供应商、法定代表人、拟委任的项目经理进行行贿犯罪档案查询（登录中国裁判文书网自行查询）。</w:t>
      </w:r>
      <w:r>
        <w:rPr>
          <w:rFonts w:hint="eastAsia"/>
          <w:b w:val="0"/>
          <w:bCs w:val="0"/>
          <w:color w:val="000000" w:themeColor="text1"/>
          <w:sz w:val="24"/>
          <w:szCs w:val="24"/>
          <w:highlight w:val="none"/>
          <w:lang w:val="en-US" w:eastAsia="zh-CN"/>
          <w14:textFill>
            <w14:solidFill>
              <w14:schemeClr w14:val="tx1"/>
            </w14:solidFill>
          </w14:textFill>
        </w:rPr>
        <w:t>[</w:t>
      </w:r>
      <w:r>
        <w:rPr>
          <w:b w:val="0"/>
          <w:bCs w:val="0"/>
          <w:color w:val="000000" w:themeColor="text1"/>
          <w:sz w:val="24"/>
          <w:szCs w:val="24"/>
          <w:highlight w:val="none"/>
          <w14:textFill>
            <w14:solidFill>
              <w14:schemeClr w14:val="tx1"/>
            </w14:solidFill>
          </w14:textFill>
        </w:rPr>
        <w:t>查询时间范围必须包括：本项目信息公告发布之日起（含公告发布当日</w:t>
      </w:r>
      <w:r>
        <w:rPr>
          <w:rFonts w:hint="eastAsia"/>
          <w:b w:val="0"/>
          <w:bCs w:val="0"/>
          <w:color w:val="000000" w:themeColor="text1"/>
          <w:sz w:val="24"/>
          <w:szCs w:val="24"/>
          <w:highlight w:val="none"/>
          <w:lang w:val="en-US" w:eastAsia="zh-CN"/>
          <w14:textFill>
            <w14:solidFill>
              <w14:schemeClr w14:val="tx1"/>
            </w14:solidFill>
          </w14:textFill>
        </w:rPr>
        <w:t>)</w:t>
      </w:r>
      <w:r>
        <w:rPr>
          <w:b w:val="0"/>
          <w:bCs w:val="0"/>
          <w:color w:val="000000" w:themeColor="text1"/>
          <w:sz w:val="24"/>
          <w:szCs w:val="24"/>
          <w:highlight w:val="none"/>
          <w14:textFill>
            <w14:solidFill>
              <w14:schemeClr w14:val="tx1"/>
            </w14:solidFill>
          </w14:textFill>
        </w:rPr>
        <w:t>前三年</w:t>
      </w:r>
      <w:r>
        <w:rPr>
          <w:rFonts w:hint="eastAsia"/>
          <w:b w:val="0"/>
          <w:bCs w:val="0"/>
          <w:color w:val="000000" w:themeColor="text1"/>
          <w:sz w:val="24"/>
          <w:szCs w:val="24"/>
          <w:highlight w:val="none"/>
          <w:lang w:val="en-US" w:eastAsia="zh-CN"/>
          <w14:textFill>
            <w14:solidFill>
              <w14:schemeClr w14:val="tx1"/>
            </w14:solidFill>
          </w14:textFill>
        </w:rPr>
        <w:t>]</w:t>
      </w:r>
      <w:r>
        <w:rPr>
          <w:rFonts w:hint="eastAsia"/>
          <w:b w:val="0"/>
          <w:bCs w:val="0"/>
          <w:color w:val="000000" w:themeColor="text1"/>
          <w:sz w:val="24"/>
          <w:szCs w:val="24"/>
          <w:highlight w:val="none"/>
          <w:lang w:eastAsia="zh-CN"/>
          <w14:textFill>
            <w14:solidFill>
              <w14:schemeClr w14:val="tx1"/>
            </w14:solidFill>
          </w14:textFill>
        </w:rPr>
        <w:t>。</w:t>
      </w:r>
    </w:p>
    <w:p w14:paraId="0ED9F40B">
      <w:pPr>
        <w:pStyle w:val="19"/>
        <w:spacing w:line="360" w:lineRule="auto"/>
        <w:rPr>
          <w:rFonts w:hAnsi="宋体"/>
          <w:color w:val="000000" w:themeColor="text1"/>
          <w:kern w:val="0"/>
          <w:sz w:val="24"/>
          <w:szCs w:val="24"/>
          <w:highlight w:val="none"/>
          <w14:textFill>
            <w14:solidFill>
              <w14:schemeClr w14:val="tx1"/>
            </w14:solidFill>
          </w14:textFill>
        </w:rPr>
      </w:pPr>
    </w:p>
    <w:p w14:paraId="35E26D0F">
      <w:pPr>
        <w:pStyle w:val="19"/>
        <w:spacing w:line="360" w:lineRule="auto"/>
        <w:jc w:val="center"/>
        <w:rPr>
          <w:rFonts w:hint="eastAsia" w:eastAsia="宋体"/>
          <w:color w:val="000000" w:themeColor="text1"/>
          <w:sz w:val="24"/>
          <w:szCs w:val="24"/>
          <w:highlight w:val="none"/>
          <w:lang w:eastAsia="zh-CN"/>
          <w14:textFill>
            <w14:solidFill>
              <w14:schemeClr w14:val="tx1"/>
            </w14:solidFill>
          </w14:textFill>
        </w:rPr>
      </w:pPr>
      <w:r>
        <w:rPr>
          <w:rFonts w:hint="eastAsia"/>
          <w:color w:val="000000" w:themeColor="text1"/>
          <w:sz w:val="24"/>
          <w:szCs w:val="24"/>
          <w:highlight w:val="none"/>
          <w14:textFill>
            <w14:solidFill>
              <w14:schemeClr w14:val="tx1"/>
            </w14:solidFill>
          </w14:textFill>
        </w:rPr>
        <w:t>注：提供相关查询记录网络截图</w:t>
      </w:r>
      <w:r>
        <w:rPr>
          <w:rFonts w:hint="eastAsia"/>
          <w:color w:val="000000" w:themeColor="text1"/>
          <w:sz w:val="24"/>
          <w:szCs w:val="24"/>
          <w:highlight w:val="none"/>
          <w:lang w:eastAsia="zh-CN"/>
          <w14:textFill>
            <w14:solidFill>
              <w14:schemeClr w14:val="tx1"/>
            </w14:solidFill>
          </w14:textFill>
        </w:rPr>
        <w:t>加盖公章。</w:t>
      </w:r>
    </w:p>
    <w:p w14:paraId="2B472043">
      <w:pPr>
        <w:pStyle w:val="19"/>
        <w:spacing w:line="360" w:lineRule="auto"/>
        <w:rPr>
          <w:color w:val="000000" w:themeColor="text1"/>
          <w:sz w:val="24"/>
          <w:szCs w:val="24"/>
          <w:highlight w:val="none"/>
          <w14:textFill>
            <w14:solidFill>
              <w14:schemeClr w14:val="tx1"/>
            </w14:solidFill>
          </w14:textFill>
        </w:rPr>
      </w:pPr>
    </w:p>
    <w:p w14:paraId="3A5EEF7E">
      <w:pPr>
        <w:pStyle w:val="19"/>
        <w:spacing w:line="360" w:lineRule="auto"/>
        <w:rPr>
          <w:color w:val="000000" w:themeColor="text1"/>
          <w:sz w:val="24"/>
          <w:szCs w:val="24"/>
          <w:highlight w:val="none"/>
          <w14:textFill>
            <w14:solidFill>
              <w14:schemeClr w14:val="tx1"/>
            </w14:solidFill>
          </w14:textFill>
        </w:rPr>
      </w:pPr>
    </w:p>
    <w:p w14:paraId="1F8F144A">
      <w:pPr>
        <w:pStyle w:val="19"/>
        <w:spacing w:line="360" w:lineRule="auto"/>
        <w:rPr>
          <w:color w:val="000000" w:themeColor="text1"/>
          <w:sz w:val="24"/>
          <w:szCs w:val="24"/>
          <w:highlight w:val="none"/>
          <w14:textFill>
            <w14:solidFill>
              <w14:schemeClr w14:val="tx1"/>
            </w14:solidFill>
          </w14:textFill>
        </w:rPr>
      </w:pPr>
    </w:p>
    <w:p w14:paraId="54FCFCE8">
      <w:pPr>
        <w:pStyle w:val="19"/>
        <w:spacing w:line="360" w:lineRule="auto"/>
        <w:rPr>
          <w:color w:val="000000" w:themeColor="text1"/>
          <w:sz w:val="24"/>
          <w:szCs w:val="24"/>
          <w:highlight w:val="none"/>
          <w14:textFill>
            <w14:solidFill>
              <w14:schemeClr w14:val="tx1"/>
            </w14:solidFill>
          </w14:textFill>
        </w:rPr>
      </w:pPr>
    </w:p>
    <w:p w14:paraId="4C34936B">
      <w:pPr>
        <w:pStyle w:val="19"/>
        <w:spacing w:line="360" w:lineRule="auto"/>
        <w:rPr>
          <w:color w:val="000000" w:themeColor="text1"/>
          <w:sz w:val="24"/>
          <w:szCs w:val="24"/>
          <w:highlight w:val="none"/>
          <w14:textFill>
            <w14:solidFill>
              <w14:schemeClr w14:val="tx1"/>
            </w14:solidFill>
          </w14:textFill>
        </w:rPr>
      </w:pPr>
    </w:p>
    <w:p w14:paraId="00D57799">
      <w:pPr>
        <w:pStyle w:val="19"/>
        <w:spacing w:line="360" w:lineRule="auto"/>
        <w:rPr>
          <w:color w:val="000000" w:themeColor="text1"/>
          <w:sz w:val="24"/>
          <w:szCs w:val="24"/>
          <w:highlight w:val="none"/>
          <w14:textFill>
            <w14:solidFill>
              <w14:schemeClr w14:val="tx1"/>
            </w14:solidFill>
          </w14:textFill>
        </w:rPr>
      </w:pPr>
    </w:p>
    <w:p w14:paraId="0FF13102">
      <w:pPr>
        <w:pStyle w:val="19"/>
        <w:spacing w:line="360" w:lineRule="auto"/>
        <w:rPr>
          <w:color w:val="000000" w:themeColor="text1"/>
          <w:sz w:val="24"/>
          <w:szCs w:val="24"/>
          <w:highlight w:val="none"/>
          <w14:textFill>
            <w14:solidFill>
              <w14:schemeClr w14:val="tx1"/>
            </w14:solidFill>
          </w14:textFill>
        </w:rPr>
      </w:pPr>
    </w:p>
    <w:p w14:paraId="1EF5ACA7">
      <w:pPr>
        <w:pStyle w:val="19"/>
        <w:spacing w:line="360" w:lineRule="auto"/>
        <w:jc w:val="center"/>
        <w:outlineLvl w:val="2"/>
        <w:rPr>
          <w:rFonts w:hAnsi="宋体" w:cs="Times New Roman"/>
          <w:color w:val="000000" w:themeColor="text1"/>
          <w:sz w:val="32"/>
          <w:szCs w:val="32"/>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br w:type="page"/>
      </w:r>
      <w:r>
        <w:rPr>
          <w:rFonts w:hint="eastAsia"/>
          <w:b/>
          <w:bCs/>
          <w:color w:val="000000" w:themeColor="text1"/>
          <w:sz w:val="32"/>
          <w:szCs w:val="32"/>
          <w:highlight w:val="none"/>
          <w14:textFill>
            <w14:solidFill>
              <w14:schemeClr w14:val="tx1"/>
            </w14:solidFill>
          </w14:textFill>
        </w:rPr>
        <w:t>（六）供应商同类项目业绩一览表</w:t>
      </w:r>
    </w:p>
    <w:p w14:paraId="7D0790A1">
      <w:pPr>
        <w:pStyle w:val="19"/>
        <w:spacing w:line="360" w:lineRule="auto"/>
        <w:ind w:firstLine="480" w:firstLineChars="200"/>
        <w:rPr>
          <w:rFonts w:hAnsi="宋体"/>
          <w:color w:val="000000" w:themeColor="text1"/>
          <w:sz w:val="24"/>
          <w:highlight w:val="none"/>
          <w14:textFill>
            <w14:solidFill>
              <w14:schemeClr w14:val="tx1"/>
            </w14:solidFill>
          </w14:textFill>
        </w:rPr>
      </w:pPr>
    </w:p>
    <w:tbl>
      <w:tblPr>
        <w:tblStyle w:val="32"/>
        <w:tblW w:w="83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0"/>
        <w:gridCol w:w="2059"/>
        <w:gridCol w:w="2073"/>
        <w:gridCol w:w="2886"/>
      </w:tblGrid>
      <w:tr w14:paraId="0C70C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1340" w:type="dxa"/>
            <w:tcBorders>
              <w:top w:val="single" w:color="auto" w:sz="4" w:space="0"/>
              <w:left w:val="single" w:color="auto" w:sz="4" w:space="0"/>
              <w:bottom w:val="single" w:color="auto" w:sz="4" w:space="0"/>
              <w:right w:val="single" w:color="auto" w:sz="4" w:space="0"/>
            </w:tcBorders>
            <w:vAlign w:val="center"/>
          </w:tcPr>
          <w:p w14:paraId="6DBFF40E">
            <w:pPr>
              <w:spacing w:before="120" w:line="360" w:lineRule="auto"/>
              <w:ind w:left="697" w:right="34" w:hanging="697"/>
              <w:jc w:val="center"/>
              <w:rPr>
                <w:rFonts w:ascii="宋体" w:hAnsi="宋体" w:cs="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序号</w:t>
            </w:r>
          </w:p>
        </w:tc>
        <w:tc>
          <w:tcPr>
            <w:tcW w:w="2059" w:type="dxa"/>
            <w:tcBorders>
              <w:top w:val="single" w:color="auto" w:sz="4" w:space="0"/>
              <w:left w:val="nil"/>
              <w:bottom w:val="single" w:color="auto" w:sz="4" w:space="0"/>
              <w:right w:val="single" w:color="auto" w:sz="4" w:space="0"/>
            </w:tcBorders>
            <w:vAlign w:val="center"/>
          </w:tcPr>
          <w:p w14:paraId="40CC8F2F">
            <w:pPr>
              <w:spacing w:before="120" w:line="360" w:lineRule="auto"/>
              <w:ind w:left="697" w:right="34" w:hanging="697"/>
              <w:jc w:val="center"/>
              <w:rPr>
                <w:rFonts w:ascii="宋体" w:hAnsi="宋体" w:cs="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合同名称</w:t>
            </w:r>
          </w:p>
        </w:tc>
        <w:tc>
          <w:tcPr>
            <w:tcW w:w="2073" w:type="dxa"/>
            <w:tcBorders>
              <w:top w:val="single" w:color="auto" w:sz="4" w:space="0"/>
              <w:left w:val="nil"/>
              <w:bottom w:val="single" w:color="auto" w:sz="4" w:space="0"/>
              <w:right w:val="single" w:color="auto" w:sz="4" w:space="0"/>
            </w:tcBorders>
            <w:vAlign w:val="center"/>
          </w:tcPr>
          <w:p w14:paraId="5C4EBAA8">
            <w:pPr>
              <w:spacing w:before="120" w:line="360" w:lineRule="auto"/>
              <w:ind w:left="697" w:right="34" w:hanging="697"/>
              <w:jc w:val="center"/>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合同额（元）</w:t>
            </w:r>
          </w:p>
        </w:tc>
        <w:tc>
          <w:tcPr>
            <w:tcW w:w="2886" w:type="dxa"/>
            <w:tcBorders>
              <w:top w:val="single" w:color="auto" w:sz="4" w:space="0"/>
              <w:left w:val="nil"/>
              <w:bottom w:val="single" w:color="auto" w:sz="4" w:space="0"/>
              <w:right w:val="single" w:color="auto" w:sz="4" w:space="0"/>
            </w:tcBorders>
            <w:vAlign w:val="center"/>
          </w:tcPr>
          <w:p w14:paraId="7AB9027C">
            <w:pPr>
              <w:spacing w:before="120" w:line="360" w:lineRule="auto"/>
              <w:ind w:right="34"/>
              <w:jc w:val="center"/>
              <w:rPr>
                <w:rFonts w:ascii="宋体" w:hAnsi="宋体" w:cs="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合同起止时间</w:t>
            </w:r>
          </w:p>
        </w:tc>
      </w:tr>
      <w:tr w14:paraId="7E15C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1340" w:type="dxa"/>
            <w:tcBorders>
              <w:top w:val="single" w:color="auto" w:sz="4" w:space="0"/>
              <w:left w:val="single" w:color="auto" w:sz="4" w:space="0"/>
              <w:bottom w:val="single" w:color="auto" w:sz="4" w:space="0"/>
              <w:right w:val="single" w:color="auto" w:sz="4" w:space="0"/>
            </w:tcBorders>
            <w:vAlign w:val="center"/>
          </w:tcPr>
          <w:p w14:paraId="72369FDC">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c>
          <w:tcPr>
            <w:tcW w:w="2059" w:type="dxa"/>
            <w:tcBorders>
              <w:top w:val="single" w:color="auto" w:sz="4" w:space="0"/>
              <w:left w:val="nil"/>
              <w:bottom w:val="single" w:color="auto" w:sz="4" w:space="0"/>
              <w:right w:val="single" w:color="auto" w:sz="4" w:space="0"/>
            </w:tcBorders>
            <w:vAlign w:val="center"/>
          </w:tcPr>
          <w:p w14:paraId="4B871B1F">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c>
          <w:tcPr>
            <w:tcW w:w="2073" w:type="dxa"/>
            <w:tcBorders>
              <w:top w:val="single" w:color="auto" w:sz="4" w:space="0"/>
              <w:left w:val="nil"/>
              <w:bottom w:val="single" w:color="auto" w:sz="4" w:space="0"/>
              <w:right w:val="single" w:color="auto" w:sz="4" w:space="0"/>
            </w:tcBorders>
            <w:vAlign w:val="center"/>
          </w:tcPr>
          <w:p w14:paraId="7CCF2008">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c>
          <w:tcPr>
            <w:tcW w:w="2886" w:type="dxa"/>
            <w:tcBorders>
              <w:top w:val="single" w:color="auto" w:sz="4" w:space="0"/>
              <w:left w:val="nil"/>
              <w:bottom w:val="single" w:color="auto" w:sz="4" w:space="0"/>
              <w:right w:val="single" w:color="auto" w:sz="4" w:space="0"/>
            </w:tcBorders>
            <w:vAlign w:val="center"/>
          </w:tcPr>
          <w:p w14:paraId="60093123">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r>
      <w:tr w14:paraId="420C0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1340" w:type="dxa"/>
            <w:tcBorders>
              <w:top w:val="single" w:color="auto" w:sz="4" w:space="0"/>
              <w:left w:val="single" w:color="auto" w:sz="4" w:space="0"/>
              <w:bottom w:val="single" w:color="auto" w:sz="4" w:space="0"/>
              <w:right w:val="single" w:color="auto" w:sz="4" w:space="0"/>
            </w:tcBorders>
            <w:vAlign w:val="center"/>
          </w:tcPr>
          <w:p w14:paraId="3B671CB6">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c>
          <w:tcPr>
            <w:tcW w:w="2059" w:type="dxa"/>
            <w:tcBorders>
              <w:top w:val="single" w:color="auto" w:sz="4" w:space="0"/>
              <w:left w:val="nil"/>
              <w:bottom w:val="single" w:color="auto" w:sz="4" w:space="0"/>
              <w:right w:val="single" w:color="auto" w:sz="4" w:space="0"/>
            </w:tcBorders>
            <w:vAlign w:val="center"/>
          </w:tcPr>
          <w:p w14:paraId="4784E2D2">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c>
          <w:tcPr>
            <w:tcW w:w="2073" w:type="dxa"/>
            <w:tcBorders>
              <w:top w:val="single" w:color="auto" w:sz="4" w:space="0"/>
              <w:left w:val="nil"/>
              <w:bottom w:val="single" w:color="auto" w:sz="4" w:space="0"/>
              <w:right w:val="single" w:color="auto" w:sz="4" w:space="0"/>
            </w:tcBorders>
            <w:vAlign w:val="center"/>
          </w:tcPr>
          <w:p w14:paraId="378EB529">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c>
          <w:tcPr>
            <w:tcW w:w="2886" w:type="dxa"/>
            <w:tcBorders>
              <w:top w:val="single" w:color="auto" w:sz="4" w:space="0"/>
              <w:left w:val="nil"/>
              <w:bottom w:val="single" w:color="auto" w:sz="4" w:space="0"/>
              <w:right w:val="single" w:color="auto" w:sz="4" w:space="0"/>
            </w:tcBorders>
            <w:vAlign w:val="center"/>
          </w:tcPr>
          <w:p w14:paraId="77B7D36C">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r>
      <w:tr w14:paraId="17A42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1340" w:type="dxa"/>
            <w:tcBorders>
              <w:top w:val="single" w:color="auto" w:sz="4" w:space="0"/>
              <w:left w:val="single" w:color="auto" w:sz="4" w:space="0"/>
              <w:bottom w:val="single" w:color="auto" w:sz="4" w:space="0"/>
              <w:right w:val="single" w:color="auto" w:sz="4" w:space="0"/>
            </w:tcBorders>
            <w:vAlign w:val="center"/>
          </w:tcPr>
          <w:p w14:paraId="5A435DBE">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c>
          <w:tcPr>
            <w:tcW w:w="2059" w:type="dxa"/>
            <w:tcBorders>
              <w:top w:val="single" w:color="auto" w:sz="4" w:space="0"/>
              <w:left w:val="nil"/>
              <w:bottom w:val="single" w:color="auto" w:sz="4" w:space="0"/>
              <w:right w:val="single" w:color="auto" w:sz="4" w:space="0"/>
            </w:tcBorders>
            <w:vAlign w:val="center"/>
          </w:tcPr>
          <w:p w14:paraId="758F698D">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c>
          <w:tcPr>
            <w:tcW w:w="2073" w:type="dxa"/>
            <w:tcBorders>
              <w:top w:val="single" w:color="auto" w:sz="4" w:space="0"/>
              <w:left w:val="nil"/>
              <w:bottom w:val="single" w:color="auto" w:sz="4" w:space="0"/>
              <w:right w:val="single" w:color="auto" w:sz="4" w:space="0"/>
            </w:tcBorders>
            <w:vAlign w:val="center"/>
          </w:tcPr>
          <w:p w14:paraId="64AE5DB2">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c>
          <w:tcPr>
            <w:tcW w:w="2886" w:type="dxa"/>
            <w:tcBorders>
              <w:top w:val="single" w:color="auto" w:sz="4" w:space="0"/>
              <w:left w:val="nil"/>
              <w:bottom w:val="single" w:color="auto" w:sz="4" w:space="0"/>
              <w:right w:val="single" w:color="auto" w:sz="4" w:space="0"/>
            </w:tcBorders>
            <w:vAlign w:val="center"/>
          </w:tcPr>
          <w:p w14:paraId="6BCD42F8">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r>
      <w:tr w14:paraId="566E2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1340" w:type="dxa"/>
            <w:tcBorders>
              <w:top w:val="single" w:color="auto" w:sz="4" w:space="0"/>
              <w:left w:val="single" w:color="auto" w:sz="4" w:space="0"/>
              <w:bottom w:val="single" w:color="auto" w:sz="4" w:space="0"/>
              <w:right w:val="single" w:color="auto" w:sz="4" w:space="0"/>
            </w:tcBorders>
            <w:vAlign w:val="center"/>
          </w:tcPr>
          <w:p w14:paraId="7AE86D49">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c>
          <w:tcPr>
            <w:tcW w:w="2059" w:type="dxa"/>
            <w:tcBorders>
              <w:top w:val="single" w:color="auto" w:sz="4" w:space="0"/>
              <w:left w:val="nil"/>
              <w:bottom w:val="single" w:color="auto" w:sz="4" w:space="0"/>
              <w:right w:val="single" w:color="auto" w:sz="4" w:space="0"/>
            </w:tcBorders>
            <w:vAlign w:val="center"/>
          </w:tcPr>
          <w:p w14:paraId="4F01AC3F">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c>
          <w:tcPr>
            <w:tcW w:w="2073" w:type="dxa"/>
            <w:tcBorders>
              <w:top w:val="single" w:color="auto" w:sz="4" w:space="0"/>
              <w:left w:val="nil"/>
              <w:bottom w:val="single" w:color="auto" w:sz="4" w:space="0"/>
              <w:right w:val="single" w:color="auto" w:sz="4" w:space="0"/>
            </w:tcBorders>
            <w:vAlign w:val="center"/>
          </w:tcPr>
          <w:p w14:paraId="0067C57B">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c>
          <w:tcPr>
            <w:tcW w:w="2886" w:type="dxa"/>
            <w:tcBorders>
              <w:top w:val="single" w:color="auto" w:sz="4" w:space="0"/>
              <w:left w:val="nil"/>
              <w:bottom w:val="single" w:color="auto" w:sz="4" w:space="0"/>
              <w:right w:val="single" w:color="auto" w:sz="4" w:space="0"/>
            </w:tcBorders>
            <w:vAlign w:val="center"/>
          </w:tcPr>
          <w:p w14:paraId="4B87005C">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r>
      <w:tr w14:paraId="2693F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1340" w:type="dxa"/>
            <w:tcBorders>
              <w:top w:val="single" w:color="auto" w:sz="4" w:space="0"/>
              <w:left w:val="single" w:color="auto" w:sz="4" w:space="0"/>
              <w:bottom w:val="single" w:color="auto" w:sz="4" w:space="0"/>
              <w:right w:val="single" w:color="auto" w:sz="4" w:space="0"/>
            </w:tcBorders>
            <w:vAlign w:val="center"/>
          </w:tcPr>
          <w:p w14:paraId="105609C7">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c>
          <w:tcPr>
            <w:tcW w:w="2059" w:type="dxa"/>
            <w:tcBorders>
              <w:top w:val="single" w:color="auto" w:sz="4" w:space="0"/>
              <w:left w:val="nil"/>
              <w:bottom w:val="single" w:color="auto" w:sz="4" w:space="0"/>
              <w:right w:val="single" w:color="auto" w:sz="4" w:space="0"/>
            </w:tcBorders>
            <w:vAlign w:val="center"/>
          </w:tcPr>
          <w:p w14:paraId="2A650A7E">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c>
          <w:tcPr>
            <w:tcW w:w="2073" w:type="dxa"/>
            <w:tcBorders>
              <w:top w:val="single" w:color="auto" w:sz="4" w:space="0"/>
              <w:left w:val="nil"/>
              <w:bottom w:val="single" w:color="auto" w:sz="4" w:space="0"/>
              <w:right w:val="single" w:color="auto" w:sz="4" w:space="0"/>
            </w:tcBorders>
            <w:vAlign w:val="center"/>
          </w:tcPr>
          <w:p w14:paraId="23FC5503">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c>
          <w:tcPr>
            <w:tcW w:w="2886" w:type="dxa"/>
            <w:tcBorders>
              <w:top w:val="single" w:color="auto" w:sz="4" w:space="0"/>
              <w:left w:val="nil"/>
              <w:bottom w:val="single" w:color="auto" w:sz="4" w:space="0"/>
              <w:right w:val="single" w:color="auto" w:sz="4" w:space="0"/>
            </w:tcBorders>
            <w:vAlign w:val="center"/>
          </w:tcPr>
          <w:p w14:paraId="3E91F3EA">
            <w:pPr>
              <w:spacing w:before="120" w:line="360" w:lineRule="auto"/>
              <w:ind w:left="697" w:right="34" w:hanging="697"/>
              <w:rPr>
                <w:rFonts w:ascii="宋体" w:hAnsi="宋体" w:cs="宋体"/>
                <w:color w:val="000000" w:themeColor="text1"/>
                <w:sz w:val="24"/>
                <w:szCs w:val="24"/>
                <w:highlight w:val="none"/>
                <w14:textFill>
                  <w14:solidFill>
                    <w14:schemeClr w14:val="tx1"/>
                  </w14:solidFill>
                </w14:textFill>
              </w:rPr>
            </w:pPr>
          </w:p>
        </w:tc>
      </w:tr>
    </w:tbl>
    <w:p w14:paraId="7A5D0E03">
      <w:pPr>
        <w:tabs>
          <w:tab w:val="left" w:pos="555"/>
          <w:tab w:val="left" w:pos="2214"/>
          <w:tab w:val="left" w:pos="3774"/>
          <w:tab w:val="left" w:pos="4854"/>
          <w:tab w:val="left" w:pos="5934"/>
          <w:tab w:val="left" w:pos="7014"/>
          <w:tab w:val="left" w:pos="8214"/>
          <w:tab w:val="left" w:pos="10134"/>
          <w:tab w:val="left" w:pos="11124"/>
        </w:tabs>
        <w:spacing w:line="360" w:lineRule="auto"/>
        <w:ind w:left="359" w:leftChars="171" w:firstLine="360" w:firstLineChars="150"/>
        <w:rPr>
          <w:rFonts w:ascii="宋体" w:hAnsi="宋体" w:cs="Arial"/>
          <w:color w:val="000000" w:themeColor="text1"/>
          <w:sz w:val="24"/>
          <w:szCs w:val="20"/>
          <w:highlight w:val="none"/>
          <w14:textFill>
            <w14:solidFill>
              <w14:schemeClr w14:val="tx1"/>
            </w14:solidFill>
          </w14:textFill>
        </w:rPr>
      </w:pPr>
      <w:r>
        <w:rPr>
          <w:rFonts w:hint="eastAsia" w:ascii="宋体" w:hAnsi="宋体" w:cs="Arial"/>
          <w:color w:val="000000" w:themeColor="text1"/>
          <w:sz w:val="24"/>
          <w:szCs w:val="20"/>
          <w:highlight w:val="none"/>
          <w14:textFill>
            <w14:solidFill>
              <w14:schemeClr w14:val="tx1"/>
            </w14:solidFill>
          </w14:textFill>
        </w:rPr>
        <w:t>注：供应商以上业绩需提供加盖公章的中标通知书或合同协议书复印件等书面证明材料。</w:t>
      </w:r>
    </w:p>
    <w:p w14:paraId="41812AD2">
      <w:pPr>
        <w:tabs>
          <w:tab w:val="left" w:pos="555"/>
          <w:tab w:val="left" w:pos="2214"/>
          <w:tab w:val="left" w:pos="3774"/>
          <w:tab w:val="left" w:pos="4854"/>
          <w:tab w:val="left" w:pos="5934"/>
          <w:tab w:val="left" w:pos="7014"/>
          <w:tab w:val="left" w:pos="8214"/>
          <w:tab w:val="left" w:pos="10134"/>
          <w:tab w:val="left" w:pos="11124"/>
        </w:tabs>
        <w:spacing w:line="360" w:lineRule="auto"/>
        <w:ind w:left="359" w:leftChars="171" w:firstLine="360" w:firstLineChars="150"/>
        <w:rPr>
          <w:rFonts w:ascii="宋体" w:hAnsi="宋体" w:cs="Arial"/>
          <w:color w:val="000000" w:themeColor="text1"/>
          <w:sz w:val="24"/>
          <w:szCs w:val="20"/>
          <w:highlight w:val="none"/>
          <w14:textFill>
            <w14:solidFill>
              <w14:schemeClr w14:val="tx1"/>
            </w14:solidFill>
          </w14:textFill>
        </w:rPr>
      </w:pPr>
      <w:r>
        <w:rPr>
          <w:rFonts w:hint="eastAsia" w:ascii="宋体" w:hAnsi="宋体"/>
          <w:color w:val="000000" w:themeColor="text1"/>
          <w:sz w:val="24"/>
          <w:szCs w:val="20"/>
          <w:highlight w:val="none"/>
          <w14:textFill>
            <w14:solidFill>
              <w14:schemeClr w14:val="tx1"/>
            </w14:solidFill>
          </w14:textFill>
        </w:rPr>
        <w:t>供应商必须据实填写，不得虚假响应，否则将取消其投标或中标资格，并按有关规定进行处罚。</w:t>
      </w:r>
    </w:p>
    <w:p w14:paraId="0815746F">
      <w:pPr>
        <w:spacing w:line="360" w:lineRule="auto"/>
        <w:ind w:left="360"/>
        <w:jc w:val="center"/>
        <w:rPr>
          <w:rFonts w:ascii="宋体" w:hAnsi="宋体" w:cs="Arial"/>
          <w:color w:val="000000" w:themeColor="text1"/>
          <w:sz w:val="24"/>
          <w:szCs w:val="20"/>
          <w:highlight w:val="none"/>
          <w14:textFill>
            <w14:solidFill>
              <w14:schemeClr w14:val="tx1"/>
            </w14:solidFill>
          </w14:textFill>
        </w:rPr>
      </w:pPr>
    </w:p>
    <w:p w14:paraId="7A5433A6">
      <w:pPr>
        <w:widowControl/>
        <w:spacing w:line="360" w:lineRule="auto"/>
        <w:jc w:val="right"/>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供应商：</w:t>
      </w:r>
      <w:r>
        <w:rPr>
          <w:rFonts w:hint="eastAsia" w:ascii="宋体" w:hAnsi="宋体"/>
          <w:color w:val="000000" w:themeColor="text1"/>
          <w:kern w:val="0"/>
          <w:sz w:val="24"/>
          <w:highlight w:val="none"/>
          <w:u w:val="single"/>
          <w14:textFill>
            <w14:solidFill>
              <w14:schemeClr w14:val="tx1"/>
            </w14:solidFill>
          </w14:textFill>
        </w:rPr>
        <w:t xml:space="preserve">                          </w:t>
      </w:r>
      <w:r>
        <w:rPr>
          <w:rFonts w:hint="eastAsia" w:ascii="宋体" w:hAnsi="宋体"/>
          <w:color w:val="000000" w:themeColor="text1"/>
          <w:kern w:val="0"/>
          <w:sz w:val="24"/>
          <w:highlight w:val="none"/>
          <w14:textFill>
            <w14:solidFill>
              <w14:schemeClr w14:val="tx1"/>
            </w14:solidFill>
          </w14:textFill>
        </w:rPr>
        <w:t>（</w:t>
      </w:r>
      <w:r>
        <w:rPr>
          <w:rFonts w:hint="eastAsia" w:ascii="宋体" w:hAnsi="宋体"/>
          <w:color w:val="000000" w:themeColor="text1"/>
          <w:kern w:val="0"/>
          <w:sz w:val="24"/>
          <w:highlight w:val="none"/>
          <w:lang w:eastAsia="zh-CN"/>
          <w14:textFill>
            <w14:solidFill>
              <w14:schemeClr w14:val="tx1"/>
            </w14:solidFill>
          </w14:textFill>
        </w:rPr>
        <w:t>盖单位公章</w:t>
      </w:r>
      <w:r>
        <w:rPr>
          <w:rFonts w:hint="eastAsia" w:ascii="宋体" w:hAnsi="宋体"/>
          <w:color w:val="000000" w:themeColor="text1"/>
          <w:kern w:val="0"/>
          <w:sz w:val="24"/>
          <w:highlight w:val="none"/>
          <w14:textFill>
            <w14:solidFill>
              <w14:schemeClr w14:val="tx1"/>
            </w14:solidFill>
          </w14:textFill>
        </w:rPr>
        <w:t>）</w:t>
      </w:r>
    </w:p>
    <w:p w14:paraId="0E44A344">
      <w:pPr>
        <w:widowControl/>
        <w:spacing w:line="360" w:lineRule="auto"/>
        <w:jc w:val="left"/>
        <w:rPr>
          <w:rFonts w:ascii="宋体" w:hAnsi="宋体"/>
          <w:color w:val="000000" w:themeColor="text1"/>
          <w:kern w:val="0"/>
          <w:sz w:val="24"/>
          <w:highlight w:val="none"/>
          <w14:textFill>
            <w14:solidFill>
              <w14:schemeClr w14:val="tx1"/>
            </w14:solidFill>
          </w14:textFill>
        </w:rPr>
      </w:pPr>
    </w:p>
    <w:p w14:paraId="381649DA">
      <w:pPr>
        <w:widowControl/>
        <w:spacing w:line="360" w:lineRule="auto"/>
        <w:jc w:val="right"/>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法定代表人或其委托代理人：</w:t>
      </w:r>
      <w:r>
        <w:rPr>
          <w:rFonts w:hint="eastAsia" w:ascii="宋体" w:hAnsi="宋体"/>
          <w:color w:val="000000" w:themeColor="text1"/>
          <w:kern w:val="0"/>
          <w:sz w:val="24"/>
          <w:highlight w:val="none"/>
          <w:u w:val="single"/>
          <w14:textFill>
            <w14:solidFill>
              <w14:schemeClr w14:val="tx1"/>
            </w14:solidFill>
          </w14:textFill>
        </w:rPr>
        <w:t xml:space="preserve">         </w:t>
      </w:r>
      <w:r>
        <w:rPr>
          <w:rFonts w:hint="eastAsia" w:ascii="宋体" w:hAnsi="宋体"/>
          <w:color w:val="000000" w:themeColor="text1"/>
          <w:kern w:val="0"/>
          <w:sz w:val="24"/>
          <w:highlight w:val="none"/>
          <w14:textFill>
            <w14:solidFill>
              <w14:schemeClr w14:val="tx1"/>
            </w14:solidFill>
          </w14:textFill>
        </w:rPr>
        <w:t>（签</w:t>
      </w:r>
      <w:r>
        <w:rPr>
          <w:rFonts w:hint="eastAsia" w:ascii="宋体" w:hAnsi="宋体"/>
          <w:color w:val="000000" w:themeColor="text1"/>
          <w:kern w:val="0"/>
          <w:sz w:val="24"/>
          <w:highlight w:val="none"/>
          <w:lang w:val="en-US" w:eastAsia="zh-CN"/>
          <w14:textFill>
            <w14:solidFill>
              <w14:schemeClr w14:val="tx1"/>
            </w14:solidFill>
          </w14:textFill>
        </w:rPr>
        <w:t xml:space="preserve">      </w:t>
      </w:r>
      <w:r>
        <w:rPr>
          <w:rFonts w:hint="eastAsia" w:ascii="宋体" w:hAnsi="宋体"/>
          <w:color w:val="000000" w:themeColor="text1"/>
          <w:kern w:val="0"/>
          <w:sz w:val="24"/>
          <w:highlight w:val="none"/>
          <w14:textFill>
            <w14:solidFill>
              <w14:schemeClr w14:val="tx1"/>
            </w14:solidFill>
          </w14:textFill>
        </w:rPr>
        <w:t>字）</w:t>
      </w:r>
    </w:p>
    <w:p w14:paraId="1E0DA65B">
      <w:pPr>
        <w:widowControl/>
        <w:spacing w:line="360" w:lineRule="auto"/>
        <w:jc w:val="left"/>
        <w:rPr>
          <w:rFonts w:ascii="宋体" w:hAnsi="宋体"/>
          <w:color w:val="000000" w:themeColor="text1"/>
          <w:kern w:val="0"/>
          <w:sz w:val="24"/>
          <w:highlight w:val="none"/>
          <w14:textFill>
            <w14:solidFill>
              <w14:schemeClr w14:val="tx1"/>
            </w14:solidFill>
          </w14:textFill>
        </w:rPr>
      </w:pPr>
    </w:p>
    <w:p w14:paraId="26D7CBF8">
      <w:pPr>
        <w:widowControl/>
        <w:spacing w:line="360" w:lineRule="auto"/>
        <w:jc w:val="right"/>
        <w:rPr>
          <w:rFonts w:ascii="宋体" w:hAnsi="宋体"/>
          <w:color w:val="000000" w:themeColor="text1"/>
          <w:kern w:val="0"/>
          <w:sz w:val="24"/>
          <w:highlight w:val="none"/>
          <w14:textFill>
            <w14:solidFill>
              <w14:schemeClr w14:val="tx1"/>
            </w14:solidFill>
          </w14:textFill>
        </w:rPr>
        <w:sectPr>
          <w:pgSz w:w="11905" w:h="16838"/>
          <w:pgMar w:top="1440" w:right="1803" w:bottom="1440" w:left="1803" w:header="1140" w:footer="720" w:gutter="0"/>
          <w:pgNumType w:fmt="decimal"/>
          <w:cols w:space="0" w:num="1"/>
          <w:docGrid w:type="lines" w:linePitch="317" w:charSpace="0"/>
        </w:sectPr>
      </w:pPr>
      <w:r>
        <w:rPr>
          <w:rFonts w:hint="eastAsia" w:ascii="宋体" w:hAnsi="宋体"/>
          <w:color w:val="000000" w:themeColor="text1"/>
          <w:kern w:val="0"/>
          <w:sz w:val="24"/>
          <w:highlight w:val="none"/>
          <w14:textFill>
            <w14:solidFill>
              <w14:schemeClr w14:val="tx1"/>
            </w14:solidFill>
          </w14:textFill>
        </w:rPr>
        <w:t>日  期：</w:t>
      </w:r>
      <w:r>
        <w:rPr>
          <w:rFonts w:hint="eastAsia" w:ascii="宋体" w:hAnsi="宋体"/>
          <w:color w:val="000000" w:themeColor="text1"/>
          <w:kern w:val="0"/>
          <w:sz w:val="24"/>
          <w:highlight w:val="none"/>
          <w:u w:val="single"/>
          <w14:textFill>
            <w14:solidFill>
              <w14:schemeClr w14:val="tx1"/>
            </w14:solidFill>
          </w14:textFill>
        </w:rPr>
        <w:t xml:space="preserve">     </w:t>
      </w:r>
      <w:r>
        <w:rPr>
          <w:rFonts w:hint="eastAsia" w:ascii="宋体" w:hAnsi="宋体"/>
          <w:color w:val="000000" w:themeColor="text1"/>
          <w:kern w:val="0"/>
          <w:sz w:val="24"/>
          <w:highlight w:val="none"/>
          <w14:textFill>
            <w14:solidFill>
              <w14:schemeClr w14:val="tx1"/>
            </w14:solidFill>
          </w14:textFill>
        </w:rPr>
        <w:t>年</w:t>
      </w:r>
      <w:r>
        <w:rPr>
          <w:rFonts w:hint="eastAsia" w:ascii="宋体" w:hAnsi="宋体"/>
          <w:color w:val="000000" w:themeColor="text1"/>
          <w:kern w:val="0"/>
          <w:sz w:val="24"/>
          <w:highlight w:val="none"/>
          <w:u w:val="single"/>
          <w14:textFill>
            <w14:solidFill>
              <w14:schemeClr w14:val="tx1"/>
            </w14:solidFill>
          </w14:textFill>
        </w:rPr>
        <w:t xml:space="preserve">     </w:t>
      </w:r>
      <w:r>
        <w:rPr>
          <w:rFonts w:hint="eastAsia" w:ascii="宋体" w:hAnsi="宋体"/>
          <w:color w:val="000000" w:themeColor="text1"/>
          <w:kern w:val="0"/>
          <w:sz w:val="24"/>
          <w:highlight w:val="none"/>
          <w14:textFill>
            <w14:solidFill>
              <w14:schemeClr w14:val="tx1"/>
            </w14:solidFill>
          </w14:textFill>
        </w:rPr>
        <w:t>月</w:t>
      </w:r>
      <w:r>
        <w:rPr>
          <w:rFonts w:hint="eastAsia" w:ascii="宋体" w:hAnsi="宋体"/>
          <w:color w:val="000000" w:themeColor="text1"/>
          <w:kern w:val="0"/>
          <w:sz w:val="24"/>
          <w:highlight w:val="none"/>
          <w:u w:val="single"/>
          <w14:textFill>
            <w14:solidFill>
              <w14:schemeClr w14:val="tx1"/>
            </w14:solidFill>
          </w14:textFill>
        </w:rPr>
        <w:t xml:space="preserve">     </w:t>
      </w:r>
      <w:r>
        <w:rPr>
          <w:rFonts w:hint="eastAsia" w:ascii="宋体" w:hAnsi="宋体"/>
          <w:color w:val="000000" w:themeColor="text1"/>
          <w:kern w:val="0"/>
          <w:sz w:val="24"/>
          <w:highlight w:val="none"/>
          <w14:textFill>
            <w14:solidFill>
              <w14:schemeClr w14:val="tx1"/>
            </w14:solidFill>
          </w14:textFill>
        </w:rPr>
        <w:t>日</w:t>
      </w:r>
    </w:p>
    <w:p w14:paraId="4302FFD7">
      <w:pPr>
        <w:pStyle w:val="19"/>
        <w:numPr>
          <w:ilvl w:val="0"/>
          <w:numId w:val="2"/>
        </w:numPr>
        <w:jc w:val="center"/>
        <w:outlineLvl w:val="2"/>
        <w:rPr>
          <w:rFonts w:hint="eastAsia"/>
          <w:b/>
          <w:bCs/>
          <w:color w:val="000000" w:themeColor="text1"/>
          <w:sz w:val="32"/>
          <w:szCs w:val="32"/>
          <w:highlight w:val="none"/>
          <w14:textFill>
            <w14:solidFill>
              <w14:schemeClr w14:val="tx1"/>
            </w14:solidFill>
          </w14:textFill>
        </w:rPr>
      </w:pPr>
      <w:r>
        <w:rPr>
          <w:rFonts w:hint="eastAsia"/>
          <w:b/>
          <w:bCs/>
          <w:color w:val="000000" w:themeColor="text1"/>
          <w:sz w:val="32"/>
          <w:szCs w:val="32"/>
          <w:highlight w:val="none"/>
          <w14:textFill>
            <w14:solidFill>
              <w14:schemeClr w14:val="tx1"/>
            </w14:solidFill>
          </w14:textFill>
        </w:rPr>
        <w:t>近年发生的诉讼及仲裁情况</w:t>
      </w:r>
    </w:p>
    <w:p w14:paraId="60586C19">
      <w:pPr>
        <w:widowControl w:val="0"/>
        <w:numPr>
          <w:ilvl w:val="0"/>
          <w:numId w:val="0"/>
        </w:numPr>
        <w:jc w:val="both"/>
        <w:rPr>
          <w:highlight w:val="none"/>
        </w:rPr>
      </w:pPr>
    </w:p>
    <w:p w14:paraId="070C823D">
      <w:pPr>
        <w:spacing w:line="360" w:lineRule="auto"/>
        <w:jc w:val="right"/>
        <w:rPr>
          <w:rFonts w:hint="eastAsia"/>
          <w:color w:val="000000" w:themeColor="text1"/>
          <w:sz w:val="24"/>
          <w:szCs w:val="24"/>
          <w:highlight w:val="none"/>
          <w14:textFill>
            <w14:solidFill>
              <w14:schemeClr w14:val="tx1"/>
            </w14:solidFill>
          </w14:textFill>
        </w:rPr>
      </w:pPr>
    </w:p>
    <w:p w14:paraId="7D271755">
      <w:pPr>
        <w:spacing w:line="360" w:lineRule="auto"/>
        <w:jc w:val="right"/>
        <w:rPr>
          <w:rFonts w:hint="eastAsia"/>
          <w:color w:val="000000" w:themeColor="text1"/>
          <w:sz w:val="24"/>
          <w:szCs w:val="24"/>
          <w:highlight w:val="none"/>
          <w14:textFill>
            <w14:solidFill>
              <w14:schemeClr w14:val="tx1"/>
            </w14:solidFill>
          </w14:textFill>
        </w:rPr>
      </w:pPr>
    </w:p>
    <w:p w14:paraId="11D2A818">
      <w:pPr>
        <w:spacing w:line="360" w:lineRule="auto"/>
        <w:jc w:val="right"/>
        <w:rPr>
          <w:rFonts w:hint="eastAsia"/>
          <w:color w:val="000000" w:themeColor="text1"/>
          <w:sz w:val="24"/>
          <w:szCs w:val="24"/>
          <w:highlight w:val="none"/>
          <w14:textFill>
            <w14:solidFill>
              <w14:schemeClr w14:val="tx1"/>
            </w14:solidFill>
          </w14:textFill>
        </w:rPr>
      </w:pPr>
    </w:p>
    <w:p w14:paraId="5DEFC971">
      <w:pPr>
        <w:spacing w:line="360" w:lineRule="auto"/>
        <w:jc w:val="right"/>
        <w:rPr>
          <w:rFonts w:hint="eastAsia"/>
          <w:color w:val="000000" w:themeColor="text1"/>
          <w:sz w:val="24"/>
          <w:szCs w:val="24"/>
          <w:highlight w:val="none"/>
          <w14:textFill>
            <w14:solidFill>
              <w14:schemeClr w14:val="tx1"/>
            </w14:solidFill>
          </w14:textFill>
        </w:rPr>
      </w:pPr>
    </w:p>
    <w:p w14:paraId="32B2CBA8">
      <w:pPr>
        <w:spacing w:line="360" w:lineRule="auto"/>
        <w:jc w:val="right"/>
        <w:rPr>
          <w:rFonts w:hint="eastAsia"/>
          <w:color w:val="000000" w:themeColor="text1"/>
          <w:sz w:val="24"/>
          <w:szCs w:val="24"/>
          <w:highlight w:val="none"/>
          <w14:textFill>
            <w14:solidFill>
              <w14:schemeClr w14:val="tx1"/>
            </w14:solidFill>
          </w14:textFill>
        </w:rPr>
      </w:pPr>
    </w:p>
    <w:p w14:paraId="5C383589">
      <w:pPr>
        <w:spacing w:line="360" w:lineRule="auto"/>
        <w:jc w:val="right"/>
        <w:rPr>
          <w:rFonts w:hint="eastAsia"/>
          <w:color w:val="000000" w:themeColor="text1"/>
          <w:sz w:val="24"/>
          <w:szCs w:val="24"/>
          <w:highlight w:val="none"/>
          <w14:textFill>
            <w14:solidFill>
              <w14:schemeClr w14:val="tx1"/>
            </w14:solidFill>
          </w14:textFill>
        </w:rPr>
      </w:pPr>
    </w:p>
    <w:p w14:paraId="74EF585C">
      <w:pPr>
        <w:spacing w:line="360" w:lineRule="auto"/>
        <w:jc w:val="right"/>
        <w:rPr>
          <w:rFonts w:hint="eastAsia"/>
          <w:color w:val="000000" w:themeColor="text1"/>
          <w:sz w:val="24"/>
          <w:szCs w:val="24"/>
          <w:highlight w:val="none"/>
          <w14:textFill>
            <w14:solidFill>
              <w14:schemeClr w14:val="tx1"/>
            </w14:solidFill>
          </w14:textFill>
        </w:rPr>
      </w:pPr>
    </w:p>
    <w:p w14:paraId="402285AB">
      <w:pPr>
        <w:spacing w:line="360" w:lineRule="auto"/>
        <w:jc w:val="right"/>
        <w:rPr>
          <w:rFonts w:hint="eastAsia"/>
          <w:color w:val="000000" w:themeColor="text1"/>
          <w:sz w:val="24"/>
          <w:szCs w:val="24"/>
          <w:highlight w:val="none"/>
          <w14:textFill>
            <w14:solidFill>
              <w14:schemeClr w14:val="tx1"/>
            </w14:solidFill>
          </w14:textFill>
        </w:rPr>
      </w:pPr>
    </w:p>
    <w:p w14:paraId="655985EA">
      <w:pPr>
        <w:spacing w:line="360" w:lineRule="auto"/>
        <w:jc w:val="right"/>
        <w:rPr>
          <w:rFonts w:hint="eastAsia"/>
          <w:color w:val="000000" w:themeColor="text1"/>
          <w:sz w:val="24"/>
          <w:szCs w:val="24"/>
          <w:highlight w:val="none"/>
          <w14:textFill>
            <w14:solidFill>
              <w14:schemeClr w14:val="tx1"/>
            </w14:solidFill>
          </w14:textFill>
        </w:rPr>
      </w:pPr>
    </w:p>
    <w:p w14:paraId="742E721D">
      <w:pPr>
        <w:spacing w:line="360" w:lineRule="auto"/>
        <w:jc w:val="right"/>
        <w:rPr>
          <w:rFonts w:hint="eastAsia"/>
          <w:color w:val="000000" w:themeColor="text1"/>
          <w:sz w:val="24"/>
          <w:szCs w:val="24"/>
          <w:highlight w:val="none"/>
          <w14:textFill>
            <w14:solidFill>
              <w14:schemeClr w14:val="tx1"/>
            </w14:solidFill>
          </w14:textFill>
        </w:rPr>
      </w:pPr>
    </w:p>
    <w:p w14:paraId="4E526CDD">
      <w:pPr>
        <w:spacing w:line="360" w:lineRule="auto"/>
        <w:jc w:val="right"/>
        <w:rPr>
          <w:rFonts w:hint="eastAsia"/>
          <w:color w:val="000000" w:themeColor="text1"/>
          <w:sz w:val="24"/>
          <w:szCs w:val="24"/>
          <w:highlight w:val="none"/>
          <w14:textFill>
            <w14:solidFill>
              <w14:schemeClr w14:val="tx1"/>
            </w14:solidFill>
          </w14:textFill>
        </w:rPr>
      </w:pPr>
    </w:p>
    <w:p w14:paraId="39855D17">
      <w:pPr>
        <w:spacing w:line="360" w:lineRule="auto"/>
        <w:jc w:val="right"/>
        <w:rPr>
          <w:rFonts w:hint="eastAsia"/>
          <w:color w:val="000000" w:themeColor="text1"/>
          <w:sz w:val="24"/>
          <w:szCs w:val="24"/>
          <w:highlight w:val="none"/>
          <w14:textFill>
            <w14:solidFill>
              <w14:schemeClr w14:val="tx1"/>
            </w14:solidFill>
          </w14:textFill>
        </w:rPr>
      </w:pPr>
    </w:p>
    <w:p w14:paraId="3E2EBE77">
      <w:pPr>
        <w:spacing w:line="360" w:lineRule="auto"/>
        <w:jc w:val="right"/>
        <w:rPr>
          <w:rFonts w:hint="eastAsia"/>
          <w:color w:val="000000" w:themeColor="text1"/>
          <w:sz w:val="24"/>
          <w:szCs w:val="24"/>
          <w:highlight w:val="none"/>
          <w14:textFill>
            <w14:solidFill>
              <w14:schemeClr w14:val="tx1"/>
            </w14:solidFill>
          </w14:textFill>
        </w:rPr>
      </w:pPr>
    </w:p>
    <w:p w14:paraId="1C28399F">
      <w:pPr>
        <w:spacing w:line="360" w:lineRule="auto"/>
        <w:jc w:val="right"/>
        <w:rPr>
          <w:rFonts w:hint="eastAsia"/>
          <w:color w:val="000000" w:themeColor="text1"/>
          <w:sz w:val="24"/>
          <w:szCs w:val="24"/>
          <w:highlight w:val="none"/>
          <w14:textFill>
            <w14:solidFill>
              <w14:schemeClr w14:val="tx1"/>
            </w14:solidFill>
          </w14:textFill>
        </w:rPr>
      </w:pPr>
    </w:p>
    <w:p w14:paraId="49468BD6">
      <w:pPr>
        <w:spacing w:line="360" w:lineRule="auto"/>
        <w:jc w:val="right"/>
        <w:rPr>
          <w:rFonts w:hint="eastAsia"/>
          <w:color w:val="000000" w:themeColor="text1"/>
          <w:sz w:val="24"/>
          <w:szCs w:val="24"/>
          <w:highlight w:val="none"/>
          <w14:textFill>
            <w14:solidFill>
              <w14:schemeClr w14:val="tx1"/>
            </w14:solidFill>
          </w14:textFill>
        </w:rPr>
      </w:pPr>
    </w:p>
    <w:p w14:paraId="7DBD7C5D">
      <w:pPr>
        <w:spacing w:line="360" w:lineRule="auto"/>
        <w:jc w:val="right"/>
        <w:rPr>
          <w:rFonts w:hint="eastAsia"/>
          <w:color w:val="000000" w:themeColor="text1"/>
          <w:sz w:val="24"/>
          <w:szCs w:val="24"/>
          <w:highlight w:val="none"/>
          <w14:textFill>
            <w14:solidFill>
              <w14:schemeClr w14:val="tx1"/>
            </w14:solidFill>
          </w14:textFill>
        </w:rPr>
      </w:pPr>
    </w:p>
    <w:p w14:paraId="5F1D5CDB">
      <w:pPr>
        <w:spacing w:line="360" w:lineRule="auto"/>
        <w:jc w:val="right"/>
        <w:rPr>
          <w:rFonts w:hint="eastAsia"/>
          <w:color w:val="000000" w:themeColor="text1"/>
          <w:sz w:val="24"/>
          <w:szCs w:val="24"/>
          <w:highlight w:val="none"/>
          <w14:textFill>
            <w14:solidFill>
              <w14:schemeClr w14:val="tx1"/>
            </w14:solidFill>
          </w14:textFill>
        </w:rPr>
      </w:pPr>
    </w:p>
    <w:p w14:paraId="270D6EA8">
      <w:pPr>
        <w:spacing w:line="360" w:lineRule="auto"/>
        <w:jc w:val="right"/>
        <w:rPr>
          <w:rFonts w:hint="eastAsia"/>
          <w:color w:val="000000" w:themeColor="text1"/>
          <w:sz w:val="24"/>
          <w:szCs w:val="24"/>
          <w:highlight w:val="none"/>
          <w14:textFill>
            <w14:solidFill>
              <w14:schemeClr w14:val="tx1"/>
            </w14:solidFill>
          </w14:textFill>
        </w:rPr>
      </w:pPr>
    </w:p>
    <w:p w14:paraId="65070588">
      <w:pPr>
        <w:spacing w:line="360" w:lineRule="auto"/>
        <w:jc w:val="right"/>
        <w:rPr>
          <w:rFonts w:hint="eastAsia"/>
          <w:color w:val="000000" w:themeColor="text1"/>
          <w:sz w:val="24"/>
          <w:szCs w:val="24"/>
          <w:highlight w:val="none"/>
          <w14:textFill>
            <w14:solidFill>
              <w14:schemeClr w14:val="tx1"/>
            </w14:solidFill>
          </w14:textFill>
        </w:rPr>
      </w:pPr>
    </w:p>
    <w:p w14:paraId="1B9141FB">
      <w:pPr>
        <w:spacing w:line="360" w:lineRule="auto"/>
        <w:jc w:val="right"/>
        <w:rPr>
          <w:rFonts w:hint="eastAsia"/>
          <w:color w:val="000000" w:themeColor="text1"/>
          <w:sz w:val="24"/>
          <w:szCs w:val="24"/>
          <w:highlight w:val="none"/>
          <w14:textFill>
            <w14:solidFill>
              <w14:schemeClr w14:val="tx1"/>
            </w14:solidFill>
          </w14:textFill>
        </w:rPr>
      </w:pPr>
    </w:p>
    <w:p w14:paraId="17A1A5B3">
      <w:pPr>
        <w:spacing w:line="360" w:lineRule="auto"/>
        <w:jc w:val="right"/>
        <w:rPr>
          <w:rFonts w:hint="eastAsia"/>
          <w:color w:val="000000" w:themeColor="text1"/>
          <w:sz w:val="24"/>
          <w:szCs w:val="24"/>
          <w:highlight w:val="none"/>
          <w14:textFill>
            <w14:solidFill>
              <w14:schemeClr w14:val="tx1"/>
            </w14:solidFill>
          </w14:textFill>
        </w:rPr>
      </w:pPr>
    </w:p>
    <w:p w14:paraId="2CCB36F3">
      <w:pPr>
        <w:spacing w:line="360" w:lineRule="auto"/>
        <w:jc w:val="right"/>
        <w:rPr>
          <w:rFonts w:hint="eastAsia"/>
          <w:color w:val="000000" w:themeColor="text1"/>
          <w:sz w:val="24"/>
          <w:szCs w:val="24"/>
          <w:highlight w:val="none"/>
          <w14:textFill>
            <w14:solidFill>
              <w14:schemeClr w14:val="tx1"/>
            </w14:solidFill>
          </w14:textFill>
        </w:rPr>
      </w:pPr>
    </w:p>
    <w:p w14:paraId="08547748">
      <w:pPr>
        <w:spacing w:line="360" w:lineRule="auto"/>
        <w:jc w:val="righ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供应商：</w:t>
      </w:r>
      <w:r>
        <w:rPr>
          <w:rFonts w:hint="eastAsia" w:ascii="新宋体" w:hAnsi="新宋体" w:eastAsia="新宋体"/>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w:t>
      </w:r>
      <w:r>
        <w:rPr>
          <w:rFonts w:hint="eastAsia"/>
          <w:color w:val="000000" w:themeColor="text1"/>
          <w:sz w:val="24"/>
          <w:szCs w:val="24"/>
          <w:highlight w:val="none"/>
          <w:lang w:eastAsia="zh-CN"/>
          <w14:textFill>
            <w14:solidFill>
              <w14:schemeClr w14:val="tx1"/>
            </w14:solidFill>
          </w14:textFill>
        </w:rPr>
        <w:t>盖单位公章</w:t>
      </w:r>
      <w:r>
        <w:rPr>
          <w:rFonts w:hint="eastAsia"/>
          <w:color w:val="000000" w:themeColor="text1"/>
          <w:sz w:val="24"/>
          <w:szCs w:val="24"/>
          <w:highlight w:val="none"/>
          <w14:textFill>
            <w14:solidFill>
              <w14:schemeClr w14:val="tx1"/>
            </w14:solidFill>
          </w14:textFill>
        </w:rPr>
        <w:t>）</w:t>
      </w:r>
    </w:p>
    <w:p w14:paraId="02A433C6">
      <w:pPr>
        <w:spacing w:line="360" w:lineRule="auto"/>
        <w:ind w:firstLine="3420" w:firstLineChars="1425"/>
        <w:rPr>
          <w:color w:val="000000" w:themeColor="text1"/>
          <w:sz w:val="24"/>
          <w:szCs w:val="24"/>
          <w:highlight w:val="none"/>
          <w14:textFill>
            <w14:solidFill>
              <w14:schemeClr w14:val="tx1"/>
            </w14:solidFill>
          </w14:textFill>
        </w:rPr>
      </w:pPr>
    </w:p>
    <w:p w14:paraId="53E59ED8">
      <w:pPr>
        <w:spacing w:line="360" w:lineRule="auto"/>
        <w:jc w:val="righ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法定代表人或其委托代理人：</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（签</w:t>
      </w:r>
      <w:r>
        <w:rPr>
          <w:rFonts w:hint="eastAsia"/>
          <w:color w:val="000000" w:themeColor="text1"/>
          <w:sz w:val="24"/>
          <w:szCs w:val="24"/>
          <w:highlight w:val="none"/>
          <w:lang w:val="en-US" w:eastAsia="zh-CN"/>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字）</w:t>
      </w:r>
    </w:p>
    <w:p w14:paraId="74BF49BF">
      <w:pPr>
        <w:spacing w:line="360" w:lineRule="auto"/>
        <w:ind w:firstLine="3420" w:firstLineChars="1425"/>
        <w:rPr>
          <w:color w:val="000000" w:themeColor="text1"/>
          <w:sz w:val="24"/>
          <w:szCs w:val="24"/>
          <w:highlight w:val="none"/>
          <w14:textFill>
            <w14:solidFill>
              <w14:schemeClr w14:val="tx1"/>
            </w14:solidFill>
          </w14:textFill>
        </w:rPr>
      </w:pPr>
    </w:p>
    <w:p w14:paraId="12650C00">
      <w:pPr>
        <w:pStyle w:val="2"/>
        <w:ind w:left="899" w:leftChars="428" w:firstLine="4080" w:firstLineChars="1700"/>
        <w:rPr>
          <w:highlight w:val="none"/>
        </w:rPr>
        <w:sectPr>
          <w:pgSz w:w="11905" w:h="16838"/>
          <w:pgMar w:top="1440" w:right="1803" w:bottom="1440" w:left="1803" w:header="1140" w:footer="720" w:gutter="0"/>
          <w:pgNumType w:fmt="decimal"/>
          <w:cols w:space="0" w:num="1"/>
          <w:docGrid w:type="lines" w:linePitch="317" w:charSpace="0"/>
        </w:sectPr>
      </w:pPr>
      <w:r>
        <w:rPr>
          <w:rFonts w:hint="eastAsia" w:hAnsi="宋体"/>
          <w:color w:val="000000" w:themeColor="text1"/>
          <w:sz w:val="24"/>
          <w:szCs w:val="24"/>
          <w:highlight w:val="none"/>
          <w14:textFill>
            <w14:solidFill>
              <w14:schemeClr w14:val="tx1"/>
            </w14:solidFill>
          </w14:textFill>
        </w:rPr>
        <w:t>日期：</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年</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月</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日</w:t>
      </w:r>
    </w:p>
    <w:p w14:paraId="06A87925">
      <w:pPr>
        <w:pStyle w:val="19"/>
        <w:spacing w:line="360" w:lineRule="auto"/>
        <w:jc w:val="center"/>
        <w:outlineLvl w:val="2"/>
        <w:rPr>
          <w:b/>
          <w:bCs/>
          <w:color w:val="000000" w:themeColor="text1"/>
          <w:sz w:val="32"/>
          <w:szCs w:val="32"/>
          <w:highlight w:val="none"/>
          <w14:textFill>
            <w14:solidFill>
              <w14:schemeClr w14:val="tx1"/>
            </w14:solidFill>
          </w14:textFill>
        </w:rPr>
      </w:pPr>
      <w:r>
        <w:rPr>
          <w:rFonts w:hint="eastAsia"/>
          <w:b/>
          <w:bCs/>
          <w:color w:val="000000" w:themeColor="text1"/>
          <w:sz w:val="32"/>
          <w:szCs w:val="32"/>
          <w:highlight w:val="none"/>
          <w14:textFill>
            <w14:solidFill>
              <w14:schemeClr w14:val="tx1"/>
            </w14:solidFill>
          </w14:textFill>
        </w:rPr>
        <w:t>（八）人员情况</w:t>
      </w:r>
    </w:p>
    <w:p w14:paraId="14C64EB5">
      <w:pPr>
        <w:pStyle w:val="19"/>
        <w:spacing w:line="360" w:lineRule="auto"/>
        <w:jc w:val="center"/>
        <w:rPr>
          <w:rFonts w:hAnsi="宋体" w:cs="Times New Roman"/>
          <w:color w:val="000000" w:themeColor="text1"/>
          <w:sz w:val="24"/>
          <w:highlight w:val="none"/>
          <w14:textFill>
            <w14:solidFill>
              <w14:schemeClr w14:val="tx1"/>
            </w14:solidFill>
          </w14:textFill>
        </w:rPr>
      </w:pPr>
      <w:bookmarkStart w:id="297" w:name="_Toc31213"/>
      <w:bookmarkStart w:id="298" w:name="_Toc6860"/>
      <w:bookmarkStart w:id="299" w:name="_Toc10380"/>
      <w:r>
        <w:rPr>
          <w:rFonts w:hint="eastAsia" w:hAnsi="宋体" w:cs="Times New Roman"/>
          <w:color w:val="000000" w:themeColor="text1"/>
          <w:sz w:val="28"/>
          <w:szCs w:val="28"/>
          <w:highlight w:val="none"/>
          <w14:textFill>
            <w14:solidFill>
              <w14:schemeClr w14:val="tx1"/>
            </w14:solidFill>
          </w14:textFill>
        </w:rPr>
        <w:t>项目团队主要成员简历表</w:t>
      </w:r>
      <w:bookmarkEnd w:id="297"/>
      <w:bookmarkEnd w:id="298"/>
      <w:bookmarkEnd w:id="299"/>
    </w:p>
    <w:p w14:paraId="28970BDA">
      <w:pPr>
        <w:pStyle w:val="19"/>
        <w:spacing w:line="360" w:lineRule="auto"/>
        <w:ind w:firstLine="480" w:firstLineChars="200"/>
        <w:jc w:val="left"/>
        <w:rPr>
          <w:rFonts w:hint="eastAsia" w:hAnsi="宋体"/>
          <w:color w:val="000000" w:themeColor="text1"/>
          <w:sz w:val="24"/>
          <w:highlight w:val="none"/>
          <w14:textFill>
            <w14:solidFill>
              <w14:schemeClr w14:val="tx1"/>
            </w14:solidFill>
          </w14:textFill>
        </w:rPr>
      </w:pPr>
      <w:r>
        <w:rPr>
          <w:rFonts w:hint="eastAsia" w:hAnsi="宋体"/>
          <w:color w:val="000000" w:themeColor="text1"/>
          <w:sz w:val="24"/>
          <w:highlight w:val="none"/>
          <w14:textFill>
            <w14:solidFill>
              <w14:schemeClr w14:val="tx1"/>
            </w14:solidFill>
          </w14:textFill>
        </w:rPr>
        <w:t>项目名称：</w:t>
      </w:r>
      <w:r>
        <w:rPr>
          <w:rFonts w:hint="eastAsia" w:ascii="宋体" w:hAnsi="宋体"/>
          <w:b/>
          <w:color w:val="000000" w:themeColor="text1"/>
          <w:sz w:val="24"/>
          <w:szCs w:val="24"/>
          <w:highlight w:val="none"/>
          <w:u w:val="single"/>
          <w:lang w:val="en-US" w:eastAsia="zh-CN"/>
          <w14:textFill>
            <w14:solidFill>
              <w14:schemeClr w14:val="tx1"/>
            </w14:solidFill>
          </w14:textFill>
        </w:rPr>
        <w:t xml:space="preserve">                             </w:t>
      </w:r>
      <w:r>
        <w:rPr>
          <w:rFonts w:hint="eastAsia" w:hAnsi="宋体"/>
          <w:color w:val="000000" w:themeColor="text1"/>
          <w:sz w:val="24"/>
          <w:highlight w:val="none"/>
          <w14:textFill>
            <w14:solidFill>
              <w14:schemeClr w14:val="tx1"/>
            </w14:solidFill>
          </w14:textFill>
        </w:rPr>
        <w:t xml:space="preserve">                                       </w:t>
      </w:r>
    </w:p>
    <w:p w14:paraId="55774AEC">
      <w:pPr>
        <w:pStyle w:val="19"/>
        <w:spacing w:line="360" w:lineRule="auto"/>
        <w:ind w:firstLine="480" w:firstLineChars="200"/>
        <w:jc w:val="left"/>
        <w:rPr>
          <w:rFonts w:hAnsi="宋体"/>
          <w:color w:val="000000" w:themeColor="text1"/>
          <w:sz w:val="24"/>
          <w:highlight w:val="none"/>
          <w14:textFill>
            <w14:solidFill>
              <w14:schemeClr w14:val="tx1"/>
            </w14:solidFill>
          </w14:textFill>
        </w:rPr>
      </w:pPr>
      <w:r>
        <w:rPr>
          <w:rFonts w:hint="eastAsia" w:hAnsi="宋体"/>
          <w:color w:val="000000" w:themeColor="text1"/>
          <w:sz w:val="24"/>
          <w:highlight w:val="none"/>
          <w:lang w:eastAsia="zh-CN"/>
          <w14:textFill>
            <w14:solidFill>
              <w14:schemeClr w14:val="tx1"/>
            </w14:solidFill>
          </w14:textFill>
        </w:rPr>
        <w:t>项目</w:t>
      </w:r>
      <w:r>
        <w:rPr>
          <w:rFonts w:hint="eastAsia" w:hAnsi="宋体"/>
          <w:color w:val="000000" w:themeColor="text1"/>
          <w:sz w:val="24"/>
          <w:highlight w:val="none"/>
          <w14:textFill>
            <w14:solidFill>
              <w14:schemeClr w14:val="tx1"/>
            </w14:solidFill>
          </w14:textFill>
        </w:rPr>
        <w:t>编号：</w:t>
      </w:r>
      <w:r>
        <w:rPr>
          <w:rFonts w:hint="eastAsia" w:ascii="宋体" w:hAnsi="宋体"/>
          <w:b/>
          <w:color w:val="000000" w:themeColor="text1"/>
          <w:sz w:val="24"/>
          <w:szCs w:val="24"/>
          <w:highlight w:val="none"/>
          <w:u w:val="single"/>
          <w:lang w:val="en-US" w:eastAsia="zh-CN"/>
          <w14:textFill>
            <w14:solidFill>
              <w14:schemeClr w14:val="tx1"/>
            </w14:solidFill>
          </w14:textFill>
        </w:rPr>
        <w:t xml:space="preserve">                             </w:t>
      </w:r>
      <w:r>
        <w:rPr>
          <w:rFonts w:hint="eastAsia" w:hAnsi="宋体"/>
          <w:color w:val="000000" w:themeColor="text1"/>
          <w:sz w:val="24"/>
          <w:highlight w:val="none"/>
          <w14:textFill>
            <w14:solidFill>
              <w14:schemeClr w14:val="tx1"/>
            </w14:solidFill>
          </w14:textFill>
        </w:rPr>
        <w:t xml:space="preserve"> </w:t>
      </w:r>
    </w:p>
    <w:tbl>
      <w:tblPr>
        <w:tblStyle w:val="32"/>
        <w:tblW w:w="838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80"/>
        <w:gridCol w:w="1545"/>
        <w:gridCol w:w="733"/>
        <w:gridCol w:w="769"/>
        <w:gridCol w:w="1540"/>
        <w:gridCol w:w="1384"/>
        <w:gridCol w:w="1536"/>
      </w:tblGrid>
      <w:tr w14:paraId="477EDC0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880" w:type="dxa"/>
            <w:vAlign w:val="center"/>
          </w:tcPr>
          <w:p w14:paraId="680963BB">
            <w:pPr>
              <w:spacing w:line="360" w:lineRule="auto"/>
              <w:jc w:val="center"/>
              <w:rPr>
                <w:rFonts w:ascii="Arial" w:hAnsi="Arial" w:cs="Arial"/>
                <w:color w:val="000000" w:themeColor="text1"/>
                <w:sz w:val="24"/>
                <w:szCs w:val="24"/>
                <w:highlight w:val="none"/>
                <w14:textFill>
                  <w14:solidFill>
                    <w14:schemeClr w14:val="tx1"/>
                  </w14:solidFill>
                </w14:textFill>
              </w:rPr>
            </w:pPr>
            <w:r>
              <w:rPr>
                <w:rFonts w:ascii="Arial" w:hAnsi="宋体" w:cs="Arial"/>
                <w:color w:val="000000" w:themeColor="text1"/>
                <w:sz w:val="24"/>
                <w:szCs w:val="24"/>
                <w:highlight w:val="none"/>
                <w14:textFill>
                  <w14:solidFill>
                    <w14:schemeClr w14:val="tx1"/>
                  </w14:solidFill>
                </w14:textFill>
              </w:rPr>
              <w:t>姓名</w:t>
            </w:r>
          </w:p>
        </w:tc>
        <w:tc>
          <w:tcPr>
            <w:tcW w:w="2278" w:type="dxa"/>
            <w:gridSpan w:val="2"/>
            <w:vAlign w:val="center"/>
          </w:tcPr>
          <w:p w14:paraId="23F609C2">
            <w:pPr>
              <w:spacing w:line="360" w:lineRule="auto"/>
              <w:jc w:val="center"/>
              <w:rPr>
                <w:rFonts w:ascii="Arial" w:hAnsi="Arial" w:cs="Arial"/>
                <w:color w:val="000000" w:themeColor="text1"/>
                <w:sz w:val="24"/>
                <w:szCs w:val="24"/>
                <w:highlight w:val="none"/>
                <w14:textFill>
                  <w14:solidFill>
                    <w14:schemeClr w14:val="tx1"/>
                  </w14:solidFill>
                </w14:textFill>
              </w:rPr>
            </w:pPr>
          </w:p>
        </w:tc>
        <w:tc>
          <w:tcPr>
            <w:tcW w:w="769" w:type="dxa"/>
            <w:vAlign w:val="center"/>
          </w:tcPr>
          <w:p w14:paraId="21DE3328">
            <w:pPr>
              <w:spacing w:line="360" w:lineRule="auto"/>
              <w:jc w:val="center"/>
              <w:rPr>
                <w:rFonts w:ascii="Arial" w:hAnsi="Arial" w:cs="Arial"/>
                <w:color w:val="000000" w:themeColor="text1"/>
                <w:sz w:val="24"/>
                <w:szCs w:val="24"/>
                <w:highlight w:val="none"/>
                <w14:textFill>
                  <w14:solidFill>
                    <w14:schemeClr w14:val="tx1"/>
                  </w14:solidFill>
                </w14:textFill>
              </w:rPr>
            </w:pPr>
            <w:r>
              <w:rPr>
                <w:rFonts w:ascii="Arial" w:hAnsi="宋体" w:cs="Arial"/>
                <w:color w:val="000000" w:themeColor="text1"/>
                <w:sz w:val="24"/>
                <w:szCs w:val="24"/>
                <w:highlight w:val="none"/>
                <w14:textFill>
                  <w14:solidFill>
                    <w14:schemeClr w14:val="tx1"/>
                  </w14:solidFill>
                </w14:textFill>
              </w:rPr>
              <w:t>性别</w:t>
            </w:r>
          </w:p>
        </w:tc>
        <w:tc>
          <w:tcPr>
            <w:tcW w:w="1540" w:type="dxa"/>
            <w:vAlign w:val="center"/>
          </w:tcPr>
          <w:p w14:paraId="38C0C3B7">
            <w:pPr>
              <w:spacing w:line="360" w:lineRule="auto"/>
              <w:jc w:val="center"/>
              <w:rPr>
                <w:rFonts w:ascii="Arial" w:hAnsi="Arial" w:cs="Arial"/>
                <w:color w:val="000000" w:themeColor="text1"/>
                <w:sz w:val="24"/>
                <w:szCs w:val="24"/>
                <w:highlight w:val="none"/>
                <w14:textFill>
                  <w14:solidFill>
                    <w14:schemeClr w14:val="tx1"/>
                  </w14:solidFill>
                </w14:textFill>
              </w:rPr>
            </w:pPr>
          </w:p>
        </w:tc>
        <w:tc>
          <w:tcPr>
            <w:tcW w:w="1384" w:type="dxa"/>
            <w:vAlign w:val="center"/>
          </w:tcPr>
          <w:p w14:paraId="308BE03B">
            <w:pPr>
              <w:spacing w:line="360" w:lineRule="auto"/>
              <w:jc w:val="center"/>
              <w:rPr>
                <w:rFonts w:ascii="Arial" w:hAnsi="Arial" w:cs="Arial"/>
                <w:color w:val="000000" w:themeColor="text1"/>
                <w:sz w:val="24"/>
                <w:szCs w:val="24"/>
                <w:highlight w:val="none"/>
                <w14:textFill>
                  <w14:solidFill>
                    <w14:schemeClr w14:val="tx1"/>
                  </w14:solidFill>
                </w14:textFill>
              </w:rPr>
            </w:pPr>
            <w:r>
              <w:rPr>
                <w:rFonts w:ascii="Arial" w:hAnsi="宋体" w:cs="Arial"/>
                <w:color w:val="000000" w:themeColor="text1"/>
                <w:sz w:val="24"/>
                <w:szCs w:val="24"/>
                <w:highlight w:val="none"/>
                <w14:textFill>
                  <w14:solidFill>
                    <w14:schemeClr w14:val="tx1"/>
                  </w14:solidFill>
                </w14:textFill>
              </w:rPr>
              <w:t>年龄</w:t>
            </w:r>
          </w:p>
        </w:tc>
        <w:tc>
          <w:tcPr>
            <w:tcW w:w="1536" w:type="dxa"/>
            <w:vAlign w:val="center"/>
          </w:tcPr>
          <w:p w14:paraId="733DF312">
            <w:pPr>
              <w:spacing w:line="360" w:lineRule="auto"/>
              <w:jc w:val="center"/>
              <w:rPr>
                <w:rFonts w:ascii="Arial" w:hAnsi="Arial" w:cs="Arial"/>
                <w:color w:val="000000" w:themeColor="text1"/>
                <w:sz w:val="24"/>
                <w:szCs w:val="24"/>
                <w:highlight w:val="none"/>
                <w14:textFill>
                  <w14:solidFill>
                    <w14:schemeClr w14:val="tx1"/>
                  </w14:solidFill>
                </w14:textFill>
              </w:rPr>
            </w:pPr>
          </w:p>
        </w:tc>
      </w:tr>
      <w:tr w14:paraId="15720E6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80" w:type="dxa"/>
            <w:vAlign w:val="center"/>
          </w:tcPr>
          <w:p w14:paraId="3BEEC929">
            <w:pPr>
              <w:spacing w:line="360" w:lineRule="auto"/>
              <w:jc w:val="center"/>
              <w:rPr>
                <w:rFonts w:ascii="Arial" w:hAnsi="Arial" w:cs="Arial"/>
                <w:color w:val="000000" w:themeColor="text1"/>
                <w:sz w:val="24"/>
                <w:szCs w:val="24"/>
                <w:highlight w:val="none"/>
                <w14:textFill>
                  <w14:solidFill>
                    <w14:schemeClr w14:val="tx1"/>
                  </w14:solidFill>
                </w14:textFill>
              </w:rPr>
            </w:pPr>
            <w:r>
              <w:rPr>
                <w:rFonts w:ascii="Arial" w:hAnsi="宋体" w:cs="Arial"/>
                <w:color w:val="000000" w:themeColor="text1"/>
                <w:sz w:val="24"/>
                <w:szCs w:val="24"/>
                <w:highlight w:val="none"/>
                <w14:textFill>
                  <w14:solidFill>
                    <w14:schemeClr w14:val="tx1"/>
                  </w14:solidFill>
                </w14:textFill>
              </w:rPr>
              <w:t>职务</w:t>
            </w:r>
          </w:p>
        </w:tc>
        <w:tc>
          <w:tcPr>
            <w:tcW w:w="2278" w:type="dxa"/>
            <w:gridSpan w:val="2"/>
            <w:vAlign w:val="center"/>
          </w:tcPr>
          <w:p w14:paraId="34E12FFE">
            <w:pPr>
              <w:spacing w:line="360" w:lineRule="auto"/>
              <w:jc w:val="center"/>
              <w:rPr>
                <w:rFonts w:ascii="Arial" w:hAnsi="Arial" w:cs="Arial"/>
                <w:color w:val="000000" w:themeColor="text1"/>
                <w:sz w:val="24"/>
                <w:szCs w:val="24"/>
                <w:highlight w:val="none"/>
                <w14:textFill>
                  <w14:solidFill>
                    <w14:schemeClr w14:val="tx1"/>
                  </w14:solidFill>
                </w14:textFill>
              </w:rPr>
            </w:pPr>
          </w:p>
        </w:tc>
        <w:tc>
          <w:tcPr>
            <w:tcW w:w="769" w:type="dxa"/>
            <w:vAlign w:val="center"/>
          </w:tcPr>
          <w:p w14:paraId="0D9B5410">
            <w:pPr>
              <w:spacing w:line="360" w:lineRule="auto"/>
              <w:jc w:val="center"/>
              <w:rPr>
                <w:rFonts w:ascii="Arial" w:hAnsi="Arial" w:cs="Arial"/>
                <w:color w:val="000000" w:themeColor="text1"/>
                <w:sz w:val="24"/>
                <w:szCs w:val="24"/>
                <w:highlight w:val="none"/>
                <w14:textFill>
                  <w14:solidFill>
                    <w14:schemeClr w14:val="tx1"/>
                  </w14:solidFill>
                </w14:textFill>
              </w:rPr>
            </w:pPr>
            <w:r>
              <w:rPr>
                <w:rFonts w:ascii="Arial" w:hAnsi="宋体" w:cs="Arial"/>
                <w:color w:val="000000" w:themeColor="text1"/>
                <w:sz w:val="24"/>
                <w:szCs w:val="24"/>
                <w:highlight w:val="none"/>
                <w14:textFill>
                  <w14:solidFill>
                    <w14:schemeClr w14:val="tx1"/>
                  </w14:solidFill>
                </w14:textFill>
              </w:rPr>
              <w:t>职称</w:t>
            </w:r>
          </w:p>
        </w:tc>
        <w:tc>
          <w:tcPr>
            <w:tcW w:w="1540" w:type="dxa"/>
            <w:vAlign w:val="center"/>
          </w:tcPr>
          <w:p w14:paraId="78255832">
            <w:pPr>
              <w:spacing w:line="360" w:lineRule="auto"/>
              <w:jc w:val="center"/>
              <w:rPr>
                <w:rFonts w:ascii="Arial" w:hAnsi="Arial" w:cs="Arial"/>
                <w:color w:val="000000" w:themeColor="text1"/>
                <w:sz w:val="24"/>
                <w:szCs w:val="24"/>
                <w:highlight w:val="none"/>
                <w14:textFill>
                  <w14:solidFill>
                    <w14:schemeClr w14:val="tx1"/>
                  </w14:solidFill>
                </w14:textFill>
              </w:rPr>
            </w:pPr>
          </w:p>
        </w:tc>
        <w:tc>
          <w:tcPr>
            <w:tcW w:w="1384" w:type="dxa"/>
            <w:vAlign w:val="center"/>
          </w:tcPr>
          <w:p w14:paraId="29AB39D5">
            <w:pPr>
              <w:spacing w:line="360" w:lineRule="auto"/>
              <w:jc w:val="center"/>
              <w:rPr>
                <w:rFonts w:ascii="Arial" w:hAnsi="Arial" w:cs="Arial"/>
                <w:color w:val="000000" w:themeColor="text1"/>
                <w:sz w:val="24"/>
                <w:szCs w:val="24"/>
                <w:highlight w:val="none"/>
                <w14:textFill>
                  <w14:solidFill>
                    <w14:schemeClr w14:val="tx1"/>
                  </w14:solidFill>
                </w14:textFill>
              </w:rPr>
            </w:pPr>
            <w:r>
              <w:rPr>
                <w:rFonts w:ascii="Arial" w:hAnsi="宋体" w:cs="Arial"/>
                <w:color w:val="000000" w:themeColor="text1"/>
                <w:sz w:val="24"/>
                <w:szCs w:val="24"/>
                <w:highlight w:val="none"/>
                <w14:textFill>
                  <w14:solidFill>
                    <w14:schemeClr w14:val="tx1"/>
                  </w14:solidFill>
                </w14:textFill>
              </w:rPr>
              <w:t>学历</w:t>
            </w:r>
          </w:p>
        </w:tc>
        <w:tc>
          <w:tcPr>
            <w:tcW w:w="1536" w:type="dxa"/>
            <w:vAlign w:val="center"/>
          </w:tcPr>
          <w:p w14:paraId="5784672F">
            <w:pPr>
              <w:spacing w:line="360" w:lineRule="auto"/>
              <w:jc w:val="center"/>
              <w:rPr>
                <w:rFonts w:ascii="Arial" w:hAnsi="Arial" w:cs="Arial"/>
                <w:color w:val="000000" w:themeColor="text1"/>
                <w:sz w:val="24"/>
                <w:szCs w:val="24"/>
                <w:highlight w:val="none"/>
                <w14:textFill>
                  <w14:solidFill>
                    <w14:schemeClr w14:val="tx1"/>
                  </w14:solidFill>
                </w14:textFill>
              </w:rPr>
            </w:pPr>
          </w:p>
        </w:tc>
      </w:tr>
      <w:tr w14:paraId="46863DF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2425" w:type="dxa"/>
            <w:gridSpan w:val="2"/>
            <w:vAlign w:val="center"/>
          </w:tcPr>
          <w:p w14:paraId="72A094C9">
            <w:pPr>
              <w:spacing w:line="360" w:lineRule="auto"/>
              <w:jc w:val="center"/>
              <w:rPr>
                <w:rFonts w:ascii="Arial" w:hAnsi="Arial" w:cs="Arial"/>
                <w:color w:val="000000" w:themeColor="text1"/>
                <w:sz w:val="24"/>
                <w:szCs w:val="24"/>
                <w:highlight w:val="none"/>
                <w14:textFill>
                  <w14:solidFill>
                    <w14:schemeClr w14:val="tx1"/>
                  </w14:solidFill>
                </w14:textFill>
              </w:rPr>
            </w:pPr>
            <w:r>
              <w:rPr>
                <w:rFonts w:ascii="Arial" w:hAnsi="宋体" w:cs="Arial"/>
                <w:color w:val="000000" w:themeColor="text1"/>
                <w:sz w:val="24"/>
                <w:szCs w:val="24"/>
                <w:highlight w:val="none"/>
                <w14:textFill>
                  <w14:solidFill>
                    <w14:schemeClr w14:val="tx1"/>
                  </w14:solidFill>
                </w14:textFill>
              </w:rPr>
              <w:t>参加工作时间</w:t>
            </w:r>
          </w:p>
        </w:tc>
        <w:tc>
          <w:tcPr>
            <w:tcW w:w="1502" w:type="dxa"/>
            <w:gridSpan w:val="2"/>
            <w:vAlign w:val="center"/>
          </w:tcPr>
          <w:p w14:paraId="0CAF9569">
            <w:pPr>
              <w:spacing w:line="360" w:lineRule="auto"/>
              <w:jc w:val="center"/>
              <w:rPr>
                <w:rFonts w:ascii="Arial" w:hAnsi="Arial" w:cs="Arial"/>
                <w:color w:val="000000" w:themeColor="text1"/>
                <w:sz w:val="24"/>
                <w:szCs w:val="24"/>
                <w:highlight w:val="none"/>
                <w14:textFill>
                  <w14:solidFill>
                    <w14:schemeClr w14:val="tx1"/>
                  </w14:solidFill>
                </w14:textFill>
              </w:rPr>
            </w:pPr>
          </w:p>
        </w:tc>
        <w:tc>
          <w:tcPr>
            <w:tcW w:w="2924" w:type="dxa"/>
            <w:gridSpan w:val="2"/>
            <w:vAlign w:val="center"/>
          </w:tcPr>
          <w:p w14:paraId="011101EF">
            <w:pPr>
              <w:spacing w:line="360" w:lineRule="auto"/>
              <w:jc w:val="center"/>
              <w:rPr>
                <w:rFonts w:ascii="Arial" w:hAnsi="Arial" w:cs="Arial"/>
                <w:color w:val="000000" w:themeColor="text1"/>
                <w:sz w:val="24"/>
                <w:szCs w:val="24"/>
                <w:highlight w:val="none"/>
                <w14:textFill>
                  <w14:solidFill>
                    <w14:schemeClr w14:val="tx1"/>
                  </w14:solidFill>
                </w14:textFill>
              </w:rPr>
            </w:pPr>
            <w:r>
              <w:rPr>
                <w:rFonts w:ascii="Arial" w:hAnsi="宋体" w:cs="Arial"/>
                <w:color w:val="000000" w:themeColor="text1"/>
                <w:sz w:val="24"/>
                <w:szCs w:val="24"/>
                <w:highlight w:val="none"/>
                <w14:textFill>
                  <w14:solidFill>
                    <w14:schemeClr w14:val="tx1"/>
                  </w14:solidFill>
                </w14:textFill>
              </w:rPr>
              <w:t>担任项目负责人年限</w:t>
            </w:r>
          </w:p>
        </w:tc>
        <w:tc>
          <w:tcPr>
            <w:tcW w:w="1536" w:type="dxa"/>
            <w:vAlign w:val="center"/>
          </w:tcPr>
          <w:p w14:paraId="4FCFA36A">
            <w:pPr>
              <w:spacing w:line="360" w:lineRule="auto"/>
              <w:jc w:val="center"/>
              <w:rPr>
                <w:rFonts w:ascii="Arial" w:hAnsi="Arial" w:cs="Arial"/>
                <w:color w:val="000000" w:themeColor="text1"/>
                <w:sz w:val="24"/>
                <w:szCs w:val="24"/>
                <w:highlight w:val="none"/>
                <w14:textFill>
                  <w14:solidFill>
                    <w14:schemeClr w14:val="tx1"/>
                  </w14:solidFill>
                </w14:textFill>
              </w:rPr>
            </w:pPr>
          </w:p>
        </w:tc>
      </w:tr>
      <w:tr w14:paraId="55CA09C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8387" w:type="dxa"/>
            <w:gridSpan w:val="7"/>
            <w:vAlign w:val="center"/>
          </w:tcPr>
          <w:p w14:paraId="5E43DB94">
            <w:pPr>
              <w:spacing w:line="360" w:lineRule="auto"/>
              <w:jc w:val="center"/>
              <w:rPr>
                <w:rFonts w:ascii="Arial" w:hAnsi="Arial" w:cs="Arial"/>
                <w:color w:val="000000" w:themeColor="text1"/>
                <w:sz w:val="24"/>
                <w:szCs w:val="24"/>
                <w:highlight w:val="none"/>
                <w14:textFill>
                  <w14:solidFill>
                    <w14:schemeClr w14:val="tx1"/>
                  </w14:solidFill>
                </w14:textFill>
              </w:rPr>
            </w:pPr>
            <w:r>
              <w:rPr>
                <w:rFonts w:hint="eastAsia" w:ascii="Arial" w:hAnsi="Arial" w:cs="Arial"/>
                <w:color w:val="000000" w:themeColor="text1"/>
                <w:sz w:val="24"/>
                <w:szCs w:val="24"/>
                <w:highlight w:val="none"/>
                <w14:textFill>
                  <w14:solidFill>
                    <w14:schemeClr w14:val="tx1"/>
                  </w14:solidFill>
                </w14:textFill>
              </w:rPr>
              <w:t>获奖情况（提供相关证明资料）</w:t>
            </w:r>
          </w:p>
        </w:tc>
      </w:tr>
      <w:tr w14:paraId="62647CE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8387" w:type="dxa"/>
            <w:gridSpan w:val="7"/>
            <w:vAlign w:val="center"/>
          </w:tcPr>
          <w:p w14:paraId="7E2E63CA">
            <w:pPr>
              <w:spacing w:line="360" w:lineRule="auto"/>
              <w:jc w:val="center"/>
              <w:rPr>
                <w:rFonts w:ascii="Arial" w:hAnsi="Arial" w:cs="Arial"/>
                <w:color w:val="000000" w:themeColor="text1"/>
                <w:sz w:val="24"/>
                <w:szCs w:val="24"/>
                <w:highlight w:val="none"/>
                <w14:textFill>
                  <w14:solidFill>
                    <w14:schemeClr w14:val="tx1"/>
                  </w14:solidFill>
                </w14:textFill>
              </w:rPr>
            </w:pPr>
            <w:r>
              <w:rPr>
                <w:rFonts w:ascii="Arial" w:hAnsi="宋体" w:cs="Arial"/>
                <w:color w:val="000000" w:themeColor="text1"/>
                <w:sz w:val="24"/>
                <w:szCs w:val="24"/>
                <w:highlight w:val="none"/>
                <w14:textFill>
                  <w14:solidFill>
                    <w14:schemeClr w14:val="tx1"/>
                  </w14:solidFill>
                </w14:textFill>
              </w:rPr>
              <w:t>已完成类似项目业绩情况</w:t>
            </w:r>
            <w:r>
              <w:rPr>
                <w:rFonts w:hint="eastAsia" w:ascii="Arial" w:hAnsi="宋体" w:cs="Arial"/>
                <w:color w:val="000000" w:themeColor="text1"/>
                <w:sz w:val="24"/>
                <w:szCs w:val="24"/>
                <w:highlight w:val="none"/>
                <w14:textFill>
                  <w14:solidFill>
                    <w14:schemeClr w14:val="tx1"/>
                  </w14:solidFill>
                </w14:textFill>
              </w:rPr>
              <w:t>业绩</w:t>
            </w:r>
          </w:p>
        </w:tc>
      </w:tr>
      <w:tr w14:paraId="50B107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2425" w:type="dxa"/>
            <w:gridSpan w:val="2"/>
            <w:vAlign w:val="center"/>
          </w:tcPr>
          <w:p w14:paraId="6708DB6F">
            <w:pPr>
              <w:spacing w:line="360" w:lineRule="auto"/>
              <w:jc w:val="center"/>
              <w:rPr>
                <w:rFonts w:ascii="Arial" w:hAnsi="Arial" w:cs="Arial"/>
                <w:color w:val="000000" w:themeColor="text1"/>
                <w:sz w:val="24"/>
                <w:szCs w:val="24"/>
                <w:highlight w:val="none"/>
                <w14:textFill>
                  <w14:solidFill>
                    <w14:schemeClr w14:val="tx1"/>
                  </w14:solidFill>
                </w14:textFill>
              </w:rPr>
            </w:pPr>
            <w:r>
              <w:rPr>
                <w:rFonts w:ascii="Arial" w:hAnsi="宋体" w:cs="Arial"/>
                <w:color w:val="000000" w:themeColor="text1"/>
                <w:sz w:val="24"/>
                <w:szCs w:val="24"/>
                <w:highlight w:val="none"/>
                <w14:textFill>
                  <w14:solidFill>
                    <w14:schemeClr w14:val="tx1"/>
                  </w14:solidFill>
                </w14:textFill>
              </w:rPr>
              <w:t>服务单位</w:t>
            </w:r>
          </w:p>
        </w:tc>
        <w:tc>
          <w:tcPr>
            <w:tcW w:w="1502" w:type="dxa"/>
            <w:gridSpan w:val="2"/>
            <w:vAlign w:val="center"/>
          </w:tcPr>
          <w:p w14:paraId="3EEFB5D9">
            <w:pPr>
              <w:spacing w:line="360" w:lineRule="auto"/>
              <w:jc w:val="center"/>
              <w:rPr>
                <w:rFonts w:ascii="Arial" w:hAnsi="Arial" w:cs="Arial"/>
                <w:color w:val="000000" w:themeColor="text1"/>
                <w:sz w:val="24"/>
                <w:szCs w:val="24"/>
                <w:highlight w:val="none"/>
                <w14:textFill>
                  <w14:solidFill>
                    <w14:schemeClr w14:val="tx1"/>
                  </w14:solidFill>
                </w14:textFill>
              </w:rPr>
            </w:pPr>
            <w:r>
              <w:rPr>
                <w:rFonts w:ascii="Arial" w:hAnsi="宋体" w:cs="Arial"/>
                <w:color w:val="000000" w:themeColor="text1"/>
                <w:sz w:val="24"/>
                <w:szCs w:val="24"/>
                <w:highlight w:val="none"/>
                <w14:textFill>
                  <w14:solidFill>
                    <w14:schemeClr w14:val="tx1"/>
                  </w14:solidFill>
                </w14:textFill>
              </w:rPr>
              <w:t>服务内容</w:t>
            </w:r>
          </w:p>
        </w:tc>
        <w:tc>
          <w:tcPr>
            <w:tcW w:w="1540" w:type="dxa"/>
            <w:vAlign w:val="center"/>
          </w:tcPr>
          <w:p w14:paraId="26F6DC59">
            <w:pPr>
              <w:spacing w:line="360" w:lineRule="auto"/>
              <w:jc w:val="center"/>
              <w:rPr>
                <w:rFonts w:ascii="Arial" w:hAnsi="宋体" w:cs="Arial"/>
                <w:color w:val="000000" w:themeColor="text1"/>
                <w:sz w:val="24"/>
                <w:szCs w:val="24"/>
                <w:highlight w:val="none"/>
                <w14:textFill>
                  <w14:solidFill>
                    <w14:schemeClr w14:val="tx1"/>
                  </w14:solidFill>
                </w14:textFill>
              </w:rPr>
            </w:pPr>
            <w:r>
              <w:rPr>
                <w:rFonts w:hint="eastAsia" w:ascii="Arial" w:hAnsi="宋体" w:cs="Arial"/>
                <w:color w:val="000000" w:themeColor="text1"/>
                <w:sz w:val="24"/>
                <w:szCs w:val="24"/>
                <w:highlight w:val="none"/>
                <w14:textFill>
                  <w14:solidFill>
                    <w14:schemeClr w14:val="tx1"/>
                  </w14:solidFill>
                </w14:textFill>
              </w:rPr>
              <w:t>岗位</w:t>
            </w:r>
          </w:p>
        </w:tc>
        <w:tc>
          <w:tcPr>
            <w:tcW w:w="2920" w:type="dxa"/>
            <w:gridSpan w:val="2"/>
            <w:vAlign w:val="center"/>
          </w:tcPr>
          <w:p w14:paraId="28BF2EA0">
            <w:pPr>
              <w:spacing w:line="360" w:lineRule="auto"/>
              <w:jc w:val="center"/>
              <w:rPr>
                <w:rFonts w:ascii="Arial" w:hAnsi="Arial" w:cs="Arial"/>
                <w:color w:val="000000" w:themeColor="text1"/>
                <w:sz w:val="24"/>
                <w:szCs w:val="24"/>
                <w:highlight w:val="none"/>
                <w14:textFill>
                  <w14:solidFill>
                    <w14:schemeClr w14:val="tx1"/>
                  </w14:solidFill>
                </w14:textFill>
              </w:rPr>
            </w:pPr>
            <w:r>
              <w:rPr>
                <w:rFonts w:ascii="Arial" w:hAnsi="宋体" w:cs="Arial"/>
                <w:color w:val="000000" w:themeColor="text1"/>
                <w:sz w:val="24"/>
                <w:szCs w:val="24"/>
                <w:highlight w:val="none"/>
                <w14:textFill>
                  <w14:solidFill>
                    <w14:schemeClr w14:val="tx1"/>
                  </w14:solidFill>
                </w14:textFill>
              </w:rPr>
              <w:t>服务截止日期</w:t>
            </w:r>
          </w:p>
        </w:tc>
      </w:tr>
      <w:tr w14:paraId="17988F5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425" w:type="dxa"/>
            <w:gridSpan w:val="2"/>
            <w:vAlign w:val="center"/>
          </w:tcPr>
          <w:p w14:paraId="03062E88">
            <w:pPr>
              <w:spacing w:line="360" w:lineRule="auto"/>
              <w:jc w:val="center"/>
              <w:rPr>
                <w:rFonts w:ascii="Arial" w:hAnsi="Arial" w:cs="Arial"/>
                <w:color w:val="000000" w:themeColor="text1"/>
                <w:highlight w:val="none"/>
                <w14:textFill>
                  <w14:solidFill>
                    <w14:schemeClr w14:val="tx1"/>
                  </w14:solidFill>
                </w14:textFill>
              </w:rPr>
            </w:pPr>
          </w:p>
        </w:tc>
        <w:tc>
          <w:tcPr>
            <w:tcW w:w="1502" w:type="dxa"/>
            <w:gridSpan w:val="2"/>
            <w:vAlign w:val="center"/>
          </w:tcPr>
          <w:p w14:paraId="7B37BF50">
            <w:pPr>
              <w:spacing w:line="360" w:lineRule="auto"/>
              <w:jc w:val="center"/>
              <w:rPr>
                <w:rFonts w:ascii="Arial" w:hAnsi="Arial" w:cs="Arial"/>
                <w:color w:val="000000" w:themeColor="text1"/>
                <w:highlight w:val="none"/>
                <w14:textFill>
                  <w14:solidFill>
                    <w14:schemeClr w14:val="tx1"/>
                  </w14:solidFill>
                </w14:textFill>
              </w:rPr>
            </w:pPr>
          </w:p>
        </w:tc>
        <w:tc>
          <w:tcPr>
            <w:tcW w:w="1540" w:type="dxa"/>
            <w:vAlign w:val="center"/>
          </w:tcPr>
          <w:p w14:paraId="10CC981E">
            <w:pPr>
              <w:spacing w:line="360" w:lineRule="auto"/>
              <w:jc w:val="center"/>
              <w:rPr>
                <w:rFonts w:ascii="Arial" w:hAnsi="Arial" w:cs="Arial"/>
                <w:color w:val="000000" w:themeColor="text1"/>
                <w:highlight w:val="none"/>
                <w14:textFill>
                  <w14:solidFill>
                    <w14:schemeClr w14:val="tx1"/>
                  </w14:solidFill>
                </w14:textFill>
              </w:rPr>
            </w:pPr>
          </w:p>
        </w:tc>
        <w:tc>
          <w:tcPr>
            <w:tcW w:w="2920" w:type="dxa"/>
            <w:gridSpan w:val="2"/>
            <w:vAlign w:val="center"/>
          </w:tcPr>
          <w:p w14:paraId="59EACD30">
            <w:pPr>
              <w:spacing w:line="360" w:lineRule="auto"/>
              <w:jc w:val="center"/>
              <w:rPr>
                <w:rFonts w:ascii="Arial" w:hAnsi="Arial" w:cs="Arial"/>
                <w:color w:val="000000" w:themeColor="text1"/>
                <w:highlight w:val="none"/>
                <w14:textFill>
                  <w14:solidFill>
                    <w14:schemeClr w14:val="tx1"/>
                  </w14:solidFill>
                </w14:textFill>
              </w:rPr>
            </w:pPr>
          </w:p>
        </w:tc>
      </w:tr>
      <w:tr w14:paraId="57F50FB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425" w:type="dxa"/>
            <w:gridSpan w:val="2"/>
            <w:vAlign w:val="center"/>
          </w:tcPr>
          <w:p w14:paraId="5C08E3A0">
            <w:pPr>
              <w:spacing w:line="360" w:lineRule="auto"/>
              <w:jc w:val="center"/>
              <w:rPr>
                <w:rFonts w:ascii="Arial" w:hAnsi="Arial" w:cs="Arial"/>
                <w:color w:val="000000" w:themeColor="text1"/>
                <w:highlight w:val="none"/>
                <w14:textFill>
                  <w14:solidFill>
                    <w14:schemeClr w14:val="tx1"/>
                  </w14:solidFill>
                </w14:textFill>
              </w:rPr>
            </w:pPr>
          </w:p>
        </w:tc>
        <w:tc>
          <w:tcPr>
            <w:tcW w:w="1502" w:type="dxa"/>
            <w:gridSpan w:val="2"/>
            <w:vAlign w:val="center"/>
          </w:tcPr>
          <w:p w14:paraId="4886534E">
            <w:pPr>
              <w:spacing w:line="360" w:lineRule="auto"/>
              <w:jc w:val="center"/>
              <w:rPr>
                <w:rFonts w:ascii="Arial" w:hAnsi="Arial" w:cs="Arial"/>
                <w:color w:val="000000" w:themeColor="text1"/>
                <w:highlight w:val="none"/>
                <w14:textFill>
                  <w14:solidFill>
                    <w14:schemeClr w14:val="tx1"/>
                  </w14:solidFill>
                </w14:textFill>
              </w:rPr>
            </w:pPr>
          </w:p>
        </w:tc>
        <w:tc>
          <w:tcPr>
            <w:tcW w:w="1540" w:type="dxa"/>
            <w:vAlign w:val="center"/>
          </w:tcPr>
          <w:p w14:paraId="7ACA24E7">
            <w:pPr>
              <w:spacing w:line="360" w:lineRule="auto"/>
              <w:jc w:val="center"/>
              <w:rPr>
                <w:rFonts w:ascii="Arial" w:hAnsi="Arial" w:cs="Arial"/>
                <w:color w:val="000000" w:themeColor="text1"/>
                <w:highlight w:val="none"/>
                <w14:textFill>
                  <w14:solidFill>
                    <w14:schemeClr w14:val="tx1"/>
                  </w14:solidFill>
                </w14:textFill>
              </w:rPr>
            </w:pPr>
          </w:p>
        </w:tc>
        <w:tc>
          <w:tcPr>
            <w:tcW w:w="2920" w:type="dxa"/>
            <w:gridSpan w:val="2"/>
            <w:vAlign w:val="center"/>
          </w:tcPr>
          <w:p w14:paraId="1C0351C5">
            <w:pPr>
              <w:spacing w:line="360" w:lineRule="auto"/>
              <w:jc w:val="center"/>
              <w:rPr>
                <w:rFonts w:ascii="Arial" w:hAnsi="Arial" w:cs="Arial"/>
                <w:color w:val="000000" w:themeColor="text1"/>
                <w:highlight w:val="none"/>
                <w14:textFill>
                  <w14:solidFill>
                    <w14:schemeClr w14:val="tx1"/>
                  </w14:solidFill>
                </w14:textFill>
              </w:rPr>
            </w:pPr>
          </w:p>
        </w:tc>
      </w:tr>
      <w:tr w14:paraId="34E0515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425" w:type="dxa"/>
            <w:gridSpan w:val="2"/>
            <w:vAlign w:val="center"/>
          </w:tcPr>
          <w:p w14:paraId="1D4398C7">
            <w:pPr>
              <w:spacing w:line="360" w:lineRule="auto"/>
              <w:jc w:val="center"/>
              <w:rPr>
                <w:rFonts w:ascii="Arial" w:hAnsi="Arial" w:cs="Arial"/>
                <w:color w:val="000000" w:themeColor="text1"/>
                <w:highlight w:val="none"/>
                <w14:textFill>
                  <w14:solidFill>
                    <w14:schemeClr w14:val="tx1"/>
                  </w14:solidFill>
                </w14:textFill>
              </w:rPr>
            </w:pPr>
          </w:p>
        </w:tc>
        <w:tc>
          <w:tcPr>
            <w:tcW w:w="1502" w:type="dxa"/>
            <w:gridSpan w:val="2"/>
            <w:vAlign w:val="center"/>
          </w:tcPr>
          <w:p w14:paraId="6B066517">
            <w:pPr>
              <w:spacing w:line="360" w:lineRule="auto"/>
              <w:jc w:val="center"/>
              <w:rPr>
                <w:rFonts w:ascii="Arial" w:hAnsi="Arial" w:cs="Arial"/>
                <w:color w:val="000000" w:themeColor="text1"/>
                <w:highlight w:val="none"/>
                <w14:textFill>
                  <w14:solidFill>
                    <w14:schemeClr w14:val="tx1"/>
                  </w14:solidFill>
                </w14:textFill>
              </w:rPr>
            </w:pPr>
          </w:p>
        </w:tc>
        <w:tc>
          <w:tcPr>
            <w:tcW w:w="1540" w:type="dxa"/>
            <w:vAlign w:val="center"/>
          </w:tcPr>
          <w:p w14:paraId="4C1E735C">
            <w:pPr>
              <w:spacing w:line="360" w:lineRule="auto"/>
              <w:jc w:val="center"/>
              <w:rPr>
                <w:rFonts w:ascii="Arial" w:hAnsi="Arial" w:cs="Arial"/>
                <w:color w:val="000000" w:themeColor="text1"/>
                <w:highlight w:val="none"/>
                <w14:textFill>
                  <w14:solidFill>
                    <w14:schemeClr w14:val="tx1"/>
                  </w14:solidFill>
                </w14:textFill>
              </w:rPr>
            </w:pPr>
          </w:p>
        </w:tc>
        <w:tc>
          <w:tcPr>
            <w:tcW w:w="2920" w:type="dxa"/>
            <w:gridSpan w:val="2"/>
            <w:vAlign w:val="center"/>
          </w:tcPr>
          <w:p w14:paraId="65AAE140">
            <w:pPr>
              <w:spacing w:line="360" w:lineRule="auto"/>
              <w:jc w:val="center"/>
              <w:rPr>
                <w:rFonts w:ascii="Arial" w:hAnsi="Arial" w:cs="Arial"/>
                <w:color w:val="000000" w:themeColor="text1"/>
                <w:highlight w:val="none"/>
                <w14:textFill>
                  <w14:solidFill>
                    <w14:schemeClr w14:val="tx1"/>
                  </w14:solidFill>
                </w14:textFill>
              </w:rPr>
            </w:pPr>
          </w:p>
        </w:tc>
      </w:tr>
      <w:tr w14:paraId="7DB4311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425" w:type="dxa"/>
            <w:gridSpan w:val="2"/>
            <w:vAlign w:val="center"/>
          </w:tcPr>
          <w:p w14:paraId="555B56F4">
            <w:pPr>
              <w:spacing w:line="360" w:lineRule="auto"/>
              <w:jc w:val="center"/>
              <w:rPr>
                <w:rFonts w:ascii="Arial" w:hAnsi="Arial" w:cs="Arial"/>
                <w:color w:val="000000" w:themeColor="text1"/>
                <w:highlight w:val="none"/>
                <w14:textFill>
                  <w14:solidFill>
                    <w14:schemeClr w14:val="tx1"/>
                  </w14:solidFill>
                </w14:textFill>
              </w:rPr>
            </w:pPr>
          </w:p>
        </w:tc>
        <w:tc>
          <w:tcPr>
            <w:tcW w:w="1502" w:type="dxa"/>
            <w:gridSpan w:val="2"/>
            <w:vAlign w:val="center"/>
          </w:tcPr>
          <w:p w14:paraId="191B576D">
            <w:pPr>
              <w:spacing w:line="360" w:lineRule="auto"/>
              <w:jc w:val="center"/>
              <w:rPr>
                <w:rFonts w:ascii="Arial" w:hAnsi="Arial" w:cs="Arial"/>
                <w:color w:val="000000" w:themeColor="text1"/>
                <w:highlight w:val="none"/>
                <w14:textFill>
                  <w14:solidFill>
                    <w14:schemeClr w14:val="tx1"/>
                  </w14:solidFill>
                </w14:textFill>
              </w:rPr>
            </w:pPr>
          </w:p>
        </w:tc>
        <w:tc>
          <w:tcPr>
            <w:tcW w:w="1540" w:type="dxa"/>
            <w:vAlign w:val="center"/>
          </w:tcPr>
          <w:p w14:paraId="6B5629AF">
            <w:pPr>
              <w:spacing w:line="360" w:lineRule="auto"/>
              <w:jc w:val="center"/>
              <w:rPr>
                <w:rFonts w:ascii="Arial" w:hAnsi="Arial" w:cs="Arial"/>
                <w:color w:val="000000" w:themeColor="text1"/>
                <w:highlight w:val="none"/>
                <w14:textFill>
                  <w14:solidFill>
                    <w14:schemeClr w14:val="tx1"/>
                  </w14:solidFill>
                </w14:textFill>
              </w:rPr>
            </w:pPr>
          </w:p>
        </w:tc>
        <w:tc>
          <w:tcPr>
            <w:tcW w:w="2920" w:type="dxa"/>
            <w:gridSpan w:val="2"/>
            <w:vAlign w:val="center"/>
          </w:tcPr>
          <w:p w14:paraId="22152F60">
            <w:pPr>
              <w:spacing w:line="360" w:lineRule="auto"/>
              <w:jc w:val="center"/>
              <w:rPr>
                <w:rFonts w:ascii="Arial" w:hAnsi="Arial" w:cs="Arial"/>
                <w:color w:val="000000" w:themeColor="text1"/>
                <w:highlight w:val="none"/>
                <w14:textFill>
                  <w14:solidFill>
                    <w14:schemeClr w14:val="tx1"/>
                  </w14:solidFill>
                </w14:textFill>
              </w:rPr>
            </w:pPr>
          </w:p>
        </w:tc>
      </w:tr>
      <w:tr w14:paraId="7EEFB33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425" w:type="dxa"/>
            <w:gridSpan w:val="2"/>
            <w:vAlign w:val="center"/>
          </w:tcPr>
          <w:p w14:paraId="473A3E4E">
            <w:pPr>
              <w:spacing w:line="360" w:lineRule="auto"/>
              <w:jc w:val="center"/>
              <w:rPr>
                <w:rFonts w:ascii="Arial" w:hAnsi="Arial" w:cs="Arial"/>
                <w:color w:val="000000" w:themeColor="text1"/>
                <w:highlight w:val="none"/>
                <w14:textFill>
                  <w14:solidFill>
                    <w14:schemeClr w14:val="tx1"/>
                  </w14:solidFill>
                </w14:textFill>
              </w:rPr>
            </w:pPr>
          </w:p>
        </w:tc>
        <w:tc>
          <w:tcPr>
            <w:tcW w:w="1502" w:type="dxa"/>
            <w:gridSpan w:val="2"/>
            <w:vAlign w:val="center"/>
          </w:tcPr>
          <w:p w14:paraId="622AE285">
            <w:pPr>
              <w:spacing w:line="360" w:lineRule="auto"/>
              <w:jc w:val="center"/>
              <w:rPr>
                <w:rFonts w:ascii="Arial" w:hAnsi="Arial" w:cs="Arial"/>
                <w:color w:val="000000" w:themeColor="text1"/>
                <w:highlight w:val="none"/>
                <w14:textFill>
                  <w14:solidFill>
                    <w14:schemeClr w14:val="tx1"/>
                  </w14:solidFill>
                </w14:textFill>
              </w:rPr>
            </w:pPr>
          </w:p>
        </w:tc>
        <w:tc>
          <w:tcPr>
            <w:tcW w:w="1540" w:type="dxa"/>
            <w:vAlign w:val="center"/>
          </w:tcPr>
          <w:p w14:paraId="5A6602EE">
            <w:pPr>
              <w:spacing w:line="360" w:lineRule="auto"/>
              <w:jc w:val="center"/>
              <w:rPr>
                <w:rFonts w:ascii="Arial" w:hAnsi="Arial" w:cs="Arial"/>
                <w:color w:val="000000" w:themeColor="text1"/>
                <w:highlight w:val="none"/>
                <w14:textFill>
                  <w14:solidFill>
                    <w14:schemeClr w14:val="tx1"/>
                  </w14:solidFill>
                </w14:textFill>
              </w:rPr>
            </w:pPr>
          </w:p>
        </w:tc>
        <w:tc>
          <w:tcPr>
            <w:tcW w:w="2920" w:type="dxa"/>
            <w:gridSpan w:val="2"/>
            <w:vAlign w:val="center"/>
          </w:tcPr>
          <w:p w14:paraId="47F9BB95">
            <w:pPr>
              <w:spacing w:line="360" w:lineRule="auto"/>
              <w:jc w:val="center"/>
              <w:rPr>
                <w:rFonts w:ascii="Arial" w:hAnsi="Arial" w:cs="Arial"/>
                <w:color w:val="000000" w:themeColor="text1"/>
                <w:highlight w:val="none"/>
                <w14:textFill>
                  <w14:solidFill>
                    <w14:schemeClr w14:val="tx1"/>
                  </w14:solidFill>
                </w14:textFill>
              </w:rPr>
            </w:pPr>
          </w:p>
        </w:tc>
      </w:tr>
      <w:tr w14:paraId="01E83DE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2425" w:type="dxa"/>
            <w:gridSpan w:val="2"/>
            <w:vAlign w:val="center"/>
          </w:tcPr>
          <w:p w14:paraId="5A323599">
            <w:pPr>
              <w:spacing w:line="360" w:lineRule="auto"/>
              <w:jc w:val="center"/>
              <w:rPr>
                <w:rFonts w:ascii="Arial" w:hAnsi="Arial" w:cs="Arial"/>
                <w:color w:val="000000" w:themeColor="text1"/>
                <w:highlight w:val="none"/>
                <w14:textFill>
                  <w14:solidFill>
                    <w14:schemeClr w14:val="tx1"/>
                  </w14:solidFill>
                </w14:textFill>
              </w:rPr>
            </w:pPr>
          </w:p>
        </w:tc>
        <w:tc>
          <w:tcPr>
            <w:tcW w:w="1502" w:type="dxa"/>
            <w:gridSpan w:val="2"/>
            <w:vAlign w:val="center"/>
          </w:tcPr>
          <w:p w14:paraId="51650535">
            <w:pPr>
              <w:spacing w:line="360" w:lineRule="auto"/>
              <w:jc w:val="center"/>
              <w:rPr>
                <w:rFonts w:ascii="Arial" w:hAnsi="Arial" w:cs="Arial"/>
                <w:color w:val="000000" w:themeColor="text1"/>
                <w:highlight w:val="none"/>
                <w14:textFill>
                  <w14:solidFill>
                    <w14:schemeClr w14:val="tx1"/>
                  </w14:solidFill>
                </w14:textFill>
              </w:rPr>
            </w:pPr>
          </w:p>
        </w:tc>
        <w:tc>
          <w:tcPr>
            <w:tcW w:w="1540" w:type="dxa"/>
            <w:vAlign w:val="center"/>
          </w:tcPr>
          <w:p w14:paraId="0D1B6792">
            <w:pPr>
              <w:spacing w:line="360" w:lineRule="auto"/>
              <w:jc w:val="center"/>
              <w:rPr>
                <w:rFonts w:ascii="Arial" w:hAnsi="Arial" w:cs="Arial"/>
                <w:color w:val="000000" w:themeColor="text1"/>
                <w:highlight w:val="none"/>
                <w14:textFill>
                  <w14:solidFill>
                    <w14:schemeClr w14:val="tx1"/>
                  </w14:solidFill>
                </w14:textFill>
              </w:rPr>
            </w:pPr>
          </w:p>
        </w:tc>
        <w:tc>
          <w:tcPr>
            <w:tcW w:w="2920" w:type="dxa"/>
            <w:gridSpan w:val="2"/>
            <w:vAlign w:val="center"/>
          </w:tcPr>
          <w:p w14:paraId="113512A7">
            <w:pPr>
              <w:spacing w:line="360" w:lineRule="auto"/>
              <w:jc w:val="center"/>
              <w:rPr>
                <w:rFonts w:ascii="Arial" w:hAnsi="Arial" w:cs="Arial"/>
                <w:color w:val="000000" w:themeColor="text1"/>
                <w:highlight w:val="none"/>
                <w14:textFill>
                  <w14:solidFill>
                    <w14:schemeClr w14:val="tx1"/>
                  </w14:solidFill>
                </w14:textFill>
              </w:rPr>
            </w:pPr>
          </w:p>
        </w:tc>
      </w:tr>
    </w:tbl>
    <w:p w14:paraId="7E0E5D3C">
      <w:pPr>
        <w:spacing w:line="360" w:lineRule="auto"/>
        <w:rPr>
          <w:rFonts w:hAnsi="宋体" w:cs="Times New Roman"/>
          <w:b/>
          <w:bCs/>
          <w:color w:val="000000" w:themeColor="text1"/>
          <w:sz w:val="21"/>
          <w:szCs w:val="21"/>
          <w:highlight w:val="none"/>
          <w14:textFill>
            <w14:solidFill>
              <w14:schemeClr w14:val="tx1"/>
            </w14:solidFill>
          </w14:textFill>
        </w:rPr>
      </w:pPr>
      <w:r>
        <w:rPr>
          <w:rFonts w:hint="eastAsia" w:hAnsi="宋体" w:cs="Times New Roman"/>
          <w:b/>
          <w:bCs/>
          <w:color w:val="000000" w:themeColor="text1"/>
          <w:sz w:val="24"/>
          <w:highlight w:val="none"/>
          <w14:textFill>
            <w14:solidFill>
              <w14:schemeClr w14:val="tx1"/>
            </w14:solidFill>
          </w14:textFill>
        </w:rPr>
        <w:t>注：</w:t>
      </w:r>
      <w:r>
        <w:rPr>
          <w:rFonts w:hint="eastAsia" w:ascii="宋体" w:hAnsi="宋体"/>
          <w:b/>
          <w:bCs/>
          <w:color w:val="000000" w:themeColor="text1"/>
          <w:sz w:val="21"/>
          <w:szCs w:val="21"/>
          <w:highlight w:val="none"/>
          <w14:textFill>
            <w14:solidFill>
              <w14:schemeClr w14:val="tx1"/>
            </w14:solidFill>
          </w14:textFill>
        </w:rPr>
        <w:t>本表人员附身份证、</w:t>
      </w:r>
      <w:r>
        <w:rPr>
          <w:rFonts w:hint="eastAsia" w:ascii="宋体" w:hAnsi="宋体"/>
          <w:b/>
          <w:bCs/>
          <w:color w:val="000000" w:themeColor="text1"/>
          <w:sz w:val="21"/>
          <w:szCs w:val="21"/>
          <w:highlight w:val="none"/>
          <w:lang w:val="en-US" w:eastAsia="zh-CN"/>
          <w14:textFill>
            <w14:solidFill>
              <w14:schemeClr w14:val="tx1"/>
            </w14:solidFill>
          </w14:textFill>
        </w:rPr>
        <w:t>劳动合同、</w:t>
      </w:r>
      <w:r>
        <w:rPr>
          <w:rFonts w:hint="eastAsia" w:ascii="宋体" w:hAnsi="宋体"/>
          <w:b/>
          <w:bCs/>
          <w:color w:val="000000" w:themeColor="text1"/>
          <w:sz w:val="21"/>
          <w:szCs w:val="21"/>
          <w:highlight w:val="none"/>
          <w14:textFill>
            <w14:solidFill>
              <w14:schemeClr w14:val="tx1"/>
            </w14:solidFill>
          </w14:textFill>
        </w:rPr>
        <w:t>学历证书（或学位证书）（如有）、职称/执业资格证书、荣誉证书（如有）等</w:t>
      </w:r>
      <w:r>
        <w:rPr>
          <w:rFonts w:hint="eastAsia" w:cs="Arial"/>
          <w:b/>
          <w:bCs/>
          <w:color w:val="000000" w:themeColor="text1"/>
          <w:sz w:val="21"/>
          <w:szCs w:val="21"/>
          <w:highlight w:val="none"/>
          <w14:textFill>
            <w14:solidFill>
              <w14:schemeClr w14:val="tx1"/>
            </w14:solidFill>
          </w14:textFill>
        </w:rPr>
        <w:t>（扫描件加盖公章）</w:t>
      </w:r>
      <w:r>
        <w:rPr>
          <w:rFonts w:hint="eastAsia" w:cs="Arial"/>
          <w:b/>
          <w:bCs/>
          <w:color w:val="000000" w:themeColor="text1"/>
          <w:sz w:val="21"/>
          <w:szCs w:val="21"/>
          <w:highlight w:val="none"/>
          <w:lang w:eastAsia="zh-CN"/>
          <w14:textFill>
            <w14:solidFill>
              <w14:schemeClr w14:val="tx1"/>
            </w14:solidFill>
          </w14:textFill>
        </w:rPr>
        <w:t>、</w:t>
      </w:r>
      <w:r>
        <w:rPr>
          <w:rFonts w:hint="eastAsia" w:cs="宋体"/>
          <w:b/>
          <w:bCs/>
          <w:color w:val="000000" w:themeColor="text1"/>
          <w:sz w:val="21"/>
          <w:szCs w:val="21"/>
          <w:highlight w:val="none"/>
          <w:lang w:eastAsia="zh-CN"/>
          <w14:textFill>
            <w14:solidFill>
              <w14:schemeClr w14:val="tx1"/>
            </w14:solidFill>
          </w14:textFill>
        </w:rPr>
        <w:t>提供项目负责人投标截止日期前六个月内任意一个月的社保</w:t>
      </w:r>
      <w:r>
        <w:rPr>
          <w:rFonts w:hint="eastAsia" w:cs="宋体"/>
          <w:b/>
          <w:bCs/>
          <w:color w:val="000000" w:themeColor="text1"/>
          <w:sz w:val="21"/>
          <w:szCs w:val="21"/>
          <w:highlight w:val="none"/>
          <w:lang w:val="en-US" w:eastAsia="zh-CN"/>
          <w14:textFill>
            <w14:solidFill>
              <w14:schemeClr w14:val="tx1"/>
            </w14:solidFill>
          </w14:textFill>
        </w:rPr>
        <w:t>参保</w:t>
      </w:r>
      <w:r>
        <w:rPr>
          <w:rFonts w:hint="eastAsia" w:cs="宋体"/>
          <w:b/>
          <w:bCs/>
          <w:color w:val="000000" w:themeColor="text1"/>
          <w:sz w:val="21"/>
          <w:szCs w:val="21"/>
          <w:highlight w:val="none"/>
          <w:lang w:eastAsia="zh-CN"/>
          <w14:textFill>
            <w14:solidFill>
              <w14:schemeClr w14:val="tx1"/>
            </w14:solidFill>
          </w14:textFill>
        </w:rPr>
        <w:t>证明材料。</w:t>
      </w:r>
    </w:p>
    <w:p w14:paraId="613949BA">
      <w:pPr>
        <w:pStyle w:val="19"/>
        <w:spacing w:line="360" w:lineRule="auto"/>
        <w:ind w:firstLine="480" w:firstLineChars="200"/>
        <w:jc w:val="left"/>
        <w:rPr>
          <w:rFonts w:hAnsi="宋体" w:cs="Times New Roman"/>
          <w:color w:val="000000" w:themeColor="text1"/>
          <w:sz w:val="24"/>
          <w:highlight w:val="none"/>
          <w14:textFill>
            <w14:solidFill>
              <w14:schemeClr w14:val="tx1"/>
            </w14:solidFill>
          </w14:textFill>
        </w:rPr>
      </w:pPr>
      <w:r>
        <w:rPr>
          <w:rFonts w:hAnsi="宋体" w:cs="Times New Roman"/>
          <w:color w:val="000000" w:themeColor="text1"/>
          <w:sz w:val="24"/>
          <w:highlight w:val="none"/>
          <w14:textFill>
            <w14:solidFill>
              <w14:schemeClr w14:val="tx1"/>
            </w14:solidFill>
          </w14:textFill>
        </w:rPr>
        <w:t xml:space="preserve"> </w:t>
      </w:r>
    </w:p>
    <w:p w14:paraId="422C42F5">
      <w:pPr>
        <w:pStyle w:val="25"/>
        <w:spacing w:line="360" w:lineRule="auto"/>
        <w:ind w:firstLine="158"/>
        <w:jc w:val="right"/>
        <w:rPr>
          <w:rFonts w:ascii="宋体" w:hAnsi="宋体"/>
          <w:b w:val="0"/>
          <w:bCs w:val="0"/>
          <w:color w:val="000000" w:themeColor="text1"/>
          <w:szCs w:val="21"/>
          <w:highlight w:val="none"/>
          <w14:textFill>
            <w14:solidFill>
              <w14:schemeClr w14:val="tx1"/>
            </w14:solidFill>
          </w14:textFill>
        </w:rPr>
      </w:pPr>
      <w:r>
        <w:rPr>
          <w:rFonts w:hint="eastAsia" w:ascii="宋体" w:hAnsi="宋体"/>
          <w:b w:val="0"/>
          <w:bCs w:val="0"/>
          <w:color w:val="000000" w:themeColor="text1"/>
          <w:szCs w:val="21"/>
          <w:highlight w:val="none"/>
          <w14:textFill>
            <w14:solidFill>
              <w14:schemeClr w14:val="tx1"/>
            </w14:solidFill>
          </w14:textFill>
        </w:rPr>
        <w:t xml:space="preserve">供应商： </w:t>
      </w:r>
      <w:r>
        <w:rPr>
          <w:rFonts w:hint="eastAsia" w:ascii="宋体" w:hAnsi="宋体"/>
          <w:b w:val="0"/>
          <w:bCs w:val="0"/>
          <w:color w:val="000000" w:themeColor="text1"/>
          <w:szCs w:val="21"/>
          <w:highlight w:val="none"/>
          <w:u w:val="single"/>
          <w14:textFill>
            <w14:solidFill>
              <w14:schemeClr w14:val="tx1"/>
            </w14:solidFill>
          </w14:textFill>
        </w:rPr>
        <w:t xml:space="preserve">                            </w:t>
      </w:r>
      <w:r>
        <w:rPr>
          <w:rFonts w:hint="eastAsia" w:ascii="宋体" w:hAnsi="宋体"/>
          <w:b w:val="0"/>
          <w:bCs w:val="0"/>
          <w:color w:val="000000" w:themeColor="text1"/>
          <w:szCs w:val="21"/>
          <w:highlight w:val="none"/>
          <w14:textFill>
            <w14:solidFill>
              <w14:schemeClr w14:val="tx1"/>
            </w14:solidFill>
          </w14:textFill>
        </w:rPr>
        <w:t>（</w:t>
      </w:r>
      <w:r>
        <w:rPr>
          <w:rFonts w:hint="eastAsia" w:ascii="宋体" w:hAnsi="宋体"/>
          <w:b w:val="0"/>
          <w:bCs w:val="0"/>
          <w:color w:val="000000" w:themeColor="text1"/>
          <w:szCs w:val="21"/>
          <w:highlight w:val="none"/>
          <w:lang w:eastAsia="zh-CN"/>
          <w14:textFill>
            <w14:solidFill>
              <w14:schemeClr w14:val="tx1"/>
            </w14:solidFill>
          </w14:textFill>
        </w:rPr>
        <w:t>盖单位公章</w:t>
      </w:r>
      <w:r>
        <w:rPr>
          <w:rFonts w:hint="eastAsia" w:ascii="宋体" w:hAnsi="宋体"/>
          <w:b w:val="0"/>
          <w:bCs w:val="0"/>
          <w:color w:val="000000" w:themeColor="text1"/>
          <w:szCs w:val="21"/>
          <w:highlight w:val="none"/>
          <w14:textFill>
            <w14:solidFill>
              <w14:schemeClr w14:val="tx1"/>
            </w14:solidFill>
          </w14:textFill>
        </w:rPr>
        <w:t>）</w:t>
      </w:r>
    </w:p>
    <w:p w14:paraId="4ACBD066">
      <w:pPr>
        <w:pStyle w:val="25"/>
        <w:spacing w:line="360" w:lineRule="auto"/>
        <w:ind w:firstLine="158"/>
        <w:jc w:val="right"/>
        <w:rPr>
          <w:rFonts w:ascii="宋体" w:hAnsi="宋体"/>
          <w:bCs w:val="0"/>
          <w:color w:val="000000" w:themeColor="text1"/>
          <w:szCs w:val="21"/>
          <w:highlight w:val="none"/>
          <w14:textFill>
            <w14:solidFill>
              <w14:schemeClr w14:val="tx1"/>
            </w14:solidFill>
          </w14:textFill>
        </w:rPr>
      </w:pPr>
      <w:r>
        <w:rPr>
          <w:rFonts w:hint="eastAsia" w:ascii="宋体" w:hAnsi="宋体"/>
          <w:b w:val="0"/>
          <w:bCs w:val="0"/>
          <w:color w:val="000000" w:themeColor="text1"/>
          <w:szCs w:val="21"/>
          <w:highlight w:val="none"/>
          <w14:textFill>
            <w14:solidFill>
              <w14:schemeClr w14:val="tx1"/>
            </w14:solidFill>
          </w14:textFill>
        </w:rPr>
        <w:t xml:space="preserve">法定代表人或其委托代理人： </w:t>
      </w:r>
      <w:r>
        <w:rPr>
          <w:rFonts w:hint="eastAsia" w:ascii="宋体" w:hAnsi="宋体"/>
          <w:b w:val="0"/>
          <w:bCs w:val="0"/>
          <w:color w:val="000000" w:themeColor="text1"/>
          <w:szCs w:val="21"/>
          <w:highlight w:val="none"/>
          <w:u w:val="single"/>
          <w14:textFill>
            <w14:solidFill>
              <w14:schemeClr w14:val="tx1"/>
            </w14:solidFill>
          </w14:textFill>
        </w:rPr>
        <w:t xml:space="preserve">             </w:t>
      </w:r>
      <w:r>
        <w:rPr>
          <w:rFonts w:hint="eastAsia" w:ascii="宋体" w:hAnsi="宋体"/>
          <w:b w:val="0"/>
          <w:bCs w:val="0"/>
          <w:color w:val="000000" w:themeColor="text1"/>
          <w:szCs w:val="21"/>
          <w:highlight w:val="none"/>
          <w14:textFill>
            <w14:solidFill>
              <w14:schemeClr w14:val="tx1"/>
            </w14:solidFill>
          </w14:textFill>
        </w:rPr>
        <w:t xml:space="preserve"> （签</w:t>
      </w:r>
      <w:r>
        <w:rPr>
          <w:rFonts w:hint="eastAsia" w:ascii="宋体" w:hAnsi="宋体"/>
          <w:b w:val="0"/>
          <w:bCs w:val="0"/>
          <w:color w:val="000000" w:themeColor="text1"/>
          <w:szCs w:val="21"/>
          <w:highlight w:val="none"/>
          <w:lang w:val="en-US" w:eastAsia="zh-CN"/>
          <w14:textFill>
            <w14:solidFill>
              <w14:schemeClr w14:val="tx1"/>
            </w14:solidFill>
          </w14:textFill>
        </w:rPr>
        <w:t xml:space="preserve">      </w:t>
      </w:r>
      <w:r>
        <w:rPr>
          <w:rFonts w:hint="eastAsia" w:ascii="宋体" w:hAnsi="宋体"/>
          <w:b w:val="0"/>
          <w:bCs w:val="0"/>
          <w:color w:val="000000" w:themeColor="text1"/>
          <w:szCs w:val="21"/>
          <w:highlight w:val="none"/>
          <w14:textFill>
            <w14:solidFill>
              <w14:schemeClr w14:val="tx1"/>
            </w14:solidFill>
          </w14:textFill>
        </w:rPr>
        <w:t>字）</w:t>
      </w:r>
    </w:p>
    <w:p w14:paraId="4050A85D">
      <w:pPr>
        <w:pStyle w:val="19"/>
        <w:spacing w:line="360" w:lineRule="auto"/>
        <w:ind w:firstLine="480" w:firstLineChars="200"/>
        <w:jc w:val="right"/>
        <w:rPr>
          <w:rFonts w:hAnsi="宋体" w:cs="Times New Roman"/>
          <w:color w:val="000000" w:themeColor="text1"/>
          <w:sz w:val="24"/>
          <w:highlight w:val="none"/>
          <w14:textFill>
            <w14:solidFill>
              <w14:schemeClr w14:val="tx1"/>
            </w14:solidFill>
          </w14:textFill>
        </w:rPr>
        <w:sectPr>
          <w:pgSz w:w="11905" w:h="16838"/>
          <w:pgMar w:top="1440" w:right="1803" w:bottom="1440" w:left="1803" w:header="1140" w:footer="720" w:gutter="0"/>
          <w:pgNumType w:fmt="decimal"/>
          <w:cols w:space="0" w:num="1"/>
          <w:docGrid w:type="lines" w:linePitch="317" w:charSpace="0"/>
        </w:sectPr>
      </w:pPr>
      <w:r>
        <w:rPr>
          <w:rFonts w:hint="eastAsia" w:hAnsi="宋体" w:cs="Times New Roman"/>
          <w:color w:val="000000" w:themeColor="text1"/>
          <w:sz w:val="24"/>
          <w:highlight w:val="none"/>
          <w14:textFill>
            <w14:solidFill>
              <w14:schemeClr w14:val="tx1"/>
            </w14:solidFill>
          </w14:textFill>
        </w:rPr>
        <w:t>日期：</w:t>
      </w:r>
      <w:r>
        <w:rPr>
          <w:rFonts w:hint="eastAsia" w:hAnsi="宋体" w:cs="Times New Roman"/>
          <w:color w:val="000000" w:themeColor="text1"/>
          <w:sz w:val="24"/>
          <w:highlight w:val="none"/>
          <w:u w:val="single"/>
          <w14:textFill>
            <w14:solidFill>
              <w14:schemeClr w14:val="tx1"/>
            </w14:solidFill>
          </w14:textFill>
        </w:rPr>
        <w:t xml:space="preserve">     </w:t>
      </w:r>
      <w:r>
        <w:rPr>
          <w:rFonts w:hint="eastAsia" w:hAnsi="宋体" w:cs="Times New Roman"/>
          <w:color w:val="000000" w:themeColor="text1"/>
          <w:sz w:val="24"/>
          <w:highlight w:val="none"/>
          <w14:textFill>
            <w14:solidFill>
              <w14:schemeClr w14:val="tx1"/>
            </w14:solidFill>
          </w14:textFill>
        </w:rPr>
        <w:t>年</w:t>
      </w:r>
      <w:r>
        <w:rPr>
          <w:rFonts w:hint="eastAsia" w:hAnsi="宋体" w:cs="Times New Roman"/>
          <w:color w:val="000000" w:themeColor="text1"/>
          <w:sz w:val="24"/>
          <w:highlight w:val="none"/>
          <w:u w:val="single"/>
          <w14:textFill>
            <w14:solidFill>
              <w14:schemeClr w14:val="tx1"/>
            </w14:solidFill>
          </w14:textFill>
        </w:rPr>
        <w:t xml:space="preserve">     </w:t>
      </w:r>
      <w:r>
        <w:rPr>
          <w:rFonts w:hint="eastAsia" w:hAnsi="宋体" w:cs="Times New Roman"/>
          <w:color w:val="000000" w:themeColor="text1"/>
          <w:sz w:val="24"/>
          <w:highlight w:val="none"/>
          <w14:textFill>
            <w14:solidFill>
              <w14:schemeClr w14:val="tx1"/>
            </w14:solidFill>
          </w14:textFill>
        </w:rPr>
        <w:t>月</w:t>
      </w:r>
      <w:r>
        <w:rPr>
          <w:rFonts w:hint="eastAsia" w:hAnsi="宋体" w:cs="Times New Roman"/>
          <w:color w:val="000000" w:themeColor="text1"/>
          <w:sz w:val="24"/>
          <w:highlight w:val="none"/>
          <w:u w:val="single"/>
          <w14:textFill>
            <w14:solidFill>
              <w14:schemeClr w14:val="tx1"/>
            </w14:solidFill>
          </w14:textFill>
        </w:rPr>
        <w:t xml:space="preserve">     </w:t>
      </w:r>
      <w:r>
        <w:rPr>
          <w:rFonts w:hint="eastAsia" w:hAnsi="宋体" w:cs="Times New Roman"/>
          <w:color w:val="000000" w:themeColor="text1"/>
          <w:sz w:val="24"/>
          <w:highlight w:val="none"/>
          <w14:textFill>
            <w14:solidFill>
              <w14:schemeClr w14:val="tx1"/>
            </w14:solidFill>
          </w14:textFill>
        </w:rPr>
        <w:t>日</w:t>
      </w:r>
    </w:p>
    <w:p w14:paraId="760460D6">
      <w:pPr>
        <w:spacing w:line="360" w:lineRule="auto"/>
        <w:jc w:val="center"/>
        <w:outlineLvl w:val="1"/>
        <w:rPr>
          <w:rFonts w:cs="Times New Roman"/>
          <w:b/>
          <w:bCs/>
          <w:color w:val="000000" w:themeColor="text1"/>
          <w:sz w:val="32"/>
          <w:szCs w:val="32"/>
          <w:highlight w:val="none"/>
          <w14:textFill>
            <w14:solidFill>
              <w14:schemeClr w14:val="tx1"/>
            </w14:solidFill>
          </w14:textFill>
        </w:rPr>
      </w:pPr>
      <w:bookmarkStart w:id="300" w:name="_Toc6885"/>
      <w:bookmarkStart w:id="301" w:name="_Toc6630"/>
      <w:bookmarkStart w:id="302" w:name="_Toc5308"/>
      <w:bookmarkStart w:id="303" w:name="_Toc9886"/>
      <w:bookmarkStart w:id="304" w:name="_Toc22470"/>
      <w:r>
        <w:rPr>
          <w:rFonts w:hint="eastAsia" w:cs="宋体"/>
          <w:b/>
          <w:bCs/>
          <w:color w:val="000000" w:themeColor="text1"/>
          <w:sz w:val="32"/>
          <w:szCs w:val="32"/>
          <w:highlight w:val="none"/>
          <w14:textFill>
            <w14:solidFill>
              <w14:schemeClr w14:val="tx1"/>
            </w14:solidFill>
          </w14:textFill>
        </w:rPr>
        <w:t>七、技术方案</w:t>
      </w:r>
      <w:bookmarkEnd w:id="300"/>
      <w:bookmarkEnd w:id="301"/>
      <w:bookmarkEnd w:id="302"/>
      <w:bookmarkEnd w:id="303"/>
      <w:bookmarkEnd w:id="304"/>
    </w:p>
    <w:p w14:paraId="01BD9B09">
      <w:pPr>
        <w:spacing w:line="360" w:lineRule="auto"/>
        <w:ind w:firstLine="480" w:firstLineChars="200"/>
        <w:jc w:val="left"/>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供应商结合本采购项目的特点提出切实可行的技术方案（详见第三章竞争性磋商评标办法</w:t>
      </w:r>
      <w:r>
        <w:rPr>
          <w:rFonts w:hint="eastAsia" w:ascii="宋体" w:hAnsi="宋体" w:cs="宋体"/>
          <w:color w:val="000000" w:themeColor="text1"/>
          <w:sz w:val="24"/>
          <w:szCs w:val="24"/>
          <w:highlight w:val="none"/>
          <w:lang w:eastAsia="zh-CN"/>
          <w14:textFill>
            <w14:solidFill>
              <w14:schemeClr w14:val="tx1"/>
            </w14:solidFill>
          </w14:textFill>
        </w:rPr>
        <w:t>，第五章服务内容及要求</w:t>
      </w:r>
      <w:r>
        <w:rPr>
          <w:rFonts w:hint="eastAsia" w:ascii="宋体" w:hAnsi="宋体" w:cs="宋体"/>
          <w:color w:val="000000" w:themeColor="text1"/>
          <w:sz w:val="24"/>
          <w:szCs w:val="24"/>
          <w:highlight w:val="none"/>
          <w14:textFill>
            <w14:solidFill>
              <w14:schemeClr w14:val="tx1"/>
            </w14:solidFill>
          </w14:textFill>
        </w:rPr>
        <w:t>内容）。</w:t>
      </w:r>
    </w:p>
    <w:p w14:paraId="0DD7576A">
      <w:pPr>
        <w:rPr>
          <w:color w:val="000000" w:themeColor="text1"/>
          <w:highlight w:val="none"/>
          <w14:textFill>
            <w14:solidFill>
              <w14:schemeClr w14:val="tx1"/>
            </w14:solidFill>
          </w14:textFill>
        </w:rPr>
      </w:pPr>
    </w:p>
    <w:p w14:paraId="361D0B70">
      <w:pPr>
        <w:pStyle w:val="2"/>
        <w:rPr>
          <w:color w:val="000000" w:themeColor="text1"/>
          <w:highlight w:val="none"/>
          <w14:textFill>
            <w14:solidFill>
              <w14:schemeClr w14:val="tx1"/>
            </w14:solidFill>
          </w14:textFill>
        </w:rPr>
      </w:pPr>
    </w:p>
    <w:p w14:paraId="28EC3C18">
      <w:pPr>
        <w:rPr>
          <w:color w:val="000000" w:themeColor="text1"/>
          <w:highlight w:val="none"/>
          <w14:textFill>
            <w14:solidFill>
              <w14:schemeClr w14:val="tx1"/>
            </w14:solidFill>
          </w14:textFill>
        </w:rPr>
      </w:pPr>
    </w:p>
    <w:p w14:paraId="05590573">
      <w:pPr>
        <w:pStyle w:val="2"/>
        <w:rPr>
          <w:color w:val="000000" w:themeColor="text1"/>
          <w:highlight w:val="none"/>
          <w14:textFill>
            <w14:solidFill>
              <w14:schemeClr w14:val="tx1"/>
            </w14:solidFill>
          </w14:textFill>
        </w:rPr>
      </w:pPr>
    </w:p>
    <w:p w14:paraId="7780A669">
      <w:pPr>
        <w:rPr>
          <w:color w:val="000000" w:themeColor="text1"/>
          <w:highlight w:val="none"/>
          <w14:textFill>
            <w14:solidFill>
              <w14:schemeClr w14:val="tx1"/>
            </w14:solidFill>
          </w14:textFill>
        </w:rPr>
      </w:pPr>
    </w:p>
    <w:p w14:paraId="68AC73F3">
      <w:pPr>
        <w:pStyle w:val="2"/>
        <w:rPr>
          <w:color w:val="000000" w:themeColor="text1"/>
          <w:highlight w:val="none"/>
          <w14:textFill>
            <w14:solidFill>
              <w14:schemeClr w14:val="tx1"/>
            </w14:solidFill>
          </w14:textFill>
        </w:rPr>
      </w:pPr>
    </w:p>
    <w:p w14:paraId="500FF901">
      <w:pPr>
        <w:rPr>
          <w:color w:val="000000" w:themeColor="text1"/>
          <w:highlight w:val="none"/>
          <w14:textFill>
            <w14:solidFill>
              <w14:schemeClr w14:val="tx1"/>
            </w14:solidFill>
          </w14:textFill>
        </w:rPr>
      </w:pPr>
    </w:p>
    <w:p w14:paraId="700BBB1F">
      <w:pPr>
        <w:pStyle w:val="2"/>
        <w:rPr>
          <w:color w:val="000000" w:themeColor="text1"/>
          <w:highlight w:val="none"/>
          <w14:textFill>
            <w14:solidFill>
              <w14:schemeClr w14:val="tx1"/>
            </w14:solidFill>
          </w14:textFill>
        </w:rPr>
      </w:pPr>
    </w:p>
    <w:p w14:paraId="281B5531">
      <w:pPr>
        <w:rPr>
          <w:color w:val="000000" w:themeColor="text1"/>
          <w:highlight w:val="none"/>
          <w14:textFill>
            <w14:solidFill>
              <w14:schemeClr w14:val="tx1"/>
            </w14:solidFill>
          </w14:textFill>
        </w:rPr>
      </w:pPr>
    </w:p>
    <w:p w14:paraId="338419BD">
      <w:pPr>
        <w:pStyle w:val="2"/>
        <w:rPr>
          <w:color w:val="000000" w:themeColor="text1"/>
          <w:highlight w:val="none"/>
          <w14:textFill>
            <w14:solidFill>
              <w14:schemeClr w14:val="tx1"/>
            </w14:solidFill>
          </w14:textFill>
        </w:rPr>
      </w:pPr>
    </w:p>
    <w:p w14:paraId="63DE4A09">
      <w:pPr>
        <w:rPr>
          <w:color w:val="000000" w:themeColor="text1"/>
          <w:highlight w:val="none"/>
          <w14:textFill>
            <w14:solidFill>
              <w14:schemeClr w14:val="tx1"/>
            </w14:solidFill>
          </w14:textFill>
        </w:rPr>
      </w:pPr>
    </w:p>
    <w:p w14:paraId="0A182794">
      <w:pPr>
        <w:pStyle w:val="2"/>
        <w:rPr>
          <w:color w:val="000000" w:themeColor="text1"/>
          <w:highlight w:val="none"/>
          <w14:textFill>
            <w14:solidFill>
              <w14:schemeClr w14:val="tx1"/>
            </w14:solidFill>
          </w14:textFill>
        </w:rPr>
      </w:pPr>
    </w:p>
    <w:p w14:paraId="28EC94C7">
      <w:pPr>
        <w:rPr>
          <w:color w:val="000000" w:themeColor="text1"/>
          <w:highlight w:val="none"/>
          <w14:textFill>
            <w14:solidFill>
              <w14:schemeClr w14:val="tx1"/>
            </w14:solidFill>
          </w14:textFill>
        </w:rPr>
      </w:pPr>
    </w:p>
    <w:p w14:paraId="1592BC36">
      <w:pPr>
        <w:pStyle w:val="2"/>
        <w:rPr>
          <w:color w:val="000000" w:themeColor="text1"/>
          <w:highlight w:val="none"/>
          <w14:textFill>
            <w14:solidFill>
              <w14:schemeClr w14:val="tx1"/>
            </w14:solidFill>
          </w14:textFill>
        </w:rPr>
      </w:pPr>
    </w:p>
    <w:p w14:paraId="6CD5F3B9">
      <w:pPr>
        <w:rPr>
          <w:color w:val="000000" w:themeColor="text1"/>
          <w:highlight w:val="none"/>
          <w14:textFill>
            <w14:solidFill>
              <w14:schemeClr w14:val="tx1"/>
            </w14:solidFill>
          </w14:textFill>
        </w:rPr>
      </w:pPr>
    </w:p>
    <w:p w14:paraId="5082D665">
      <w:pPr>
        <w:pStyle w:val="2"/>
        <w:rPr>
          <w:color w:val="000000" w:themeColor="text1"/>
          <w:highlight w:val="none"/>
          <w14:textFill>
            <w14:solidFill>
              <w14:schemeClr w14:val="tx1"/>
            </w14:solidFill>
          </w14:textFill>
        </w:rPr>
      </w:pPr>
    </w:p>
    <w:p w14:paraId="7E627D5C">
      <w:pPr>
        <w:rPr>
          <w:color w:val="000000" w:themeColor="text1"/>
          <w:highlight w:val="none"/>
          <w14:textFill>
            <w14:solidFill>
              <w14:schemeClr w14:val="tx1"/>
            </w14:solidFill>
          </w14:textFill>
        </w:rPr>
      </w:pPr>
    </w:p>
    <w:p w14:paraId="3BF1E4AA">
      <w:pPr>
        <w:pStyle w:val="2"/>
        <w:rPr>
          <w:color w:val="000000" w:themeColor="text1"/>
          <w:highlight w:val="none"/>
          <w14:textFill>
            <w14:solidFill>
              <w14:schemeClr w14:val="tx1"/>
            </w14:solidFill>
          </w14:textFill>
        </w:rPr>
      </w:pPr>
    </w:p>
    <w:p w14:paraId="71A346B0">
      <w:pPr>
        <w:rPr>
          <w:color w:val="000000" w:themeColor="text1"/>
          <w:highlight w:val="none"/>
          <w14:textFill>
            <w14:solidFill>
              <w14:schemeClr w14:val="tx1"/>
            </w14:solidFill>
          </w14:textFill>
        </w:rPr>
      </w:pPr>
    </w:p>
    <w:p w14:paraId="60883D13">
      <w:pPr>
        <w:pStyle w:val="2"/>
        <w:rPr>
          <w:color w:val="000000" w:themeColor="text1"/>
          <w:highlight w:val="none"/>
          <w14:textFill>
            <w14:solidFill>
              <w14:schemeClr w14:val="tx1"/>
            </w14:solidFill>
          </w14:textFill>
        </w:rPr>
      </w:pPr>
    </w:p>
    <w:p w14:paraId="333A6272">
      <w:pPr>
        <w:rPr>
          <w:color w:val="000000" w:themeColor="text1"/>
          <w:highlight w:val="none"/>
          <w14:textFill>
            <w14:solidFill>
              <w14:schemeClr w14:val="tx1"/>
            </w14:solidFill>
          </w14:textFill>
        </w:rPr>
      </w:pPr>
    </w:p>
    <w:p w14:paraId="6BB831B4">
      <w:pPr>
        <w:pStyle w:val="2"/>
        <w:rPr>
          <w:color w:val="000000" w:themeColor="text1"/>
          <w:highlight w:val="none"/>
          <w14:textFill>
            <w14:solidFill>
              <w14:schemeClr w14:val="tx1"/>
            </w14:solidFill>
          </w14:textFill>
        </w:rPr>
      </w:pPr>
    </w:p>
    <w:p w14:paraId="66254F0A">
      <w:pPr>
        <w:rPr>
          <w:color w:val="000000" w:themeColor="text1"/>
          <w:highlight w:val="none"/>
          <w14:textFill>
            <w14:solidFill>
              <w14:schemeClr w14:val="tx1"/>
            </w14:solidFill>
          </w14:textFill>
        </w:rPr>
      </w:pPr>
    </w:p>
    <w:p w14:paraId="3AB2B970">
      <w:pPr>
        <w:pStyle w:val="2"/>
        <w:rPr>
          <w:color w:val="000000" w:themeColor="text1"/>
          <w:highlight w:val="none"/>
          <w14:textFill>
            <w14:solidFill>
              <w14:schemeClr w14:val="tx1"/>
            </w14:solidFill>
          </w14:textFill>
        </w:rPr>
      </w:pPr>
    </w:p>
    <w:p w14:paraId="00E6ED12">
      <w:pPr>
        <w:rPr>
          <w:color w:val="000000" w:themeColor="text1"/>
          <w:highlight w:val="none"/>
          <w14:textFill>
            <w14:solidFill>
              <w14:schemeClr w14:val="tx1"/>
            </w14:solidFill>
          </w14:textFill>
        </w:rPr>
      </w:pPr>
    </w:p>
    <w:p w14:paraId="6876C95E">
      <w:pPr>
        <w:pStyle w:val="2"/>
        <w:rPr>
          <w:color w:val="000000" w:themeColor="text1"/>
          <w:highlight w:val="none"/>
          <w14:textFill>
            <w14:solidFill>
              <w14:schemeClr w14:val="tx1"/>
            </w14:solidFill>
          </w14:textFill>
        </w:rPr>
      </w:pPr>
    </w:p>
    <w:p w14:paraId="21418143">
      <w:pPr>
        <w:rPr>
          <w:color w:val="000000" w:themeColor="text1"/>
          <w:highlight w:val="none"/>
          <w14:textFill>
            <w14:solidFill>
              <w14:schemeClr w14:val="tx1"/>
            </w14:solidFill>
          </w14:textFill>
        </w:rPr>
      </w:pPr>
    </w:p>
    <w:p w14:paraId="36034A29">
      <w:pPr>
        <w:pStyle w:val="2"/>
        <w:rPr>
          <w:color w:val="000000" w:themeColor="text1"/>
          <w:highlight w:val="none"/>
          <w14:textFill>
            <w14:solidFill>
              <w14:schemeClr w14:val="tx1"/>
            </w14:solidFill>
          </w14:textFill>
        </w:rPr>
      </w:pPr>
    </w:p>
    <w:p w14:paraId="474C3EF3">
      <w:pPr>
        <w:rPr>
          <w:color w:val="000000" w:themeColor="text1"/>
          <w:highlight w:val="none"/>
          <w14:textFill>
            <w14:solidFill>
              <w14:schemeClr w14:val="tx1"/>
            </w14:solidFill>
          </w14:textFill>
        </w:rPr>
      </w:pPr>
    </w:p>
    <w:p w14:paraId="498E1E97">
      <w:pPr>
        <w:pStyle w:val="2"/>
        <w:rPr>
          <w:color w:val="000000" w:themeColor="text1"/>
          <w:highlight w:val="none"/>
          <w14:textFill>
            <w14:solidFill>
              <w14:schemeClr w14:val="tx1"/>
            </w14:solidFill>
          </w14:textFill>
        </w:rPr>
      </w:pPr>
    </w:p>
    <w:p w14:paraId="63D9D772">
      <w:pPr>
        <w:rPr>
          <w:highlight w:val="none"/>
        </w:rPr>
      </w:pPr>
    </w:p>
    <w:p w14:paraId="11205CE7">
      <w:pPr>
        <w:spacing w:line="360" w:lineRule="auto"/>
        <w:jc w:val="righ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供应商：</w:t>
      </w:r>
      <w:r>
        <w:rPr>
          <w:rFonts w:hint="eastAsia" w:ascii="新宋体" w:hAnsi="新宋体" w:eastAsia="新宋体"/>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w:t>
      </w:r>
      <w:r>
        <w:rPr>
          <w:rFonts w:hint="eastAsia"/>
          <w:color w:val="000000" w:themeColor="text1"/>
          <w:sz w:val="24"/>
          <w:szCs w:val="24"/>
          <w:highlight w:val="none"/>
          <w:lang w:eastAsia="zh-CN"/>
          <w14:textFill>
            <w14:solidFill>
              <w14:schemeClr w14:val="tx1"/>
            </w14:solidFill>
          </w14:textFill>
        </w:rPr>
        <w:t>盖单位公章</w:t>
      </w:r>
      <w:r>
        <w:rPr>
          <w:rFonts w:hint="eastAsia"/>
          <w:color w:val="000000" w:themeColor="text1"/>
          <w:sz w:val="24"/>
          <w:szCs w:val="24"/>
          <w:highlight w:val="none"/>
          <w14:textFill>
            <w14:solidFill>
              <w14:schemeClr w14:val="tx1"/>
            </w14:solidFill>
          </w14:textFill>
        </w:rPr>
        <w:t>）</w:t>
      </w:r>
    </w:p>
    <w:p w14:paraId="21AE1BF3">
      <w:pPr>
        <w:spacing w:line="360" w:lineRule="auto"/>
        <w:ind w:firstLine="3420" w:firstLineChars="1425"/>
        <w:rPr>
          <w:color w:val="000000" w:themeColor="text1"/>
          <w:sz w:val="24"/>
          <w:szCs w:val="24"/>
          <w:highlight w:val="none"/>
          <w14:textFill>
            <w14:solidFill>
              <w14:schemeClr w14:val="tx1"/>
            </w14:solidFill>
          </w14:textFill>
        </w:rPr>
      </w:pPr>
    </w:p>
    <w:p w14:paraId="4FF4431C">
      <w:pPr>
        <w:spacing w:line="360" w:lineRule="auto"/>
        <w:jc w:val="righ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法定代表人或其委托代理人：</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（签</w:t>
      </w:r>
      <w:r>
        <w:rPr>
          <w:rFonts w:hint="eastAsia"/>
          <w:color w:val="000000" w:themeColor="text1"/>
          <w:sz w:val="24"/>
          <w:szCs w:val="24"/>
          <w:highlight w:val="none"/>
          <w:lang w:val="en-US" w:eastAsia="zh-CN"/>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字）</w:t>
      </w:r>
    </w:p>
    <w:p w14:paraId="43993675">
      <w:pPr>
        <w:spacing w:line="360" w:lineRule="auto"/>
        <w:ind w:firstLine="3420" w:firstLineChars="1425"/>
        <w:rPr>
          <w:color w:val="000000" w:themeColor="text1"/>
          <w:sz w:val="24"/>
          <w:szCs w:val="24"/>
          <w:highlight w:val="none"/>
          <w14:textFill>
            <w14:solidFill>
              <w14:schemeClr w14:val="tx1"/>
            </w14:solidFill>
          </w14:textFill>
        </w:rPr>
      </w:pPr>
    </w:p>
    <w:p w14:paraId="1322659F">
      <w:pPr>
        <w:ind w:firstLine="5040" w:firstLineChars="2100"/>
        <w:rPr>
          <w:color w:val="000000" w:themeColor="text1"/>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日期：</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年</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月</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日</w:t>
      </w:r>
    </w:p>
    <w:p w14:paraId="6686FEAA">
      <w:pPr>
        <w:rPr>
          <w:color w:val="000000" w:themeColor="text1"/>
          <w:highlight w:val="none"/>
          <w14:textFill>
            <w14:solidFill>
              <w14:schemeClr w14:val="tx1"/>
            </w14:solidFill>
          </w14:textFill>
        </w:rPr>
      </w:pPr>
    </w:p>
    <w:p w14:paraId="6D275F34">
      <w:pPr>
        <w:jc w:val="center"/>
        <w:outlineLvl w:val="1"/>
        <w:rPr>
          <w:rFonts w:ascii="宋体" w:hAnsi="宋体" w:cs="宋体"/>
          <w:b/>
          <w:bCs/>
          <w:color w:val="000000" w:themeColor="text1"/>
          <w:sz w:val="32"/>
          <w:szCs w:val="32"/>
          <w:highlight w:val="none"/>
          <w14:textFill>
            <w14:solidFill>
              <w14:schemeClr w14:val="tx1"/>
            </w14:solidFill>
          </w14:textFill>
        </w:rPr>
      </w:pPr>
      <w:bookmarkStart w:id="305" w:name="_Toc13351"/>
      <w:bookmarkStart w:id="306" w:name="_Toc17983"/>
      <w:bookmarkStart w:id="307" w:name="_Toc1239"/>
      <w:bookmarkStart w:id="308" w:name="_Toc2778"/>
      <w:bookmarkStart w:id="309" w:name="_Toc18294"/>
      <w:r>
        <w:rPr>
          <w:rFonts w:hint="eastAsia" w:ascii="宋体" w:hAnsi="宋体" w:cs="宋体"/>
          <w:b/>
          <w:bCs/>
          <w:color w:val="000000" w:themeColor="text1"/>
          <w:sz w:val="32"/>
          <w:szCs w:val="32"/>
          <w:highlight w:val="none"/>
          <w14:textFill>
            <w14:solidFill>
              <w14:schemeClr w14:val="tx1"/>
            </w14:solidFill>
          </w14:textFill>
        </w:rPr>
        <w:t>八、供应商认为需提供的其他资料</w:t>
      </w:r>
      <w:bookmarkEnd w:id="305"/>
      <w:bookmarkEnd w:id="306"/>
      <w:bookmarkEnd w:id="307"/>
      <w:bookmarkEnd w:id="308"/>
      <w:bookmarkEnd w:id="309"/>
    </w:p>
    <w:p w14:paraId="2BDEA98A">
      <w:pPr>
        <w:rPr>
          <w:rFonts w:ascii="宋体" w:hAnsi="宋体" w:cs="宋体"/>
          <w:color w:val="000000" w:themeColor="text1"/>
          <w:sz w:val="28"/>
          <w:szCs w:val="28"/>
          <w:highlight w:val="none"/>
          <w14:textFill>
            <w14:solidFill>
              <w14:schemeClr w14:val="tx1"/>
            </w14:solidFill>
          </w14:textFill>
        </w:rPr>
      </w:pPr>
    </w:p>
    <w:p w14:paraId="5FBA36CF">
      <w:pPr>
        <w:jc w:val="center"/>
        <w:rPr>
          <w:rFonts w:ascii="宋体" w:hAnsi="宋体" w:cs="宋体"/>
          <w:color w:val="000000" w:themeColor="text1"/>
          <w:sz w:val="28"/>
          <w:szCs w:val="28"/>
          <w:highlight w:val="none"/>
          <w14:textFill>
            <w14:solidFill>
              <w14:schemeClr w14:val="tx1"/>
            </w14:solidFill>
          </w14:textFill>
        </w:rPr>
      </w:pPr>
      <w:bookmarkStart w:id="310" w:name="_Toc14514"/>
      <w:bookmarkStart w:id="311" w:name="_Toc5611"/>
      <w:bookmarkStart w:id="312" w:name="_Toc17517"/>
      <w:r>
        <w:rPr>
          <w:rFonts w:hint="eastAsia" w:ascii="宋体" w:hAnsi="宋体" w:cs="宋体"/>
          <w:color w:val="000000" w:themeColor="text1"/>
          <w:sz w:val="28"/>
          <w:szCs w:val="28"/>
          <w:highlight w:val="none"/>
          <w14:textFill>
            <w14:solidFill>
              <w14:schemeClr w14:val="tx1"/>
            </w14:solidFill>
          </w14:textFill>
        </w:rPr>
        <w:t>(示例略)</w:t>
      </w:r>
      <w:bookmarkEnd w:id="310"/>
      <w:bookmarkEnd w:id="311"/>
      <w:bookmarkEnd w:id="312"/>
    </w:p>
    <w:p w14:paraId="2E9ED38F">
      <w:pPr>
        <w:rPr>
          <w:color w:val="000000" w:themeColor="text1"/>
          <w:sz w:val="28"/>
          <w:szCs w:val="28"/>
          <w:highlight w:val="none"/>
          <w14:textFill>
            <w14:solidFill>
              <w14:schemeClr w14:val="tx1"/>
            </w14:solidFill>
          </w14:textFill>
        </w:rPr>
      </w:pPr>
    </w:p>
    <w:p w14:paraId="6BC44193">
      <w:pPr>
        <w:rPr>
          <w:color w:val="000000" w:themeColor="text1"/>
          <w:highlight w:val="none"/>
          <w14:textFill>
            <w14:solidFill>
              <w14:schemeClr w14:val="tx1"/>
            </w14:solidFill>
          </w14:textFill>
        </w:rPr>
      </w:pPr>
    </w:p>
    <w:p w14:paraId="6ABEE6F1">
      <w:pPr>
        <w:pStyle w:val="13"/>
        <w:rPr>
          <w:color w:val="000000" w:themeColor="text1"/>
          <w:highlight w:val="none"/>
          <w14:textFill>
            <w14:solidFill>
              <w14:schemeClr w14:val="tx1"/>
            </w14:solidFill>
          </w14:textFill>
        </w:rPr>
      </w:pPr>
    </w:p>
    <w:p w14:paraId="6DD2A758">
      <w:pPr>
        <w:pStyle w:val="13"/>
        <w:rPr>
          <w:color w:val="000000" w:themeColor="text1"/>
          <w:highlight w:val="none"/>
          <w14:textFill>
            <w14:solidFill>
              <w14:schemeClr w14:val="tx1"/>
            </w14:solidFill>
          </w14:textFill>
        </w:rPr>
      </w:pPr>
    </w:p>
    <w:p w14:paraId="763947B2">
      <w:pPr>
        <w:pStyle w:val="13"/>
        <w:rPr>
          <w:color w:val="000000" w:themeColor="text1"/>
          <w:highlight w:val="none"/>
          <w14:textFill>
            <w14:solidFill>
              <w14:schemeClr w14:val="tx1"/>
            </w14:solidFill>
          </w14:textFill>
        </w:rPr>
      </w:pPr>
    </w:p>
    <w:p w14:paraId="5D41613B">
      <w:pPr>
        <w:pStyle w:val="13"/>
        <w:rPr>
          <w:color w:val="000000" w:themeColor="text1"/>
          <w:highlight w:val="none"/>
          <w14:textFill>
            <w14:solidFill>
              <w14:schemeClr w14:val="tx1"/>
            </w14:solidFill>
          </w14:textFill>
        </w:rPr>
      </w:pPr>
    </w:p>
    <w:p w14:paraId="6C537B27">
      <w:pPr>
        <w:pStyle w:val="13"/>
        <w:rPr>
          <w:color w:val="000000" w:themeColor="text1"/>
          <w:highlight w:val="none"/>
          <w14:textFill>
            <w14:solidFill>
              <w14:schemeClr w14:val="tx1"/>
            </w14:solidFill>
          </w14:textFill>
        </w:rPr>
      </w:pPr>
    </w:p>
    <w:p w14:paraId="2FC99AAD">
      <w:pPr>
        <w:pStyle w:val="13"/>
        <w:rPr>
          <w:color w:val="000000" w:themeColor="text1"/>
          <w:highlight w:val="none"/>
          <w14:textFill>
            <w14:solidFill>
              <w14:schemeClr w14:val="tx1"/>
            </w14:solidFill>
          </w14:textFill>
        </w:rPr>
      </w:pPr>
    </w:p>
    <w:p w14:paraId="54F06874">
      <w:pPr>
        <w:pStyle w:val="13"/>
        <w:rPr>
          <w:color w:val="000000" w:themeColor="text1"/>
          <w:highlight w:val="none"/>
          <w14:textFill>
            <w14:solidFill>
              <w14:schemeClr w14:val="tx1"/>
            </w14:solidFill>
          </w14:textFill>
        </w:rPr>
      </w:pPr>
    </w:p>
    <w:p w14:paraId="42DB1568">
      <w:pPr>
        <w:pStyle w:val="13"/>
        <w:rPr>
          <w:color w:val="000000" w:themeColor="text1"/>
          <w:highlight w:val="none"/>
          <w14:textFill>
            <w14:solidFill>
              <w14:schemeClr w14:val="tx1"/>
            </w14:solidFill>
          </w14:textFill>
        </w:rPr>
      </w:pPr>
    </w:p>
    <w:p w14:paraId="2754FB06">
      <w:pPr>
        <w:pStyle w:val="13"/>
        <w:rPr>
          <w:color w:val="000000" w:themeColor="text1"/>
          <w:highlight w:val="none"/>
          <w14:textFill>
            <w14:solidFill>
              <w14:schemeClr w14:val="tx1"/>
            </w14:solidFill>
          </w14:textFill>
        </w:rPr>
      </w:pPr>
    </w:p>
    <w:p w14:paraId="4F73D805">
      <w:pPr>
        <w:pStyle w:val="13"/>
        <w:rPr>
          <w:color w:val="000000" w:themeColor="text1"/>
          <w:highlight w:val="none"/>
          <w14:textFill>
            <w14:solidFill>
              <w14:schemeClr w14:val="tx1"/>
            </w14:solidFill>
          </w14:textFill>
        </w:rPr>
      </w:pPr>
    </w:p>
    <w:p w14:paraId="3151E36E">
      <w:pPr>
        <w:pStyle w:val="13"/>
        <w:rPr>
          <w:color w:val="000000" w:themeColor="text1"/>
          <w:highlight w:val="none"/>
          <w14:textFill>
            <w14:solidFill>
              <w14:schemeClr w14:val="tx1"/>
            </w14:solidFill>
          </w14:textFill>
        </w:rPr>
      </w:pPr>
    </w:p>
    <w:p w14:paraId="4418E8CA">
      <w:pPr>
        <w:pStyle w:val="13"/>
        <w:rPr>
          <w:color w:val="000000" w:themeColor="text1"/>
          <w:highlight w:val="none"/>
          <w14:textFill>
            <w14:solidFill>
              <w14:schemeClr w14:val="tx1"/>
            </w14:solidFill>
          </w14:textFill>
        </w:rPr>
      </w:pPr>
    </w:p>
    <w:p w14:paraId="08E6830F">
      <w:pPr>
        <w:pStyle w:val="13"/>
        <w:rPr>
          <w:color w:val="000000" w:themeColor="text1"/>
          <w:highlight w:val="none"/>
          <w14:textFill>
            <w14:solidFill>
              <w14:schemeClr w14:val="tx1"/>
            </w14:solidFill>
          </w14:textFill>
        </w:rPr>
      </w:pPr>
    </w:p>
    <w:p w14:paraId="1896EA0F">
      <w:pPr>
        <w:pStyle w:val="13"/>
        <w:rPr>
          <w:color w:val="000000" w:themeColor="text1"/>
          <w:highlight w:val="none"/>
          <w14:textFill>
            <w14:solidFill>
              <w14:schemeClr w14:val="tx1"/>
            </w14:solidFill>
          </w14:textFill>
        </w:rPr>
      </w:pPr>
    </w:p>
    <w:p w14:paraId="24DBEC9C">
      <w:pPr>
        <w:pStyle w:val="13"/>
        <w:rPr>
          <w:color w:val="000000" w:themeColor="text1"/>
          <w:highlight w:val="none"/>
          <w14:textFill>
            <w14:solidFill>
              <w14:schemeClr w14:val="tx1"/>
            </w14:solidFill>
          </w14:textFill>
        </w:rPr>
      </w:pPr>
    </w:p>
    <w:p w14:paraId="56AEB38D">
      <w:pPr>
        <w:pStyle w:val="13"/>
        <w:rPr>
          <w:color w:val="000000" w:themeColor="text1"/>
          <w:highlight w:val="none"/>
          <w14:textFill>
            <w14:solidFill>
              <w14:schemeClr w14:val="tx1"/>
            </w14:solidFill>
          </w14:textFill>
        </w:rPr>
      </w:pPr>
    </w:p>
    <w:p w14:paraId="3F6090F0">
      <w:pPr>
        <w:pStyle w:val="13"/>
        <w:rPr>
          <w:color w:val="000000" w:themeColor="text1"/>
          <w:highlight w:val="none"/>
          <w14:textFill>
            <w14:solidFill>
              <w14:schemeClr w14:val="tx1"/>
            </w14:solidFill>
          </w14:textFill>
        </w:rPr>
      </w:pPr>
    </w:p>
    <w:p w14:paraId="00F4C403">
      <w:pPr>
        <w:spacing w:line="360" w:lineRule="auto"/>
        <w:jc w:val="righ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供应商：</w:t>
      </w:r>
      <w:r>
        <w:rPr>
          <w:rFonts w:hint="eastAsia" w:ascii="新宋体" w:hAnsi="新宋体" w:eastAsia="新宋体"/>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w:t>
      </w:r>
      <w:r>
        <w:rPr>
          <w:rFonts w:hint="eastAsia"/>
          <w:color w:val="000000" w:themeColor="text1"/>
          <w:sz w:val="24"/>
          <w:szCs w:val="24"/>
          <w:highlight w:val="none"/>
          <w:lang w:eastAsia="zh-CN"/>
          <w14:textFill>
            <w14:solidFill>
              <w14:schemeClr w14:val="tx1"/>
            </w14:solidFill>
          </w14:textFill>
        </w:rPr>
        <w:t>盖单位公章</w:t>
      </w:r>
      <w:r>
        <w:rPr>
          <w:rFonts w:hint="eastAsia"/>
          <w:color w:val="000000" w:themeColor="text1"/>
          <w:sz w:val="24"/>
          <w:szCs w:val="24"/>
          <w:highlight w:val="none"/>
          <w14:textFill>
            <w14:solidFill>
              <w14:schemeClr w14:val="tx1"/>
            </w14:solidFill>
          </w14:textFill>
        </w:rPr>
        <w:t>）</w:t>
      </w:r>
    </w:p>
    <w:p w14:paraId="771D6FE8">
      <w:pPr>
        <w:spacing w:line="360" w:lineRule="auto"/>
        <w:ind w:firstLine="3420" w:firstLineChars="1425"/>
        <w:rPr>
          <w:color w:val="000000" w:themeColor="text1"/>
          <w:sz w:val="24"/>
          <w:szCs w:val="24"/>
          <w:highlight w:val="none"/>
          <w14:textFill>
            <w14:solidFill>
              <w14:schemeClr w14:val="tx1"/>
            </w14:solidFill>
          </w14:textFill>
        </w:rPr>
      </w:pPr>
    </w:p>
    <w:p w14:paraId="35B7B465">
      <w:pPr>
        <w:spacing w:line="360" w:lineRule="auto"/>
        <w:jc w:val="righ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法定代表人或其委托代理人：</w:t>
      </w:r>
      <w:r>
        <w:rPr>
          <w:rFonts w:hint="eastAsia"/>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（签</w:t>
      </w:r>
      <w:r>
        <w:rPr>
          <w:rFonts w:hint="eastAsia"/>
          <w:color w:val="000000" w:themeColor="text1"/>
          <w:sz w:val="24"/>
          <w:szCs w:val="24"/>
          <w:highlight w:val="none"/>
          <w:lang w:val="en-US" w:eastAsia="zh-CN"/>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字）</w:t>
      </w:r>
    </w:p>
    <w:p w14:paraId="220AB591">
      <w:pPr>
        <w:spacing w:line="360" w:lineRule="auto"/>
        <w:ind w:firstLine="3420" w:firstLineChars="1425"/>
        <w:rPr>
          <w:color w:val="000000" w:themeColor="text1"/>
          <w:sz w:val="24"/>
          <w:szCs w:val="24"/>
          <w:highlight w:val="none"/>
          <w14:textFill>
            <w14:solidFill>
              <w14:schemeClr w14:val="tx1"/>
            </w14:solidFill>
          </w14:textFill>
        </w:rPr>
      </w:pPr>
    </w:p>
    <w:p w14:paraId="5BBD7A09">
      <w:pPr>
        <w:pStyle w:val="13"/>
        <w:ind w:firstLine="4712" w:firstLineChars="1900"/>
        <w:rPr>
          <w:color w:val="000000" w:themeColor="text1"/>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日期：</w:t>
      </w:r>
      <w:r>
        <w:rPr>
          <w:rFonts w:hint="eastAsia" w:ascii="宋体" w:hAnsi="宋体" w:eastAsia="宋体" w:cs="宋体"/>
          <w:b w:val="0"/>
          <w:bCs w:val="0"/>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 w:val="0"/>
          <w:bCs w:val="0"/>
          <w:color w:val="000000" w:themeColor="text1"/>
          <w:sz w:val="24"/>
          <w:szCs w:val="24"/>
          <w:highlight w:val="none"/>
          <w14:textFill>
            <w14:solidFill>
              <w14:schemeClr w14:val="tx1"/>
            </w14:solidFill>
          </w14:textFill>
        </w:rPr>
        <w:t>年</w:t>
      </w:r>
      <w:r>
        <w:rPr>
          <w:rFonts w:hint="eastAsia" w:ascii="宋体" w:hAnsi="宋体" w:eastAsia="宋体" w:cs="宋体"/>
          <w:b w:val="0"/>
          <w:bCs w:val="0"/>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 w:val="0"/>
          <w:bCs w:val="0"/>
          <w:color w:val="000000" w:themeColor="text1"/>
          <w:sz w:val="24"/>
          <w:szCs w:val="24"/>
          <w:highlight w:val="none"/>
          <w14:textFill>
            <w14:solidFill>
              <w14:schemeClr w14:val="tx1"/>
            </w14:solidFill>
          </w14:textFill>
        </w:rPr>
        <w:t>月</w:t>
      </w:r>
      <w:r>
        <w:rPr>
          <w:rFonts w:hint="eastAsia" w:ascii="宋体" w:hAnsi="宋体" w:eastAsia="宋体" w:cs="宋体"/>
          <w:b w:val="0"/>
          <w:bCs w:val="0"/>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 w:val="0"/>
          <w:bCs w:val="0"/>
          <w:color w:val="000000" w:themeColor="text1"/>
          <w:sz w:val="24"/>
          <w:szCs w:val="24"/>
          <w:highlight w:val="none"/>
          <w14:textFill>
            <w14:solidFill>
              <w14:schemeClr w14:val="tx1"/>
            </w14:solidFill>
          </w14:textFill>
        </w:rPr>
        <w:t>日</w:t>
      </w:r>
    </w:p>
    <w:sectPr>
      <w:headerReference r:id="rId15" w:type="default"/>
      <w:pgSz w:w="11905" w:h="16838"/>
      <w:pgMar w:top="1440" w:right="1803" w:bottom="1440" w:left="1803" w:header="1140" w:footer="720" w:gutter="0"/>
      <w:pgNumType w:fmt="decimal"/>
      <w:cols w:space="0" w:num="1"/>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汉鼎简楷体">
    <w:altName w:val="宋体"/>
    <w:panose1 w:val="00000000000000000000"/>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icrosoft JhengHei">
    <w:panose1 w:val="020B0604030504040204"/>
    <w:charset w:val="88"/>
    <w:family w:val="swiss"/>
    <w:pitch w:val="default"/>
    <w:sig w:usb0="000002A7" w:usb1="28CF4400" w:usb2="00000016" w:usb3="00000000" w:csb0="00100009"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1B8A71">
    <w:pPr>
      <w:pStyle w:val="23"/>
      <w:tabs>
        <w:tab w:val="center" w:pos="4649"/>
        <w:tab w:val="clear" w:pos="4153"/>
        <w:tab w:val="clear" w:pos="8306"/>
      </w:tabs>
    </w:pPr>
    <w:r>
      <w:br w:type="textWrapp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701FDC">
    <w:pPr>
      <w:spacing w:line="1" w:lineRule="exact"/>
    </w:pPr>
    <w:r>
      <w:rPr>
        <w:sz w:val="21"/>
      </w:rPr>
      <mc:AlternateContent>
        <mc:Choice Requires="wps">
          <w:drawing>
            <wp:anchor distT="0" distB="0" distL="114300" distR="114300" simplePos="0" relativeHeight="251666432" behindDoc="0" locked="0" layoutInCell="1" allowOverlap="1">
              <wp:simplePos x="0" y="0"/>
              <wp:positionH relativeFrom="margin">
                <wp:posOffset>2602865</wp:posOffset>
              </wp:positionH>
              <wp:positionV relativeFrom="paragraph">
                <wp:posOffset>-285750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53F40B">
                          <w:pPr>
                            <w:pStyle w:val="23"/>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04.95pt;margin-top:-22.5pt;height:144pt;width:144pt;mso-position-horizontal-relative:margin;mso-wrap-style:none;z-index:251666432;mso-width-relative:page;mso-height-relative:page;" filled="f" stroked="f" coordsize="21600,21600" o:gfxdata="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MTfPnbYAAAACwEAAA8AAAAAAAAAAQAgAAAAIgAAAGRycy9kb3ducmV2Lnht&#10;bFBLAQIUABQAAAAIAIdO4kC6jDgrMgIAAGEEAAAOAAAAAAAAAAEAIAAAACcBAABkcnMvZTJvRG9j&#10;LnhtbFBLBQYAAAAABgAGAFkBAADLBQAAAAA=&#10;">
              <v:fill on="f" focussize="0,0"/>
              <v:stroke on="f" weight="0.5pt"/>
              <v:imagedata o:title=""/>
              <o:lock v:ext="edit" aspectratio="f"/>
              <v:textbox inset="0mm,0mm,0mm,0mm" style="mso-fit-shape-to-text:t;">
                <w:txbxContent>
                  <w:p w14:paraId="1C53F40B">
                    <w:pPr>
                      <w:pStyle w:val="23"/>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860A0D">
    <w:pPr>
      <w:spacing w:line="1" w:lineRule="exact"/>
    </w:pPr>
    <w:r>
      <mc:AlternateContent>
        <mc:Choice Requires="wps">
          <w:drawing>
            <wp:anchor distT="0" distB="0" distL="0" distR="0" simplePos="0" relativeHeight="251663360" behindDoc="1" locked="0" layoutInCell="1" allowOverlap="1">
              <wp:simplePos x="0" y="0"/>
              <wp:positionH relativeFrom="page">
                <wp:posOffset>3750310</wp:posOffset>
              </wp:positionH>
              <wp:positionV relativeFrom="page">
                <wp:posOffset>9961245</wp:posOffset>
              </wp:positionV>
              <wp:extent cx="42545" cy="79375"/>
              <wp:effectExtent l="0" t="0" r="0" b="0"/>
              <wp:wrapNone/>
              <wp:docPr id="11" name="Shape 7"/>
              <wp:cNvGraphicFramePr/>
              <a:graphic xmlns:a="http://schemas.openxmlformats.org/drawingml/2006/main">
                <a:graphicData uri="http://schemas.microsoft.com/office/word/2010/wordprocessingShape">
                  <wps:wsp>
                    <wps:cNvSpPr txBox="1"/>
                    <wps:spPr>
                      <a:xfrm>
                        <a:off x="0" y="0"/>
                        <a:ext cx="42545" cy="79375"/>
                      </a:xfrm>
                      <a:prstGeom prst="rect">
                        <a:avLst/>
                      </a:prstGeom>
                      <a:noFill/>
                    </wps:spPr>
                    <wps:txbx>
                      <w:txbxContent>
                        <w:p w14:paraId="55BD6F0D">
                          <w:pPr>
                            <w:pStyle w:val="80"/>
                            <w:jc w:val="left"/>
                          </w:pPr>
                          <w:r>
                            <w:fldChar w:fldCharType="begin"/>
                          </w:r>
                          <w:r>
                            <w:instrText xml:space="preserve"> PAGE \* MERGEFORMAT </w:instrText>
                          </w:r>
                          <w:r>
                            <w:fldChar w:fldCharType="separate"/>
                          </w:r>
                          <w:r>
                            <w:rPr>
                              <w:rFonts w:eastAsia="Times New Roman" w:cs="Times New Roman"/>
                              <w:color w:val="000000"/>
                            </w:rPr>
                            <w:t>#</w:t>
                          </w:r>
                          <w:r>
                            <w:rPr>
                              <w:rFonts w:eastAsia="Times New Roman" w:cs="Times New Roman"/>
                              <w:color w:val="000000"/>
                            </w:rPr>
                            <w:fldChar w:fldCharType="end"/>
                          </w:r>
                        </w:p>
                      </w:txbxContent>
                    </wps:txbx>
                    <wps:bodyPr wrap="none" lIns="0" tIns="0" rIns="0" bIns="0">
                      <a:spAutoFit/>
                    </wps:bodyPr>
                  </wps:wsp>
                </a:graphicData>
              </a:graphic>
            </wp:anchor>
          </w:drawing>
        </mc:Choice>
        <mc:Fallback>
          <w:pict>
            <v:shape id="Shape 7" o:spid="_x0000_s1026" o:spt="202" type="#_x0000_t202" style="position:absolute;left:0pt;margin-left:295.3pt;margin-top:784.35pt;height:6.25pt;width:3.35pt;mso-position-horizontal-relative:page;mso-position-vertical-relative:page;mso-wrap-style:none;z-index:-251653120;mso-width-relative:page;mso-height-relative:page;" filled="f" stroked="f" coordsize="21600,21600" o:gfxdata="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CiiOJk2AAA&#10;AA0BAAAPAAAAAAAAAAEAIAAAACIAAABkcnMvZG93bnJldi54bWxQSwECFAAUAAAACACHTuJAmD1C&#10;iqwBAABuAwAADgAAAAAAAAABACAAAAAnAQAAZHJzL2Uyb0RvYy54bWxQSwUGAAAAAAYABgBZAQAA&#10;RQUAAAAA&#10;">
              <v:fill on="f" focussize="0,0"/>
              <v:stroke on="f"/>
              <v:imagedata o:title=""/>
              <o:lock v:ext="edit" aspectratio="f"/>
              <v:textbox inset="0mm,0mm,0mm,0mm" style="mso-fit-shape-to-text:t;">
                <w:txbxContent>
                  <w:p w14:paraId="55BD6F0D">
                    <w:pPr>
                      <w:pStyle w:val="80"/>
                      <w:jc w:val="left"/>
                    </w:pPr>
                    <w:r>
                      <w:fldChar w:fldCharType="begin"/>
                    </w:r>
                    <w:r>
                      <w:instrText xml:space="preserve"> PAGE \* MERGEFORMAT </w:instrText>
                    </w:r>
                    <w:r>
                      <w:fldChar w:fldCharType="separate"/>
                    </w:r>
                    <w:r>
                      <w:rPr>
                        <w:rFonts w:eastAsia="Times New Roman" w:cs="Times New Roman"/>
                        <w:color w:val="000000"/>
                      </w:rPr>
                      <w:t>#</w:t>
                    </w:r>
                    <w:r>
                      <w:rPr>
                        <w:rFonts w:eastAsia="Times New Roman" w:cs="Times New Roman"/>
                        <w:color w:val="000000"/>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367458">
    <w:pPr>
      <w:spacing w:line="1" w:lineRule="exact"/>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6F9720">
                          <w:pPr>
                            <w:pStyle w:val="23"/>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96F9720">
                    <w:pPr>
                      <w:pStyle w:val="23"/>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2084EC">
    <w:pPr>
      <w:pStyle w:val="23"/>
      <w:jc w:val="both"/>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8C37B6">
                          <w:pPr>
                            <w:pStyle w:val="23"/>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4E8C37B6">
                    <w:pPr>
                      <w:pStyle w:val="23"/>
                    </w:pPr>
                    <w:r>
                      <w:fldChar w:fldCharType="begin"/>
                    </w:r>
                    <w:r>
                      <w:instrText xml:space="preserve"> PAGE  \* MERGEFORMAT </w:instrText>
                    </w:r>
                    <w:r>
                      <w:fldChar w:fldCharType="separate"/>
                    </w:r>
                    <w:r>
                      <w:t>41</w:t>
                    </w:r>
                    <w:r>
                      <w:fldChar w:fldCharType="end"/>
                    </w:r>
                  </w:p>
                </w:txbxContent>
              </v:textbox>
            </v:shape>
          </w:pict>
        </mc:Fallback>
      </mc:AlternateContent>
    </w:r>
  </w:p>
  <w:p w14:paraId="3851CBAF">
    <w:pPr>
      <w:pStyle w:val="23"/>
      <w:rPr>
        <w:rFonts w:cs="Times New Roman"/>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46E1F9">
    <w:pPr>
      <w:pStyle w:val="23"/>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AE7AF6">
                          <w:pPr>
                            <w:pStyle w:val="23"/>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59AE7AF6">
                    <w:pPr>
                      <w:pStyle w:val="23"/>
                    </w:pPr>
                    <w:r>
                      <w:fldChar w:fldCharType="begin"/>
                    </w:r>
                    <w:r>
                      <w:instrText xml:space="preserve"> PAGE  \* MERGEFORMAT </w:instrText>
                    </w:r>
                    <w:r>
                      <w:fldChar w:fldCharType="separate"/>
                    </w:r>
                    <w:r>
                      <w:t>44</w:t>
                    </w:r>
                    <w:r>
                      <w:fldChar w:fldCharType="end"/>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0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0E31149">
                          <w:pPr>
                            <w:pStyle w:val="23"/>
                          </w:pPr>
                        </w:p>
                      </w:txbxContent>
                    </wps:txbx>
                    <wps:bodyPr vert="horz" wrap="none" lIns="0" tIns="0" rIns="0" bIns="0" anchor="t" anchorCtr="0">
                      <a:spAutoFit/>
                    </wps:bodyPr>
                  </wps:wsp>
                </a:graphicData>
              </a:graphic>
            </wp:anchor>
          </w:drawing>
        </mc:Choice>
        <mc:Fallback>
          <w:pict>
            <v:shape id="文本框 103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zql5uc8AAAAFAQAADwAAAAAAAAABACAAAAAi&#10;AAAAZHJzL2Rvd25yZXYueG1sUEsBAhQAFAAAAAgAh07iQPt7lpTaAQAAtQMAAA4AAAAAAAAAAQAg&#10;AAAAHgEAAGRycy9lMm9Eb2MueG1sUEsFBgAAAAAGAAYAWQEAAGoFAAAAAA==&#10;">
              <v:fill on="f" focussize="0,0"/>
              <v:stroke on="f"/>
              <v:imagedata o:title=""/>
              <o:lock v:ext="edit" aspectratio="f"/>
              <v:textbox inset="0mm,0mm,0mm,0mm" style="mso-fit-shape-to-text:t;">
                <w:txbxContent>
                  <w:p w14:paraId="40E31149">
                    <w:pPr>
                      <w:pStyle w:val="23"/>
                    </w:pPr>
                  </w:p>
                </w:txbxContent>
              </v:textbox>
            </v:shape>
          </w:pict>
        </mc:Fallback>
      </mc:AlternateContent>
    </w:r>
  </w:p>
  <w:p w14:paraId="236A4059">
    <w:pPr>
      <w:pStyle w:val="23"/>
      <w:jc w:val="center"/>
    </w:pPr>
  </w:p>
  <w:p w14:paraId="620B3250">
    <w:pPr>
      <w:pStyle w:val="23"/>
      <w:rPr>
        <w:rFonts w:cs="Times New Roman"/>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3FF416">
    <w:pPr>
      <w:pStyle w:val="23"/>
      <w:rPr>
        <w:rFonts w:eastAsia="仿宋_GB2312"/>
        <w:sz w:val="24"/>
      </w:rPr>
    </w:pPr>
    <w:r>
      <w:rPr>
        <w:sz w:val="24"/>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C20444">
                          <w:pPr>
                            <w:pStyle w:val="23"/>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BC20444">
                    <w:pPr>
                      <w:pStyle w:val="23"/>
                    </w:pPr>
                    <w:r>
                      <w:fldChar w:fldCharType="begin"/>
                    </w:r>
                    <w:r>
                      <w:instrText xml:space="preserve"> PAGE  \* MERGEFORMAT </w:instrText>
                    </w:r>
                    <w:r>
                      <w:fldChar w:fldCharType="separate"/>
                    </w:r>
                    <w:r>
                      <w:t>51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AE44C4">
    <w:pPr>
      <w:pStyle w:val="24"/>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431D53">
    <w:pPr>
      <w:pStyle w:val="24"/>
      <w:pBdr>
        <w:bottom w:val="none" w:color="auto" w:sz="0" w:space="1"/>
      </w:pBdr>
      <w:jc w:val="both"/>
      <w:rPr>
        <w:b/>
        <w:bCs/>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90211">
    <w:pPr>
      <w:pStyle w:val="24"/>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865711">
    <w:pPr>
      <w:pStyle w:val="24"/>
      <w:pBdr>
        <w:bottom w:val="threeDEngrave" w:color="auto" w:sz="18" w:space="1"/>
      </w:pBdr>
      <w:jc w:val="center"/>
      <w:rPr>
        <w:rFonts w:hint="eastAsia" w:eastAsia="宋体"/>
        <w:b/>
        <w:bCs/>
        <w:lang w:eastAsia="zh-CN"/>
      </w:rPr>
    </w:pPr>
    <w:r>
      <w:rPr>
        <w:rFonts w:hint="eastAsia"/>
        <w:b/>
        <w:bCs/>
        <w:sz w:val="21"/>
        <w:szCs w:val="21"/>
        <w:lang w:eastAsia="zh-CN"/>
      </w:rPr>
      <w:t>吉林省浩业工程咨询有限公司</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5DECA3">
    <w:pPr>
      <w:pStyle w:val="24"/>
      <w:pBdr>
        <w:bottom w:val="threeDEngrave" w:color="auto" w:sz="18" w:space="1"/>
      </w:pBdr>
      <w:jc w:val="center"/>
      <w:rPr>
        <w:rFonts w:hint="eastAsia" w:eastAsia="宋体"/>
        <w:b/>
        <w:bCs/>
        <w:lang w:eastAsia="zh-CN"/>
      </w:rPr>
    </w:pPr>
    <w:r>
      <w:rPr>
        <w:rFonts w:hint="eastAsia"/>
        <w:b/>
        <w:bCs/>
        <w:sz w:val="21"/>
        <w:szCs w:val="21"/>
        <w:lang w:eastAsia="zh-CN"/>
      </w:rPr>
      <w:t>吉林省浩业工程咨询有限公司</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208449">
    <w:pPr>
      <w:pStyle w:val="24"/>
      <w:pBdr>
        <w:bottom w:val="threeDEngrave" w:color="auto" w:sz="18" w:space="1"/>
      </w:pBdr>
      <w:jc w:val="center"/>
      <w:rPr>
        <w:rFonts w:hint="eastAsia" w:ascii="仿宋_GB2312" w:eastAsia="仿宋_GB2312"/>
        <w:lang w:eastAsia="zh-CN"/>
      </w:rPr>
    </w:pPr>
    <w:r>
      <w:rPr>
        <w:rFonts w:hint="eastAsia" w:ascii="宋体" w:hAnsi="宋体" w:eastAsia="宋体" w:cs="宋体"/>
        <w:b/>
        <w:bCs/>
        <w:lang w:eastAsia="zh-CN"/>
      </w:rPr>
      <w:t>吉林省浩业工程咨询有限公司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7BE99C"/>
    <w:multiLevelType w:val="singleLevel"/>
    <w:tmpl w:val="9A7BE99C"/>
    <w:lvl w:ilvl="0" w:tentative="0">
      <w:start w:val="7"/>
      <w:numFmt w:val="chineseCounting"/>
      <w:suff w:val="nothing"/>
      <w:lvlText w:val="（%1）"/>
      <w:lvlJc w:val="left"/>
      <w:rPr>
        <w:rFonts w:hint="eastAsia"/>
      </w:rPr>
    </w:lvl>
  </w:abstractNum>
  <w:abstractNum w:abstractNumId="1">
    <w:nsid w:val="C4A818A5"/>
    <w:multiLevelType w:val="multilevel"/>
    <w:tmpl w:val="C4A818A5"/>
    <w:lvl w:ilvl="0" w:tentative="0">
      <w:start w:val="1"/>
      <w:numFmt w:val="decimal"/>
      <w:suff w:val="space"/>
      <w:lvlText w:val="%1"/>
      <w:lvlJc w:val="left"/>
      <w:pPr>
        <w:ind w:left="0" w:firstLine="0"/>
      </w:pPr>
      <w:rPr>
        <w:rFonts w:hint="default"/>
      </w:rPr>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360"/>
  <w:doNotHyphenateCaps/>
  <w:drawingGridHorizontalSpacing w:val="210"/>
  <w:drawingGridVerticalSpacing w:val="159"/>
  <w:displayHorizontalDrawingGridEvery w:val="1"/>
  <w:displayVerticalDrawingGridEvery w:val="1"/>
  <w:noPunctuationKerning w:val="1"/>
  <w:characterSpacingControl w:val="compressPunctuation"/>
  <w:noLineBreaksAfter w:lang="zh-CN" w:val="([{·‘“〈《「『【〔〖（．［｛￡￥"/>
  <w:noLineBreaksBefore w:lang="zh-CN" w:val="!),.:;?]}¨·ˇˉ―‖’”…∶、。〃々〉》」』】〕〗！＂＇），．：；？］｀｜｝～￠"/>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YxNGMzMmYyZDAzYzhjMGU0MTEzNDBiOWM0OTFmOGIifQ=="/>
    <w:docVar w:name="KSO_WPS_MARK_KEY" w:val="20042db2-ddec-4a9d-beba-15064245fd25"/>
  </w:docVars>
  <w:rsids>
    <w:rsidRoot w:val="0060259C"/>
    <w:rsid w:val="00004DF0"/>
    <w:rsid w:val="00007BD3"/>
    <w:rsid w:val="0001610B"/>
    <w:rsid w:val="0002552D"/>
    <w:rsid w:val="00025E56"/>
    <w:rsid w:val="000305ED"/>
    <w:rsid w:val="0003157E"/>
    <w:rsid w:val="000343CF"/>
    <w:rsid w:val="00041996"/>
    <w:rsid w:val="00042CB8"/>
    <w:rsid w:val="0004356D"/>
    <w:rsid w:val="00044BBF"/>
    <w:rsid w:val="00046859"/>
    <w:rsid w:val="00050C77"/>
    <w:rsid w:val="00054BEB"/>
    <w:rsid w:val="000560E8"/>
    <w:rsid w:val="00056FDC"/>
    <w:rsid w:val="000702F5"/>
    <w:rsid w:val="00072F44"/>
    <w:rsid w:val="000807B8"/>
    <w:rsid w:val="00086A42"/>
    <w:rsid w:val="00086C6B"/>
    <w:rsid w:val="00090ABA"/>
    <w:rsid w:val="000A3FA6"/>
    <w:rsid w:val="000A4BC0"/>
    <w:rsid w:val="000B1F38"/>
    <w:rsid w:val="000B534C"/>
    <w:rsid w:val="000B73C0"/>
    <w:rsid w:val="000C5AC8"/>
    <w:rsid w:val="000C7FD3"/>
    <w:rsid w:val="000D0243"/>
    <w:rsid w:val="000D0652"/>
    <w:rsid w:val="000D20E4"/>
    <w:rsid w:val="000D77C2"/>
    <w:rsid w:val="000E288F"/>
    <w:rsid w:val="000E35DC"/>
    <w:rsid w:val="000E3B1B"/>
    <w:rsid w:val="000E63AE"/>
    <w:rsid w:val="000F1662"/>
    <w:rsid w:val="000F1BEF"/>
    <w:rsid w:val="0010081D"/>
    <w:rsid w:val="001034EC"/>
    <w:rsid w:val="00106518"/>
    <w:rsid w:val="0010772B"/>
    <w:rsid w:val="001169B3"/>
    <w:rsid w:val="00116B44"/>
    <w:rsid w:val="00120475"/>
    <w:rsid w:val="001232BD"/>
    <w:rsid w:val="00126146"/>
    <w:rsid w:val="0012703C"/>
    <w:rsid w:val="001355E3"/>
    <w:rsid w:val="001511F9"/>
    <w:rsid w:val="00152366"/>
    <w:rsid w:val="00152521"/>
    <w:rsid w:val="00152A71"/>
    <w:rsid w:val="001610CB"/>
    <w:rsid w:val="0016157B"/>
    <w:rsid w:val="00166CC9"/>
    <w:rsid w:val="00171254"/>
    <w:rsid w:val="00174204"/>
    <w:rsid w:val="00176CDE"/>
    <w:rsid w:val="00182256"/>
    <w:rsid w:val="001844EE"/>
    <w:rsid w:val="00192F06"/>
    <w:rsid w:val="001942C3"/>
    <w:rsid w:val="001A2302"/>
    <w:rsid w:val="001A4FDF"/>
    <w:rsid w:val="001A71A4"/>
    <w:rsid w:val="001B3B48"/>
    <w:rsid w:val="001B5695"/>
    <w:rsid w:val="001C1185"/>
    <w:rsid w:val="001C12AF"/>
    <w:rsid w:val="001D3067"/>
    <w:rsid w:val="001D4ADB"/>
    <w:rsid w:val="001E5BC4"/>
    <w:rsid w:val="001F4348"/>
    <w:rsid w:val="001F4B92"/>
    <w:rsid w:val="001F5F96"/>
    <w:rsid w:val="00203E07"/>
    <w:rsid w:val="002219BE"/>
    <w:rsid w:val="002239CD"/>
    <w:rsid w:val="00224EC9"/>
    <w:rsid w:val="0022564C"/>
    <w:rsid w:val="00226DC2"/>
    <w:rsid w:val="00227CBD"/>
    <w:rsid w:val="00230D70"/>
    <w:rsid w:val="002361D5"/>
    <w:rsid w:val="0023792B"/>
    <w:rsid w:val="002401CF"/>
    <w:rsid w:val="0025318F"/>
    <w:rsid w:val="0025487C"/>
    <w:rsid w:val="00256790"/>
    <w:rsid w:val="00265984"/>
    <w:rsid w:val="0026722F"/>
    <w:rsid w:val="0027477C"/>
    <w:rsid w:val="002838C2"/>
    <w:rsid w:val="0028665A"/>
    <w:rsid w:val="002917AF"/>
    <w:rsid w:val="00292BAB"/>
    <w:rsid w:val="00293FD0"/>
    <w:rsid w:val="0029443E"/>
    <w:rsid w:val="00294CF3"/>
    <w:rsid w:val="002A50EE"/>
    <w:rsid w:val="002A7D62"/>
    <w:rsid w:val="002B54F8"/>
    <w:rsid w:val="002B5F1A"/>
    <w:rsid w:val="002B700F"/>
    <w:rsid w:val="002C0170"/>
    <w:rsid w:val="002C188E"/>
    <w:rsid w:val="002C20B9"/>
    <w:rsid w:val="002C3430"/>
    <w:rsid w:val="002D0870"/>
    <w:rsid w:val="002D2B90"/>
    <w:rsid w:val="002D3494"/>
    <w:rsid w:val="002D3F13"/>
    <w:rsid w:val="002D4E71"/>
    <w:rsid w:val="002E49B0"/>
    <w:rsid w:val="002E67A6"/>
    <w:rsid w:val="002F1339"/>
    <w:rsid w:val="002F2B91"/>
    <w:rsid w:val="002F554C"/>
    <w:rsid w:val="002F59AB"/>
    <w:rsid w:val="0030510C"/>
    <w:rsid w:val="00316816"/>
    <w:rsid w:val="00317DEE"/>
    <w:rsid w:val="003222FE"/>
    <w:rsid w:val="0032490C"/>
    <w:rsid w:val="00325AAA"/>
    <w:rsid w:val="003326E9"/>
    <w:rsid w:val="00334E85"/>
    <w:rsid w:val="003357EF"/>
    <w:rsid w:val="003462FE"/>
    <w:rsid w:val="00346375"/>
    <w:rsid w:val="00351847"/>
    <w:rsid w:val="00360A64"/>
    <w:rsid w:val="003629AD"/>
    <w:rsid w:val="00364485"/>
    <w:rsid w:val="00365FAE"/>
    <w:rsid w:val="0037157D"/>
    <w:rsid w:val="00373538"/>
    <w:rsid w:val="00392717"/>
    <w:rsid w:val="003942B3"/>
    <w:rsid w:val="00397897"/>
    <w:rsid w:val="003A1C84"/>
    <w:rsid w:val="003A2A5A"/>
    <w:rsid w:val="003A2B49"/>
    <w:rsid w:val="003A394F"/>
    <w:rsid w:val="003B08AB"/>
    <w:rsid w:val="003B2C7F"/>
    <w:rsid w:val="003B668E"/>
    <w:rsid w:val="003C1402"/>
    <w:rsid w:val="003C1617"/>
    <w:rsid w:val="003C3666"/>
    <w:rsid w:val="003D5F90"/>
    <w:rsid w:val="003E77D4"/>
    <w:rsid w:val="003F71D9"/>
    <w:rsid w:val="00401E7C"/>
    <w:rsid w:val="00411072"/>
    <w:rsid w:val="00417A87"/>
    <w:rsid w:val="00421542"/>
    <w:rsid w:val="004248E2"/>
    <w:rsid w:val="004466EB"/>
    <w:rsid w:val="00452085"/>
    <w:rsid w:val="0045334B"/>
    <w:rsid w:val="00455B72"/>
    <w:rsid w:val="00460ED9"/>
    <w:rsid w:val="00462DE6"/>
    <w:rsid w:val="00466344"/>
    <w:rsid w:val="00474B77"/>
    <w:rsid w:val="00481901"/>
    <w:rsid w:val="004829B5"/>
    <w:rsid w:val="00492FC1"/>
    <w:rsid w:val="00493701"/>
    <w:rsid w:val="004A1F64"/>
    <w:rsid w:val="004A59BF"/>
    <w:rsid w:val="004B1049"/>
    <w:rsid w:val="004B5184"/>
    <w:rsid w:val="004B5B8D"/>
    <w:rsid w:val="004B6D9C"/>
    <w:rsid w:val="004B70E4"/>
    <w:rsid w:val="004C13AA"/>
    <w:rsid w:val="004C3F14"/>
    <w:rsid w:val="004C441D"/>
    <w:rsid w:val="004D6BDE"/>
    <w:rsid w:val="004E0447"/>
    <w:rsid w:val="004E7789"/>
    <w:rsid w:val="004F2703"/>
    <w:rsid w:val="004F3ABD"/>
    <w:rsid w:val="00513F1A"/>
    <w:rsid w:val="0051488A"/>
    <w:rsid w:val="00515B1F"/>
    <w:rsid w:val="005201AB"/>
    <w:rsid w:val="0052144B"/>
    <w:rsid w:val="00527084"/>
    <w:rsid w:val="005356CE"/>
    <w:rsid w:val="00542824"/>
    <w:rsid w:val="0055647C"/>
    <w:rsid w:val="00561D2D"/>
    <w:rsid w:val="00571C62"/>
    <w:rsid w:val="005875F5"/>
    <w:rsid w:val="0059408E"/>
    <w:rsid w:val="005955EC"/>
    <w:rsid w:val="00595BFF"/>
    <w:rsid w:val="005A0126"/>
    <w:rsid w:val="005A33F4"/>
    <w:rsid w:val="005A4C76"/>
    <w:rsid w:val="005A6FD5"/>
    <w:rsid w:val="005B1EAD"/>
    <w:rsid w:val="005B315A"/>
    <w:rsid w:val="005B6077"/>
    <w:rsid w:val="005C7CB7"/>
    <w:rsid w:val="005D5A2B"/>
    <w:rsid w:val="005D7D12"/>
    <w:rsid w:val="005E4FF4"/>
    <w:rsid w:val="005F10EF"/>
    <w:rsid w:val="005F1921"/>
    <w:rsid w:val="005F2D47"/>
    <w:rsid w:val="005F3C35"/>
    <w:rsid w:val="005F3E15"/>
    <w:rsid w:val="005F432C"/>
    <w:rsid w:val="005F661B"/>
    <w:rsid w:val="005F6D9C"/>
    <w:rsid w:val="00602352"/>
    <w:rsid w:val="0060259C"/>
    <w:rsid w:val="0060384C"/>
    <w:rsid w:val="00605D0E"/>
    <w:rsid w:val="0060761C"/>
    <w:rsid w:val="00611F18"/>
    <w:rsid w:val="00614109"/>
    <w:rsid w:val="006238C9"/>
    <w:rsid w:val="00630C3A"/>
    <w:rsid w:val="00640888"/>
    <w:rsid w:val="00641C9C"/>
    <w:rsid w:val="00647F33"/>
    <w:rsid w:val="00651229"/>
    <w:rsid w:val="00662147"/>
    <w:rsid w:val="00671B5A"/>
    <w:rsid w:val="00672AB9"/>
    <w:rsid w:val="006768A2"/>
    <w:rsid w:val="00677284"/>
    <w:rsid w:val="00681149"/>
    <w:rsid w:val="0068333F"/>
    <w:rsid w:val="006834A6"/>
    <w:rsid w:val="00684A1E"/>
    <w:rsid w:val="0068594F"/>
    <w:rsid w:val="00690D10"/>
    <w:rsid w:val="006B0AC6"/>
    <w:rsid w:val="006B3007"/>
    <w:rsid w:val="006B3790"/>
    <w:rsid w:val="006C42EF"/>
    <w:rsid w:val="006C7C1C"/>
    <w:rsid w:val="006D42BC"/>
    <w:rsid w:val="006D7D8B"/>
    <w:rsid w:val="006E0BB7"/>
    <w:rsid w:val="006E5AB1"/>
    <w:rsid w:val="006E6FD0"/>
    <w:rsid w:val="006F4044"/>
    <w:rsid w:val="00711645"/>
    <w:rsid w:val="00712CBA"/>
    <w:rsid w:val="00714FB0"/>
    <w:rsid w:val="00715B8C"/>
    <w:rsid w:val="007229EA"/>
    <w:rsid w:val="00725E22"/>
    <w:rsid w:val="00730354"/>
    <w:rsid w:val="007374CB"/>
    <w:rsid w:val="00740245"/>
    <w:rsid w:val="0074107E"/>
    <w:rsid w:val="007436C5"/>
    <w:rsid w:val="00755B19"/>
    <w:rsid w:val="007579A8"/>
    <w:rsid w:val="007600ED"/>
    <w:rsid w:val="007611BD"/>
    <w:rsid w:val="00771B61"/>
    <w:rsid w:val="007733F5"/>
    <w:rsid w:val="00773801"/>
    <w:rsid w:val="00775C3F"/>
    <w:rsid w:val="00783D3E"/>
    <w:rsid w:val="007875E4"/>
    <w:rsid w:val="00791A6B"/>
    <w:rsid w:val="007A0FD6"/>
    <w:rsid w:val="007A153D"/>
    <w:rsid w:val="007A2306"/>
    <w:rsid w:val="007A38A7"/>
    <w:rsid w:val="007A4F84"/>
    <w:rsid w:val="007B0022"/>
    <w:rsid w:val="007B00F6"/>
    <w:rsid w:val="007B42AE"/>
    <w:rsid w:val="007C0D0D"/>
    <w:rsid w:val="007C2FC3"/>
    <w:rsid w:val="007C4FD1"/>
    <w:rsid w:val="007C5E3A"/>
    <w:rsid w:val="007C7401"/>
    <w:rsid w:val="007D1211"/>
    <w:rsid w:val="007D1F6D"/>
    <w:rsid w:val="007D40BE"/>
    <w:rsid w:val="007D4421"/>
    <w:rsid w:val="007D7515"/>
    <w:rsid w:val="007E10A8"/>
    <w:rsid w:val="007E4C8E"/>
    <w:rsid w:val="007F132D"/>
    <w:rsid w:val="007F5466"/>
    <w:rsid w:val="007F6A47"/>
    <w:rsid w:val="00800CE2"/>
    <w:rsid w:val="00803BE2"/>
    <w:rsid w:val="00804D3A"/>
    <w:rsid w:val="00805F9A"/>
    <w:rsid w:val="00812B16"/>
    <w:rsid w:val="00820120"/>
    <w:rsid w:val="00827E80"/>
    <w:rsid w:val="008319B7"/>
    <w:rsid w:val="0083367A"/>
    <w:rsid w:val="00835042"/>
    <w:rsid w:val="008437C7"/>
    <w:rsid w:val="00843EBD"/>
    <w:rsid w:val="00846989"/>
    <w:rsid w:val="00846B37"/>
    <w:rsid w:val="008477BF"/>
    <w:rsid w:val="00850306"/>
    <w:rsid w:val="00857254"/>
    <w:rsid w:val="008611D6"/>
    <w:rsid w:val="00870483"/>
    <w:rsid w:val="00875C14"/>
    <w:rsid w:val="00877212"/>
    <w:rsid w:val="00881A1F"/>
    <w:rsid w:val="008829D1"/>
    <w:rsid w:val="00886874"/>
    <w:rsid w:val="0088699D"/>
    <w:rsid w:val="00894F34"/>
    <w:rsid w:val="00897BDE"/>
    <w:rsid w:val="008A275F"/>
    <w:rsid w:val="008A27DE"/>
    <w:rsid w:val="008A736D"/>
    <w:rsid w:val="008B05F8"/>
    <w:rsid w:val="008B140F"/>
    <w:rsid w:val="008B154E"/>
    <w:rsid w:val="008C1A1C"/>
    <w:rsid w:val="008C4080"/>
    <w:rsid w:val="008D010D"/>
    <w:rsid w:val="008D1033"/>
    <w:rsid w:val="008E25ED"/>
    <w:rsid w:val="008E2B01"/>
    <w:rsid w:val="008E3C46"/>
    <w:rsid w:val="008F1FDF"/>
    <w:rsid w:val="009011FD"/>
    <w:rsid w:val="009037AD"/>
    <w:rsid w:val="0090410F"/>
    <w:rsid w:val="00905A8C"/>
    <w:rsid w:val="0091222B"/>
    <w:rsid w:val="00920782"/>
    <w:rsid w:val="00923BEF"/>
    <w:rsid w:val="00925BBB"/>
    <w:rsid w:val="00925F8F"/>
    <w:rsid w:val="009356A5"/>
    <w:rsid w:val="00935BDB"/>
    <w:rsid w:val="009414B6"/>
    <w:rsid w:val="00947F45"/>
    <w:rsid w:val="00960474"/>
    <w:rsid w:val="009708F1"/>
    <w:rsid w:val="009716CD"/>
    <w:rsid w:val="00973A91"/>
    <w:rsid w:val="00973F52"/>
    <w:rsid w:val="00976A96"/>
    <w:rsid w:val="00983E62"/>
    <w:rsid w:val="009859C7"/>
    <w:rsid w:val="0099120B"/>
    <w:rsid w:val="00997524"/>
    <w:rsid w:val="009A16E6"/>
    <w:rsid w:val="009A7FEF"/>
    <w:rsid w:val="009B76F0"/>
    <w:rsid w:val="009C01F8"/>
    <w:rsid w:val="009C381F"/>
    <w:rsid w:val="009C7466"/>
    <w:rsid w:val="009D00DF"/>
    <w:rsid w:val="009D1DAF"/>
    <w:rsid w:val="009D3454"/>
    <w:rsid w:val="009D5189"/>
    <w:rsid w:val="009F4281"/>
    <w:rsid w:val="009F55CE"/>
    <w:rsid w:val="009F755C"/>
    <w:rsid w:val="009F7C9D"/>
    <w:rsid w:val="00A03DE2"/>
    <w:rsid w:val="00A102E0"/>
    <w:rsid w:val="00A124C2"/>
    <w:rsid w:val="00A1373B"/>
    <w:rsid w:val="00A17551"/>
    <w:rsid w:val="00A20D4A"/>
    <w:rsid w:val="00A2362D"/>
    <w:rsid w:val="00A30712"/>
    <w:rsid w:val="00A313E3"/>
    <w:rsid w:val="00A33F5E"/>
    <w:rsid w:val="00A3540F"/>
    <w:rsid w:val="00A360CF"/>
    <w:rsid w:val="00A37C4D"/>
    <w:rsid w:val="00A40649"/>
    <w:rsid w:val="00A54435"/>
    <w:rsid w:val="00A61EE3"/>
    <w:rsid w:val="00A72161"/>
    <w:rsid w:val="00A73A75"/>
    <w:rsid w:val="00A745CF"/>
    <w:rsid w:val="00A755DB"/>
    <w:rsid w:val="00A76D37"/>
    <w:rsid w:val="00A7732C"/>
    <w:rsid w:val="00A80F90"/>
    <w:rsid w:val="00A82286"/>
    <w:rsid w:val="00A836EA"/>
    <w:rsid w:val="00A878B0"/>
    <w:rsid w:val="00A91759"/>
    <w:rsid w:val="00A91C17"/>
    <w:rsid w:val="00A96B1F"/>
    <w:rsid w:val="00AA298B"/>
    <w:rsid w:val="00AA508B"/>
    <w:rsid w:val="00AA7E04"/>
    <w:rsid w:val="00AC1A18"/>
    <w:rsid w:val="00AD164B"/>
    <w:rsid w:val="00AD3A78"/>
    <w:rsid w:val="00AD3ADB"/>
    <w:rsid w:val="00AD496E"/>
    <w:rsid w:val="00AE6660"/>
    <w:rsid w:val="00AE6751"/>
    <w:rsid w:val="00AF0623"/>
    <w:rsid w:val="00AF6152"/>
    <w:rsid w:val="00AF67C2"/>
    <w:rsid w:val="00AF7ACC"/>
    <w:rsid w:val="00B00672"/>
    <w:rsid w:val="00B04BB7"/>
    <w:rsid w:val="00B0620E"/>
    <w:rsid w:val="00B1086D"/>
    <w:rsid w:val="00B13D53"/>
    <w:rsid w:val="00B15F79"/>
    <w:rsid w:val="00B24A2A"/>
    <w:rsid w:val="00B33F96"/>
    <w:rsid w:val="00B3419A"/>
    <w:rsid w:val="00B356E4"/>
    <w:rsid w:val="00B3724F"/>
    <w:rsid w:val="00B3729E"/>
    <w:rsid w:val="00B37D41"/>
    <w:rsid w:val="00B402AF"/>
    <w:rsid w:val="00B41B87"/>
    <w:rsid w:val="00B45E5D"/>
    <w:rsid w:val="00B46B29"/>
    <w:rsid w:val="00B46C9F"/>
    <w:rsid w:val="00B50087"/>
    <w:rsid w:val="00B51E72"/>
    <w:rsid w:val="00B53D27"/>
    <w:rsid w:val="00B55915"/>
    <w:rsid w:val="00B6090F"/>
    <w:rsid w:val="00B64014"/>
    <w:rsid w:val="00B67AB5"/>
    <w:rsid w:val="00B722AE"/>
    <w:rsid w:val="00B735E6"/>
    <w:rsid w:val="00B741FE"/>
    <w:rsid w:val="00B83AA5"/>
    <w:rsid w:val="00B860A6"/>
    <w:rsid w:val="00B919DF"/>
    <w:rsid w:val="00B92C3E"/>
    <w:rsid w:val="00B97628"/>
    <w:rsid w:val="00BA1296"/>
    <w:rsid w:val="00BA29D6"/>
    <w:rsid w:val="00BA3940"/>
    <w:rsid w:val="00BB04DD"/>
    <w:rsid w:val="00BB05EB"/>
    <w:rsid w:val="00BB1B17"/>
    <w:rsid w:val="00BB323B"/>
    <w:rsid w:val="00BB64BA"/>
    <w:rsid w:val="00BC2900"/>
    <w:rsid w:val="00BC2AE7"/>
    <w:rsid w:val="00BC4D34"/>
    <w:rsid w:val="00BD24AB"/>
    <w:rsid w:val="00BD270A"/>
    <w:rsid w:val="00BE195B"/>
    <w:rsid w:val="00BF0BE3"/>
    <w:rsid w:val="00BF18D3"/>
    <w:rsid w:val="00BF1E2C"/>
    <w:rsid w:val="00BF793D"/>
    <w:rsid w:val="00C00551"/>
    <w:rsid w:val="00C01161"/>
    <w:rsid w:val="00C02194"/>
    <w:rsid w:val="00C04BF3"/>
    <w:rsid w:val="00C076DE"/>
    <w:rsid w:val="00C14006"/>
    <w:rsid w:val="00C14408"/>
    <w:rsid w:val="00C25DA1"/>
    <w:rsid w:val="00C26B0E"/>
    <w:rsid w:val="00C31F8D"/>
    <w:rsid w:val="00C42069"/>
    <w:rsid w:val="00C65780"/>
    <w:rsid w:val="00C657D8"/>
    <w:rsid w:val="00C6589B"/>
    <w:rsid w:val="00C66B37"/>
    <w:rsid w:val="00C73AE8"/>
    <w:rsid w:val="00C75813"/>
    <w:rsid w:val="00C761FB"/>
    <w:rsid w:val="00C81E63"/>
    <w:rsid w:val="00C826F3"/>
    <w:rsid w:val="00C878F9"/>
    <w:rsid w:val="00C9009F"/>
    <w:rsid w:val="00C92685"/>
    <w:rsid w:val="00C95F3E"/>
    <w:rsid w:val="00C978AA"/>
    <w:rsid w:val="00CA16BA"/>
    <w:rsid w:val="00CA231A"/>
    <w:rsid w:val="00CA5339"/>
    <w:rsid w:val="00CB2EB8"/>
    <w:rsid w:val="00CB789B"/>
    <w:rsid w:val="00CC42CE"/>
    <w:rsid w:val="00CC6858"/>
    <w:rsid w:val="00CD0739"/>
    <w:rsid w:val="00CD1D59"/>
    <w:rsid w:val="00CD1DB8"/>
    <w:rsid w:val="00CD2238"/>
    <w:rsid w:val="00CD283E"/>
    <w:rsid w:val="00CD4383"/>
    <w:rsid w:val="00CE14F4"/>
    <w:rsid w:val="00CE46FA"/>
    <w:rsid w:val="00CF1EA7"/>
    <w:rsid w:val="00CF37B5"/>
    <w:rsid w:val="00D00E93"/>
    <w:rsid w:val="00D03CE8"/>
    <w:rsid w:val="00D052FF"/>
    <w:rsid w:val="00D1389A"/>
    <w:rsid w:val="00D14C7B"/>
    <w:rsid w:val="00D15B7A"/>
    <w:rsid w:val="00D215C9"/>
    <w:rsid w:val="00D24269"/>
    <w:rsid w:val="00D3718B"/>
    <w:rsid w:val="00D419D9"/>
    <w:rsid w:val="00D426EF"/>
    <w:rsid w:val="00D43098"/>
    <w:rsid w:val="00D45B97"/>
    <w:rsid w:val="00D46670"/>
    <w:rsid w:val="00D50596"/>
    <w:rsid w:val="00D578A4"/>
    <w:rsid w:val="00D60C1F"/>
    <w:rsid w:val="00D61BA7"/>
    <w:rsid w:val="00D65EC2"/>
    <w:rsid w:val="00D6720B"/>
    <w:rsid w:val="00D74C0A"/>
    <w:rsid w:val="00D7550E"/>
    <w:rsid w:val="00D80FFD"/>
    <w:rsid w:val="00D82EDA"/>
    <w:rsid w:val="00D90852"/>
    <w:rsid w:val="00D94EB6"/>
    <w:rsid w:val="00D9572E"/>
    <w:rsid w:val="00D958E6"/>
    <w:rsid w:val="00D95F38"/>
    <w:rsid w:val="00D96B5E"/>
    <w:rsid w:val="00D978B2"/>
    <w:rsid w:val="00DA3917"/>
    <w:rsid w:val="00DA3A1F"/>
    <w:rsid w:val="00DA62BF"/>
    <w:rsid w:val="00DA6369"/>
    <w:rsid w:val="00DA71A4"/>
    <w:rsid w:val="00DB79C9"/>
    <w:rsid w:val="00DC0575"/>
    <w:rsid w:val="00DC1347"/>
    <w:rsid w:val="00DC47F1"/>
    <w:rsid w:val="00DD433C"/>
    <w:rsid w:val="00DD696D"/>
    <w:rsid w:val="00DE1E76"/>
    <w:rsid w:val="00DF22F6"/>
    <w:rsid w:val="00DF27EB"/>
    <w:rsid w:val="00DF72B2"/>
    <w:rsid w:val="00E02708"/>
    <w:rsid w:val="00E02E32"/>
    <w:rsid w:val="00E074FE"/>
    <w:rsid w:val="00E10576"/>
    <w:rsid w:val="00E13248"/>
    <w:rsid w:val="00E15AF4"/>
    <w:rsid w:val="00E218E1"/>
    <w:rsid w:val="00E30632"/>
    <w:rsid w:val="00E31816"/>
    <w:rsid w:val="00E349DF"/>
    <w:rsid w:val="00E41045"/>
    <w:rsid w:val="00E51DF5"/>
    <w:rsid w:val="00E55C4F"/>
    <w:rsid w:val="00E6284C"/>
    <w:rsid w:val="00E62E7F"/>
    <w:rsid w:val="00E7578A"/>
    <w:rsid w:val="00E75B62"/>
    <w:rsid w:val="00E82CBD"/>
    <w:rsid w:val="00E84A10"/>
    <w:rsid w:val="00E872DD"/>
    <w:rsid w:val="00E87E02"/>
    <w:rsid w:val="00E96DC8"/>
    <w:rsid w:val="00E96E2D"/>
    <w:rsid w:val="00EA1B22"/>
    <w:rsid w:val="00EA2EF1"/>
    <w:rsid w:val="00EA4F1F"/>
    <w:rsid w:val="00EA6331"/>
    <w:rsid w:val="00EA6D16"/>
    <w:rsid w:val="00EC55AE"/>
    <w:rsid w:val="00EC7B77"/>
    <w:rsid w:val="00ED19D0"/>
    <w:rsid w:val="00ED30D3"/>
    <w:rsid w:val="00EE251E"/>
    <w:rsid w:val="00F015E7"/>
    <w:rsid w:val="00F04737"/>
    <w:rsid w:val="00F04B63"/>
    <w:rsid w:val="00F064AF"/>
    <w:rsid w:val="00F10C8A"/>
    <w:rsid w:val="00F16A1C"/>
    <w:rsid w:val="00F1713B"/>
    <w:rsid w:val="00F25997"/>
    <w:rsid w:val="00F260AA"/>
    <w:rsid w:val="00F40AC5"/>
    <w:rsid w:val="00F4105A"/>
    <w:rsid w:val="00F41AAE"/>
    <w:rsid w:val="00F47278"/>
    <w:rsid w:val="00F5724E"/>
    <w:rsid w:val="00F62D55"/>
    <w:rsid w:val="00F63AFE"/>
    <w:rsid w:val="00F66224"/>
    <w:rsid w:val="00F66632"/>
    <w:rsid w:val="00F729C2"/>
    <w:rsid w:val="00F72C39"/>
    <w:rsid w:val="00F73322"/>
    <w:rsid w:val="00F7340B"/>
    <w:rsid w:val="00F7577B"/>
    <w:rsid w:val="00F757F9"/>
    <w:rsid w:val="00F7632B"/>
    <w:rsid w:val="00F76BCF"/>
    <w:rsid w:val="00F8317E"/>
    <w:rsid w:val="00F848D6"/>
    <w:rsid w:val="00F86EB8"/>
    <w:rsid w:val="00F90037"/>
    <w:rsid w:val="00F925D2"/>
    <w:rsid w:val="00F94173"/>
    <w:rsid w:val="00F943D9"/>
    <w:rsid w:val="00FA1168"/>
    <w:rsid w:val="00FB00BD"/>
    <w:rsid w:val="00FB021B"/>
    <w:rsid w:val="00FB2473"/>
    <w:rsid w:val="00FB410B"/>
    <w:rsid w:val="00FC3775"/>
    <w:rsid w:val="00FC46CA"/>
    <w:rsid w:val="00FD23DF"/>
    <w:rsid w:val="00FE43AD"/>
    <w:rsid w:val="00FF086B"/>
    <w:rsid w:val="00FF2A47"/>
    <w:rsid w:val="00FF3ACD"/>
    <w:rsid w:val="00FF739D"/>
    <w:rsid w:val="010069C0"/>
    <w:rsid w:val="01061077"/>
    <w:rsid w:val="01424304"/>
    <w:rsid w:val="01487061"/>
    <w:rsid w:val="014A2884"/>
    <w:rsid w:val="014E2C6E"/>
    <w:rsid w:val="01830099"/>
    <w:rsid w:val="01895A15"/>
    <w:rsid w:val="01920024"/>
    <w:rsid w:val="01934ACE"/>
    <w:rsid w:val="01AD0B5B"/>
    <w:rsid w:val="01D45461"/>
    <w:rsid w:val="01D750A1"/>
    <w:rsid w:val="01DA7714"/>
    <w:rsid w:val="01DD3C4D"/>
    <w:rsid w:val="01E615A6"/>
    <w:rsid w:val="021B6D5F"/>
    <w:rsid w:val="02284ADD"/>
    <w:rsid w:val="029C7664"/>
    <w:rsid w:val="02B12177"/>
    <w:rsid w:val="02B5695A"/>
    <w:rsid w:val="02BF77F6"/>
    <w:rsid w:val="02C47392"/>
    <w:rsid w:val="02C848FD"/>
    <w:rsid w:val="02CF2436"/>
    <w:rsid w:val="03073BEE"/>
    <w:rsid w:val="035E4919"/>
    <w:rsid w:val="03624262"/>
    <w:rsid w:val="03822CFE"/>
    <w:rsid w:val="03DA4E73"/>
    <w:rsid w:val="03DA6A75"/>
    <w:rsid w:val="03E50403"/>
    <w:rsid w:val="03F60FF6"/>
    <w:rsid w:val="04361ECC"/>
    <w:rsid w:val="04472E1A"/>
    <w:rsid w:val="044E4A63"/>
    <w:rsid w:val="045828E2"/>
    <w:rsid w:val="04590BDE"/>
    <w:rsid w:val="047D1D40"/>
    <w:rsid w:val="049420BF"/>
    <w:rsid w:val="049C52E1"/>
    <w:rsid w:val="04A32831"/>
    <w:rsid w:val="04BA2023"/>
    <w:rsid w:val="04C26FFF"/>
    <w:rsid w:val="04C65DBE"/>
    <w:rsid w:val="04CB2483"/>
    <w:rsid w:val="04DC6DDE"/>
    <w:rsid w:val="04F35656"/>
    <w:rsid w:val="050634BB"/>
    <w:rsid w:val="050C3373"/>
    <w:rsid w:val="051F1C94"/>
    <w:rsid w:val="052D35D9"/>
    <w:rsid w:val="055A7363"/>
    <w:rsid w:val="055F574E"/>
    <w:rsid w:val="05692E55"/>
    <w:rsid w:val="059C3C9B"/>
    <w:rsid w:val="05A86DB4"/>
    <w:rsid w:val="05B55B51"/>
    <w:rsid w:val="05E51322"/>
    <w:rsid w:val="06031FE0"/>
    <w:rsid w:val="06115944"/>
    <w:rsid w:val="06606BFB"/>
    <w:rsid w:val="06A10E73"/>
    <w:rsid w:val="06B8457A"/>
    <w:rsid w:val="06BF75C9"/>
    <w:rsid w:val="06C10896"/>
    <w:rsid w:val="06CD72CB"/>
    <w:rsid w:val="06D03D80"/>
    <w:rsid w:val="06EF1DC7"/>
    <w:rsid w:val="070752C8"/>
    <w:rsid w:val="073100D7"/>
    <w:rsid w:val="07424DCD"/>
    <w:rsid w:val="076219C2"/>
    <w:rsid w:val="077878E9"/>
    <w:rsid w:val="0797489E"/>
    <w:rsid w:val="07CF51C8"/>
    <w:rsid w:val="07ED0C6C"/>
    <w:rsid w:val="08070131"/>
    <w:rsid w:val="080E1154"/>
    <w:rsid w:val="080E60A3"/>
    <w:rsid w:val="083355A2"/>
    <w:rsid w:val="086E4CD8"/>
    <w:rsid w:val="087A5383"/>
    <w:rsid w:val="08AE0884"/>
    <w:rsid w:val="08B80B09"/>
    <w:rsid w:val="0912279D"/>
    <w:rsid w:val="09267C87"/>
    <w:rsid w:val="094E3682"/>
    <w:rsid w:val="096046BD"/>
    <w:rsid w:val="09632F72"/>
    <w:rsid w:val="09853AEC"/>
    <w:rsid w:val="09947742"/>
    <w:rsid w:val="09B76CBE"/>
    <w:rsid w:val="09C20645"/>
    <w:rsid w:val="09E35A8F"/>
    <w:rsid w:val="09FC4BA8"/>
    <w:rsid w:val="0A3479D3"/>
    <w:rsid w:val="0A5847B8"/>
    <w:rsid w:val="0AB13EC9"/>
    <w:rsid w:val="0ADF27E4"/>
    <w:rsid w:val="0AE0030A"/>
    <w:rsid w:val="0AEC5F5D"/>
    <w:rsid w:val="0B24640E"/>
    <w:rsid w:val="0B2C6897"/>
    <w:rsid w:val="0B686735"/>
    <w:rsid w:val="0B79474A"/>
    <w:rsid w:val="0B945E6E"/>
    <w:rsid w:val="0BA94439"/>
    <w:rsid w:val="0BC341A2"/>
    <w:rsid w:val="0BC35C62"/>
    <w:rsid w:val="0BE332CE"/>
    <w:rsid w:val="0C2F3A97"/>
    <w:rsid w:val="0C6C00A7"/>
    <w:rsid w:val="0C730C00"/>
    <w:rsid w:val="0C851169"/>
    <w:rsid w:val="0C85560D"/>
    <w:rsid w:val="0CC04842"/>
    <w:rsid w:val="0CF82AD8"/>
    <w:rsid w:val="0D016291"/>
    <w:rsid w:val="0D0943E6"/>
    <w:rsid w:val="0D232CDB"/>
    <w:rsid w:val="0DA1246B"/>
    <w:rsid w:val="0DA66D9D"/>
    <w:rsid w:val="0DAB314C"/>
    <w:rsid w:val="0DB61FD4"/>
    <w:rsid w:val="0DC14423"/>
    <w:rsid w:val="0E1A1D85"/>
    <w:rsid w:val="0E5E669F"/>
    <w:rsid w:val="0E654122"/>
    <w:rsid w:val="0E8F4247"/>
    <w:rsid w:val="0E907F81"/>
    <w:rsid w:val="0EA71FE5"/>
    <w:rsid w:val="0EA925F1"/>
    <w:rsid w:val="0EFD148A"/>
    <w:rsid w:val="0F1113DA"/>
    <w:rsid w:val="0F151FFC"/>
    <w:rsid w:val="0F1D7A2A"/>
    <w:rsid w:val="0F3826C7"/>
    <w:rsid w:val="0F4469EE"/>
    <w:rsid w:val="0F4E7F38"/>
    <w:rsid w:val="0F9E30B5"/>
    <w:rsid w:val="0FAC1800"/>
    <w:rsid w:val="0FB167D7"/>
    <w:rsid w:val="0FB27425"/>
    <w:rsid w:val="0FC14BAE"/>
    <w:rsid w:val="0FC27D71"/>
    <w:rsid w:val="100144D1"/>
    <w:rsid w:val="103233B6"/>
    <w:rsid w:val="104F21BA"/>
    <w:rsid w:val="106242B9"/>
    <w:rsid w:val="10656423"/>
    <w:rsid w:val="106B75D3"/>
    <w:rsid w:val="10993435"/>
    <w:rsid w:val="10A475D3"/>
    <w:rsid w:val="10BF210B"/>
    <w:rsid w:val="10E5667A"/>
    <w:rsid w:val="10F772D2"/>
    <w:rsid w:val="118A0C5B"/>
    <w:rsid w:val="118B5473"/>
    <w:rsid w:val="11985BE1"/>
    <w:rsid w:val="119F4A7B"/>
    <w:rsid w:val="11A80D1A"/>
    <w:rsid w:val="11C26154"/>
    <w:rsid w:val="11D02E86"/>
    <w:rsid w:val="11E7434C"/>
    <w:rsid w:val="121F796A"/>
    <w:rsid w:val="123918A0"/>
    <w:rsid w:val="124720BF"/>
    <w:rsid w:val="125701A1"/>
    <w:rsid w:val="126560DB"/>
    <w:rsid w:val="129648AA"/>
    <w:rsid w:val="12B04A66"/>
    <w:rsid w:val="12C62857"/>
    <w:rsid w:val="12DB012C"/>
    <w:rsid w:val="12F65AF5"/>
    <w:rsid w:val="13456ECC"/>
    <w:rsid w:val="136A10B9"/>
    <w:rsid w:val="13952132"/>
    <w:rsid w:val="13A7425A"/>
    <w:rsid w:val="13AE71F7"/>
    <w:rsid w:val="13AF402D"/>
    <w:rsid w:val="13BB7B66"/>
    <w:rsid w:val="13E26EA1"/>
    <w:rsid w:val="13F35552"/>
    <w:rsid w:val="13F81095"/>
    <w:rsid w:val="142A3D0F"/>
    <w:rsid w:val="14321BD6"/>
    <w:rsid w:val="1436146A"/>
    <w:rsid w:val="14860174"/>
    <w:rsid w:val="14A423A8"/>
    <w:rsid w:val="14AC1235"/>
    <w:rsid w:val="14AF52EE"/>
    <w:rsid w:val="14F41582"/>
    <w:rsid w:val="151C4D64"/>
    <w:rsid w:val="152534E9"/>
    <w:rsid w:val="15297933"/>
    <w:rsid w:val="155B6F0B"/>
    <w:rsid w:val="155F2379"/>
    <w:rsid w:val="157D50D3"/>
    <w:rsid w:val="158821A0"/>
    <w:rsid w:val="15BD7949"/>
    <w:rsid w:val="15C26F8A"/>
    <w:rsid w:val="15C4365B"/>
    <w:rsid w:val="15C52669"/>
    <w:rsid w:val="15D078F9"/>
    <w:rsid w:val="15D236DB"/>
    <w:rsid w:val="15EE4223"/>
    <w:rsid w:val="15FA5079"/>
    <w:rsid w:val="16070E41"/>
    <w:rsid w:val="1649585B"/>
    <w:rsid w:val="164E2D17"/>
    <w:rsid w:val="166961E3"/>
    <w:rsid w:val="166A3899"/>
    <w:rsid w:val="16730284"/>
    <w:rsid w:val="16777D74"/>
    <w:rsid w:val="169A1EB1"/>
    <w:rsid w:val="169A5D17"/>
    <w:rsid w:val="16C84CD1"/>
    <w:rsid w:val="16D613F5"/>
    <w:rsid w:val="1742713E"/>
    <w:rsid w:val="174E0E4B"/>
    <w:rsid w:val="17652015"/>
    <w:rsid w:val="17C70D59"/>
    <w:rsid w:val="17CA0378"/>
    <w:rsid w:val="17CA438B"/>
    <w:rsid w:val="181A12FF"/>
    <w:rsid w:val="18523B10"/>
    <w:rsid w:val="18712193"/>
    <w:rsid w:val="18757805"/>
    <w:rsid w:val="18793906"/>
    <w:rsid w:val="18B83278"/>
    <w:rsid w:val="190F7BF1"/>
    <w:rsid w:val="1926429E"/>
    <w:rsid w:val="194D2932"/>
    <w:rsid w:val="198253AE"/>
    <w:rsid w:val="198343CA"/>
    <w:rsid w:val="1990656E"/>
    <w:rsid w:val="19D55ACF"/>
    <w:rsid w:val="19E73CA3"/>
    <w:rsid w:val="19F67847"/>
    <w:rsid w:val="19F8764A"/>
    <w:rsid w:val="19FD7601"/>
    <w:rsid w:val="1A083C87"/>
    <w:rsid w:val="1AA674DA"/>
    <w:rsid w:val="1AC50AD0"/>
    <w:rsid w:val="1AE13754"/>
    <w:rsid w:val="1AE201E3"/>
    <w:rsid w:val="1AE91918"/>
    <w:rsid w:val="1AEC6857"/>
    <w:rsid w:val="1AF31ACB"/>
    <w:rsid w:val="1B2304CB"/>
    <w:rsid w:val="1B30162C"/>
    <w:rsid w:val="1B3A6132"/>
    <w:rsid w:val="1B7A3E63"/>
    <w:rsid w:val="1B9C2FAF"/>
    <w:rsid w:val="1BB630ED"/>
    <w:rsid w:val="1BBD7567"/>
    <w:rsid w:val="1BE024EA"/>
    <w:rsid w:val="1BE5703B"/>
    <w:rsid w:val="1C19367C"/>
    <w:rsid w:val="1C622223"/>
    <w:rsid w:val="1C662E0E"/>
    <w:rsid w:val="1C6B0F1A"/>
    <w:rsid w:val="1C8B7E8C"/>
    <w:rsid w:val="1C8C6544"/>
    <w:rsid w:val="1CB64253"/>
    <w:rsid w:val="1CBD5474"/>
    <w:rsid w:val="1CC81B5A"/>
    <w:rsid w:val="1CD0540C"/>
    <w:rsid w:val="1CD508CA"/>
    <w:rsid w:val="1CEC0D90"/>
    <w:rsid w:val="1CF34BB5"/>
    <w:rsid w:val="1D085BCA"/>
    <w:rsid w:val="1D1A3B4F"/>
    <w:rsid w:val="1D3D2FC3"/>
    <w:rsid w:val="1D61177E"/>
    <w:rsid w:val="1D7A639C"/>
    <w:rsid w:val="1E036392"/>
    <w:rsid w:val="1E6626FA"/>
    <w:rsid w:val="1E696B3C"/>
    <w:rsid w:val="1E7B3C38"/>
    <w:rsid w:val="1E7F5DE2"/>
    <w:rsid w:val="1E8A3AC6"/>
    <w:rsid w:val="1EC162C1"/>
    <w:rsid w:val="1ECA481E"/>
    <w:rsid w:val="1F0E1C40"/>
    <w:rsid w:val="1F1A3765"/>
    <w:rsid w:val="1F2F286E"/>
    <w:rsid w:val="1F6A593A"/>
    <w:rsid w:val="1F740AE9"/>
    <w:rsid w:val="1F770FCB"/>
    <w:rsid w:val="1F7A3AE0"/>
    <w:rsid w:val="1FAC23CF"/>
    <w:rsid w:val="200077F3"/>
    <w:rsid w:val="20686980"/>
    <w:rsid w:val="20760A30"/>
    <w:rsid w:val="20A7394C"/>
    <w:rsid w:val="20C31F68"/>
    <w:rsid w:val="20DC5F09"/>
    <w:rsid w:val="20E902A1"/>
    <w:rsid w:val="20FA7F20"/>
    <w:rsid w:val="210265D1"/>
    <w:rsid w:val="211B36D5"/>
    <w:rsid w:val="211C1B8F"/>
    <w:rsid w:val="21277252"/>
    <w:rsid w:val="212E1C8C"/>
    <w:rsid w:val="21475D71"/>
    <w:rsid w:val="215238B8"/>
    <w:rsid w:val="215E7808"/>
    <w:rsid w:val="217F42F7"/>
    <w:rsid w:val="21BE4F5B"/>
    <w:rsid w:val="21EC5502"/>
    <w:rsid w:val="21FC16C7"/>
    <w:rsid w:val="22073251"/>
    <w:rsid w:val="221955A0"/>
    <w:rsid w:val="221C369C"/>
    <w:rsid w:val="226B2757"/>
    <w:rsid w:val="226D7F6C"/>
    <w:rsid w:val="228A0E2F"/>
    <w:rsid w:val="22BA00AD"/>
    <w:rsid w:val="22C205C9"/>
    <w:rsid w:val="22CB7977"/>
    <w:rsid w:val="22E10830"/>
    <w:rsid w:val="22E542B8"/>
    <w:rsid w:val="2309151A"/>
    <w:rsid w:val="23350372"/>
    <w:rsid w:val="23472C07"/>
    <w:rsid w:val="23480ECB"/>
    <w:rsid w:val="23763EEC"/>
    <w:rsid w:val="238F0190"/>
    <w:rsid w:val="23927A1B"/>
    <w:rsid w:val="23934782"/>
    <w:rsid w:val="24084702"/>
    <w:rsid w:val="24521E21"/>
    <w:rsid w:val="248875F1"/>
    <w:rsid w:val="24FB6014"/>
    <w:rsid w:val="250F3673"/>
    <w:rsid w:val="25122A75"/>
    <w:rsid w:val="251610A0"/>
    <w:rsid w:val="25162E4E"/>
    <w:rsid w:val="251B258F"/>
    <w:rsid w:val="25290E08"/>
    <w:rsid w:val="253128EE"/>
    <w:rsid w:val="25382DC5"/>
    <w:rsid w:val="255135AF"/>
    <w:rsid w:val="259721E1"/>
    <w:rsid w:val="25AC5561"/>
    <w:rsid w:val="25B0635E"/>
    <w:rsid w:val="25EB74E7"/>
    <w:rsid w:val="25EE6506"/>
    <w:rsid w:val="25F82554"/>
    <w:rsid w:val="26020800"/>
    <w:rsid w:val="26140AF9"/>
    <w:rsid w:val="262227B8"/>
    <w:rsid w:val="2630234A"/>
    <w:rsid w:val="26315548"/>
    <w:rsid w:val="263E2D7B"/>
    <w:rsid w:val="26487037"/>
    <w:rsid w:val="26527EB6"/>
    <w:rsid w:val="26755033"/>
    <w:rsid w:val="269B185D"/>
    <w:rsid w:val="26A13553"/>
    <w:rsid w:val="26A72F93"/>
    <w:rsid w:val="26B53530"/>
    <w:rsid w:val="27132763"/>
    <w:rsid w:val="277420AE"/>
    <w:rsid w:val="279B3ADF"/>
    <w:rsid w:val="27B150B0"/>
    <w:rsid w:val="27B54BA0"/>
    <w:rsid w:val="28212236"/>
    <w:rsid w:val="284D295F"/>
    <w:rsid w:val="286E16CA"/>
    <w:rsid w:val="28BD7465"/>
    <w:rsid w:val="28CF54E9"/>
    <w:rsid w:val="28E42473"/>
    <w:rsid w:val="28FC235B"/>
    <w:rsid w:val="29080497"/>
    <w:rsid w:val="2920429C"/>
    <w:rsid w:val="2920604A"/>
    <w:rsid w:val="29394C06"/>
    <w:rsid w:val="29411F74"/>
    <w:rsid w:val="295B126C"/>
    <w:rsid w:val="296B30DF"/>
    <w:rsid w:val="2976210D"/>
    <w:rsid w:val="2979531C"/>
    <w:rsid w:val="298D1074"/>
    <w:rsid w:val="29932B96"/>
    <w:rsid w:val="29AA1EFF"/>
    <w:rsid w:val="29D357B2"/>
    <w:rsid w:val="29EF61A1"/>
    <w:rsid w:val="2A704DAF"/>
    <w:rsid w:val="2A8F64A0"/>
    <w:rsid w:val="2A931932"/>
    <w:rsid w:val="2A952A67"/>
    <w:rsid w:val="2AAB60C9"/>
    <w:rsid w:val="2AAC367C"/>
    <w:rsid w:val="2AB2301D"/>
    <w:rsid w:val="2ABE5B1A"/>
    <w:rsid w:val="2AD2699C"/>
    <w:rsid w:val="2AD92954"/>
    <w:rsid w:val="2AE9690F"/>
    <w:rsid w:val="2AEA05EA"/>
    <w:rsid w:val="2B4D3342"/>
    <w:rsid w:val="2B610862"/>
    <w:rsid w:val="2BE21430"/>
    <w:rsid w:val="2C002162"/>
    <w:rsid w:val="2C1E0EAF"/>
    <w:rsid w:val="2C2D0713"/>
    <w:rsid w:val="2C9F0988"/>
    <w:rsid w:val="2CC66F08"/>
    <w:rsid w:val="2CDA29B3"/>
    <w:rsid w:val="2CF24903"/>
    <w:rsid w:val="2D28743E"/>
    <w:rsid w:val="2D3E2F42"/>
    <w:rsid w:val="2D5B7F98"/>
    <w:rsid w:val="2D6A6716"/>
    <w:rsid w:val="2D88240F"/>
    <w:rsid w:val="2DBD5F58"/>
    <w:rsid w:val="2E043F02"/>
    <w:rsid w:val="2E1639FB"/>
    <w:rsid w:val="2E7352C2"/>
    <w:rsid w:val="2E7C6418"/>
    <w:rsid w:val="2EE7117F"/>
    <w:rsid w:val="2EF22236"/>
    <w:rsid w:val="2EF86046"/>
    <w:rsid w:val="2F033972"/>
    <w:rsid w:val="2F373A73"/>
    <w:rsid w:val="2F4D1F80"/>
    <w:rsid w:val="2F4F1F8D"/>
    <w:rsid w:val="2F544FEB"/>
    <w:rsid w:val="2F637967"/>
    <w:rsid w:val="2F6571D5"/>
    <w:rsid w:val="2F7A0872"/>
    <w:rsid w:val="2F7C5846"/>
    <w:rsid w:val="2F85318D"/>
    <w:rsid w:val="2F9D3839"/>
    <w:rsid w:val="2FE9188B"/>
    <w:rsid w:val="2FE94CEB"/>
    <w:rsid w:val="300C37CC"/>
    <w:rsid w:val="300C444A"/>
    <w:rsid w:val="304F36B8"/>
    <w:rsid w:val="30651C43"/>
    <w:rsid w:val="309537C1"/>
    <w:rsid w:val="30BB0A5A"/>
    <w:rsid w:val="31152263"/>
    <w:rsid w:val="311F1648"/>
    <w:rsid w:val="31256B8D"/>
    <w:rsid w:val="314D5985"/>
    <w:rsid w:val="31523460"/>
    <w:rsid w:val="3152520E"/>
    <w:rsid w:val="315D6C81"/>
    <w:rsid w:val="3166515D"/>
    <w:rsid w:val="31A11CF2"/>
    <w:rsid w:val="31A96BB6"/>
    <w:rsid w:val="31CC2A31"/>
    <w:rsid w:val="32112594"/>
    <w:rsid w:val="32454D73"/>
    <w:rsid w:val="326B7BD4"/>
    <w:rsid w:val="327E265C"/>
    <w:rsid w:val="32870EE7"/>
    <w:rsid w:val="32AA6D21"/>
    <w:rsid w:val="32FD68F6"/>
    <w:rsid w:val="3300311F"/>
    <w:rsid w:val="332F4C8B"/>
    <w:rsid w:val="333824E2"/>
    <w:rsid w:val="336E20A7"/>
    <w:rsid w:val="33770C77"/>
    <w:rsid w:val="338D69D1"/>
    <w:rsid w:val="338F47AA"/>
    <w:rsid w:val="33925D96"/>
    <w:rsid w:val="339E5333"/>
    <w:rsid w:val="33AB7C6C"/>
    <w:rsid w:val="33CB12A8"/>
    <w:rsid w:val="33CC0DA8"/>
    <w:rsid w:val="33F734D7"/>
    <w:rsid w:val="34496BF1"/>
    <w:rsid w:val="34580D8D"/>
    <w:rsid w:val="345B429A"/>
    <w:rsid w:val="345C6C4A"/>
    <w:rsid w:val="34BB28B0"/>
    <w:rsid w:val="34C93A39"/>
    <w:rsid w:val="34EA5593"/>
    <w:rsid w:val="350D0944"/>
    <w:rsid w:val="35213875"/>
    <w:rsid w:val="3522698E"/>
    <w:rsid w:val="352B64A2"/>
    <w:rsid w:val="35C3492C"/>
    <w:rsid w:val="35CB4BB3"/>
    <w:rsid w:val="35D22DC1"/>
    <w:rsid w:val="35F9331B"/>
    <w:rsid w:val="35FB40C6"/>
    <w:rsid w:val="36080591"/>
    <w:rsid w:val="360E59BF"/>
    <w:rsid w:val="364079C2"/>
    <w:rsid w:val="36700DBE"/>
    <w:rsid w:val="368C2F70"/>
    <w:rsid w:val="36925820"/>
    <w:rsid w:val="36BB5604"/>
    <w:rsid w:val="36DE10CA"/>
    <w:rsid w:val="36F45023"/>
    <w:rsid w:val="370568B4"/>
    <w:rsid w:val="37273E10"/>
    <w:rsid w:val="37492C0F"/>
    <w:rsid w:val="374B6987"/>
    <w:rsid w:val="37592762"/>
    <w:rsid w:val="379852A0"/>
    <w:rsid w:val="379B72D2"/>
    <w:rsid w:val="37F14C7A"/>
    <w:rsid w:val="37F37DEE"/>
    <w:rsid w:val="383E65A9"/>
    <w:rsid w:val="38402A50"/>
    <w:rsid w:val="385D0A2E"/>
    <w:rsid w:val="385F6C9F"/>
    <w:rsid w:val="386121DB"/>
    <w:rsid w:val="386477AC"/>
    <w:rsid w:val="3870271F"/>
    <w:rsid w:val="387463B2"/>
    <w:rsid w:val="3886048C"/>
    <w:rsid w:val="38B13162"/>
    <w:rsid w:val="38C73D7C"/>
    <w:rsid w:val="3910125E"/>
    <w:rsid w:val="391B08D8"/>
    <w:rsid w:val="391E1E7A"/>
    <w:rsid w:val="396F2735"/>
    <w:rsid w:val="39CE073C"/>
    <w:rsid w:val="39DE50A0"/>
    <w:rsid w:val="39DE7E2F"/>
    <w:rsid w:val="39FA6443"/>
    <w:rsid w:val="3A12378C"/>
    <w:rsid w:val="3A137505"/>
    <w:rsid w:val="3A192641"/>
    <w:rsid w:val="3A3179EE"/>
    <w:rsid w:val="3A650330"/>
    <w:rsid w:val="3A952957"/>
    <w:rsid w:val="3A994DD7"/>
    <w:rsid w:val="3AA6310A"/>
    <w:rsid w:val="3AC53EAD"/>
    <w:rsid w:val="3AE03026"/>
    <w:rsid w:val="3AEC3643"/>
    <w:rsid w:val="3AF83EE0"/>
    <w:rsid w:val="3AFD44AA"/>
    <w:rsid w:val="3B251279"/>
    <w:rsid w:val="3B404329"/>
    <w:rsid w:val="3B5341A9"/>
    <w:rsid w:val="3B5E21D1"/>
    <w:rsid w:val="3B864FF9"/>
    <w:rsid w:val="3BE063D9"/>
    <w:rsid w:val="3BED537C"/>
    <w:rsid w:val="3C091612"/>
    <w:rsid w:val="3C2212C6"/>
    <w:rsid w:val="3C3A2213"/>
    <w:rsid w:val="3C431320"/>
    <w:rsid w:val="3C595D57"/>
    <w:rsid w:val="3C8A1D00"/>
    <w:rsid w:val="3C9A23CE"/>
    <w:rsid w:val="3CB23005"/>
    <w:rsid w:val="3CE74187"/>
    <w:rsid w:val="3D0F48FB"/>
    <w:rsid w:val="3D680404"/>
    <w:rsid w:val="3DAA0180"/>
    <w:rsid w:val="3DD96085"/>
    <w:rsid w:val="3DFE6F85"/>
    <w:rsid w:val="3E0E070F"/>
    <w:rsid w:val="3E3F6B1A"/>
    <w:rsid w:val="3E504D52"/>
    <w:rsid w:val="3EA6303D"/>
    <w:rsid w:val="3EBD1A8A"/>
    <w:rsid w:val="3EF142B8"/>
    <w:rsid w:val="3F0A2BC8"/>
    <w:rsid w:val="3F4A0ED8"/>
    <w:rsid w:val="3F67457A"/>
    <w:rsid w:val="3F730141"/>
    <w:rsid w:val="3F9F16C8"/>
    <w:rsid w:val="3FBB0422"/>
    <w:rsid w:val="3FCE064E"/>
    <w:rsid w:val="3FF43934"/>
    <w:rsid w:val="4011397A"/>
    <w:rsid w:val="40251D40"/>
    <w:rsid w:val="40415143"/>
    <w:rsid w:val="40467887"/>
    <w:rsid w:val="409872E2"/>
    <w:rsid w:val="40AA2DFF"/>
    <w:rsid w:val="40CE4185"/>
    <w:rsid w:val="40DA6FCE"/>
    <w:rsid w:val="410705DA"/>
    <w:rsid w:val="411669B2"/>
    <w:rsid w:val="41296DC8"/>
    <w:rsid w:val="412E1951"/>
    <w:rsid w:val="41354385"/>
    <w:rsid w:val="414C206B"/>
    <w:rsid w:val="41511465"/>
    <w:rsid w:val="41786687"/>
    <w:rsid w:val="41913B31"/>
    <w:rsid w:val="4194717D"/>
    <w:rsid w:val="41967399"/>
    <w:rsid w:val="41E570E0"/>
    <w:rsid w:val="41EC0D67"/>
    <w:rsid w:val="42063D74"/>
    <w:rsid w:val="420E5181"/>
    <w:rsid w:val="420F3909"/>
    <w:rsid w:val="42131902"/>
    <w:rsid w:val="421542A3"/>
    <w:rsid w:val="425E34A6"/>
    <w:rsid w:val="42705660"/>
    <w:rsid w:val="427061BD"/>
    <w:rsid w:val="4292190E"/>
    <w:rsid w:val="42E24ED3"/>
    <w:rsid w:val="430B346F"/>
    <w:rsid w:val="43244531"/>
    <w:rsid w:val="43245CB5"/>
    <w:rsid w:val="432A4261"/>
    <w:rsid w:val="43A770BC"/>
    <w:rsid w:val="43BF2BD7"/>
    <w:rsid w:val="43C25923"/>
    <w:rsid w:val="44022E18"/>
    <w:rsid w:val="440F2325"/>
    <w:rsid w:val="44496945"/>
    <w:rsid w:val="4486458F"/>
    <w:rsid w:val="44D46842"/>
    <w:rsid w:val="44EC1885"/>
    <w:rsid w:val="44EE4491"/>
    <w:rsid w:val="44F81395"/>
    <w:rsid w:val="45462E84"/>
    <w:rsid w:val="456C4DB3"/>
    <w:rsid w:val="457E261E"/>
    <w:rsid w:val="459534C4"/>
    <w:rsid w:val="459C373C"/>
    <w:rsid w:val="45D340FC"/>
    <w:rsid w:val="45F724B3"/>
    <w:rsid w:val="45F91CA4"/>
    <w:rsid w:val="46222FA9"/>
    <w:rsid w:val="46501B0A"/>
    <w:rsid w:val="46562A5A"/>
    <w:rsid w:val="46712183"/>
    <w:rsid w:val="46E14C12"/>
    <w:rsid w:val="473424C0"/>
    <w:rsid w:val="474D4056"/>
    <w:rsid w:val="475A49C5"/>
    <w:rsid w:val="47655843"/>
    <w:rsid w:val="476D46F8"/>
    <w:rsid w:val="47947ED7"/>
    <w:rsid w:val="47C62F79"/>
    <w:rsid w:val="47FF4D8B"/>
    <w:rsid w:val="48151B95"/>
    <w:rsid w:val="48391609"/>
    <w:rsid w:val="486F3D0E"/>
    <w:rsid w:val="48744123"/>
    <w:rsid w:val="487951E3"/>
    <w:rsid w:val="48C447EC"/>
    <w:rsid w:val="48D82045"/>
    <w:rsid w:val="48E56510"/>
    <w:rsid w:val="48EC5E17"/>
    <w:rsid w:val="48F474C4"/>
    <w:rsid w:val="490B5F77"/>
    <w:rsid w:val="49206C1B"/>
    <w:rsid w:val="492F525E"/>
    <w:rsid w:val="496F29A9"/>
    <w:rsid w:val="49904770"/>
    <w:rsid w:val="49A52204"/>
    <w:rsid w:val="49CA4084"/>
    <w:rsid w:val="49CC7DFC"/>
    <w:rsid w:val="49E54A1A"/>
    <w:rsid w:val="49E83317"/>
    <w:rsid w:val="49EF0B04"/>
    <w:rsid w:val="49F357B9"/>
    <w:rsid w:val="49FE0F21"/>
    <w:rsid w:val="4A282B58"/>
    <w:rsid w:val="4A5B6625"/>
    <w:rsid w:val="4A68526F"/>
    <w:rsid w:val="4AA6424D"/>
    <w:rsid w:val="4ADB0FDC"/>
    <w:rsid w:val="4B0D423D"/>
    <w:rsid w:val="4B3B68BB"/>
    <w:rsid w:val="4B3D2633"/>
    <w:rsid w:val="4B632FF4"/>
    <w:rsid w:val="4B8D7117"/>
    <w:rsid w:val="4B9D6431"/>
    <w:rsid w:val="4BA34B8C"/>
    <w:rsid w:val="4BA80996"/>
    <w:rsid w:val="4BD42F98"/>
    <w:rsid w:val="4BDC6444"/>
    <w:rsid w:val="4BEA5945"/>
    <w:rsid w:val="4BF22AEB"/>
    <w:rsid w:val="4C18790A"/>
    <w:rsid w:val="4C204A88"/>
    <w:rsid w:val="4C430405"/>
    <w:rsid w:val="4C675BBA"/>
    <w:rsid w:val="4C6D6F43"/>
    <w:rsid w:val="4C786818"/>
    <w:rsid w:val="4C7B1665"/>
    <w:rsid w:val="4C845869"/>
    <w:rsid w:val="4CB13B3B"/>
    <w:rsid w:val="4CB26427"/>
    <w:rsid w:val="4CB83E47"/>
    <w:rsid w:val="4CEC57D7"/>
    <w:rsid w:val="4CFF446B"/>
    <w:rsid w:val="4D565C2E"/>
    <w:rsid w:val="4D5D520F"/>
    <w:rsid w:val="4D6F4C04"/>
    <w:rsid w:val="4D793C73"/>
    <w:rsid w:val="4E052B5A"/>
    <w:rsid w:val="4E116522"/>
    <w:rsid w:val="4E3611F3"/>
    <w:rsid w:val="4E3905F9"/>
    <w:rsid w:val="4EDC047E"/>
    <w:rsid w:val="4EE71234"/>
    <w:rsid w:val="4EE82D8A"/>
    <w:rsid w:val="4F10078B"/>
    <w:rsid w:val="4F3A5AB5"/>
    <w:rsid w:val="4F4E12B3"/>
    <w:rsid w:val="4F654E71"/>
    <w:rsid w:val="4F6B59C1"/>
    <w:rsid w:val="4F7510F8"/>
    <w:rsid w:val="4FAE4233"/>
    <w:rsid w:val="4FB530E0"/>
    <w:rsid w:val="4FC450D1"/>
    <w:rsid w:val="50040EC3"/>
    <w:rsid w:val="500D2A2B"/>
    <w:rsid w:val="5043693E"/>
    <w:rsid w:val="50770340"/>
    <w:rsid w:val="50830AE8"/>
    <w:rsid w:val="50AD54A8"/>
    <w:rsid w:val="50CF78FD"/>
    <w:rsid w:val="5124051D"/>
    <w:rsid w:val="513073ED"/>
    <w:rsid w:val="5137403E"/>
    <w:rsid w:val="519C38F5"/>
    <w:rsid w:val="51B0356F"/>
    <w:rsid w:val="52140592"/>
    <w:rsid w:val="522B1F9A"/>
    <w:rsid w:val="52527C16"/>
    <w:rsid w:val="525766D1"/>
    <w:rsid w:val="5264494A"/>
    <w:rsid w:val="527A431C"/>
    <w:rsid w:val="52EA30A1"/>
    <w:rsid w:val="530C3017"/>
    <w:rsid w:val="53116202"/>
    <w:rsid w:val="535E7EDB"/>
    <w:rsid w:val="535F3244"/>
    <w:rsid w:val="53681D5E"/>
    <w:rsid w:val="536E3FC1"/>
    <w:rsid w:val="536E5A80"/>
    <w:rsid w:val="53867493"/>
    <w:rsid w:val="53BF0089"/>
    <w:rsid w:val="53E8662E"/>
    <w:rsid w:val="53E977FC"/>
    <w:rsid w:val="540C5299"/>
    <w:rsid w:val="54244390"/>
    <w:rsid w:val="5435127D"/>
    <w:rsid w:val="543728FF"/>
    <w:rsid w:val="54882B71"/>
    <w:rsid w:val="54A66CD6"/>
    <w:rsid w:val="54AC2DCA"/>
    <w:rsid w:val="54B003AC"/>
    <w:rsid w:val="54B95DED"/>
    <w:rsid w:val="54E526AA"/>
    <w:rsid w:val="54E56216"/>
    <w:rsid w:val="54E72726"/>
    <w:rsid w:val="54F71AA5"/>
    <w:rsid w:val="54FE4544"/>
    <w:rsid w:val="5523594E"/>
    <w:rsid w:val="552B5D17"/>
    <w:rsid w:val="553625CD"/>
    <w:rsid w:val="55706A8F"/>
    <w:rsid w:val="55811974"/>
    <w:rsid w:val="55C53951"/>
    <w:rsid w:val="55CF47D0"/>
    <w:rsid w:val="55FA184D"/>
    <w:rsid w:val="560E01AA"/>
    <w:rsid w:val="568B6949"/>
    <w:rsid w:val="56992171"/>
    <w:rsid w:val="56AD68BF"/>
    <w:rsid w:val="56C453C6"/>
    <w:rsid w:val="56D55D3B"/>
    <w:rsid w:val="56E33925"/>
    <w:rsid w:val="57342789"/>
    <w:rsid w:val="5737065C"/>
    <w:rsid w:val="573F6D00"/>
    <w:rsid w:val="574865E8"/>
    <w:rsid w:val="574B0C2C"/>
    <w:rsid w:val="57605A3E"/>
    <w:rsid w:val="578C0BCA"/>
    <w:rsid w:val="57AB5E65"/>
    <w:rsid w:val="57B960E8"/>
    <w:rsid w:val="581B5AAA"/>
    <w:rsid w:val="58315AF0"/>
    <w:rsid w:val="585427F8"/>
    <w:rsid w:val="58546DDF"/>
    <w:rsid w:val="58670CF0"/>
    <w:rsid w:val="5874634B"/>
    <w:rsid w:val="58AD474E"/>
    <w:rsid w:val="58BC54DF"/>
    <w:rsid w:val="58BF28DA"/>
    <w:rsid w:val="58F2605B"/>
    <w:rsid w:val="58FC43E9"/>
    <w:rsid w:val="590D08EC"/>
    <w:rsid w:val="592F7A5F"/>
    <w:rsid w:val="594E777C"/>
    <w:rsid w:val="59594ADC"/>
    <w:rsid w:val="597925F3"/>
    <w:rsid w:val="59B63CDD"/>
    <w:rsid w:val="59B83C0E"/>
    <w:rsid w:val="59D93E6F"/>
    <w:rsid w:val="59E44CEE"/>
    <w:rsid w:val="59E777AE"/>
    <w:rsid w:val="5A19144A"/>
    <w:rsid w:val="5A313A82"/>
    <w:rsid w:val="5A3F28C2"/>
    <w:rsid w:val="5A410FBA"/>
    <w:rsid w:val="5A5579DF"/>
    <w:rsid w:val="5A783596"/>
    <w:rsid w:val="5A955FE8"/>
    <w:rsid w:val="5ABF12B7"/>
    <w:rsid w:val="5AC32B34"/>
    <w:rsid w:val="5AC925F3"/>
    <w:rsid w:val="5ADA7FC9"/>
    <w:rsid w:val="5AED105C"/>
    <w:rsid w:val="5AF00810"/>
    <w:rsid w:val="5AF43A45"/>
    <w:rsid w:val="5B2E7D9A"/>
    <w:rsid w:val="5B433C96"/>
    <w:rsid w:val="5B484E08"/>
    <w:rsid w:val="5B562953"/>
    <w:rsid w:val="5B5A4B3C"/>
    <w:rsid w:val="5B8E7FDD"/>
    <w:rsid w:val="5B9F3E89"/>
    <w:rsid w:val="5BA362DD"/>
    <w:rsid w:val="5BA72378"/>
    <w:rsid w:val="5BAC5F9E"/>
    <w:rsid w:val="5BE64E4C"/>
    <w:rsid w:val="5C1967A5"/>
    <w:rsid w:val="5C1E58CC"/>
    <w:rsid w:val="5C384E7D"/>
    <w:rsid w:val="5C4C26D6"/>
    <w:rsid w:val="5CA86E55"/>
    <w:rsid w:val="5CBB788E"/>
    <w:rsid w:val="5CCB7B02"/>
    <w:rsid w:val="5CF011F3"/>
    <w:rsid w:val="5CF50DA6"/>
    <w:rsid w:val="5D02723D"/>
    <w:rsid w:val="5D2722FC"/>
    <w:rsid w:val="5D3B4AD7"/>
    <w:rsid w:val="5D8366CA"/>
    <w:rsid w:val="5DCF3856"/>
    <w:rsid w:val="5DE46936"/>
    <w:rsid w:val="5DF43025"/>
    <w:rsid w:val="5E1F4838"/>
    <w:rsid w:val="5E241F90"/>
    <w:rsid w:val="5E283417"/>
    <w:rsid w:val="5E2D710C"/>
    <w:rsid w:val="5E3D2001"/>
    <w:rsid w:val="5E682F83"/>
    <w:rsid w:val="5E767EDE"/>
    <w:rsid w:val="5E9923C0"/>
    <w:rsid w:val="5ED129BF"/>
    <w:rsid w:val="5EDF7927"/>
    <w:rsid w:val="5F08322C"/>
    <w:rsid w:val="5F2B6BC7"/>
    <w:rsid w:val="5F390DE0"/>
    <w:rsid w:val="5F4A25A6"/>
    <w:rsid w:val="5F4B7511"/>
    <w:rsid w:val="5F7B689F"/>
    <w:rsid w:val="5FCA04E2"/>
    <w:rsid w:val="5FDE1E02"/>
    <w:rsid w:val="600C2D0E"/>
    <w:rsid w:val="60196B59"/>
    <w:rsid w:val="601A575F"/>
    <w:rsid w:val="60220CB2"/>
    <w:rsid w:val="60382379"/>
    <w:rsid w:val="6046299D"/>
    <w:rsid w:val="60574C1D"/>
    <w:rsid w:val="605C2EE6"/>
    <w:rsid w:val="60626838"/>
    <w:rsid w:val="60813447"/>
    <w:rsid w:val="608B2FC0"/>
    <w:rsid w:val="60A162F7"/>
    <w:rsid w:val="60B11928"/>
    <w:rsid w:val="60BD3BA3"/>
    <w:rsid w:val="60C56EFB"/>
    <w:rsid w:val="60D61A50"/>
    <w:rsid w:val="60D64607"/>
    <w:rsid w:val="60D94755"/>
    <w:rsid w:val="60E57A50"/>
    <w:rsid w:val="60F63AB7"/>
    <w:rsid w:val="615046ED"/>
    <w:rsid w:val="615456FB"/>
    <w:rsid w:val="6161027B"/>
    <w:rsid w:val="61B03707"/>
    <w:rsid w:val="61B431F8"/>
    <w:rsid w:val="61BA27D8"/>
    <w:rsid w:val="61BF7DEE"/>
    <w:rsid w:val="61CE7838"/>
    <w:rsid w:val="61D21511"/>
    <w:rsid w:val="6208709F"/>
    <w:rsid w:val="62257C51"/>
    <w:rsid w:val="622A170C"/>
    <w:rsid w:val="62786B67"/>
    <w:rsid w:val="629B1B3C"/>
    <w:rsid w:val="62DF188A"/>
    <w:rsid w:val="62ED07A1"/>
    <w:rsid w:val="63055A43"/>
    <w:rsid w:val="63247F09"/>
    <w:rsid w:val="63660ED6"/>
    <w:rsid w:val="637846F9"/>
    <w:rsid w:val="63786516"/>
    <w:rsid w:val="637E1888"/>
    <w:rsid w:val="63B63956"/>
    <w:rsid w:val="63CE2EBC"/>
    <w:rsid w:val="63E91153"/>
    <w:rsid w:val="63FC70D8"/>
    <w:rsid w:val="64047D3A"/>
    <w:rsid w:val="641E2BAA"/>
    <w:rsid w:val="64311010"/>
    <w:rsid w:val="644E64FD"/>
    <w:rsid w:val="64567379"/>
    <w:rsid w:val="6472739A"/>
    <w:rsid w:val="647A2392"/>
    <w:rsid w:val="647C1E6F"/>
    <w:rsid w:val="648878D3"/>
    <w:rsid w:val="648B30C4"/>
    <w:rsid w:val="64A3799C"/>
    <w:rsid w:val="64B74DAD"/>
    <w:rsid w:val="65604DFE"/>
    <w:rsid w:val="65633B9E"/>
    <w:rsid w:val="657A4758"/>
    <w:rsid w:val="65A23E18"/>
    <w:rsid w:val="65AB50CC"/>
    <w:rsid w:val="65AF66AD"/>
    <w:rsid w:val="66550C7C"/>
    <w:rsid w:val="6673792B"/>
    <w:rsid w:val="66855C4D"/>
    <w:rsid w:val="66975BE2"/>
    <w:rsid w:val="669B23CD"/>
    <w:rsid w:val="67233909"/>
    <w:rsid w:val="672A36B5"/>
    <w:rsid w:val="673F5BC4"/>
    <w:rsid w:val="676976DD"/>
    <w:rsid w:val="67795E58"/>
    <w:rsid w:val="67E1461B"/>
    <w:rsid w:val="68352BED"/>
    <w:rsid w:val="68357583"/>
    <w:rsid w:val="68534DEC"/>
    <w:rsid w:val="68620405"/>
    <w:rsid w:val="68694610"/>
    <w:rsid w:val="687507D8"/>
    <w:rsid w:val="68835B83"/>
    <w:rsid w:val="68A874AC"/>
    <w:rsid w:val="68D345A8"/>
    <w:rsid w:val="68DF6DD1"/>
    <w:rsid w:val="68FB4503"/>
    <w:rsid w:val="693764BC"/>
    <w:rsid w:val="69397B76"/>
    <w:rsid w:val="695D757D"/>
    <w:rsid w:val="69896A06"/>
    <w:rsid w:val="69961435"/>
    <w:rsid w:val="699E60A3"/>
    <w:rsid w:val="69E07AAB"/>
    <w:rsid w:val="69EA59A1"/>
    <w:rsid w:val="69F10D61"/>
    <w:rsid w:val="69FC751A"/>
    <w:rsid w:val="6A024FDB"/>
    <w:rsid w:val="6A0647FB"/>
    <w:rsid w:val="6A0E0134"/>
    <w:rsid w:val="6A1D05BE"/>
    <w:rsid w:val="6A3F1ACC"/>
    <w:rsid w:val="6A484E25"/>
    <w:rsid w:val="6A9D2A43"/>
    <w:rsid w:val="6AD16271"/>
    <w:rsid w:val="6AEA1A38"/>
    <w:rsid w:val="6AF97ECD"/>
    <w:rsid w:val="6B160DAB"/>
    <w:rsid w:val="6B56531F"/>
    <w:rsid w:val="6B9433C6"/>
    <w:rsid w:val="6B966935"/>
    <w:rsid w:val="6BDB6E99"/>
    <w:rsid w:val="6C0703C8"/>
    <w:rsid w:val="6C225202"/>
    <w:rsid w:val="6C2C6080"/>
    <w:rsid w:val="6C382C77"/>
    <w:rsid w:val="6C3D486C"/>
    <w:rsid w:val="6C757A27"/>
    <w:rsid w:val="6C84412D"/>
    <w:rsid w:val="6C9F4AA4"/>
    <w:rsid w:val="6CC111D3"/>
    <w:rsid w:val="6CC57430"/>
    <w:rsid w:val="6CC80867"/>
    <w:rsid w:val="6D0135A6"/>
    <w:rsid w:val="6D053927"/>
    <w:rsid w:val="6D06067F"/>
    <w:rsid w:val="6D160F03"/>
    <w:rsid w:val="6D197E4E"/>
    <w:rsid w:val="6D32446D"/>
    <w:rsid w:val="6D68133A"/>
    <w:rsid w:val="6DCB3237"/>
    <w:rsid w:val="6DCB474D"/>
    <w:rsid w:val="6DF309DC"/>
    <w:rsid w:val="6E1312A6"/>
    <w:rsid w:val="6E1540EC"/>
    <w:rsid w:val="6E313E22"/>
    <w:rsid w:val="6E3D4575"/>
    <w:rsid w:val="6E48798E"/>
    <w:rsid w:val="6E5103D2"/>
    <w:rsid w:val="6E761835"/>
    <w:rsid w:val="6EAE211C"/>
    <w:rsid w:val="6EC62EE1"/>
    <w:rsid w:val="6EDF3ABD"/>
    <w:rsid w:val="6EE251B7"/>
    <w:rsid w:val="6F2474E3"/>
    <w:rsid w:val="6F2903F6"/>
    <w:rsid w:val="6F3B20FC"/>
    <w:rsid w:val="6F4155E7"/>
    <w:rsid w:val="6FBB6CC3"/>
    <w:rsid w:val="6FC0515F"/>
    <w:rsid w:val="6FE74B3C"/>
    <w:rsid w:val="702A0155"/>
    <w:rsid w:val="70464F46"/>
    <w:rsid w:val="70757FF6"/>
    <w:rsid w:val="70855F29"/>
    <w:rsid w:val="70E7713D"/>
    <w:rsid w:val="70F046D5"/>
    <w:rsid w:val="71277D95"/>
    <w:rsid w:val="7148437B"/>
    <w:rsid w:val="715776FB"/>
    <w:rsid w:val="719F0472"/>
    <w:rsid w:val="71A36DE5"/>
    <w:rsid w:val="71AA7173"/>
    <w:rsid w:val="71B0505E"/>
    <w:rsid w:val="71CD79BE"/>
    <w:rsid w:val="71D338D8"/>
    <w:rsid w:val="71E553C5"/>
    <w:rsid w:val="7204269D"/>
    <w:rsid w:val="72120AF8"/>
    <w:rsid w:val="72167086"/>
    <w:rsid w:val="723957D4"/>
    <w:rsid w:val="72414CAA"/>
    <w:rsid w:val="725330A4"/>
    <w:rsid w:val="726458E9"/>
    <w:rsid w:val="726F7FF5"/>
    <w:rsid w:val="728F40A2"/>
    <w:rsid w:val="72DB3113"/>
    <w:rsid w:val="72EC4ABD"/>
    <w:rsid w:val="72F0405B"/>
    <w:rsid w:val="737C7103"/>
    <w:rsid w:val="737F118B"/>
    <w:rsid w:val="738A1D8B"/>
    <w:rsid w:val="73BC047B"/>
    <w:rsid w:val="73C25B1F"/>
    <w:rsid w:val="74051691"/>
    <w:rsid w:val="74061933"/>
    <w:rsid w:val="740F48A6"/>
    <w:rsid w:val="740F4D80"/>
    <w:rsid w:val="741C69DA"/>
    <w:rsid w:val="742570D5"/>
    <w:rsid w:val="743E4BA3"/>
    <w:rsid w:val="743E6C31"/>
    <w:rsid w:val="74580370"/>
    <w:rsid w:val="74800CAF"/>
    <w:rsid w:val="74843F48"/>
    <w:rsid w:val="7487654A"/>
    <w:rsid w:val="74884070"/>
    <w:rsid w:val="74885487"/>
    <w:rsid w:val="748C1DB2"/>
    <w:rsid w:val="74952C09"/>
    <w:rsid w:val="74A23B64"/>
    <w:rsid w:val="74BB4445"/>
    <w:rsid w:val="74BD0011"/>
    <w:rsid w:val="74C059CD"/>
    <w:rsid w:val="74F508D1"/>
    <w:rsid w:val="752A7F63"/>
    <w:rsid w:val="753A35BC"/>
    <w:rsid w:val="75956A44"/>
    <w:rsid w:val="75AC144D"/>
    <w:rsid w:val="75B55338"/>
    <w:rsid w:val="75F77D32"/>
    <w:rsid w:val="760318BC"/>
    <w:rsid w:val="7616796A"/>
    <w:rsid w:val="762429D2"/>
    <w:rsid w:val="7624394A"/>
    <w:rsid w:val="76367647"/>
    <w:rsid w:val="763A1732"/>
    <w:rsid w:val="764412E0"/>
    <w:rsid w:val="768014A2"/>
    <w:rsid w:val="76AD18B7"/>
    <w:rsid w:val="76F47A7B"/>
    <w:rsid w:val="76F61765"/>
    <w:rsid w:val="76FA1255"/>
    <w:rsid w:val="77112A42"/>
    <w:rsid w:val="77693963"/>
    <w:rsid w:val="77935205"/>
    <w:rsid w:val="779A0E3C"/>
    <w:rsid w:val="77A747E4"/>
    <w:rsid w:val="77C67389"/>
    <w:rsid w:val="77C93C82"/>
    <w:rsid w:val="77E43616"/>
    <w:rsid w:val="77F42FAD"/>
    <w:rsid w:val="781520BE"/>
    <w:rsid w:val="78347ECD"/>
    <w:rsid w:val="783B2BF3"/>
    <w:rsid w:val="786F6D59"/>
    <w:rsid w:val="78744E2F"/>
    <w:rsid w:val="78A70F68"/>
    <w:rsid w:val="78A83FA7"/>
    <w:rsid w:val="78C160DE"/>
    <w:rsid w:val="78DE68BC"/>
    <w:rsid w:val="7921301A"/>
    <w:rsid w:val="793622EC"/>
    <w:rsid w:val="79424F6E"/>
    <w:rsid w:val="79510E55"/>
    <w:rsid w:val="795F6720"/>
    <w:rsid w:val="79614888"/>
    <w:rsid w:val="796D2A75"/>
    <w:rsid w:val="79AC25AE"/>
    <w:rsid w:val="79B936D3"/>
    <w:rsid w:val="79E7009D"/>
    <w:rsid w:val="79ED1667"/>
    <w:rsid w:val="79F10794"/>
    <w:rsid w:val="7A1268B5"/>
    <w:rsid w:val="7A2B4985"/>
    <w:rsid w:val="7A340367"/>
    <w:rsid w:val="7A4D3D91"/>
    <w:rsid w:val="7A61783D"/>
    <w:rsid w:val="7B1B4872"/>
    <w:rsid w:val="7B333368"/>
    <w:rsid w:val="7B4E7DC1"/>
    <w:rsid w:val="7B643141"/>
    <w:rsid w:val="7B866F05"/>
    <w:rsid w:val="7B954503"/>
    <w:rsid w:val="7BBB4D2B"/>
    <w:rsid w:val="7BCB09D3"/>
    <w:rsid w:val="7BD67C84"/>
    <w:rsid w:val="7BE32E4D"/>
    <w:rsid w:val="7BE631C6"/>
    <w:rsid w:val="7C126EFC"/>
    <w:rsid w:val="7C1C564D"/>
    <w:rsid w:val="7C233753"/>
    <w:rsid w:val="7C2D79D7"/>
    <w:rsid w:val="7C505C46"/>
    <w:rsid w:val="7C577134"/>
    <w:rsid w:val="7CB81233"/>
    <w:rsid w:val="7CC320E9"/>
    <w:rsid w:val="7CC423B7"/>
    <w:rsid w:val="7CEA5382"/>
    <w:rsid w:val="7CF91FAF"/>
    <w:rsid w:val="7CFE1373"/>
    <w:rsid w:val="7D020E63"/>
    <w:rsid w:val="7D0A41DF"/>
    <w:rsid w:val="7D364FB1"/>
    <w:rsid w:val="7D4E19E0"/>
    <w:rsid w:val="7D796C4C"/>
    <w:rsid w:val="7DC46119"/>
    <w:rsid w:val="7DC51E91"/>
    <w:rsid w:val="7DF06F8A"/>
    <w:rsid w:val="7E094473"/>
    <w:rsid w:val="7E392890"/>
    <w:rsid w:val="7E413C0D"/>
    <w:rsid w:val="7E635932"/>
    <w:rsid w:val="7E65576B"/>
    <w:rsid w:val="7EB663A9"/>
    <w:rsid w:val="7ED405DD"/>
    <w:rsid w:val="7ED963FA"/>
    <w:rsid w:val="7F005AC2"/>
    <w:rsid w:val="7F1A0267"/>
    <w:rsid w:val="7F6556D9"/>
    <w:rsid w:val="7F9360DA"/>
    <w:rsid w:val="7FA82713"/>
    <w:rsid w:val="7FC2395F"/>
    <w:rsid w:val="7FCA19E0"/>
    <w:rsid w:val="7FE15D8C"/>
    <w:rsid w:val="7FE40346"/>
    <w:rsid w:val="7FE85FE6"/>
    <w:rsid w:val="7FF548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99" w:name="toc 2"/>
    <w:lsdException w:qFormat="1" w:unhideWhenUsed="0" w:uiPriority="99" w:name="toc 3"/>
    <w:lsdException w:qFormat="1" w:unhideWhenUsed="0" w:uiPriority="0" w:semiHidden="0" w:name="toc 4" w:locked="1"/>
    <w:lsdException w:qFormat="1" w:unhideWhenUsed="0" w:uiPriority="0" w:semiHidden="0"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qFormat="1" w:unhideWhenUsed="0" w:uiPriority="0" w:semiHidden="0" w:name="footnote text" w:locked="1"/>
    <w:lsdException w:qFormat="1" w:unhideWhenUsed="0"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qFormat="1" w:uiPriority="99" w:semiHidden="0"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name="Default Paragraph Font"/>
    <w:lsdException w:qFormat="1" w:unhideWhenUsed="0" w:uiPriority="0" w:semiHidden="0" w:name="Body Text" w:locked="1"/>
    <w:lsdException w:qFormat="1" w:uiPriority="99"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qFormat="1" w:unhideWhenUsed="0" w:uiPriority="99" w:semiHidden="0" w:name="Date"/>
    <w:lsdException w:uiPriority="99" w:name="Body Text First Indent" w:locked="1"/>
    <w:lsdException w:qFormat="1" w:uiPriority="99" w:name="Body Text First Indent 2" w:locked="1"/>
    <w:lsdException w:uiPriority="99" w:name="Note Heading" w:locked="1"/>
    <w:lsdException w:uiPriority="99" w:name="Body Text 2" w:locked="1"/>
    <w:lsdException w:qFormat="1" w:uiPriority="99" w:semiHidden="0" w:name="Body Text 3" w:locked="1"/>
    <w:lsdException w:qFormat="1" w:unhideWhenUsed="0" w:uiPriority="99" w:semiHidden="0" w:name="Body Text Indent 2"/>
    <w:lsdException w:uiPriority="99" w:name="Body Text Indent 3" w:locked="1"/>
    <w:lsdException w:qFormat="1" w:uiPriority="99" w:semiHidden="0" w:name="Block Text" w:locked="1"/>
    <w:lsdException w:qFormat="1" w:unhideWhenUsed="0" w:uiPriority="99" w:semiHidden="0" w:name="Hyperlink"/>
    <w:lsdException w:uiPriority="99" w:name="FollowedHyperlink" w:locked="1"/>
    <w:lsdException w:qFormat="1" w:unhideWhenUsed="0" w:uiPriority="99" w:semiHidden="0" w:name="Strong"/>
    <w:lsdException w:qFormat="1" w:unhideWhenUsed="0" w:uiPriority="20" w:semiHidden="0" w:name="Emphasis" w:locked="1"/>
    <w:lsdException w:uiPriority="99" w:name="Document Map" w:locked="1"/>
    <w:lsdException w:qFormat="1" w:unhideWhenUsed="0" w:uiPriority="0"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Calibri"/>
      <w:kern w:val="2"/>
      <w:sz w:val="21"/>
      <w:szCs w:val="21"/>
      <w:lang w:val="en-US" w:eastAsia="zh-CN" w:bidi="ar-SA"/>
    </w:rPr>
  </w:style>
  <w:style w:type="paragraph" w:styleId="3">
    <w:name w:val="heading 1"/>
    <w:basedOn w:val="1"/>
    <w:next w:val="1"/>
    <w:link w:val="40"/>
    <w:qFormat/>
    <w:uiPriority w:val="99"/>
    <w:pPr>
      <w:keepNext/>
      <w:keepLines/>
      <w:spacing w:before="340" w:after="330" w:line="578" w:lineRule="auto"/>
      <w:outlineLvl w:val="0"/>
    </w:pPr>
    <w:rPr>
      <w:kern w:val="44"/>
      <w:sz w:val="36"/>
      <w:szCs w:val="36"/>
    </w:rPr>
  </w:style>
  <w:style w:type="paragraph" w:styleId="4">
    <w:name w:val="heading 2"/>
    <w:basedOn w:val="1"/>
    <w:next w:val="1"/>
    <w:link w:val="41"/>
    <w:qFormat/>
    <w:uiPriority w:val="99"/>
    <w:pPr>
      <w:keepNext/>
      <w:keepLines/>
      <w:spacing w:before="260" w:after="260" w:line="415" w:lineRule="auto"/>
      <w:ind w:firstLine="200" w:firstLineChars="200"/>
      <w:outlineLvl w:val="1"/>
    </w:pPr>
    <w:rPr>
      <w:rFonts w:ascii="Cambria" w:hAnsi="Cambria" w:cs="Cambria"/>
      <w:sz w:val="32"/>
      <w:szCs w:val="32"/>
    </w:rPr>
  </w:style>
  <w:style w:type="paragraph" w:styleId="5">
    <w:name w:val="heading 3"/>
    <w:basedOn w:val="1"/>
    <w:next w:val="1"/>
    <w:link w:val="42"/>
    <w:qFormat/>
    <w:uiPriority w:val="99"/>
    <w:pPr>
      <w:keepNext/>
      <w:keepLines/>
      <w:spacing w:before="260" w:after="260" w:line="415" w:lineRule="auto"/>
      <w:ind w:firstLine="200" w:firstLineChars="200"/>
      <w:outlineLvl w:val="2"/>
    </w:pPr>
    <w:rPr>
      <w:sz w:val="28"/>
      <w:szCs w:val="28"/>
    </w:rPr>
  </w:style>
  <w:style w:type="paragraph" w:styleId="6">
    <w:name w:val="heading 4"/>
    <w:basedOn w:val="1"/>
    <w:next w:val="1"/>
    <w:link w:val="43"/>
    <w:qFormat/>
    <w:uiPriority w:val="99"/>
    <w:pPr>
      <w:keepNext/>
      <w:keepLines/>
      <w:spacing w:before="280" w:after="290" w:line="377" w:lineRule="auto"/>
      <w:ind w:firstLine="200" w:firstLineChars="200"/>
      <w:outlineLvl w:val="3"/>
    </w:pPr>
    <w:rPr>
      <w:rFonts w:ascii="Cambria" w:hAnsi="Cambria" w:cs="Cambria"/>
      <w:sz w:val="28"/>
      <w:szCs w:val="28"/>
    </w:rPr>
  </w:style>
  <w:style w:type="paragraph" w:styleId="7">
    <w:name w:val="heading 5"/>
    <w:basedOn w:val="1"/>
    <w:next w:val="1"/>
    <w:link w:val="44"/>
    <w:qFormat/>
    <w:uiPriority w:val="99"/>
    <w:pPr>
      <w:keepNext/>
      <w:keepLines/>
      <w:spacing w:before="280" w:after="290" w:line="377" w:lineRule="auto"/>
      <w:ind w:firstLine="200" w:firstLineChars="200"/>
      <w:outlineLvl w:val="4"/>
    </w:pPr>
    <w:rPr>
      <w:b/>
      <w:bCs/>
      <w:sz w:val="24"/>
      <w:szCs w:val="24"/>
    </w:rPr>
  </w:style>
  <w:style w:type="paragraph" w:styleId="8">
    <w:name w:val="heading 6"/>
    <w:basedOn w:val="1"/>
    <w:next w:val="1"/>
    <w:link w:val="45"/>
    <w:qFormat/>
    <w:uiPriority w:val="99"/>
    <w:pPr>
      <w:keepNext/>
      <w:keepLines/>
      <w:spacing w:before="240" w:after="64" w:line="320" w:lineRule="auto"/>
      <w:outlineLvl w:val="5"/>
    </w:pPr>
    <w:rPr>
      <w:rFonts w:ascii="Cambria" w:hAnsi="Cambria" w:cs="Cambria"/>
      <w:b/>
      <w:bCs/>
      <w:sz w:val="24"/>
      <w:szCs w:val="24"/>
    </w:rPr>
  </w:style>
  <w:style w:type="paragraph" w:styleId="9">
    <w:name w:val="heading 7"/>
    <w:basedOn w:val="1"/>
    <w:next w:val="1"/>
    <w:link w:val="46"/>
    <w:qFormat/>
    <w:uiPriority w:val="99"/>
    <w:pPr>
      <w:keepNext/>
      <w:keepLines/>
      <w:spacing w:before="240" w:after="64" w:line="320" w:lineRule="auto"/>
      <w:outlineLvl w:val="6"/>
    </w:pPr>
    <w:rPr>
      <w:b/>
      <w:bCs/>
      <w:sz w:val="24"/>
      <w:szCs w:val="24"/>
    </w:rPr>
  </w:style>
  <w:style w:type="paragraph" w:styleId="10">
    <w:name w:val="heading 8"/>
    <w:basedOn w:val="1"/>
    <w:next w:val="1"/>
    <w:link w:val="47"/>
    <w:qFormat/>
    <w:uiPriority w:val="99"/>
    <w:pPr>
      <w:keepNext/>
      <w:keepLines/>
      <w:spacing w:before="240" w:after="64" w:line="320" w:lineRule="auto"/>
      <w:outlineLvl w:val="7"/>
    </w:pPr>
    <w:rPr>
      <w:rFonts w:ascii="Cambria" w:hAnsi="Cambria" w:cs="Cambria"/>
      <w:sz w:val="24"/>
      <w:szCs w:val="24"/>
    </w:rPr>
  </w:style>
  <w:style w:type="character" w:default="1" w:styleId="34">
    <w:name w:val="Default Paragraph Font"/>
    <w:semiHidden/>
    <w:unhideWhenUsed/>
    <w:qFormat/>
    <w:uiPriority w:val="1"/>
  </w:style>
  <w:style w:type="table" w:default="1" w:styleId="32">
    <w:name w:val="Normal Table"/>
    <w:semiHidden/>
    <w:unhideWhenUsed/>
    <w:qFormat/>
    <w:uiPriority w:val="99"/>
    <w:tblPr>
      <w:tblCellMar>
        <w:top w:w="0" w:type="dxa"/>
        <w:left w:w="108" w:type="dxa"/>
        <w:bottom w:w="0" w:type="dxa"/>
        <w:right w:w="108" w:type="dxa"/>
      </w:tblCellMar>
    </w:tblPr>
  </w:style>
  <w:style w:type="paragraph" w:styleId="2">
    <w:name w:val="table of figures"/>
    <w:basedOn w:val="1"/>
    <w:next w:val="1"/>
    <w:unhideWhenUsed/>
    <w:qFormat/>
    <w:locked/>
    <w:uiPriority w:val="99"/>
    <w:pPr>
      <w:ind w:left="200" w:leftChars="200" w:hanging="200" w:hangingChars="200"/>
    </w:pPr>
  </w:style>
  <w:style w:type="paragraph" w:styleId="11">
    <w:name w:val="annotation text"/>
    <w:basedOn w:val="1"/>
    <w:link w:val="48"/>
    <w:semiHidden/>
    <w:qFormat/>
    <w:locked/>
    <w:uiPriority w:val="99"/>
    <w:pPr>
      <w:jc w:val="left"/>
    </w:pPr>
  </w:style>
  <w:style w:type="paragraph" w:styleId="12">
    <w:name w:val="Body Text 3"/>
    <w:basedOn w:val="1"/>
    <w:unhideWhenUsed/>
    <w:qFormat/>
    <w:locked/>
    <w:uiPriority w:val="99"/>
    <w:pPr>
      <w:spacing w:after="120"/>
    </w:pPr>
    <w:rPr>
      <w:sz w:val="16"/>
      <w:szCs w:val="16"/>
    </w:rPr>
  </w:style>
  <w:style w:type="paragraph" w:styleId="13">
    <w:name w:val="Body Text"/>
    <w:basedOn w:val="1"/>
    <w:next w:val="14"/>
    <w:qFormat/>
    <w:locked/>
    <w:uiPriority w:val="0"/>
    <w:pPr>
      <w:spacing w:line="460" w:lineRule="exact"/>
    </w:pPr>
    <w:rPr>
      <w:rFonts w:ascii="汉鼎简楷体" w:hAnsi="宋体" w:eastAsia="汉鼎简楷体"/>
      <w:b/>
      <w:bCs/>
      <w:spacing w:val="4"/>
      <w:sz w:val="24"/>
      <w:szCs w:val="20"/>
    </w:rPr>
  </w:style>
  <w:style w:type="paragraph" w:customStyle="1" w:styleId="14">
    <w:name w:val="引用1"/>
    <w:next w:val="1"/>
    <w:qFormat/>
    <w:uiPriority w:val="0"/>
    <w:pPr>
      <w:wordWrap w:val="0"/>
      <w:spacing w:before="200" w:after="160"/>
      <w:ind w:left="864" w:right="864"/>
      <w:jc w:val="center"/>
    </w:pPr>
    <w:rPr>
      <w:rFonts w:ascii="Times New Roman" w:hAnsi="Times New Roman" w:eastAsia="宋体" w:cs="Times New Roman"/>
      <w:i/>
      <w:sz w:val="21"/>
      <w:lang w:val="en-US" w:eastAsia="zh-CN" w:bidi="ar-SA"/>
    </w:rPr>
  </w:style>
  <w:style w:type="paragraph" w:styleId="15">
    <w:name w:val="Body Text Indent"/>
    <w:basedOn w:val="1"/>
    <w:next w:val="1"/>
    <w:link w:val="49"/>
    <w:unhideWhenUsed/>
    <w:qFormat/>
    <w:locked/>
    <w:uiPriority w:val="99"/>
    <w:pPr>
      <w:spacing w:after="120"/>
      <w:ind w:left="420" w:leftChars="200"/>
    </w:pPr>
  </w:style>
  <w:style w:type="paragraph" w:styleId="16">
    <w:name w:val="Block Text"/>
    <w:basedOn w:val="1"/>
    <w:unhideWhenUsed/>
    <w:qFormat/>
    <w:locked/>
    <w:uiPriority w:val="99"/>
    <w:pPr>
      <w:spacing w:after="120"/>
      <w:ind w:left="1440" w:leftChars="700" w:right="1440" w:rightChars="700"/>
    </w:pPr>
  </w:style>
  <w:style w:type="paragraph" w:styleId="17">
    <w:name w:val="toc 5"/>
    <w:basedOn w:val="1"/>
    <w:next w:val="1"/>
    <w:qFormat/>
    <w:locked/>
    <w:uiPriority w:val="0"/>
    <w:pPr>
      <w:ind w:left="1760"/>
      <w:jc w:val="left"/>
    </w:pPr>
  </w:style>
  <w:style w:type="paragraph" w:styleId="18">
    <w:name w:val="toc 3"/>
    <w:basedOn w:val="1"/>
    <w:next w:val="1"/>
    <w:semiHidden/>
    <w:qFormat/>
    <w:uiPriority w:val="99"/>
    <w:pPr>
      <w:ind w:left="420"/>
      <w:jc w:val="left"/>
    </w:pPr>
    <w:rPr>
      <w:rFonts w:cs="Times New Roman"/>
      <w:i/>
      <w:iCs/>
      <w:sz w:val="20"/>
      <w:szCs w:val="20"/>
    </w:rPr>
  </w:style>
  <w:style w:type="paragraph" w:styleId="19">
    <w:name w:val="Plain Text"/>
    <w:basedOn w:val="1"/>
    <w:next w:val="1"/>
    <w:link w:val="50"/>
    <w:qFormat/>
    <w:uiPriority w:val="0"/>
    <w:rPr>
      <w:rFonts w:ascii="宋体" w:hAnsi="Courier New" w:cs="宋体"/>
    </w:rPr>
  </w:style>
  <w:style w:type="paragraph" w:styleId="20">
    <w:name w:val="Date"/>
    <w:basedOn w:val="1"/>
    <w:next w:val="1"/>
    <w:link w:val="51"/>
    <w:qFormat/>
    <w:uiPriority w:val="99"/>
    <w:pPr>
      <w:ind w:left="100" w:leftChars="2500"/>
    </w:pPr>
  </w:style>
  <w:style w:type="paragraph" w:styleId="21">
    <w:name w:val="Body Text Indent 2"/>
    <w:basedOn w:val="1"/>
    <w:link w:val="52"/>
    <w:qFormat/>
    <w:uiPriority w:val="99"/>
    <w:pPr>
      <w:ind w:firstLine="562" w:firstLineChars="200"/>
    </w:pPr>
    <w:rPr>
      <w:rFonts w:ascii="仿宋_GB2312" w:eastAsia="仿宋_GB2312" w:cs="仿宋_GB2312"/>
      <w:b/>
      <w:bCs/>
      <w:sz w:val="28"/>
      <w:szCs w:val="28"/>
    </w:rPr>
  </w:style>
  <w:style w:type="paragraph" w:styleId="22">
    <w:name w:val="Balloon Text"/>
    <w:basedOn w:val="1"/>
    <w:link w:val="53"/>
    <w:semiHidden/>
    <w:qFormat/>
    <w:uiPriority w:val="99"/>
    <w:rPr>
      <w:sz w:val="18"/>
      <w:szCs w:val="18"/>
    </w:rPr>
  </w:style>
  <w:style w:type="paragraph" w:styleId="23">
    <w:name w:val="footer"/>
    <w:basedOn w:val="1"/>
    <w:link w:val="54"/>
    <w:qFormat/>
    <w:uiPriority w:val="99"/>
    <w:pPr>
      <w:tabs>
        <w:tab w:val="center" w:pos="4153"/>
        <w:tab w:val="right" w:pos="8306"/>
      </w:tabs>
      <w:snapToGrid w:val="0"/>
      <w:jc w:val="left"/>
    </w:pPr>
    <w:rPr>
      <w:sz w:val="18"/>
      <w:szCs w:val="18"/>
    </w:rPr>
  </w:style>
  <w:style w:type="paragraph" w:styleId="24">
    <w:name w:val="header"/>
    <w:basedOn w:val="1"/>
    <w:link w:val="55"/>
    <w:qFormat/>
    <w:uiPriority w:val="99"/>
    <w:pPr>
      <w:pBdr>
        <w:bottom w:val="single" w:color="auto" w:sz="6" w:space="1"/>
      </w:pBdr>
      <w:tabs>
        <w:tab w:val="center" w:pos="4153"/>
        <w:tab w:val="right" w:pos="8306"/>
      </w:tabs>
      <w:snapToGrid w:val="0"/>
      <w:jc w:val="center"/>
    </w:pPr>
    <w:rPr>
      <w:sz w:val="18"/>
      <w:szCs w:val="18"/>
    </w:rPr>
  </w:style>
  <w:style w:type="paragraph" w:styleId="25">
    <w:name w:val="toc 1"/>
    <w:basedOn w:val="1"/>
    <w:next w:val="1"/>
    <w:semiHidden/>
    <w:qFormat/>
    <w:uiPriority w:val="99"/>
    <w:pPr>
      <w:tabs>
        <w:tab w:val="right" w:leader="dot" w:pos="8390"/>
      </w:tabs>
      <w:spacing w:before="120" w:after="120"/>
    </w:pPr>
    <w:rPr>
      <w:rFonts w:cs="Times New Roman"/>
      <w:b/>
      <w:bCs/>
      <w:caps/>
      <w:sz w:val="24"/>
      <w:szCs w:val="24"/>
    </w:rPr>
  </w:style>
  <w:style w:type="paragraph" w:styleId="26">
    <w:name w:val="toc 4"/>
    <w:basedOn w:val="1"/>
    <w:next w:val="1"/>
    <w:qFormat/>
    <w:locked/>
    <w:uiPriority w:val="0"/>
    <w:pPr>
      <w:tabs>
        <w:tab w:val="left" w:pos="1890"/>
        <w:tab w:val="right" w:leader="dot" w:pos="8296"/>
      </w:tabs>
      <w:ind w:left="630" w:leftChars="300"/>
    </w:pPr>
  </w:style>
  <w:style w:type="paragraph" w:styleId="27">
    <w:name w:val="footnote text"/>
    <w:basedOn w:val="1"/>
    <w:qFormat/>
    <w:locked/>
    <w:uiPriority w:val="0"/>
    <w:pPr>
      <w:snapToGrid w:val="0"/>
      <w:jc w:val="left"/>
    </w:pPr>
    <w:rPr>
      <w:sz w:val="18"/>
      <w:szCs w:val="18"/>
    </w:rPr>
  </w:style>
  <w:style w:type="paragraph" w:styleId="28">
    <w:name w:val="toc 2"/>
    <w:basedOn w:val="1"/>
    <w:next w:val="1"/>
    <w:semiHidden/>
    <w:qFormat/>
    <w:uiPriority w:val="99"/>
    <w:pPr>
      <w:ind w:left="210"/>
      <w:jc w:val="left"/>
    </w:pPr>
    <w:rPr>
      <w:rFonts w:cs="Times New Roman"/>
      <w:smallCaps/>
      <w:sz w:val="20"/>
      <w:szCs w:val="20"/>
    </w:rPr>
  </w:style>
  <w:style w:type="paragraph" w:styleId="29">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30">
    <w:name w:val="annotation subject"/>
    <w:basedOn w:val="11"/>
    <w:next w:val="11"/>
    <w:link w:val="56"/>
    <w:semiHidden/>
    <w:qFormat/>
    <w:locked/>
    <w:uiPriority w:val="99"/>
    <w:rPr>
      <w:b/>
      <w:bCs/>
    </w:rPr>
  </w:style>
  <w:style w:type="paragraph" w:styleId="31">
    <w:name w:val="Body Text First Indent 2"/>
    <w:basedOn w:val="15"/>
    <w:next w:val="1"/>
    <w:semiHidden/>
    <w:unhideWhenUsed/>
    <w:qFormat/>
    <w:locked/>
    <w:uiPriority w:val="99"/>
    <w:pPr>
      <w:ind w:firstLine="420" w:firstLineChars="200"/>
    </w:pPr>
  </w:style>
  <w:style w:type="table" w:styleId="33">
    <w:name w:val="Table Grid"/>
    <w:basedOn w:val="32"/>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35">
    <w:name w:val="Strong"/>
    <w:basedOn w:val="34"/>
    <w:qFormat/>
    <w:uiPriority w:val="99"/>
    <w:rPr>
      <w:b/>
      <w:bCs/>
    </w:rPr>
  </w:style>
  <w:style w:type="character" w:styleId="36">
    <w:name w:val="page number"/>
    <w:basedOn w:val="34"/>
    <w:qFormat/>
    <w:uiPriority w:val="99"/>
  </w:style>
  <w:style w:type="character" w:styleId="37">
    <w:name w:val="Hyperlink"/>
    <w:basedOn w:val="34"/>
    <w:qFormat/>
    <w:uiPriority w:val="99"/>
    <w:rPr>
      <w:color w:val="0000FF"/>
      <w:u w:val="single"/>
    </w:rPr>
  </w:style>
  <w:style w:type="character" w:styleId="38">
    <w:name w:val="annotation reference"/>
    <w:basedOn w:val="34"/>
    <w:semiHidden/>
    <w:qFormat/>
    <w:locked/>
    <w:uiPriority w:val="99"/>
    <w:rPr>
      <w:sz w:val="21"/>
      <w:szCs w:val="21"/>
    </w:rPr>
  </w:style>
  <w:style w:type="paragraph" w:customStyle="1" w:styleId="39">
    <w:name w:val="wang正文"/>
    <w:qFormat/>
    <w:uiPriority w:val="0"/>
    <w:pPr>
      <w:tabs>
        <w:tab w:val="left" w:pos="6840"/>
      </w:tabs>
      <w:topLinePunct/>
      <w:spacing w:line="300" w:lineRule="exact"/>
      <w:ind w:firstLine="420"/>
    </w:pPr>
    <w:rPr>
      <w:rFonts w:ascii="Times New Roman" w:hAnsi="Times New Roman" w:eastAsia="宋体" w:cs="Times New Roman"/>
      <w:kern w:val="2"/>
      <w:sz w:val="21"/>
      <w:szCs w:val="24"/>
      <w:lang w:val="en-US" w:eastAsia="zh-CN" w:bidi="ar-SA"/>
    </w:rPr>
  </w:style>
  <w:style w:type="character" w:customStyle="1" w:styleId="40">
    <w:name w:val="标题 1 字符"/>
    <w:basedOn w:val="34"/>
    <w:link w:val="3"/>
    <w:qFormat/>
    <w:locked/>
    <w:uiPriority w:val="99"/>
    <w:rPr>
      <w:rFonts w:ascii="Calibri" w:hAnsi="Calibri" w:eastAsia="宋体" w:cs="Calibri"/>
      <w:kern w:val="44"/>
      <w:sz w:val="44"/>
      <w:szCs w:val="44"/>
      <w:lang w:val="en-US" w:eastAsia="zh-CN"/>
    </w:rPr>
  </w:style>
  <w:style w:type="character" w:customStyle="1" w:styleId="41">
    <w:name w:val="标题 2 字符"/>
    <w:basedOn w:val="34"/>
    <w:link w:val="4"/>
    <w:qFormat/>
    <w:locked/>
    <w:uiPriority w:val="99"/>
    <w:rPr>
      <w:rFonts w:ascii="Cambria" w:hAnsi="Cambria" w:eastAsia="宋体" w:cs="Cambria"/>
      <w:kern w:val="2"/>
      <w:sz w:val="32"/>
      <w:szCs w:val="32"/>
      <w:lang w:val="en-US" w:eastAsia="zh-CN"/>
    </w:rPr>
  </w:style>
  <w:style w:type="character" w:customStyle="1" w:styleId="42">
    <w:name w:val="标题 3 字符"/>
    <w:basedOn w:val="34"/>
    <w:link w:val="5"/>
    <w:qFormat/>
    <w:locked/>
    <w:uiPriority w:val="99"/>
    <w:rPr>
      <w:rFonts w:ascii="Calibri" w:hAnsi="Calibri" w:eastAsia="宋体" w:cs="Calibri"/>
      <w:kern w:val="2"/>
      <w:sz w:val="32"/>
      <w:szCs w:val="32"/>
      <w:lang w:val="en-US" w:eastAsia="zh-CN"/>
    </w:rPr>
  </w:style>
  <w:style w:type="character" w:customStyle="1" w:styleId="43">
    <w:name w:val="标题 4 字符"/>
    <w:basedOn w:val="34"/>
    <w:link w:val="6"/>
    <w:qFormat/>
    <w:locked/>
    <w:uiPriority w:val="99"/>
    <w:rPr>
      <w:rFonts w:ascii="Cambria" w:hAnsi="Cambria" w:eastAsia="宋体" w:cs="Cambria"/>
      <w:kern w:val="2"/>
      <w:sz w:val="28"/>
      <w:szCs w:val="28"/>
      <w:lang w:val="en-US" w:eastAsia="zh-CN"/>
    </w:rPr>
  </w:style>
  <w:style w:type="character" w:customStyle="1" w:styleId="44">
    <w:name w:val="标题 5 字符"/>
    <w:basedOn w:val="34"/>
    <w:link w:val="7"/>
    <w:qFormat/>
    <w:locked/>
    <w:uiPriority w:val="99"/>
    <w:rPr>
      <w:rFonts w:ascii="Calibri" w:hAnsi="Calibri" w:eastAsia="宋体" w:cs="Calibri"/>
      <w:b/>
      <w:bCs/>
      <w:kern w:val="2"/>
      <w:sz w:val="28"/>
      <w:szCs w:val="28"/>
      <w:lang w:val="en-US" w:eastAsia="zh-CN"/>
    </w:rPr>
  </w:style>
  <w:style w:type="character" w:customStyle="1" w:styleId="45">
    <w:name w:val="标题 6 字符"/>
    <w:basedOn w:val="34"/>
    <w:link w:val="8"/>
    <w:qFormat/>
    <w:locked/>
    <w:uiPriority w:val="99"/>
    <w:rPr>
      <w:rFonts w:ascii="Cambria" w:hAnsi="Cambria" w:eastAsia="宋体" w:cs="Cambria"/>
      <w:b/>
      <w:bCs/>
      <w:kern w:val="2"/>
      <w:sz w:val="24"/>
      <w:szCs w:val="24"/>
      <w:lang w:val="en-US" w:eastAsia="zh-CN"/>
    </w:rPr>
  </w:style>
  <w:style w:type="character" w:customStyle="1" w:styleId="46">
    <w:name w:val="标题 7 字符"/>
    <w:basedOn w:val="34"/>
    <w:link w:val="9"/>
    <w:semiHidden/>
    <w:qFormat/>
    <w:locked/>
    <w:uiPriority w:val="99"/>
    <w:rPr>
      <w:rFonts w:ascii="Calibri" w:hAnsi="Calibri" w:eastAsia="宋体" w:cs="Calibri"/>
      <w:b/>
      <w:bCs/>
      <w:kern w:val="2"/>
      <w:sz w:val="24"/>
      <w:szCs w:val="24"/>
      <w:lang w:val="en-US" w:eastAsia="zh-CN"/>
    </w:rPr>
  </w:style>
  <w:style w:type="character" w:customStyle="1" w:styleId="47">
    <w:name w:val="标题 8 字符"/>
    <w:basedOn w:val="34"/>
    <w:link w:val="10"/>
    <w:semiHidden/>
    <w:qFormat/>
    <w:locked/>
    <w:uiPriority w:val="99"/>
    <w:rPr>
      <w:rFonts w:ascii="Cambria" w:hAnsi="Cambria" w:eastAsia="宋体" w:cs="Cambria"/>
      <w:kern w:val="2"/>
      <w:sz w:val="24"/>
      <w:szCs w:val="24"/>
      <w:lang w:val="en-US" w:eastAsia="zh-CN"/>
    </w:rPr>
  </w:style>
  <w:style w:type="character" w:customStyle="1" w:styleId="48">
    <w:name w:val="批注文字 字符"/>
    <w:basedOn w:val="34"/>
    <w:link w:val="11"/>
    <w:semiHidden/>
    <w:qFormat/>
    <w:uiPriority w:val="99"/>
    <w:rPr>
      <w:rFonts w:ascii="Calibri" w:hAnsi="Calibri" w:cs="Calibri"/>
      <w:szCs w:val="21"/>
    </w:rPr>
  </w:style>
  <w:style w:type="character" w:customStyle="1" w:styleId="49">
    <w:name w:val="正文文本缩进 字符"/>
    <w:basedOn w:val="34"/>
    <w:link w:val="15"/>
    <w:semiHidden/>
    <w:qFormat/>
    <w:uiPriority w:val="99"/>
    <w:rPr>
      <w:rFonts w:ascii="Calibri" w:hAnsi="Calibri" w:cs="Calibri"/>
      <w:kern w:val="2"/>
      <w:sz w:val="21"/>
      <w:szCs w:val="21"/>
    </w:rPr>
  </w:style>
  <w:style w:type="character" w:customStyle="1" w:styleId="50">
    <w:name w:val="纯文本 字符"/>
    <w:basedOn w:val="34"/>
    <w:link w:val="19"/>
    <w:qFormat/>
    <w:uiPriority w:val="0"/>
    <w:rPr>
      <w:rFonts w:hint="eastAsia" w:ascii="宋体" w:hAnsi="Courier New" w:eastAsia="宋体" w:cs="Courier New"/>
      <w:kern w:val="2"/>
      <w:sz w:val="21"/>
      <w:szCs w:val="21"/>
    </w:rPr>
  </w:style>
  <w:style w:type="character" w:customStyle="1" w:styleId="51">
    <w:name w:val="日期 字符"/>
    <w:basedOn w:val="34"/>
    <w:link w:val="20"/>
    <w:qFormat/>
    <w:locked/>
    <w:uiPriority w:val="99"/>
    <w:rPr>
      <w:rFonts w:ascii="Calibri" w:hAnsi="Calibri" w:cs="Calibri"/>
      <w:kern w:val="2"/>
      <w:sz w:val="22"/>
      <w:szCs w:val="22"/>
    </w:rPr>
  </w:style>
  <w:style w:type="character" w:customStyle="1" w:styleId="52">
    <w:name w:val="正文文本缩进 2 字符"/>
    <w:basedOn w:val="34"/>
    <w:link w:val="21"/>
    <w:semiHidden/>
    <w:qFormat/>
    <w:locked/>
    <w:uiPriority w:val="99"/>
    <w:rPr>
      <w:rFonts w:ascii="Calibri" w:hAnsi="Calibri" w:cs="Calibri"/>
    </w:rPr>
  </w:style>
  <w:style w:type="character" w:customStyle="1" w:styleId="53">
    <w:name w:val="批注框文本 字符"/>
    <w:basedOn w:val="34"/>
    <w:link w:val="22"/>
    <w:semiHidden/>
    <w:qFormat/>
    <w:locked/>
    <w:uiPriority w:val="99"/>
    <w:rPr>
      <w:rFonts w:ascii="Calibri" w:hAnsi="Calibri" w:eastAsia="宋体" w:cs="Calibri"/>
      <w:kern w:val="2"/>
      <w:sz w:val="18"/>
      <w:szCs w:val="18"/>
      <w:lang w:val="en-US" w:eastAsia="zh-CN"/>
    </w:rPr>
  </w:style>
  <w:style w:type="character" w:customStyle="1" w:styleId="54">
    <w:name w:val="页脚 字符"/>
    <w:basedOn w:val="34"/>
    <w:link w:val="23"/>
    <w:qFormat/>
    <w:locked/>
    <w:uiPriority w:val="99"/>
    <w:rPr>
      <w:rFonts w:ascii="Calibri" w:hAnsi="Calibri" w:eastAsia="宋体" w:cs="Calibri"/>
      <w:kern w:val="2"/>
      <w:sz w:val="18"/>
      <w:szCs w:val="18"/>
      <w:lang w:val="en-US" w:eastAsia="zh-CN"/>
    </w:rPr>
  </w:style>
  <w:style w:type="character" w:customStyle="1" w:styleId="55">
    <w:name w:val="页眉 字符"/>
    <w:basedOn w:val="34"/>
    <w:link w:val="24"/>
    <w:qFormat/>
    <w:locked/>
    <w:uiPriority w:val="99"/>
    <w:rPr>
      <w:rFonts w:ascii="Calibri" w:hAnsi="Calibri" w:eastAsia="宋体" w:cs="Calibri"/>
      <w:kern w:val="2"/>
      <w:sz w:val="18"/>
      <w:szCs w:val="18"/>
      <w:lang w:val="en-US" w:eastAsia="zh-CN"/>
    </w:rPr>
  </w:style>
  <w:style w:type="character" w:customStyle="1" w:styleId="56">
    <w:name w:val="批注主题 字符"/>
    <w:basedOn w:val="48"/>
    <w:link w:val="30"/>
    <w:semiHidden/>
    <w:qFormat/>
    <w:uiPriority w:val="99"/>
    <w:rPr>
      <w:rFonts w:ascii="Calibri" w:hAnsi="Calibri" w:cs="Calibri"/>
      <w:b/>
      <w:bCs/>
      <w:szCs w:val="21"/>
    </w:rPr>
  </w:style>
  <w:style w:type="character" w:customStyle="1" w:styleId="57">
    <w:name w:val="Footer Char1"/>
    <w:basedOn w:val="34"/>
    <w:semiHidden/>
    <w:qFormat/>
    <w:locked/>
    <w:uiPriority w:val="99"/>
    <w:rPr>
      <w:rFonts w:ascii="Calibri" w:hAnsi="Calibri" w:cs="Calibri"/>
      <w:sz w:val="18"/>
      <w:szCs w:val="18"/>
    </w:rPr>
  </w:style>
  <w:style w:type="character" w:customStyle="1" w:styleId="58">
    <w:name w:val="Balloon Text Char1"/>
    <w:basedOn w:val="34"/>
    <w:semiHidden/>
    <w:qFormat/>
    <w:locked/>
    <w:uiPriority w:val="99"/>
    <w:rPr>
      <w:rFonts w:ascii="Calibri" w:hAnsi="Calibri" w:cs="Calibri"/>
      <w:sz w:val="2"/>
      <w:szCs w:val="2"/>
    </w:rPr>
  </w:style>
  <w:style w:type="character" w:customStyle="1" w:styleId="59">
    <w:name w:val="需求正文 Char"/>
    <w:link w:val="60"/>
    <w:qFormat/>
    <w:locked/>
    <w:uiPriority w:val="99"/>
    <w:rPr>
      <w:kern w:val="23"/>
      <w:sz w:val="23"/>
      <w:szCs w:val="23"/>
    </w:rPr>
  </w:style>
  <w:style w:type="paragraph" w:customStyle="1" w:styleId="60">
    <w:name w:val="需求正文"/>
    <w:basedOn w:val="1"/>
    <w:link w:val="59"/>
    <w:qFormat/>
    <w:uiPriority w:val="99"/>
    <w:pPr>
      <w:topLinePunct/>
      <w:adjustRightInd w:val="0"/>
      <w:ind w:firstLine="459"/>
    </w:pPr>
    <w:rPr>
      <w:rFonts w:cs="Times New Roman"/>
      <w:kern w:val="23"/>
      <w:sz w:val="23"/>
      <w:szCs w:val="23"/>
    </w:rPr>
  </w:style>
  <w:style w:type="character" w:customStyle="1" w:styleId="61">
    <w:name w:val="Plain Text Char1"/>
    <w:basedOn w:val="34"/>
    <w:semiHidden/>
    <w:qFormat/>
    <w:locked/>
    <w:uiPriority w:val="99"/>
    <w:rPr>
      <w:rFonts w:ascii="宋体" w:hAnsi="Courier New" w:cs="宋体"/>
      <w:sz w:val="21"/>
      <w:szCs w:val="21"/>
    </w:rPr>
  </w:style>
  <w:style w:type="character" w:customStyle="1" w:styleId="62">
    <w:name w:val="无间隔 Char"/>
    <w:basedOn w:val="34"/>
    <w:link w:val="63"/>
    <w:qFormat/>
    <w:locked/>
    <w:uiPriority w:val="99"/>
    <w:rPr>
      <w:rFonts w:ascii="Calibri" w:hAnsi="Calibri" w:cs="Calibri"/>
      <w:sz w:val="22"/>
      <w:szCs w:val="22"/>
      <w:lang w:val="en-US" w:eastAsia="zh-CN" w:bidi="ar-SA"/>
    </w:rPr>
  </w:style>
  <w:style w:type="paragraph" w:customStyle="1" w:styleId="63">
    <w:name w:val="无间隔1"/>
    <w:link w:val="62"/>
    <w:qFormat/>
    <w:uiPriority w:val="99"/>
    <w:rPr>
      <w:rFonts w:ascii="Calibri" w:hAnsi="Calibri" w:eastAsia="宋体" w:cs="Calibri"/>
      <w:sz w:val="22"/>
      <w:szCs w:val="22"/>
      <w:lang w:val="en-US" w:eastAsia="zh-CN" w:bidi="ar-SA"/>
    </w:rPr>
  </w:style>
  <w:style w:type="character" w:customStyle="1" w:styleId="64">
    <w:name w:val="Header Char1"/>
    <w:basedOn w:val="34"/>
    <w:semiHidden/>
    <w:qFormat/>
    <w:locked/>
    <w:uiPriority w:val="99"/>
    <w:rPr>
      <w:rFonts w:ascii="Calibri" w:hAnsi="Calibri" w:cs="Calibri"/>
      <w:sz w:val="18"/>
      <w:szCs w:val="18"/>
    </w:rPr>
  </w:style>
  <w:style w:type="character" w:customStyle="1" w:styleId="65">
    <w:name w:val="纯文本 Char"/>
    <w:basedOn w:val="34"/>
    <w:qFormat/>
    <w:locked/>
    <w:uiPriority w:val="0"/>
    <w:rPr>
      <w:rFonts w:ascii="宋体" w:hAnsi="Courier New" w:eastAsia="宋体" w:cs="宋体"/>
      <w:kern w:val="2"/>
      <w:sz w:val="21"/>
      <w:szCs w:val="21"/>
      <w:lang w:val="en-US" w:eastAsia="zh-CN"/>
    </w:rPr>
  </w:style>
  <w:style w:type="paragraph" w:customStyle="1" w:styleId="66">
    <w:name w:val="TOC 标题1"/>
    <w:basedOn w:val="3"/>
    <w:next w:val="1"/>
    <w:qFormat/>
    <w:uiPriority w:val="99"/>
    <w:pPr>
      <w:widowControl/>
      <w:spacing w:before="480" w:after="0" w:line="276" w:lineRule="auto"/>
      <w:jc w:val="left"/>
      <w:outlineLvl w:val="9"/>
    </w:pPr>
    <w:rPr>
      <w:rFonts w:ascii="Cambria" w:hAnsi="Cambria" w:cs="Cambria"/>
      <w:b/>
      <w:bCs/>
      <w:color w:val="365F91"/>
      <w:kern w:val="0"/>
      <w:sz w:val="28"/>
      <w:szCs w:val="28"/>
    </w:rPr>
  </w:style>
  <w:style w:type="paragraph" w:customStyle="1" w:styleId="67">
    <w:name w:val="列出段落"/>
    <w:basedOn w:val="1"/>
    <w:qFormat/>
    <w:uiPriority w:val="99"/>
    <w:pPr>
      <w:ind w:firstLine="420" w:firstLineChars="200"/>
    </w:pPr>
  </w:style>
  <w:style w:type="paragraph" w:customStyle="1" w:styleId="68">
    <w:name w:val="修订1"/>
    <w:qFormat/>
    <w:uiPriority w:val="99"/>
    <w:rPr>
      <w:rFonts w:ascii="Calibri" w:hAnsi="Calibri" w:eastAsia="宋体" w:cs="Calibri"/>
      <w:kern w:val="2"/>
      <w:sz w:val="21"/>
      <w:szCs w:val="21"/>
      <w:lang w:val="en-US" w:eastAsia="zh-CN" w:bidi="ar-SA"/>
    </w:rPr>
  </w:style>
  <w:style w:type="paragraph" w:customStyle="1" w:styleId="69">
    <w:name w:val="样式 正文11 + 首行缩进:  2 字符"/>
    <w:basedOn w:val="1"/>
    <w:qFormat/>
    <w:uiPriority w:val="0"/>
    <w:pPr>
      <w:spacing w:line="500" w:lineRule="exact"/>
      <w:ind w:firstLine="560" w:firstLineChars="200"/>
    </w:pPr>
    <w:rPr>
      <w:rFonts w:ascii="宋体" w:hAnsi="宋体" w:cs="宋体"/>
      <w:color w:val="FF0000"/>
      <w:sz w:val="28"/>
      <w:szCs w:val="20"/>
    </w:rPr>
  </w:style>
  <w:style w:type="paragraph" w:customStyle="1" w:styleId="70">
    <w:name w:val="样式"/>
    <w:qFormat/>
    <w:uiPriority w:val="99"/>
    <w:pPr>
      <w:widowControl w:val="0"/>
      <w:autoSpaceDE w:val="0"/>
      <w:autoSpaceDN w:val="0"/>
      <w:adjustRightInd w:val="0"/>
    </w:pPr>
    <w:rPr>
      <w:rFonts w:ascii="宋体" w:hAnsi="宋体" w:eastAsia="宋体" w:cs="宋体"/>
      <w:sz w:val="24"/>
      <w:szCs w:val="24"/>
      <w:lang w:val="en-US" w:eastAsia="zh-CN" w:bidi="ar-SA"/>
    </w:rPr>
  </w:style>
  <w:style w:type="character" w:customStyle="1" w:styleId="71">
    <w:name w:val="font31"/>
    <w:basedOn w:val="34"/>
    <w:qFormat/>
    <w:uiPriority w:val="0"/>
    <w:rPr>
      <w:rFonts w:hint="eastAsia" w:ascii="宋体" w:hAnsi="宋体" w:eastAsia="宋体" w:cs="宋体"/>
      <w:color w:val="000000"/>
      <w:sz w:val="22"/>
      <w:szCs w:val="22"/>
      <w:u w:val="none"/>
    </w:rPr>
  </w:style>
  <w:style w:type="paragraph" w:customStyle="1" w:styleId="72">
    <w:name w:val="列表段落1"/>
    <w:basedOn w:val="1"/>
    <w:qFormat/>
    <w:uiPriority w:val="34"/>
    <w:pPr>
      <w:ind w:firstLine="420" w:firstLineChars="200"/>
    </w:pPr>
  </w:style>
  <w:style w:type="paragraph" w:customStyle="1" w:styleId="73">
    <w:name w:val="Table Paragraph"/>
    <w:basedOn w:val="1"/>
    <w:qFormat/>
    <w:uiPriority w:val="1"/>
    <w:pPr>
      <w:jc w:val="left"/>
    </w:pPr>
    <w:rPr>
      <w:kern w:val="0"/>
      <w:sz w:val="22"/>
      <w:lang w:eastAsia="en-US"/>
    </w:rPr>
  </w:style>
  <w:style w:type="paragraph" w:customStyle="1" w:styleId="74">
    <w:name w:val="_Style 6"/>
    <w:basedOn w:val="3"/>
    <w:next w:val="1"/>
    <w:qFormat/>
    <w:uiPriority w:val="0"/>
    <w:pPr>
      <w:outlineLvl w:val="9"/>
    </w:pPr>
  </w:style>
  <w:style w:type="paragraph" w:customStyle="1" w:styleId="75">
    <w:name w:val="WPSOffice手动目录 1"/>
    <w:qFormat/>
    <w:uiPriority w:val="0"/>
    <w:rPr>
      <w:rFonts w:ascii="Times New Roman" w:hAnsi="Times New Roman" w:eastAsia="宋体" w:cs="Times New Roman"/>
      <w:lang w:val="en-US" w:eastAsia="zh-CN" w:bidi="ar-SA"/>
    </w:rPr>
  </w:style>
  <w:style w:type="paragraph" w:customStyle="1" w:styleId="76">
    <w:name w:val="Body text|1"/>
    <w:basedOn w:val="1"/>
    <w:qFormat/>
    <w:uiPriority w:val="0"/>
    <w:pPr>
      <w:spacing w:line="480" w:lineRule="auto"/>
    </w:pPr>
    <w:rPr>
      <w:rFonts w:ascii="宋体" w:hAnsi="宋体" w:cs="宋体"/>
      <w:sz w:val="20"/>
      <w:szCs w:val="20"/>
      <w:lang w:val="zh-TW" w:eastAsia="zh-TW" w:bidi="zh-TW"/>
    </w:rPr>
  </w:style>
  <w:style w:type="paragraph" w:customStyle="1" w:styleId="77">
    <w:name w:val="Heading #4|1"/>
    <w:basedOn w:val="1"/>
    <w:qFormat/>
    <w:uiPriority w:val="0"/>
    <w:pPr>
      <w:spacing w:after="200"/>
      <w:jc w:val="center"/>
      <w:outlineLvl w:val="3"/>
    </w:pPr>
    <w:rPr>
      <w:rFonts w:ascii="宋体" w:hAnsi="宋体" w:cs="宋体"/>
      <w:b/>
      <w:bCs/>
      <w:sz w:val="28"/>
      <w:szCs w:val="28"/>
      <w:lang w:val="zh-TW" w:eastAsia="zh-TW" w:bidi="zh-TW"/>
    </w:rPr>
  </w:style>
  <w:style w:type="paragraph" w:customStyle="1" w:styleId="78">
    <w:name w:val="Other|1"/>
    <w:basedOn w:val="1"/>
    <w:qFormat/>
    <w:uiPriority w:val="0"/>
    <w:pPr>
      <w:spacing w:after="600" w:line="480" w:lineRule="auto"/>
    </w:pPr>
    <w:rPr>
      <w:rFonts w:ascii="宋体" w:hAnsi="宋体" w:cs="宋体"/>
      <w:b/>
      <w:bCs/>
      <w:sz w:val="32"/>
      <w:szCs w:val="32"/>
      <w:lang w:val="zh-TW" w:eastAsia="zh-TW" w:bidi="zh-TW"/>
    </w:rPr>
  </w:style>
  <w:style w:type="paragraph" w:customStyle="1" w:styleId="79">
    <w:name w:val="Header or footer|2"/>
    <w:basedOn w:val="1"/>
    <w:qFormat/>
    <w:uiPriority w:val="0"/>
    <w:rPr>
      <w:sz w:val="20"/>
      <w:szCs w:val="20"/>
      <w:lang w:val="zh-TW" w:eastAsia="zh-TW" w:bidi="zh-TW"/>
    </w:rPr>
  </w:style>
  <w:style w:type="paragraph" w:customStyle="1" w:styleId="80">
    <w:name w:val="Header or footer|1"/>
    <w:basedOn w:val="1"/>
    <w:qFormat/>
    <w:uiPriority w:val="0"/>
    <w:rPr>
      <w:sz w:val="18"/>
      <w:szCs w:val="18"/>
      <w:lang w:val="zh-TW" w:eastAsia="zh-TW" w:bidi="zh-TW"/>
    </w:rPr>
  </w:style>
  <w:style w:type="paragraph" w:customStyle="1" w:styleId="81">
    <w:name w:val="Body text|3"/>
    <w:basedOn w:val="1"/>
    <w:qFormat/>
    <w:uiPriority w:val="0"/>
    <w:pPr>
      <w:spacing w:after="600" w:line="480" w:lineRule="auto"/>
    </w:pPr>
    <w:rPr>
      <w:rFonts w:ascii="宋体" w:hAnsi="宋体" w:cs="宋体"/>
      <w:b/>
      <w:bCs/>
      <w:sz w:val="32"/>
      <w:szCs w:val="32"/>
      <w:lang w:val="zh-TW" w:eastAsia="zh-TW" w:bidi="zh-TW"/>
    </w:rPr>
  </w:style>
  <w:style w:type="paragraph" w:customStyle="1" w:styleId="82">
    <w:name w:val="Body text|2"/>
    <w:basedOn w:val="1"/>
    <w:qFormat/>
    <w:uiPriority w:val="0"/>
    <w:pPr>
      <w:spacing w:line="406" w:lineRule="exact"/>
      <w:ind w:firstLine="560"/>
    </w:pPr>
    <w:rPr>
      <w:rFonts w:ascii="宋体" w:hAnsi="宋体" w:cs="宋体"/>
      <w:lang w:val="zh-TW" w:eastAsia="zh-TW" w:bidi="zh-TW"/>
    </w:rPr>
  </w:style>
  <w:style w:type="paragraph" w:customStyle="1" w:styleId="83">
    <w:name w:val="正文 首行缩进:  2 字符"/>
    <w:basedOn w:val="1"/>
    <w:qFormat/>
    <w:uiPriority w:val="0"/>
    <w:pPr>
      <w:ind w:firstLine="579" w:firstLineChars="200"/>
    </w:pPr>
    <w:rPr>
      <w:rFonts w:cs="宋体"/>
      <w:sz w:val="28"/>
      <w:szCs w:val="20"/>
    </w:rPr>
  </w:style>
  <w:style w:type="paragraph" w:customStyle="1" w:styleId="84">
    <w:name w:val="标题 21"/>
    <w:basedOn w:val="1"/>
    <w:qFormat/>
    <w:uiPriority w:val="1"/>
    <w:pPr>
      <w:ind w:left="100" w:right="102"/>
      <w:outlineLvl w:val="2"/>
    </w:pPr>
    <w:rPr>
      <w:rFonts w:ascii="Microsoft JhengHei" w:hAnsi="Microsoft JhengHei" w:eastAsia="Microsoft JhengHei" w:cs="Microsoft JhengHei"/>
      <w:b/>
      <w:bCs/>
      <w:sz w:val="32"/>
      <w:szCs w:val="32"/>
    </w:rPr>
  </w:style>
  <w:style w:type="paragraph" w:customStyle="1" w:styleId="85">
    <w:name w:val="标题 41"/>
    <w:basedOn w:val="1"/>
    <w:qFormat/>
    <w:uiPriority w:val="1"/>
    <w:pPr>
      <w:ind w:left="522" w:right="21"/>
      <w:outlineLvl w:val="4"/>
    </w:pPr>
    <w:rPr>
      <w:rFonts w:eastAsia="Times New Roman" w:cs="Times New Roman"/>
      <w:b/>
      <w:bCs/>
    </w:rPr>
  </w:style>
  <w:style w:type="paragraph" w:customStyle="1" w:styleId="86">
    <w:name w:val="标题 31"/>
    <w:basedOn w:val="1"/>
    <w:qFormat/>
    <w:uiPriority w:val="1"/>
    <w:pPr>
      <w:ind w:left="237" w:right="21"/>
      <w:outlineLvl w:val="3"/>
    </w:pPr>
    <w:rPr>
      <w:sz w:val="28"/>
      <w:szCs w:val="28"/>
    </w:rPr>
  </w:style>
  <w:style w:type="paragraph" w:customStyle="1" w:styleId="87">
    <w:name w:val="Heading #5|1"/>
    <w:basedOn w:val="1"/>
    <w:qFormat/>
    <w:uiPriority w:val="0"/>
    <w:pPr>
      <w:spacing w:after="560"/>
      <w:ind w:right="560"/>
      <w:jc w:val="center"/>
      <w:outlineLvl w:val="4"/>
    </w:pPr>
    <w:rPr>
      <w:rFonts w:ascii="宋体" w:hAnsi="宋体" w:cs="宋体"/>
      <w:b/>
      <w:bCs/>
      <w:sz w:val="26"/>
      <w:szCs w:val="26"/>
      <w:lang w:val="zh-TW" w:eastAsia="zh-TW" w:bidi="zh-TW"/>
    </w:rPr>
  </w:style>
  <w:style w:type="paragraph" w:customStyle="1" w:styleId="88">
    <w:name w:val="正文（缩进）"/>
    <w:basedOn w:val="1"/>
    <w:qFormat/>
    <w:uiPriority w:val="0"/>
    <w:pPr>
      <w:spacing w:before="50" w:after="50"/>
      <w:ind w:firstLine="200" w:firstLineChars="200"/>
    </w:pPr>
    <w:rPr>
      <w:szCs w:val="22"/>
    </w:rPr>
  </w:style>
  <w:style w:type="paragraph" w:customStyle="1" w:styleId="89">
    <w:name w:val="Normal_0"/>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90">
    <w:name w:val="font11"/>
    <w:qFormat/>
    <w:uiPriority w:val="0"/>
    <w:rPr>
      <w:rFonts w:hint="eastAsia" w:ascii="宋体" w:hAnsi="宋体" w:eastAsia="宋体" w:cs="宋体"/>
      <w:color w:val="000000"/>
      <w:sz w:val="21"/>
      <w:szCs w:val="21"/>
      <w:u w:val="none"/>
    </w:rPr>
  </w:style>
  <w:style w:type="character" w:customStyle="1" w:styleId="91">
    <w:name w:val="font21"/>
    <w:qFormat/>
    <w:uiPriority w:val="0"/>
    <w:rPr>
      <w:rFonts w:hint="eastAsia" w:ascii="宋体" w:hAnsi="宋体" w:eastAsia="宋体" w:cs="宋体"/>
      <w:color w:val="000000"/>
      <w:sz w:val="14"/>
      <w:szCs w:val="14"/>
      <w:u w:val="none"/>
    </w:rPr>
  </w:style>
  <w:style w:type="paragraph" w:customStyle="1" w:styleId="92">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paragraph" w:styleId="93">
    <w:name w:val="List Paragraph"/>
    <w:basedOn w:val="1"/>
    <w:qFormat/>
    <w:uiPriority w:val="34"/>
    <w:pPr>
      <w:ind w:firstLine="420" w:firstLineChars="200"/>
    </w:pPr>
  </w:style>
  <w:style w:type="paragraph" w:customStyle="1" w:styleId="94">
    <w:name w:val="Default"/>
    <w:qFormat/>
    <w:uiPriority w:val="0"/>
    <w:pPr>
      <w:widowControl w:val="0"/>
      <w:autoSpaceDE w:val="0"/>
      <w:autoSpaceDN w:val="0"/>
      <w:adjustRightInd w:val="0"/>
    </w:pPr>
    <w:rPr>
      <w:rFonts w:ascii="楷体_GB2312" w:hAnsi="Times New Roman" w:eastAsia="楷体_GB2312" w:cs="楷体_GB2312"/>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108</Pages>
  <Words>5518</Words>
  <Characters>6280</Characters>
  <Lines>379</Lines>
  <Paragraphs>106</Paragraphs>
  <TotalTime>0</TotalTime>
  <ScaleCrop>false</ScaleCrop>
  <LinksUpToDate>false</LinksUpToDate>
  <CharactersWithSpaces>6487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2022-04-08T06:54:00Z</dcterms:created>
  <dc:creator>dk</dc:creator>
  <cp:lastModifiedBy>Amy</cp:lastModifiedBy>
  <cp:lastPrinted>2022-08-24T01:11:00Z</cp:lastPrinted>
  <dcterms:modified xsi:type="dcterms:W3CDTF">2025-04-06T02:45:59Z</dcterms:modified>
  <dc:title>招标文件</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ED99A237DD6A40A7A5F1272A2EB8D42B</vt:lpwstr>
  </property>
  <property fmtid="{D5CDD505-2E9C-101B-9397-08002B2CF9AE}" pid="4" name="KSOTemplateDocerSaveRecord">
    <vt:lpwstr>eyJoZGlkIjoiY2MyN2MzM2UyNjU3OGVjYWMyNTlkODRhYzEzMzQ5NjciLCJ1c2VySWQiOiIxMzk0ODg2OTg1In0=</vt:lpwstr>
  </property>
</Properties>
</file>