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7405D">
      <w:pPr>
        <w:pStyle w:val="38"/>
        <w:spacing w:line="0" w:lineRule="atLeast"/>
        <w:jc w:val="center"/>
        <w:rPr>
          <w:rFonts w:hint="eastAsia" w:ascii="宋体" w:hAnsi="宋体" w:eastAsia="宋体" w:cs="宋体"/>
          <w:b/>
          <w:color w:val="auto"/>
          <w:sz w:val="32"/>
          <w:szCs w:val="32"/>
          <w:highlight w:val="none"/>
        </w:rPr>
      </w:pPr>
      <w:bookmarkStart w:id="0" w:name="_Toc98580390"/>
    </w:p>
    <w:p w14:paraId="55DBB292">
      <w:pPr>
        <w:pStyle w:val="38"/>
        <w:spacing w:line="0" w:lineRule="atLeast"/>
        <w:jc w:val="center"/>
        <w:rPr>
          <w:rFonts w:hint="eastAsia" w:ascii="宋体" w:hAnsi="宋体" w:eastAsia="宋体" w:cs="宋体"/>
          <w:b/>
          <w:color w:val="auto"/>
          <w:sz w:val="32"/>
          <w:szCs w:val="32"/>
          <w:highlight w:val="none"/>
        </w:rPr>
      </w:pPr>
    </w:p>
    <w:p w14:paraId="38EF1735">
      <w:pPr>
        <w:pStyle w:val="38"/>
        <w:spacing w:line="0" w:lineRule="atLeast"/>
        <w:jc w:val="center"/>
        <w:rPr>
          <w:rFonts w:hint="eastAsia" w:ascii="宋体" w:hAnsi="宋体" w:eastAsia="宋体" w:cs="宋体"/>
          <w:b/>
          <w:color w:val="auto"/>
          <w:sz w:val="32"/>
          <w:szCs w:val="32"/>
          <w:highlight w:val="none"/>
        </w:rPr>
      </w:pPr>
    </w:p>
    <w:p w14:paraId="2C2F42BB">
      <w:pPr>
        <w:spacing w:line="0" w:lineRule="atLeast"/>
        <w:jc w:val="center"/>
        <w:rPr>
          <w:rFonts w:hint="default" w:ascii="宋体" w:hAnsi="宋体" w:eastAsia="宋体" w:cs="宋体"/>
          <w:b/>
          <w:color w:val="auto"/>
          <w:sz w:val="48"/>
          <w:szCs w:val="48"/>
          <w:highlight w:val="none"/>
          <w:lang w:val="en-US"/>
        </w:rPr>
      </w:pPr>
      <w:r>
        <w:rPr>
          <w:rFonts w:hint="default" w:ascii="宋体" w:hAnsi="宋体" w:eastAsia="宋体" w:cs="宋体"/>
          <w:b/>
          <w:color w:val="auto"/>
          <w:sz w:val="48"/>
          <w:szCs w:val="48"/>
          <w:highlight w:val="none"/>
          <w:lang w:val="en-US" w:eastAsia="zh-CN"/>
        </w:rPr>
        <w:t>吉林市丰满区设施蔬菜连作障碍综合治理项目生物有机肥采购</w:t>
      </w:r>
      <w:r>
        <w:rPr>
          <w:rFonts w:hint="eastAsia" w:ascii="宋体" w:hAnsi="宋体" w:cs="宋体"/>
          <w:b/>
          <w:color w:val="auto"/>
          <w:sz w:val="48"/>
          <w:szCs w:val="48"/>
          <w:highlight w:val="none"/>
          <w:lang w:val="en-US" w:eastAsia="zh-CN"/>
        </w:rPr>
        <w:t>(二次）</w:t>
      </w:r>
    </w:p>
    <w:p w14:paraId="20344774">
      <w:pPr>
        <w:pStyle w:val="43"/>
        <w:rPr>
          <w:rFonts w:hint="eastAsia" w:ascii="宋体" w:hAnsi="宋体" w:eastAsia="宋体" w:cs="宋体"/>
          <w:b/>
          <w:color w:val="auto"/>
          <w:sz w:val="48"/>
          <w:szCs w:val="48"/>
          <w:highlight w:val="none"/>
        </w:rPr>
      </w:pPr>
    </w:p>
    <w:p w14:paraId="03879D77">
      <w:pPr>
        <w:pStyle w:val="25"/>
        <w:rPr>
          <w:rFonts w:hint="eastAsia"/>
          <w:color w:val="auto"/>
          <w:highlight w:val="none"/>
        </w:rPr>
      </w:pPr>
    </w:p>
    <w:p w14:paraId="4A185A8A">
      <w:pPr>
        <w:spacing w:line="0" w:lineRule="atLeast"/>
        <w:jc w:val="center"/>
        <w:rPr>
          <w:rFonts w:hint="eastAsia" w:ascii="宋体" w:hAnsi="宋体" w:eastAsia="宋体" w:cs="宋体"/>
          <w:b/>
          <w:color w:val="auto"/>
          <w:sz w:val="170"/>
          <w:szCs w:val="170"/>
          <w:highlight w:val="none"/>
        </w:rPr>
      </w:pPr>
      <w:r>
        <w:rPr>
          <w:rFonts w:hint="eastAsia" w:ascii="方正小标宋简体" w:hAnsi="方正小标宋简体" w:eastAsia="方正小标宋简体" w:cs="方正小标宋简体"/>
          <w:b w:val="0"/>
          <w:bCs/>
          <w:color w:val="auto"/>
          <w:sz w:val="100"/>
          <w:szCs w:val="100"/>
          <w:highlight w:val="none"/>
        </w:rPr>
        <w:t>招标文件</w:t>
      </w:r>
    </w:p>
    <w:p w14:paraId="2B1623BE">
      <w:pPr>
        <w:jc w:val="center"/>
        <w:rPr>
          <w:rFonts w:hint="eastAsia" w:ascii="宋体" w:hAnsi="宋体" w:eastAsia="宋体" w:cs="宋体"/>
          <w:b/>
          <w:color w:val="auto"/>
          <w:sz w:val="32"/>
          <w:highlight w:val="none"/>
        </w:rPr>
      </w:pPr>
    </w:p>
    <w:p w14:paraId="19A35BCF">
      <w:pPr>
        <w:jc w:val="center"/>
        <w:rPr>
          <w:rFonts w:hint="default" w:ascii="宋体" w:hAnsi="宋体" w:eastAsia="宋体" w:cs="宋体"/>
          <w:b/>
          <w:color w:val="000000" w:themeColor="text1"/>
          <w:sz w:val="32"/>
          <w:highlight w:val="none"/>
          <w:lang w:val="en-US" w:eastAsia="zh-CN"/>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项目编号：采购计划-[2024]-00079号-XC</w:t>
      </w:r>
      <w:r>
        <w:rPr>
          <w:rFonts w:hint="eastAsia" w:ascii="宋体" w:hAnsi="宋体" w:cs="宋体"/>
          <w:b/>
          <w:color w:val="000000" w:themeColor="text1"/>
          <w:sz w:val="32"/>
          <w:highlight w:val="none"/>
          <w:lang w:val="en-US" w:eastAsia="zh-CN"/>
          <w14:textFill>
            <w14:solidFill>
              <w14:schemeClr w14:val="tx1"/>
            </w14:solidFill>
          </w14:textFill>
        </w:rPr>
        <w:t>10</w:t>
      </w:r>
    </w:p>
    <w:p w14:paraId="6BE3320B">
      <w:pPr>
        <w:jc w:val="center"/>
        <w:rPr>
          <w:rFonts w:hint="eastAsia" w:ascii="宋体" w:hAnsi="宋体" w:eastAsia="宋体" w:cs="宋体"/>
          <w:b/>
          <w:color w:val="auto"/>
          <w:sz w:val="32"/>
          <w:highlight w:val="none"/>
        </w:rPr>
      </w:pPr>
    </w:p>
    <w:p w14:paraId="61E294FE">
      <w:pPr>
        <w:jc w:val="center"/>
        <w:rPr>
          <w:rFonts w:hint="eastAsia" w:ascii="宋体" w:hAnsi="宋体" w:eastAsia="宋体" w:cs="宋体"/>
          <w:color w:val="auto"/>
          <w:sz w:val="32"/>
          <w:highlight w:val="none"/>
        </w:rPr>
      </w:pPr>
    </w:p>
    <w:p w14:paraId="1890E392">
      <w:pPr>
        <w:jc w:val="center"/>
        <w:rPr>
          <w:rFonts w:hint="eastAsia" w:ascii="宋体" w:hAnsi="宋体" w:eastAsia="宋体" w:cs="宋体"/>
          <w:color w:val="auto"/>
          <w:sz w:val="32"/>
          <w:highlight w:val="none"/>
        </w:rPr>
      </w:pPr>
    </w:p>
    <w:p w14:paraId="6D4AB564">
      <w:pPr>
        <w:jc w:val="center"/>
        <w:rPr>
          <w:rFonts w:hint="eastAsia" w:ascii="宋体" w:hAnsi="宋体" w:eastAsia="宋体" w:cs="宋体"/>
          <w:color w:val="auto"/>
          <w:sz w:val="32"/>
          <w:highlight w:val="none"/>
        </w:rPr>
      </w:pPr>
    </w:p>
    <w:p w14:paraId="7B4A9677">
      <w:pPr>
        <w:jc w:val="center"/>
        <w:rPr>
          <w:rFonts w:hint="eastAsia" w:ascii="宋体" w:hAnsi="宋体" w:eastAsia="宋体" w:cs="宋体"/>
          <w:color w:val="auto"/>
          <w:sz w:val="18"/>
          <w:szCs w:val="18"/>
          <w:highlight w:val="none"/>
        </w:rPr>
      </w:pPr>
    </w:p>
    <w:p w14:paraId="2C9AC12E">
      <w:pPr>
        <w:jc w:val="center"/>
        <w:rPr>
          <w:rFonts w:hint="eastAsia" w:ascii="宋体" w:hAnsi="宋体" w:eastAsia="宋体" w:cs="宋体"/>
          <w:color w:val="auto"/>
          <w:sz w:val="18"/>
          <w:szCs w:val="18"/>
          <w:highlight w:val="none"/>
        </w:rPr>
      </w:pPr>
    </w:p>
    <w:p w14:paraId="31041CA7">
      <w:pPr>
        <w:jc w:val="center"/>
        <w:rPr>
          <w:rFonts w:hint="eastAsia" w:ascii="宋体" w:hAnsi="宋体" w:eastAsia="宋体" w:cs="宋体"/>
          <w:color w:val="auto"/>
          <w:sz w:val="18"/>
          <w:szCs w:val="18"/>
          <w:highlight w:val="none"/>
        </w:rPr>
      </w:pPr>
    </w:p>
    <w:p w14:paraId="1003C708">
      <w:pPr>
        <w:jc w:val="center"/>
        <w:rPr>
          <w:rFonts w:hint="eastAsia" w:ascii="宋体" w:hAnsi="宋体" w:eastAsia="宋体" w:cs="宋体"/>
          <w:color w:val="auto"/>
          <w:sz w:val="18"/>
          <w:szCs w:val="18"/>
          <w:highlight w:val="none"/>
        </w:rPr>
      </w:pPr>
    </w:p>
    <w:p w14:paraId="10CF70B6">
      <w:pPr>
        <w:pStyle w:val="3"/>
        <w:rPr>
          <w:rFonts w:hint="eastAsia" w:ascii="宋体" w:hAnsi="宋体" w:eastAsia="宋体" w:cs="宋体"/>
          <w:color w:val="auto"/>
          <w:highlight w:val="none"/>
        </w:rPr>
      </w:pPr>
    </w:p>
    <w:p w14:paraId="45FFF072">
      <w:pPr>
        <w:spacing w:line="480" w:lineRule="auto"/>
        <w:jc w:val="center"/>
        <w:rPr>
          <w:rFonts w:hint="eastAsia" w:ascii="宋体" w:hAnsi="宋体" w:eastAsia="宋体" w:cs="宋体"/>
          <w:color w:val="auto"/>
          <w:sz w:val="18"/>
          <w:szCs w:val="18"/>
          <w:highlight w:val="none"/>
        </w:rPr>
      </w:pPr>
    </w:p>
    <w:p w14:paraId="215B45A8">
      <w:pPr>
        <w:spacing w:line="480" w:lineRule="auto"/>
        <w:jc w:val="center"/>
        <w:rPr>
          <w:rFonts w:hint="eastAsia" w:ascii="宋体" w:hAnsi="宋体" w:eastAsia="宋体" w:cs="宋体"/>
          <w:color w:val="auto"/>
          <w:sz w:val="18"/>
          <w:szCs w:val="18"/>
          <w:highlight w:val="none"/>
        </w:rPr>
      </w:pPr>
    </w:p>
    <w:p w14:paraId="04275892">
      <w:pPr>
        <w:ind w:firstLine="1285" w:firstLineChars="400"/>
        <w:jc w:val="both"/>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采   购   人：</w:t>
      </w:r>
      <w:r>
        <w:rPr>
          <w:rFonts w:hint="eastAsia" w:ascii="宋体" w:hAnsi="宋体" w:cs="宋体"/>
          <w:b/>
          <w:color w:val="auto"/>
          <w:sz w:val="32"/>
          <w:szCs w:val="22"/>
          <w:highlight w:val="none"/>
          <w:lang w:val="en-US" w:eastAsia="zh-CN"/>
        </w:rPr>
        <w:t>吉林市丰满区农业农村局</w:t>
      </w:r>
      <w:r>
        <w:rPr>
          <w:rFonts w:hint="eastAsia" w:ascii="宋体" w:hAnsi="宋体" w:eastAsia="宋体" w:cs="宋体"/>
          <w:b/>
          <w:color w:val="auto"/>
          <w:sz w:val="32"/>
          <w:szCs w:val="22"/>
          <w:highlight w:val="none"/>
        </w:rPr>
        <w:t xml:space="preserve">     </w:t>
      </w:r>
    </w:p>
    <w:p w14:paraId="540056A1">
      <w:pPr>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lang w:val="en-US" w:eastAsia="zh-CN"/>
        </w:rPr>
        <w:t xml:space="preserve"> </w:t>
      </w:r>
      <w:r>
        <w:rPr>
          <w:rFonts w:hint="eastAsia" w:ascii="宋体" w:hAnsi="宋体" w:eastAsia="宋体" w:cs="宋体"/>
          <w:b/>
          <w:color w:val="auto"/>
          <w:sz w:val="32"/>
          <w:szCs w:val="22"/>
          <w:highlight w:val="none"/>
        </w:rPr>
        <w:t xml:space="preserve">    </w:t>
      </w:r>
    </w:p>
    <w:p w14:paraId="0785BE7D">
      <w:pPr>
        <w:ind w:firstLine="1285" w:firstLineChars="400"/>
        <w:jc w:val="both"/>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采购代理机构：吉林市新诚招标代理有限公司</w:t>
      </w:r>
    </w:p>
    <w:p w14:paraId="2AEF136B">
      <w:pPr>
        <w:jc w:val="center"/>
        <w:rPr>
          <w:rFonts w:hint="eastAsia" w:ascii="宋体" w:hAnsi="宋体" w:eastAsia="宋体" w:cs="宋体"/>
          <w:b/>
          <w:color w:val="auto"/>
          <w:sz w:val="32"/>
          <w:highlight w:val="none"/>
        </w:rPr>
      </w:pPr>
    </w:p>
    <w:p w14:paraId="5B31AA31">
      <w:pPr>
        <w:ind w:firstLine="1285" w:firstLineChars="400"/>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日    </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 xml:space="preserve"> 期：202</w:t>
      </w:r>
      <w:r>
        <w:rPr>
          <w:rFonts w:hint="eastAsia" w:ascii="宋体" w:hAnsi="宋体" w:cs="宋体"/>
          <w:b/>
          <w:color w:val="auto"/>
          <w:sz w:val="32"/>
          <w:highlight w:val="none"/>
          <w:lang w:val="en-US" w:eastAsia="zh-CN"/>
        </w:rPr>
        <w:t>4</w:t>
      </w:r>
      <w:r>
        <w:rPr>
          <w:rFonts w:hint="eastAsia" w:ascii="宋体" w:hAnsi="宋体" w:eastAsia="宋体" w:cs="宋体"/>
          <w:b/>
          <w:color w:val="auto"/>
          <w:sz w:val="32"/>
          <w:highlight w:val="none"/>
        </w:rPr>
        <w:t>年</w:t>
      </w:r>
      <w:r>
        <w:rPr>
          <w:rFonts w:hint="eastAsia" w:ascii="宋体" w:hAnsi="宋体" w:cs="宋体"/>
          <w:b/>
          <w:color w:val="auto"/>
          <w:sz w:val="32"/>
          <w:highlight w:val="none"/>
          <w:lang w:val="en-US" w:eastAsia="zh-CN"/>
        </w:rPr>
        <w:t>9</w:t>
      </w:r>
      <w:r>
        <w:rPr>
          <w:rFonts w:hint="eastAsia" w:ascii="宋体" w:hAnsi="宋体" w:eastAsia="宋体" w:cs="宋体"/>
          <w:b/>
          <w:color w:val="auto"/>
          <w:sz w:val="32"/>
          <w:highlight w:val="none"/>
        </w:rPr>
        <w:t>月</w:t>
      </w:r>
    </w:p>
    <w:p w14:paraId="1DE24C78">
      <w:pPr>
        <w:adjustRightInd w:val="0"/>
        <w:snapToGrid w:val="0"/>
        <w:spacing w:line="360" w:lineRule="auto"/>
        <w:ind w:right="496" w:rightChars="248"/>
        <w:jc w:val="center"/>
        <w:rPr>
          <w:rFonts w:hint="eastAsia" w:ascii="宋体" w:hAnsi="宋体" w:eastAsia="宋体" w:cs="宋体"/>
          <w:b/>
          <w:bCs/>
          <w:color w:val="auto"/>
          <w:sz w:val="28"/>
          <w:highlight w:val="none"/>
        </w:rPr>
      </w:pPr>
    </w:p>
    <w:p w14:paraId="7E6A938E">
      <w:pPr>
        <w:jc w:val="center"/>
        <w:rPr>
          <w:rFonts w:hint="eastAsia" w:ascii="宋体" w:hAnsi="宋体" w:eastAsia="宋体" w:cs="宋体"/>
          <w:b/>
          <w:bCs/>
          <w:color w:val="auto"/>
          <w:sz w:val="36"/>
          <w:highlight w:val="none"/>
        </w:rPr>
        <w:sectPr>
          <w:headerReference r:id="rId4" w:type="first"/>
          <w:headerReference r:id="rId3" w:type="default"/>
          <w:footerReference r:id="rId5" w:type="default"/>
          <w:footerReference r:id="rId6" w:type="even"/>
          <w:pgSz w:w="11906" w:h="16838"/>
          <w:pgMar w:top="1418" w:right="1247" w:bottom="1418" w:left="1418" w:header="851" w:footer="992" w:gutter="0"/>
          <w:cols w:space="720" w:num="1"/>
          <w:titlePg/>
          <w:docGrid w:linePitch="312" w:charSpace="0"/>
        </w:sectPr>
      </w:pPr>
      <w:bookmarkStart w:id="1" w:name="_Toc98580389"/>
    </w:p>
    <w:p w14:paraId="11C5E621">
      <w:pPr>
        <w:pStyle w:val="43"/>
        <w:rPr>
          <w:rFonts w:hint="eastAsia"/>
        </w:rPr>
      </w:pPr>
    </w:p>
    <w:p w14:paraId="3638BC7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6AEA707C">
      <w:pPr>
        <w:jc w:val="center"/>
        <w:rPr>
          <w:rFonts w:hint="eastAsia" w:ascii="宋体" w:hAnsi="宋体" w:eastAsia="宋体" w:cs="宋体"/>
          <w:b/>
          <w:bCs/>
          <w:color w:val="auto"/>
          <w:sz w:val="36"/>
          <w:highlight w:val="none"/>
        </w:rPr>
      </w:pPr>
    </w:p>
    <w:p w14:paraId="1E347588">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14:paraId="71DC0795">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_Toc28014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供应商须知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14:paraId="4E328C79">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_Toc8440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_Toc8440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5E1EA6D">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_Toc13415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第四部分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_Toc13415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113F88E">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42EF3A">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_Toc19534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DF91684">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bookmarkEnd w:id="1"/>
    <w:p w14:paraId="4B77A84D">
      <w:pPr>
        <w:rPr>
          <w:rFonts w:hint="eastAsia" w:ascii="宋体" w:hAnsi="宋体" w:eastAsia="宋体" w:cs="宋体"/>
          <w:color w:val="auto"/>
          <w:highlight w:val="none"/>
        </w:rPr>
        <w:sectPr>
          <w:footerReference r:id="rId8" w:type="first"/>
          <w:footerReference r:id="rId7" w:type="default"/>
          <w:pgSz w:w="11906" w:h="16838"/>
          <w:pgMar w:top="1418" w:right="1247" w:bottom="1418" w:left="1418" w:header="851" w:footer="992" w:gutter="0"/>
          <w:cols w:space="720" w:num="1"/>
          <w:titlePg/>
          <w:docGrid w:linePitch="312" w:charSpace="0"/>
        </w:sectPr>
      </w:pPr>
    </w:p>
    <w:p w14:paraId="5B7325AA">
      <w:pPr>
        <w:pStyle w:val="43"/>
        <w:rPr>
          <w:rFonts w:hint="eastAsia"/>
        </w:rPr>
      </w:pPr>
    </w:p>
    <w:p w14:paraId="0FE38C2D">
      <w:pPr>
        <w:jc w:val="center"/>
        <w:rPr>
          <w:rStyle w:val="64"/>
          <w:rFonts w:hint="eastAsia" w:ascii="宋体" w:hAnsi="宋体" w:eastAsia="宋体" w:cs="宋体"/>
          <w:color w:val="auto"/>
          <w:highlight w:val="none"/>
        </w:rPr>
      </w:pPr>
      <w:r>
        <w:rPr>
          <w:rStyle w:val="64"/>
          <w:rFonts w:hint="eastAsia" w:ascii="宋体" w:hAnsi="宋体" w:eastAsia="宋体" w:cs="宋体"/>
          <w:color w:val="auto"/>
          <w:highlight w:val="none"/>
        </w:rPr>
        <w:t>第一章  招标公告</w:t>
      </w:r>
    </w:p>
    <w:p w14:paraId="6441202D">
      <w:pPr>
        <w:jc w:val="center"/>
        <w:rPr>
          <w:rFonts w:hint="eastAsia" w:ascii="宋体" w:hAnsi="宋体" w:cs="宋体"/>
          <w:b/>
          <w:color w:val="auto"/>
          <w:kern w:val="0"/>
          <w:sz w:val="32"/>
          <w:szCs w:val="32"/>
          <w:highlight w:val="none"/>
          <w:lang w:eastAsia="zh-CN" w:bidi="ar"/>
        </w:rPr>
      </w:pPr>
      <w:r>
        <w:rPr>
          <w:rFonts w:hint="eastAsia" w:ascii="宋体" w:hAnsi="宋体" w:cs="宋体"/>
          <w:b/>
          <w:color w:val="auto"/>
          <w:kern w:val="0"/>
          <w:sz w:val="32"/>
          <w:szCs w:val="32"/>
          <w:highlight w:val="none"/>
          <w:lang w:eastAsia="zh-CN" w:bidi="ar"/>
        </w:rPr>
        <w:t>吉林市丰满区设施蔬菜连作障碍综合治理项目生物有机肥采购</w:t>
      </w:r>
    </w:p>
    <w:p w14:paraId="5EF9A36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bidi="ar"/>
        </w:rPr>
        <w:t>（</w:t>
      </w:r>
      <w:r>
        <w:rPr>
          <w:rFonts w:hint="eastAsia" w:ascii="宋体" w:hAnsi="宋体" w:cs="宋体"/>
          <w:b/>
          <w:color w:val="auto"/>
          <w:kern w:val="0"/>
          <w:sz w:val="32"/>
          <w:szCs w:val="32"/>
          <w:highlight w:val="none"/>
          <w:lang w:val="en-US" w:eastAsia="zh-CN" w:bidi="ar"/>
        </w:rPr>
        <w:t>二次</w:t>
      </w:r>
      <w:r>
        <w:rPr>
          <w:rFonts w:hint="eastAsia" w:ascii="宋体" w:hAnsi="宋体" w:cs="宋体"/>
          <w:b/>
          <w:color w:val="auto"/>
          <w:kern w:val="0"/>
          <w:sz w:val="32"/>
          <w:szCs w:val="32"/>
          <w:highlight w:val="none"/>
          <w:lang w:eastAsia="zh-CN" w:bidi="ar"/>
        </w:rPr>
        <w:t>）</w:t>
      </w:r>
      <w:r>
        <w:rPr>
          <w:rFonts w:hint="eastAsia" w:ascii="宋体" w:hAnsi="宋体" w:cs="宋体"/>
          <w:b/>
          <w:color w:val="auto"/>
          <w:kern w:val="0"/>
          <w:sz w:val="32"/>
          <w:szCs w:val="32"/>
          <w:highlight w:val="none"/>
          <w:lang w:bidi="ar"/>
        </w:rPr>
        <w:t>招标公告</w:t>
      </w:r>
    </w:p>
    <w:p w14:paraId="080AEB12">
      <w:pPr>
        <w:pBdr>
          <w:top w:val="single" w:color="auto" w:sz="4" w:space="1"/>
          <w:left w:val="single" w:color="auto" w:sz="4" w:space="4"/>
          <w:bottom w:val="single" w:color="auto" w:sz="4" w:space="1"/>
          <w:right w:val="single" w:color="auto" w:sz="4" w:space="4"/>
        </w:pBdr>
        <w:autoSpaceDE w:val="0"/>
        <w:spacing w:line="440" w:lineRule="exact"/>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项目概况</w:t>
      </w:r>
    </w:p>
    <w:p w14:paraId="5FF38298">
      <w:pPr>
        <w:pBdr>
          <w:top w:val="single" w:color="auto" w:sz="4" w:space="1"/>
          <w:left w:val="single" w:color="auto" w:sz="4" w:space="4"/>
          <w:bottom w:val="single" w:color="auto" w:sz="4" w:space="1"/>
          <w:right w:val="single" w:color="auto" w:sz="4" w:space="4"/>
        </w:pBd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bidi="ar"/>
        </w:rPr>
        <w:t>吉林市丰满区设施蔬菜连作障碍综合治理项目生物有机肥采购（</w:t>
      </w:r>
      <w:r>
        <w:rPr>
          <w:rFonts w:hint="eastAsia" w:ascii="宋体" w:hAnsi="宋体" w:cs="宋体"/>
          <w:color w:val="auto"/>
          <w:kern w:val="0"/>
          <w:sz w:val="24"/>
          <w:szCs w:val="24"/>
          <w:highlight w:val="none"/>
          <w:lang w:val="en-US" w:eastAsia="zh-CN" w:bidi="ar"/>
        </w:rPr>
        <w:t>二次</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的潜在</w:t>
      </w:r>
      <w:r>
        <w:rPr>
          <w:rFonts w:hint="eastAsia" w:ascii="宋体" w:hAnsi="宋体" w:cs="宋体"/>
          <w:color w:val="auto"/>
          <w:kern w:val="0"/>
          <w:sz w:val="24"/>
          <w:szCs w:val="24"/>
          <w:highlight w:val="none"/>
          <w:lang w:eastAsia="zh-CN" w:bidi="ar"/>
        </w:rPr>
        <w:t>供应商</w:t>
      </w:r>
      <w:r>
        <w:rPr>
          <w:rFonts w:hint="eastAsia" w:ascii="宋体" w:hAnsi="宋体" w:cs="宋体"/>
          <w:color w:val="auto"/>
          <w:kern w:val="0"/>
          <w:sz w:val="24"/>
          <w:szCs w:val="24"/>
          <w:highlight w:val="none"/>
          <w:lang w:bidi="ar"/>
        </w:rPr>
        <w:t>应</w:t>
      </w:r>
      <w:r>
        <w:rPr>
          <w:rFonts w:hint="eastAsia" w:ascii="宋体" w:hAnsi="宋体" w:eastAsia="宋体" w:cs="宋体"/>
          <w:color w:val="auto"/>
          <w:spacing w:val="0"/>
          <w:kern w:val="0"/>
          <w:sz w:val="24"/>
          <w:szCs w:val="21"/>
          <w:highlight w:val="none"/>
          <w:lang w:val="en-US" w:eastAsia="zh-CN" w:bidi="ar-SA"/>
        </w:rPr>
        <w:t>在“政采云”平台(https://www.zcygov.cn/)</w:t>
      </w:r>
      <w:r>
        <w:rPr>
          <w:rFonts w:hint="eastAsia" w:ascii="宋体" w:hAnsi="宋体" w:cs="宋体"/>
          <w:color w:val="auto"/>
          <w:spacing w:val="0"/>
          <w:kern w:val="0"/>
          <w:sz w:val="24"/>
          <w:szCs w:val="21"/>
          <w:highlight w:val="none"/>
          <w:lang w:val="en-US" w:eastAsia="zh-CN" w:bidi="ar-SA"/>
        </w:rPr>
        <w:t>获取</w:t>
      </w:r>
      <w:r>
        <w:rPr>
          <w:rFonts w:hint="eastAsia" w:ascii="宋体" w:hAnsi="宋体" w:cs="宋体"/>
          <w:color w:val="auto"/>
          <w:kern w:val="0"/>
          <w:sz w:val="24"/>
          <w:szCs w:val="24"/>
          <w:highlight w:val="none"/>
          <w:lang w:bidi="ar"/>
        </w:rPr>
        <w:t>招标文件，并于</w:t>
      </w:r>
      <w:r>
        <w:rPr>
          <w:rFonts w:hint="eastAsia" w:ascii="宋体" w:hAnsi="宋体" w:cs="宋体"/>
          <w:color w:val="auto"/>
          <w:kern w:val="0"/>
          <w:sz w:val="24"/>
          <w:szCs w:val="24"/>
          <w:highlight w:val="none"/>
          <w:lang w:eastAsia="zh-CN" w:bidi="ar"/>
        </w:rPr>
        <w:t>202</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eastAsia="zh-CN" w:bidi="ar"/>
        </w:rPr>
        <w:t>年</w:t>
      </w:r>
      <w:r>
        <w:rPr>
          <w:rFonts w:hint="eastAsia" w:ascii="宋体" w:hAnsi="宋体" w:cs="宋体"/>
          <w:color w:val="auto"/>
          <w:kern w:val="0"/>
          <w:sz w:val="24"/>
          <w:szCs w:val="24"/>
          <w:highlight w:val="none"/>
          <w:lang w:val="en-US" w:eastAsia="zh-CN" w:bidi="ar"/>
        </w:rPr>
        <w:t>10</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12</w:t>
      </w:r>
      <w:r>
        <w:rPr>
          <w:rFonts w:hint="eastAsia" w:ascii="宋体" w:hAnsi="宋体" w:cs="宋体"/>
          <w:color w:val="auto"/>
          <w:kern w:val="0"/>
          <w:sz w:val="24"/>
          <w:szCs w:val="24"/>
          <w:highlight w:val="none"/>
          <w:lang w:eastAsia="zh-CN" w:bidi="ar"/>
        </w:rPr>
        <w:t>日09时30分</w:t>
      </w:r>
      <w:r>
        <w:rPr>
          <w:rFonts w:hint="eastAsia" w:ascii="宋体" w:hAnsi="宋体" w:cs="宋体"/>
          <w:color w:val="auto"/>
          <w:kern w:val="0"/>
          <w:sz w:val="24"/>
          <w:szCs w:val="24"/>
          <w:highlight w:val="none"/>
          <w:lang w:bidi="ar"/>
        </w:rPr>
        <w:t>（北京时间）前提交投标文件。</w:t>
      </w:r>
    </w:p>
    <w:p w14:paraId="7225C297">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一、项目基本情况</w:t>
      </w:r>
    </w:p>
    <w:p w14:paraId="5C2D6A9E">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bidi="ar"/>
        </w:rPr>
        <w:t>1.项目编</w:t>
      </w:r>
      <w:r>
        <w:rPr>
          <w:rFonts w:hint="eastAsia" w:ascii="宋体" w:hAnsi="宋体" w:eastAsia="宋体" w:cs="宋体"/>
          <w:color w:val="auto"/>
          <w:kern w:val="0"/>
          <w:sz w:val="24"/>
          <w:szCs w:val="24"/>
          <w:highlight w:val="none"/>
          <w:lang w:bidi="ar"/>
        </w:rPr>
        <w:t>号：采购计划-[2024]-00079号-XC</w:t>
      </w:r>
      <w:r>
        <w:rPr>
          <w:rFonts w:hint="eastAsia" w:ascii="宋体" w:hAnsi="宋体" w:cs="宋体"/>
          <w:color w:val="auto"/>
          <w:kern w:val="0"/>
          <w:sz w:val="24"/>
          <w:szCs w:val="24"/>
          <w:highlight w:val="none"/>
          <w:lang w:val="en-US" w:eastAsia="zh-CN" w:bidi="ar"/>
        </w:rPr>
        <w:t>10</w:t>
      </w:r>
      <w:r>
        <w:rPr>
          <w:rFonts w:hint="eastAsia" w:ascii="宋体" w:hAnsi="宋体" w:cs="宋体"/>
          <w:color w:val="auto"/>
          <w:kern w:val="0"/>
          <w:sz w:val="24"/>
          <w:szCs w:val="24"/>
          <w:highlight w:val="none"/>
          <w:lang w:bidi="ar"/>
        </w:rPr>
        <w:t>；</w:t>
      </w:r>
    </w:p>
    <w:p w14:paraId="25B330FF">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2.项目名称：</w:t>
      </w:r>
      <w:r>
        <w:rPr>
          <w:rFonts w:hint="eastAsia" w:ascii="宋体" w:hAnsi="宋体" w:eastAsia="宋体" w:cs="宋体"/>
          <w:color w:val="auto"/>
          <w:kern w:val="0"/>
          <w:sz w:val="24"/>
          <w:szCs w:val="24"/>
          <w:highlight w:val="none"/>
          <w:lang w:eastAsia="zh-CN" w:bidi="ar"/>
        </w:rPr>
        <w:t>吉林市丰满区设施蔬菜连作障碍综合治理项目生物有机肥采购（</w:t>
      </w:r>
      <w:r>
        <w:rPr>
          <w:rFonts w:hint="eastAsia" w:ascii="宋体" w:hAnsi="宋体" w:eastAsia="宋体" w:cs="宋体"/>
          <w:color w:val="auto"/>
          <w:kern w:val="0"/>
          <w:sz w:val="24"/>
          <w:szCs w:val="24"/>
          <w:highlight w:val="none"/>
          <w:lang w:val="en-US" w:eastAsia="zh-CN" w:bidi="ar"/>
        </w:rPr>
        <w:t>二次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p>
    <w:p w14:paraId="564B59F7">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3.采购方式：</w:t>
      </w:r>
      <w:r>
        <w:rPr>
          <w:rFonts w:hint="eastAsia" w:ascii="宋体" w:hAnsi="宋体" w:eastAsia="宋体" w:cs="宋体"/>
          <w:color w:val="auto"/>
          <w:kern w:val="0"/>
          <w:sz w:val="24"/>
          <w:szCs w:val="24"/>
          <w:highlight w:val="none"/>
          <w:lang w:eastAsia="zh-CN" w:bidi="ar"/>
        </w:rPr>
        <w:t>公开招标；</w:t>
      </w:r>
    </w:p>
    <w:p w14:paraId="1BC2913A">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eastAsia="zh-CN" w:bidi="ar"/>
        </w:rPr>
        <w:t>.资金来源：</w:t>
      </w:r>
      <w:r>
        <w:rPr>
          <w:rFonts w:hint="eastAsia" w:ascii="宋体" w:hAnsi="宋体" w:eastAsia="宋体" w:cs="宋体"/>
          <w:color w:val="auto"/>
          <w:kern w:val="0"/>
          <w:sz w:val="24"/>
          <w:szCs w:val="24"/>
          <w:highlight w:val="none"/>
          <w:lang w:val="en-US" w:eastAsia="zh-CN" w:bidi="ar"/>
        </w:rPr>
        <w:t>财政资金</w:t>
      </w:r>
    </w:p>
    <w:p w14:paraId="7FD43D7C">
      <w:pPr>
        <w:autoSpaceDE w:val="0"/>
        <w:spacing w:line="44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采购预算</w:t>
      </w:r>
      <w:r>
        <w:rPr>
          <w:rFonts w:hint="eastAsia" w:ascii="宋体" w:hAnsi="宋体" w:cs="宋体"/>
          <w:color w:val="auto"/>
          <w:kern w:val="0"/>
          <w:sz w:val="24"/>
          <w:szCs w:val="24"/>
          <w:highlight w:val="none"/>
          <w:lang w:val="en-US" w:eastAsia="zh-CN" w:bidi="ar"/>
        </w:rPr>
        <w:t>：150</w:t>
      </w:r>
      <w:r>
        <w:rPr>
          <w:rFonts w:hint="eastAsia" w:ascii="宋体" w:hAnsi="宋体" w:eastAsia="宋体" w:cs="宋体"/>
          <w:color w:val="auto"/>
          <w:kern w:val="0"/>
          <w:sz w:val="24"/>
          <w:szCs w:val="24"/>
          <w:highlight w:val="none"/>
          <w:lang w:val="en-US" w:eastAsia="zh-CN" w:bidi="ar"/>
        </w:rPr>
        <w:t>万元</w:t>
      </w:r>
      <w:r>
        <w:rPr>
          <w:rFonts w:hint="eastAsia" w:ascii="宋体" w:hAnsi="宋体" w:cs="宋体"/>
          <w:color w:val="auto"/>
          <w:kern w:val="0"/>
          <w:sz w:val="24"/>
          <w:szCs w:val="24"/>
          <w:highlight w:val="none"/>
          <w:lang w:val="en-US" w:eastAsia="zh-CN" w:bidi="ar"/>
        </w:rPr>
        <w:t>；</w:t>
      </w:r>
    </w:p>
    <w:p w14:paraId="18B2642B">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6.招标控制价（最高限价）:150</w:t>
      </w:r>
      <w:r>
        <w:rPr>
          <w:rFonts w:hint="eastAsia" w:ascii="宋体" w:hAnsi="宋体" w:eastAsia="宋体" w:cs="宋体"/>
          <w:color w:val="auto"/>
          <w:kern w:val="0"/>
          <w:sz w:val="24"/>
          <w:szCs w:val="24"/>
          <w:highlight w:val="none"/>
          <w:lang w:val="en-US" w:eastAsia="zh-CN" w:bidi="ar"/>
        </w:rPr>
        <w:t>万元</w:t>
      </w:r>
      <w:r>
        <w:rPr>
          <w:rFonts w:hint="eastAsia" w:ascii="宋体" w:hAnsi="宋体" w:cs="宋体"/>
          <w:color w:val="auto"/>
          <w:kern w:val="0"/>
          <w:sz w:val="24"/>
          <w:szCs w:val="24"/>
          <w:highlight w:val="none"/>
          <w:lang w:val="en-US" w:eastAsia="zh-CN" w:bidi="ar"/>
        </w:rPr>
        <w:t>；</w:t>
      </w:r>
    </w:p>
    <w:p w14:paraId="370A605F">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采购需求：</w:t>
      </w:r>
      <w:r>
        <w:rPr>
          <w:rFonts w:hint="eastAsia" w:ascii="宋体" w:hAnsi="宋体" w:cs="宋体"/>
          <w:color w:val="auto"/>
          <w:kern w:val="0"/>
          <w:sz w:val="24"/>
          <w:szCs w:val="24"/>
          <w:highlight w:val="none"/>
          <w:lang w:val="en-US" w:eastAsia="zh-CN" w:bidi="ar"/>
        </w:rPr>
        <w:t>采购</w:t>
      </w:r>
      <w:r>
        <w:rPr>
          <w:rFonts w:hint="eastAsia" w:ascii="宋体" w:hAnsi="宋体" w:eastAsia="宋体" w:cs="宋体"/>
          <w:color w:val="auto"/>
          <w:kern w:val="0"/>
          <w:sz w:val="24"/>
          <w:szCs w:val="24"/>
          <w:highlight w:val="none"/>
          <w:lang w:eastAsia="zh-CN" w:bidi="ar"/>
        </w:rPr>
        <w:t>生物有机肥</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颗粒肥</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1250吨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详见招标文件“第四部分 采购需求”。</w:t>
      </w:r>
    </w:p>
    <w:p w14:paraId="54AA17A8">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eastAsia="zh-CN" w:bidi="ar"/>
        </w:rPr>
        <w:t>.质量标准：符合国家及相关行业合格标准；</w:t>
      </w:r>
    </w:p>
    <w:p w14:paraId="6F9721BC">
      <w:pPr>
        <w:pStyle w:val="38"/>
        <w:keepNext w:val="0"/>
        <w:keepLines w:val="0"/>
        <w:widowControl/>
        <w:suppressLineNumbers w:val="0"/>
        <w:wordWrap w:val="0"/>
        <w:spacing w:before="150" w:beforeAutospacing="0" w:after="0" w:afterAutospacing="0" w:line="18" w:lineRule="atLeast"/>
        <w:ind w:left="0" w:right="0" w:firstLine="420"/>
        <w:jc w:val="both"/>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9</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.供货期：中标单位</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中标后</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提供样品，经第三方质量检测符合国家标准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后</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签订合同，签订合同之日起10天内完成供货。</w:t>
      </w:r>
    </w:p>
    <w:p w14:paraId="686692ED">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.供货地点：</w:t>
      </w:r>
      <w:r>
        <w:rPr>
          <w:rFonts w:hint="eastAsia" w:ascii="宋体" w:hAnsi="宋体" w:cs="宋体"/>
          <w:color w:val="auto"/>
          <w:kern w:val="0"/>
          <w:sz w:val="24"/>
          <w:szCs w:val="24"/>
          <w:highlight w:val="none"/>
          <w:lang w:val="en-US" w:eastAsia="zh-CN" w:bidi="ar"/>
        </w:rPr>
        <w:t>招标人指定地点（按招标人指定时间运送到指定各地点）</w:t>
      </w:r>
      <w:r>
        <w:rPr>
          <w:rFonts w:hint="eastAsia" w:ascii="宋体" w:hAnsi="宋体" w:eastAsia="宋体" w:cs="宋体"/>
          <w:color w:val="auto"/>
          <w:kern w:val="0"/>
          <w:sz w:val="24"/>
          <w:szCs w:val="24"/>
          <w:highlight w:val="none"/>
          <w:lang w:bidi="ar"/>
        </w:rPr>
        <w:t>；</w:t>
      </w:r>
    </w:p>
    <w:p w14:paraId="0E457823">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bidi="ar"/>
        </w:rPr>
        <w:t>.合同履行期限：自合同签订之日起至合同履行完毕；</w:t>
      </w:r>
    </w:p>
    <w:p w14:paraId="51E7666F">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.资格审查方式：资格后审；</w:t>
      </w:r>
    </w:p>
    <w:p w14:paraId="3B0B1CC0">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.本项目不接受联合体。</w:t>
      </w:r>
    </w:p>
    <w:p w14:paraId="0A36D317">
      <w:pPr>
        <w:autoSpaceDE w:val="0"/>
        <w:spacing w:line="440" w:lineRule="exact"/>
        <w:rPr>
          <w:rFonts w:ascii="宋体" w:hAnsi="宋体" w:cs="宋体"/>
          <w:color w:val="auto"/>
          <w:kern w:val="0"/>
          <w:sz w:val="24"/>
          <w:highlight w:val="none"/>
        </w:rPr>
      </w:pPr>
      <w:r>
        <w:rPr>
          <w:rFonts w:hint="eastAsia" w:ascii="宋体" w:hAnsi="宋体" w:cs="宋体"/>
          <w:b/>
          <w:color w:val="auto"/>
          <w:kern w:val="0"/>
          <w:sz w:val="24"/>
          <w:highlight w:val="none"/>
          <w:lang w:bidi="ar"/>
        </w:rPr>
        <w:t>二、申请人的资格要求</w:t>
      </w:r>
    </w:p>
    <w:p w14:paraId="2D80EDFC">
      <w:pPr>
        <w:autoSpaceDE w:val="0"/>
        <w:spacing w:line="440" w:lineRule="exact"/>
        <w:ind w:firstLine="482" w:firstLineChars="200"/>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1、满足《中华人民共和国政府采购法》第二十二条规定：</w:t>
      </w:r>
    </w:p>
    <w:p w14:paraId="7899517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(1)具有独立承担民事责任的能力；</w:t>
      </w:r>
    </w:p>
    <w:p w14:paraId="27F4B53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(2)具有良好的商业信誉和健全的财务会计制度；</w:t>
      </w:r>
    </w:p>
    <w:p w14:paraId="60B48634">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(3)具有履行合同所必需的设备和专业技术能力；</w:t>
      </w:r>
    </w:p>
    <w:p w14:paraId="288BBDCE">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(4)有依法缴纳税收和社会保障资金的良好记录；</w:t>
      </w:r>
    </w:p>
    <w:p w14:paraId="72B129C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(5)参加政府采购活动前三年内，在经营活动中没有重大违法记录；</w:t>
      </w:r>
    </w:p>
    <w:p w14:paraId="12FEF6A5">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(6)法律、行政法规规定的其他条件。</w:t>
      </w:r>
    </w:p>
    <w:p w14:paraId="5CF320E1">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right="0" w:firstLine="482" w:firstLineChars="200"/>
        <w:jc w:val="both"/>
        <w:textAlignment w:val="auto"/>
        <w:outlineLvl w:val="9"/>
        <w:rPr>
          <w:rFonts w:hint="eastAsia" w:ascii="宋体" w:hAnsi="宋体" w:eastAsia="宋体" w:cs="宋体"/>
          <w:b/>
          <w:bCs/>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2、落实政府采购政策需满足的资格要求：</w:t>
      </w:r>
    </w:p>
    <w:p w14:paraId="735F04E7">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right="0" w:firstLine="480" w:firstLineChars="200"/>
        <w:jc w:val="both"/>
        <w:textAlignment w:val="auto"/>
        <w:outlineLvl w:val="9"/>
        <w:rPr>
          <w:rFonts w:hint="eastAsia" w:ascii="宋体" w:hAnsi="宋体" w:eastAsia="宋体" w:cs="宋体"/>
          <w:b w:val="0"/>
          <w:bCs w:val="0"/>
          <w:color w:val="auto"/>
          <w:spacing w:val="0"/>
          <w:kern w:val="0"/>
          <w:sz w:val="24"/>
          <w:szCs w:val="24"/>
          <w:highlight w:val="none"/>
          <w:lang w:val="en-US" w:eastAsia="zh-CN" w:bidi="ar"/>
        </w:rPr>
      </w:pPr>
      <w:r>
        <w:rPr>
          <w:rFonts w:hint="eastAsia" w:ascii="宋体" w:hAnsi="宋体" w:eastAsia="宋体" w:cs="宋体"/>
          <w:b w:val="0"/>
          <w:bCs w:val="0"/>
          <w:color w:val="auto"/>
          <w:spacing w:val="0"/>
          <w:kern w:val="0"/>
          <w:sz w:val="24"/>
          <w:szCs w:val="24"/>
          <w:highlight w:val="none"/>
          <w:lang w:val="en-US" w:eastAsia="zh-CN" w:bidi="ar"/>
        </w:rPr>
        <w:t>（1）鼓励节能、环保政策；</w:t>
      </w:r>
    </w:p>
    <w:p w14:paraId="4526B67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right="0" w:firstLine="480" w:firstLineChars="200"/>
        <w:jc w:val="both"/>
        <w:textAlignment w:val="auto"/>
        <w:outlineLvl w:val="9"/>
        <w:rPr>
          <w:rFonts w:hint="eastAsia" w:ascii="宋体" w:hAnsi="宋体" w:eastAsia="宋体" w:cs="宋体"/>
          <w:b w:val="0"/>
          <w:bCs w:val="0"/>
          <w:color w:val="auto"/>
          <w:spacing w:val="0"/>
          <w:kern w:val="0"/>
          <w:sz w:val="24"/>
          <w:szCs w:val="24"/>
          <w:highlight w:val="none"/>
          <w:lang w:val="en-US" w:eastAsia="zh-CN" w:bidi="ar"/>
        </w:rPr>
      </w:pPr>
      <w:r>
        <w:rPr>
          <w:rFonts w:hint="eastAsia" w:ascii="宋体" w:hAnsi="宋体" w:eastAsia="宋体" w:cs="宋体"/>
          <w:b w:val="0"/>
          <w:bCs w:val="0"/>
          <w:color w:val="auto"/>
          <w:spacing w:val="0"/>
          <w:kern w:val="0"/>
          <w:sz w:val="24"/>
          <w:szCs w:val="24"/>
          <w:highlight w:val="none"/>
          <w:lang w:val="en-US" w:eastAsia="zh-CN" w:bidi="ar"/>
        </w:rPr>
        <w:t>（2）本项目非专门面向中小企业，满足《政府采购促进中小企业发展管理办法》（财库〔2020〕46号）享受政府采购政策的需提供相关声明。监狱企业、残疾人福利性单位视同小微企业。本项目所属行业为工业。</w:t>
      </w:r>
    </w:p>
    <w:p w14:paraId="3758BEF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2" w:firstLineChars="200"/>
        <w:jc w:val="both"/>
        <w:textAlignment w:val="auto"/>
        <w:outlineLvl w:val="9"/>
        <w:rPr>
          <w:rFonts w:hint="eastAsia" w:ascii="宋体" w:hAnsi="宋体" w:eastAsia="宋体" w:cs="宋体"/>
          <w:b w:val="0"/>
          <w:bCs w:val="0"/>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3、本项目的特定资格要求：</w:t>
      </w:r>
    </w:p>
    <w:p w14:paraId="7E3B95CA">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3.1供应商须是具有独立法人资格的企业或其他组织（生产厂商或代理商）；</w:t>
      </w:r>
    </w:p>
    <w:p w14:paraId="21052C40">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3.2投标人须具有有效的肥料登记证，</w:t>
      </w:r>
      <w:r>
        <w:rPr>
          <w:rFonts w:hint="eastAsia" w:ascii="宋体" w:hAnsi="宋体" w:eastAsia="宋体" w:cs="宋体"/>
          <w:color w:val="auto"/>
          <w:sz w:val="24"/>
          <w:szCs w:val="24"/>
          <w:highlight w:val="none"/>
        </w:rPr>
        <w:t>所投产品须符合</w:t>
      </w:r>
      <w:r>
        <w:rPr>
          <w:rFonts w:hint="eastAsia" w:ascii="宋体" w:hAnsi="宋体" w:eastAsia="宋体" w:cs="宋体"/>
          <w:color w:val="auto"/>
          <w:sz w:val="24"/>
          <w:szCs w:val="24"/>
          <w:highlight w:val="none"/>
          <w:lang w:val="zh-CN"/>
        </w:rPr>
        <w:t>《生物有机肥》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NY 884-2012</w:t>
      </w:r>
      <w:r>
        <w:rPr>
          <w:rFonts w:hint="eastAsia" w:ascii="宋体" w:hAnsi="宋体" w:eastAsia="宋体" w:cs="宋体"/>
          <w:color w:val="auto"/>
          <w:sz w:val="24"/>
          <w:szCs w:val="24"/>
          <w:highlight w:val="none"/>
        </w:rPr>
        <w:t>）相关要求；</w:t>
      </w:r>
    </w:p>
    <w:p w14:paraId="765FF3EC">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拒绝列入政府取消投标资格记录期间的企业或个人投标；</w:t>
      </w:r>
    </w:p>
    <w:p w14:paraId="2AD94F17">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不得为“信用中国”网站（www.creditchina.gov.cn）中列入失信被执行人和</w:t>
      </w:r>
      <w:r>
        <w:rPr>
          <w:rFonts w:hint="eastAsia" w:ascii="宋体"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不得为中国政府采购网（www.ccpg.gov.cn）政府采购严重违法失信行为记录名单中被财政部门禁止参加政府采购活动的供应商（在处罚决定规定的时间和地域范围内）</w:t>
      </w:r>
      <w:r>
        <w:rPr>
          <w:rFonts w:hint="eastAsia" w:ascii="宋体" w:hAnsi="宋体" w:eastAsia="宋体" w:cs="宋体"/>
          <w:color w:val="auto"/>
          <w:sz w:val="24"/>
          <w:szCs w:val="24"/>
          <w:highlight w:val="none"/>
          <w:lang w:val="en-US" w:eastAsia="zh-CN"/>
        </w:rPr>
        <w:t>（详见财库[2016]125号）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2021</w:t>
      </w:r>
      <w:r>
        <w:rPr>
          <w:rFonts w:hint="eastAsia" w:ascii="宋体" w:hAnsi="宋体" w:eastAsia="宋体" w:cs="宋体"/>
          <w:color w:val="auto"/>
          <w:sz w:val="24"/>
          <w:szCs w:val="24"/>
          <w:highlight w:val="none"/>
          <w:lang w:val="en-US" w:eastAsia="zh-CN"/>
        </w:rPr>
        <w:t>年至今供应商和其法定代表人在“中国裁判文书网”(wenshu.court.gov.cn)上无行贿犯罪行为；</w:t>
      </w:r>
    </w:p>
    <w:p w14:paraId="6E4693C4">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r>
        <w:rPr>
          <w:rFonts w:hint="eastAsia" w:ascii="宋体" w:hAnsi="宋体" w:eastAsia="宋体" w:cs="宋体"/>
          <w:color w:val="auto"/>
          <w:sz w:val="24"/>
          <w:szCs w:val="24"/>
          <w:highlight w:val="none"/>
          <w:lang w:eastAsia="zh-CN"/>
        </w:rPr>
        <w:t>；</w:t>
      </w:r>
    </w:p>
    <w:p w14:paraId="7547CF4F">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参加政府采购活动前三年内，在经营活动中没有重大违法记录。</w:t>
      </w:r>
    </w:p>
    <w:p w14:paraId="44E4E4B2">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三、获取招标文件</w:t>
      </w:r>
    </w:p>
    <w:p w14:paraId="1490FFF3">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时间：</w:t>
      </w:r>
      <w:r>
        <w:rPr>
          <w:rFonts w:hint="eastAsia" w:ascii="宋体" w:hAnsi="宋体" w:cs="宋体"/>
          <w:color w:val="auto"/>
          <w:kern w:val="0"/>
          <w:sz w:val="24"/>
          <w:szCs w:val="24"/>
          <w:highlight w:val="none"/>
          <w:lang w:eastAsia="zh-CN" w:bidi="ar"/>
        </w:rPr>
        <w:t>202</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lang w:val="en-US" w:eastAsia="zh-CN" w:bidi="ar"/>
        </w:rPr>
        <w:t>9</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lang w:val="en-US" w:eastAsia="zh-CN" w:bidi="ar"/>
        </w:rPr>
        <w:t>20</w:t>
      </w:r>
      <w:r>
        <w:rPr>
          <w:rFonts w:hint="eastAsia" w:ascii="宋体" w:hAnsi="宋体" w:cs="宋体"/>
          <w:color w:val="auto"/>
          <w:kern w:val="0"/>
          <w:sz w:val="24"/>
          <w:szCs w:val="24"/>
          <w:highlight w:val="none"/>
          <w:lang w:bidi="ar"/>
        </w:rPr>
        <w:t>日至</w:t>
      </w:r>
      <w:r>
        <w:rPr>
          <w:rFonts w:hint="eastAsia" w:ascii="宋体" w:hAnsi="宋体" w:cs="宋体"/>
          <w:color w:val="auto"/>
          <w:kern w:val="0"/>
          <w:sz w:val="24"/>
          <w:szCs w:val="24"/>
          <w:highlight w:val="none"/>
          <w:lang w:eastAsia="zh-CN" w:bidi="ar"/>
        </w:rPr>
        <w:t>202</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lang w:val="en-US" w:eastAsia="zh-CN" w:bidi="ar"/>
        </w:rPr>
        <w:t>9</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lang w:val="en-US" w:eastAsia="zh-CN" w:bidi="ar"/>
        </w:rPr>
        <w:t>27</w:t>
      </w:r>
      <w:r>
        <w:rPr>
          <w:rFonts w:hint="eastAsia" w:ascii="宋体" w:hAnsi="宋体" w:cs="宋体"/>
          <w:color w:val="auto"/>
          <w:kern w:val="0"/>
          <w:sz w:val="24"/>
          <w:szCs w:val="24"/>
          <w:highlight w:val="none"/>
          <w:lang w:bidi="ar"/>
        </w:rPr>
        <w:t>日， 每天上午08:</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0至11:30 ，下午13:</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0至16:00（北京时间，法定节假日除外）</w:t>
      </w:r>
    </w:p>
    <w:p w14:paraId="484F4F17">
      <w:pPr>
        <w:autoSpaceDE w:val="0"/>
        <w:spacing w:line="44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地点：</w:t>
      </w:r>
      <w:r>
        <w:rPr>
          <w:rFonts w:hint="eastAsia" w:ascii="宋体" w:hAnsi="宋体" w:eastAsia="宋体" w:cs="宋体"/>
          <w:color w:val="auto"/>
          <w:sz w:val="24"/>
          <w:highlight w:val="none"/>
          <w:lang w:val="en-US" w:eastAsia="zh-CN"/>
        </w:rPr>
        <w:t>“政采云”平台（https://www.zcygov.cn）</w:t>
      </w:r>
    </w:p>
    <w:p w14:paraId="73C15266">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方式：拟参与本项目的供应商，首先在“政采云”平台上免费进行供应商注册（“政采云”供应商注册流程：https://middle.zcygov.cn/v-settle-front/registry），注册后可在“政采云”平台免费</w:t>
      </w:r>
      <w:r>
        <w:rPr>
          <w:rFonts w:hint="eastAsia" w:ascii="宋体" w:hAnsi="宋体" w:eastAsia="宋体" w:cs="宋体"/>
          <w:color w:val="auto"/>
          <w:sz w:val="24"/>
          <w:highlight w:val="none"/>
          <w:lang w:val="zh-CN" w:eastAsia="zh-CN"/>
        </w:rPr>
        <w:t>自行下载招标文件（下载地址：http://</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"http://www.zcygov.cn）征集文件。"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www.zcygov.cn</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eastAsia="zh-CN"/>
        </w:rPr>
        <w:t>下载</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lang w:val="zh-CN" w:eastAsia="zh-CN"/>
        </w:rPr>
        <w:t>操作路径：登录“政采云”平台-</w:t>
      </w:r>
      <w:r>
        <w:rPr>
          <w:rFonts w:hint="eastAsia" w:ascii="宋体" w:hAnsi="宋体" w:eastAsia="宋体" w:cs="宋体"/>
          <w:color w:val="auto"/>
          <w:sz w:val="24"/>
          <w:highlight w:val="none"/>
          <w:lang w:val="en-US" w:eastAsia="zh-CN"/>
        </w:rPr>
        <w:t>登录账号-我的工作台-项目采购-获取采购文件</w:t>
      </w:r>
      <w:r>
        <w:rPr>
          <w:rFonts w:hint="eastAsia" w:ascii="宋体" w:hAnsi="宋体" w:eastAsia="宋体" w:cs="宋体"/>
          <w:color w:val="auto"/>
          <w:sz w:val="24"/>
          <w:highlight w:val="none"/>
          <w:lang w:val="zh-CN" w:eastAsia="zh-CN"/>
        </w:rPr>
        <w:t>-找到本项目-点击“申请获取文件”）。</w:t>
      </w:r>
    </w:p>
    <w:p w14:paraId="50A325C3">
      <w:pPr>
        <w:autoSpaceDE w:val="0"/>
        <w:spacing w:line="440" w:lineRule="exact"/>
        <w:ind w:firstLine="480" w:firstLineChars="200"/>
        <w:rPr>
          <w:rFonts w:hint="eastAsia"/>
          <w:lang w:val="en-US" w:eastAsia="zh-CN"/>
        </w:rPr>
      </w:pPr>
      <w:r>
        <w:rPr>
          <w:rFonts w:hint="eastAsia" w:ascii="宋体" w:hAnsi="宋体" w:eastAsia="宋体" w:cs="宋体"/>
          <w:color w:val="auto"/>
          <w:sz w:val="24"/>
          <w:highlight w:val="none"/>
          <w:lang w:val="zh-CN" w:eastAsia="zh-CN"/>
        </w:rPr>
        <w:t>供应商根据免费下载的招标文件内容决定是否参与本次投标活动，如确定参与本次投标活动，请于本项目投标文件提交截止时间前按招标文件中规定的方式缴存投标保证金或提交保函，未按上述要求办理的，评审时一律按无效文件处理。</w:t>
      </w:r>
    </w:p>
    <w:p w14:paraId="0A031757">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售价：0</w:t>
      </w:r>
      <w:r>
        <w:rPr>
          <w:rFonts w:hint="eastAsia" w:ascii="宋体" w:hAnsi="宋体" w:cs="宋体"/>
          <w:color w:val="auto"/>
          <w:kern w:val="0"/>
          <w:sz w:val="24"/>
          <w:szCs w:val="24"/>
          <w:highlight w:val="none"/>
          <w:lang w:val="en-US" w:eastAsia="zh-CN" w:bidi="ar"/>
        </w:rPr>
        <w:t>.00元</w:t>
      </w:r>
    </w:p>
    <w:p w14:paraId="1820E053">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四、提交投标文件截止时间、开标时间和地点</w:t>
      </w:r>
    </w:p>
    <w:p w14:paraId="30AE3966">
      <w:pPr>
        <w:autoSpaceDE w:val="0"/>
        <w:spacing w:line="44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投标文件截止时间、开标时间：</w:t>
      </w:r>
      <w:r>
        <w:rPr>
          <w:rFonts w:hint="eastAsia" w:ascii="宋体" w:hAnsi="宋体" w:cs="宋体"/>
          <w:color w:val="auto"/>
          <w:kern w:val="0"/>
          <w:sz w:val="24"/>
          <w:szCs w:val="24"/>
          <w:highlight w:val="none"/>
          <w:lang w:eastAsia="zh-CN" w:bidi="ar"/>
        </w:rPr>
        <w:t>202</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eastAsia="zh-CN" w:bidi="ar"/>
        </w:rPr>
        <w:t>年</w:t>
      </w:r>
      <w:r>
        <w:rPr>
          <w:rFonts w:hint="eastAsia" w:ascii="宋体" w:hAnsi="宋体" w:cs="宋体"/>
          <w:color w:val="auto"/>
          <w:kern w:val="0"/>
          <w:sz w:val="24"/>
          <w:szCs w:val="24"/>
          <w:highlight w:val="none"/>
          <w:lang w:val="en-US" w:eastAsia="zh-CN" w:bidi="ar"/>
        </w:rPr>
        <w:t>10</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12</w:t>
      </w:r>
      <w:r>
        <w:rPr>
          <w:rFonts w:hint="eastAsia" w:ascii="宋体" w:hAnsi="宋体" w:cs="宋体"/>
          <w:color w:val="auto"/>
          <w:kern w:val="0"/>
          <w:sz w:val="24"/>
          <w:szCs w:val="24"/>
          <w:highlight w:val="none"/>
          <w:lang w:eastAsia="zh-CN" w:bidi="ar"/>
        </w:rPr>
        <w:t>日09时30分</w:t>
      </w:r>
      <w:r>
        <w:rPr>
          <w:rFonts w:hint="eastAsia" w:ascii="宋体" w:hAnsi="宋体" w:cs="宋体"/>
          <w:color w:val="auto"/>
          <w:kern w:val="0"/>
          <w:sz w:val="24"/>
          <w:szCs w:val="24"/>
          <w:highlight w:val="none"/>
          <w:lang w:bidi="ar"/>
        </w:rPr>
        <w:t>（北京时间）</w:t>
      </w:r>
    </w:p>
    <w:p w14:paraId="24FBBA8E">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地点：</w:t>
      </w:r>
      <w:r>
        <w:rPr>
          <w:rFonts w:hint="eastAsia" w:ascii="宋体" w:hAnsi="宋体" w:eastAsia="宋体" w:cs="宋体"/>
          <w:color w:val="auto"/>
          <w:sz w:val="24"/>
          <w:szCs w:val="24"/>
          <w:highlight w:val="none"/>
          <w:lang w:eastAsia="zh-CN"/>
        </w:rPr>
        <w:t>请登录“政采云”平台(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)上传投标，逾期未上传电子响应文件，将不予受理。</w:t>
      </w:r>
    </w:p>
    <w:p w14:paraId="34FB191B">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五、公告期限</w:t>
      </w:r>
    </w:p>
    <w:p w14:paraId="3A746A07">
      <w:pPr>
        <w:autoSpaceDE w:val="0"/>
        <w:spacing w:line="440" w:lineRule="exact"/>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自本公告发布之日起5个工作日。</w:t>
      </w:r>
    </w:p>
    <w:p w14:paraId="41421BAD">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六、其它补充事宜</w:t>
      </w:r>
    </w:p>
    <w:p w14:paraId="27CE547A">
      <w:pPr>
        <w:keepNext w:val="0"/>
        <w:keepLines w:val="0"/>
        <w:pageBreakBefore w:val="0"/>
        <w:widowControl/>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.1本项目为全流程电子化项目，通过“政采云”平台 (</w:t>
      </w:r>
      <w:r>
        <w:rPr>
          <w:rFonts w:hint="eastAsia" w:ascii="宋体" w:hAnsi="宋体" w:cs="宋体"/>
          <w:color w:val="auto"/>
          <w:sz w:val="24"/>
          <w:highlight w:val="none"/>
          <w:lang w:val="zh-CN" w:eastAsia="zh-CN"/>
        </w:rPr>
        <w:t>https://www.zcygov.cn</w:t>
      </w:r>
      <w:r>
        <w:rPr>
          <w:rFonts w:hint="eastAsia" w:ascii="宋体" w:hAnsi="宋体" w:eastAsia="宋体" w:cs="宋体"/>
          <w:color w:val="auto"/>
          <w:sz w:val="24"/>
          <w:highlight w:val="none"/>
          <w:lang w:val="zh-CN" w:eastAsia="zh-CN"/>
        </w:rPr>
        <w:t>) 实行在线电子投标，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eastAsia="zh-CN"/>
        </w:rPr>
        <w:t>应先安装“政采云投标客户端”(请自行前往“政采云”平台进行下载，政采云投标客户端</w:t>
      </w:r>
      <w:r>
        <w:rPr>
          <w:rFonts w:hint="eastAsia" w:ascii="宋体" w:hAnsi="宋体" w:eastAsia="宋体" w:cs="宋体"/>
          <w:color w:val="auto"/>
          <w:sz w:val="24"/>
          <w:highlight w:val="none"/>
          <w:lang w:val="en-US" w:eastAsia="zh-Hans"/>
        </w:rPr>
        <w:t>及</w:t>
      </w:r>
      <w:r>
        <w:rPr>
          <w:rFonts w:hint="eastAsia" w:ascii="宋体" w:hAnsi="宋体" w:eastAsia="宋体" w:cs="宋体"/>
          <w:color w:val="auto"/>
          <w:sz w:val="24"/>
          <w:highlight w:val="none"/>
          <w:lang w:val="en-US" w:eastAsia="zh-CN"/>
        </w:rPr>
        <w:t>吉林安信</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驱动下载地址</w:t>
      </w:r>
      <w:r>
        <w:rPr>
          <w:rFonts w:hint="default" w:ascii="宋体" w:hAnsi="宋体" w:eastAsia="宋体" w:cs="宋体"/>
          <w:color w:val="auto"/>
          <w:sz w:val="24"/>
          <w:highlight w:val="none"/>
          <w:lang w:val="zh-CN" w:eastAsia="zh-Hans"/>
        </w:rPr>
        <w:t>：</w:t>
      </w:r>
      <w:r>
        <w:rPr>
          <w:rFonts w:hint="eastAsia" w:ascii="宋体" w:hAnsi="宋体" w:eastAsia="宋体" w:cs="宋体"/>
          <w:color w:val="auto"/>
          <w:sz w:val="24"/>
          <w:highlight w:val="none"/>
          <w:lang w:val="zh-CN" w:eastAsia="zh-CN"/>
        </w:rPr>
        <w:t>https://customer.zcygov.cn/CA-driver-download?utm=web-login-front.52cebfa2.0.0.04df4040034511edaac705fda12edb43 )，并按照本项目</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eastAsia="zh-CN"/>
        </w:rPr>
        <w:t>文件和“政采云”平台的要求编制、加密投标文件后在投标文件提交截止时间前通过网络上传至“政采云”平台，</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eastAsia="zh-CN"/>
        </w:rPr>
        <w:t>在“政采云”平台提交电子版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eastAsia="zh-CN"/>
        </w:rPr>
        <w:t>文件时，请填写参加开</w:t>
      </w:r>
      <w:r>
        <w:rPr>
          <w:rFonts w:hint="eastAsia" w:ascii="宋体" w:hAnsi="宋体" w:eastAsia="宋体" w:cs="宋体"/>
          <w:color w:val="auto"/>
          <w:sz w:val="24"/>
          <w:highlight w:val="none"/>
          <w:lang w:val="en-US" w:eastAsia="zh-CN"/>
        </w:rPr>
        <w:t>启</w:t>
      </w:r>
      <w:r>
        <w:rPr>
          <w:rFonts w:hint="eastAsia" w:ascii="宋体" w:hAnsi="宋体" w:eastAsia="宋体" w:cs="宋体"/>
          <w:color w:val="auto"/>
          <w:sz w:val="24"/>
          <w:highlight w:val="none"/>
          <w:lang w:val="zh-CN" w:eastAsia="zh-CN"/>
        </w:rPr>
        <w:t>活动经办人联系方式。</w:t>
      </w:r>
    </w:p>
    <w:p w14:paraId="309F94A3">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6.2</w:t>
      </w:r>
      <w:r>
        <w:rPr>
          <w:rFonts w:hint="eastAsia" w:ascii="宋体" w:hAnsi="宋体" w:eastAsia="宋体" w:cs="宋体"/>
          <w:color w:val="auto"/>
          <w:sz w:val="24"/>
          <w:highlight w:val="none"/>
          <w:lang w:val="zh-CN" w:eastAsia="zh-CN"/>
        </w:rPr>
        <w:t>电子</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eastAsia="zh-CN"/>
        </w:rPr>
        <w:t>文件制作需要基于“政采云”平台获取的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eastAsia="zh-CN"/>
        </w:rPr>
        <w:t>文件进行制作，</w:t>
      </w:r>
      <w:r>
        <w:rPr>
          <w:rFonts w:hint="eastAsia" w:ascii="宋体" w:hAnsi="宋体" w:eastAsia="宋体" w:cs="宋体"/>
          <w:color w:val="auto"/>
          <w:sz w:val="24"/>
          <w:highlight w:val="none"/>
          <w:lang w:val="en-US" w:eastAsia="zh-CN"/>
        </w:rPr>
        <w:t>制作投标文件时需要完成CA与账号的绑定。</w:t>
      </w:r>
      <w:r>
        <w:rPr>
          <w:rFonts w:hint="eastAsia" w:ascii="宋体" w:hAnsi="宋体" w:eastAsia="宋体" w:cs="宋体"/>
          <w:color w:val="auto"/>
          <w:sz w:val="24"/>
          <w:highlight w:val="none"/>
          <w:lang w:val="zh-CN" w:eastAsia="zh-CN"/>
        </w:rPr>
        <w:t>未办理CA的供应商，请先免费申请CA（CA申请流程：http://www.anxinca.com/kehu/zcy/kh-zcy-zsshenqing.html ；选择吉林省公共资源</w:t>
      </w:r>
      <w:r>
        <w:rPr>
          <w:rFonts w:hint="eastAsia" w:ascii="宋体" w:hAnsi="宋体" w:eastAsia="宋体" w:cs="宋体"/>
          <w:color w:val="auto"/>
          <w:sz w:val="24"/>
          <w:highlight w:val="none"/>
          <w:lang w:val="en-US" w:eastAsia="zh-CN"/>
        </w:rPr>
        <w:t>-供应商后按具体操作流程办理</w:t>
      </w:r>
      <w:r>
        <w:rPr>
          <w:rFonts w:hint="eastAsia" w:ascii="宋体" w:hAnsi="宋体" w:eastAsia="宋体" w:cs="宋体"/>
          <w:color w:val="auto"/>
          <w:sz w:val="24"/>
          <w:highlight w:val="none"/>
          <w:lang w:val="zh-CN" w:eastAsia="zh-CN"/>
        </w:rPr>
        <w:t>），并</w:t>
      </w:r>
      <w:r>
        <w:rPr>
          <w:rFonts w:hint="eastAsia" w:ascii="宋体" w:hAnsi="宋体" w:eastAsia="宋体" w:cs="宋体"/>
          <w:color w:val="auto"/>
          <w:sz w:val="24"/>
          <w:highlight w:val="none"/>
          <w:lang w:val="en-US" w:eastAsia="zh-CN"/>
        </w:rPr>
        <w:t>完成CA与账号绑定（</w:t>
      </w:r>
      <w:r>
        <w:rPr>
          <w:rFonts w:hint="eastAsia" w:ascii="宋体" w:hAnsi="宋体" w:eastAsia="宋体" w:cs="宋体"/>
          <w:color w:val="auto"/>
          <w:sz w:val="24"/>
          <w:highlight w:val="none"/>
          <w:lang w:val="zh-CN" w:eastAsia="zh-CN"/>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color w:val="auto"/>
          <w:sz w:val="24"/>
          <w:highlight w:val="none"/>
          <w:lang w:val="en-US" w:eastAsia="zh-CN"/>
        </w:rPr>
        <w:t>）。</w:t>
      </w:r>
    </w:p>
    <w:p w14:paraId="59BC7BDC">
      <w:pPr>
        <w:autoSpaceDE w:val="0"/>
        <w:spacing w:line="440" w:lineRule="exact"/>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投标文件提交截止时间（开标时间）和地点：投标文件提交截止时间为</w:t>
      </w:r>
      <w:r>
        <w:rPr>
          <w:rFonts w:hint="eastAsia" w:ascii="宋体" w:hAnsi="宋体" w:cs="宋体"/>
          <w:color w:val="auto"/>
          <w:sz w:val="24"/>
          <w:highlight w:val="none"/>
          <w:lang w:val="en-US" w:eastAsia="zh-CN"/>
        </w:rPr>
        <w:t>2024年10月12日09时30分</w:t>
      </w:r>
      <w:r>
        <w:rPr>
          <w:rFonts w:hint="eastAsia" w:ascii="宋体" w:hAnsi="宋体" w:eastAsia="宋体" w:cs="宋体"/>
          <w:color w:val="auto"/>
          <w:sz w:val="24"/>
          <w:highlight w:val="none"/>
          <w:lang w:val="zh-CN" w:eastAsia="zh-CN"/>
        </w:rPr>
        <w:t>，编制、加密后的投标文件须在投标文件提交截止时间前通过网络上传至“政采云”平台，逾期未上传电子投标文件，将不予受理。</w:t>
      </w:r>
    </w:p>
    <w:p w14:paraId="3845C9DA">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.4远程不见面开标具体要求：</w:t>
      </w:r>
    </w:p>
    <w:p w14:paraId="505DE67F">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.4.1开标项目的时间均以国家授时中心发布的时间为准。</w:t>
      </w:r>
    </w:p>
    <w:p w14:paraId="5CC72C66">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依照招标文件的规定完成电子投标文件的编制和提交。如未按招标文件要求编制、提交电子投标文件，将可能导致否决投标，其后果由供应商自负。</w:t>
      </w:r>
    </w:p>
    <w:p w14:paraId="732D76B8">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供应商应充分考虑到网络及系统平台可能存在的突发状况，在投标文件编制完成后尽早完成上传。</w:t>
      </w:r>
    </w:p>
    <w:p w14:paraId="33E8F400">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开标当日，供应商不必抵达开标现场，须于投标文件提交截止时间前登录系统，进入所参与项目。投标文件提交截止时间后，通过系统开启投标文件解密的指令，供应商可在任意地点按规定时间自行实施远程解密，解密限定在规定时间内完成。</w:t>
      </w:r>
    </w:p>
    <w:p w14:paraId="4ECDF705">
      <w:pPr>
        <w:autoSpaceDE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供应商必须使用能正确解密投标文件的CA在规定的时间内完成远程解密（</w:t>
      </w:r>
      <w:r>
        <w:rPr>
          <w:rFonts w:hint="eastAsia" w:ascii="宋体" w:hAnsi="宋体" w:eastAsia="宋体" w:cs="宋体"/>
          <w:color w:val="auto"/>
          <w:sz w:val="24"/>
          <w:highlight w:val="none"/>
          <w:lang w:val="en-US" w:eastAsia="zh-Hans"/>
        </w:rPr>
        <w:t>如遇见</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故障无法解密可联系</w:t>
      </w:r>
      <w:r>
        <w:rPr>
          <w:rFonts w:hint="eastAsia" w:ascii="宋体" w:hAnsi="宋体" w:eastAsia="宋体" w:cs="宋体"/>
          <w:color w:val="auto"/>
          <w:sz w:val="24"/>
          <w:highlight w:val="none"/>
          <w:lang w:val="en-US" w:eastAsia="zh-CN"/>
        </w:rPr>
        <w:t>客服。</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安信客服</w:t>
      </w:r>
      <w:r>
        <w:rPr>
          <w:rFonts w:hint="default" w:ascii="宋体" w:hAnsi="宋体" w:eastAsia="宋体" w:cs="宋体"/>
          <w:color w:val="auto"/>
          <w:sz w:val="24"/>
          <w:highlight w:val="none"/>
          <w:lang w:val="zh-CN" w:eastAsia="zh-Hans"/>
        </w:rPr>
        <w:t>：</w:t>
      </w:r>
      <w:r>
        <w:rPr>
          <w:rFonts w:hint="eastAsia" w:ascii="宋体" w:hAnsi="宋体" w:eastAsia="宋体" w:cs="宋体"/>
          <w:color w:val="auto"/>
          <w:sz w:val="24"/>
          <w:highlight w:val="none"/>
          <w:lang w:val="zh-CN" w:eastAsia="zh-CN"/>
        </w:rPr>
        <w:t>0431-85177688</w:t>
      </w:r>
      <w:r>
        <w:rPr>
          <w:rFonts w:hint="default"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Hans"/>
        </w:rPr>
        <w:t>政</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highlight w:val="none"/>
          <w:lang w:val="en-US" w:eastAsia="zh-Hans"/>
        </w:rPr>
        <w:t>云客服</w:t>
      </w:r>
      <w:r>
        <w:rPr>
          <w:rFonts w:hint="default" w:ascii="宋体" w:hAnsi="宋体" w:eastAsia="宋体" w:cs="宋体"/>
          <w:color w:val="auto"/>
          <w:sz w:val="24"/>
          <w:highlight w:val="none"/>
          <w:lang w:val="zh-CN" w:eastAsia="zh-Hans"/>
        </w:rPr>
        <w:t>：95763</w:t>
      </w:r>
      <w:r>
        <w:rPr>
          <w:rFonts w:hint="eastAsia" w:ascii="宋体" w:hAnsi="宋体" w:eastAsia="宋体" w:cs="宋体"/>
          <w:color w:val="auto"/>
          <w:sz w:val="24"/>
          <w:highlight w:val="none"/>
          <w:lang w:val="zh-CN" w:eastAsia="zh-CN"/>
        </w:rPr>
        <w:t>），因供应商原因未能解密、解密失败或解密超时，视为供应商撤销其投标文件；因招标人或系统原因，导致无法按时完成投标文件解密或开标、评标工作无法进行的，可根据实际情况相应延迟解密时间或调整开标、评标时间。</w:t>
      </w:r>
    </w:p>
    <w:p w14:paraId="69EBCDC8">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6.5</w:t>
      </w:r>
      <w:r>
        <w:rPr>
          <w:rFonts w:hint="eastAsia" w:ascii="宋体" w:hAnsi="宋体" w:cs="宋体"/>
          <w:color w:val="auto"/>
          <w:kern w:val="0"/>
          <w:sz w:val="24"/>
          <w:szCs w:val="24"/>
          <w:highlight w:val="none"/>
          <w:lang w:bidi="ar"/>
        </w:rPr>
        <w:t>本次</w:t>
      </w:r>
      <w:r>
        <w:rPr>
          <w:rFonts w:hint="eastAsia" w:ascii="宋体" w:hAnsi="宋体" w:cs="宋体"/>
          <w:color w:val="auto"/>
          <w:kern w:val="0"/>
          <w:sz w:val="24"/>
          <w:szCs w:val="24"/>
          <w:highlight w:val="none"/>
          <w:lang w:val="en-US" w:eastAsia="zh-CN" w:bidi="ar"/>
        </w:rPr>
        <w:t>招标</w:t>
      </w:r>
      <w:r>
        <w:rPr>
          <w:rFonts w:hint="eastAsia" w:ascii="宋体" w:hAnsi="宋体" w:cs="宋体"/>
          <w:color w:val="auto"/>
          <w:kern w:val="0"/>
          <w:sz w:val="24"/>
          <w:szCs w:val="24"/>
          <w:highlight w:val="none"/>
          <w:lang w:bidi="ar"/>
        </w:rPr>
        <w:t>公告在“政采云”平台(http：//www.zcygov.cn)（同步推送到吉林省政府采购网）、中国政府采购网同时发布</w:t>
      </w:r>
      <w:r>
        <w:rPr>
          <w:rFonts w:hint="eastAsia" w:ascii="宋体" w:hAnsi="宋体" w:eastAsia="宋体" w:cs="宋体"/>
          <w:color w:val="auto"/>
          <w:kern w:val="0"/>
          <w:sz w:val="24"/>
          <w:szCs w:val="24"/>
          <w:highlight w:val="none"/>
          <w:lang w:bidi="ar"/>
        </w:rPr>
        <w:t>。</w:t>
      </w:r>
    </w:p>
    <w:p w14:paraId="02A05B93">
      <w:pPr>
        <w:autoSpaceDE w:val="0"/>
        <w:spacing w:line="440" w:lineRule="exact"/>
        <w:rPr>
          <w:rFonts w:hint="eastAsia" w:ascii="宋体" w:hAnsi="宋体" w:cs="宋体"/>
          <w:b/>
          <w:color w:val="auto"/>
          <w:kern w:val="0"/>
          <w:sz w:val="24"/>
          <w:szCs w:val="24"/>
          <w:highlight w:val="none"/>
        </w:rPr>
      </w:pPr>
      <w:bookmarkStart w:id="2" w:name="_Toc28359095"/>
      <w:bookmarkEnd w:id="2"/>
      <w:bookmarkStart w:id="3" w:name="_Toc35393636"/>
      <w:bookmarkEnd w:id="3"/>
      <w:bookmarkStart w:id="4" w:name="_Toc28359018"/>
      <w:bookmarkEnd w:id="4"/>
      <w:bookmarkStart w:id="5" w:name="_Toc35393805"/>
      <w:r>
        <w:rPr>
          <w:rFonts w:hint="eastAsia" w:ascii="宋体" w:hAnsi="宋体" w:cs="宋体"/>
          <w:b/>
          <w:color w:val="auto"/>
          <w:kern w:val="0"/>
          <w:sz w:val="24"/>
          <w:szCs w:val="24"/>
          <w:highlight w:val="none"/>
          <w:lang w:bidi="ar"/>
        </w:rPr>
        <w:t>七、对本次</w:t>
      </w:r>
      <w:bookmarkEnd w:id="5"/>
      <w:r>
        <w:rPr>
          <w:rFonts w:hint="eastAsia" w:ascii="宋体" w:hAnsi="宋体" w:cs="宋体"/>
          <w:b/>
          <w:color w:val="auto"/>
          <w:kern w:val="0"/>
          <w:sz w:val="24"/>
          <w:szCs w:val="24"/>
          <w:highlight w:val="none"/>
          <w:lang w:bidi="ar"/>
        </w:rPr>
        <w:t>招标提出询问，请按以下方式联系</w:t>
      </w:r>
    </w:p>
    <w:p w14:paraId="467ED490">
      <w:pPr>
        <w:autoSpaceDE w:val="0"/>
        <w:spacing w:line="44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采购人信息</w:t>
      </w:r>
    </w:p>
    <w:p w14:paraId="5FA935DE">
      <w:pPr>
        <w:autoSpaceDE w:val="0"/>
        <w:spacing w:line="440" w:lineRule="exact"/>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名    称：</w:t>
      </w:r>
      <w:r>
        <w:rPr>
          <w:rFonts w:hint="eastAsia" w:ascii="宋体" w:hAnsi="宋体" w:eastAsia="宋体" w:cs="宋体"/>
          <w:color w:val="auto"/>
          <w:kern w:val="0"/>
          <w:sz w:val="24"/>
          <w:szCs w:val="24"/>
          <w:highlight w:val="none"/>
          <w:lang w:eastAsia="zh-CN" w:bidi="ar"/>
        </w:rPr>
        <w:t>吉林市丰满区农业农村局</w:t>
      </w:r>
    </w:p>
    <w:p w14:paraId="0031D26B">
      <w:pPr>
        <w:autoSpaceDE w:val="0"/>
        <w:spacing w:line="440" w:lineRule="exact"/>
        <w:ind w:firstLine="480" w:firstLineChars="200"/>
        <w:rPr>
          <w:rFonts w:hint="default"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bidi="ar"/>
        </w:rPr>
        <w:t>地    址：吉林市</w:t>
      </w:r>
      <w:r>
        <w:rPr>
          <w:rFonts w:hint="eastAsia" w:ascii="宋体" w:hAnsi="宋体" w:eastAsia="宋体" w:cs="宋体"/>
          <w:color w:val="auto"/>
          <w:kern w:val="0"/>
          <w:sz w:val="24"/>
          <w:szCs w:val="24"/>
          <w:highlight w:val="none"/>
          <w:lang w:eastAsia="zh-CN" w:bidi="ar"/>
        </w:rPr>
        <w:t>吉林大街</w:t>
      </w:r>
      <w:r>
        <w:rPr>
          <w:rFonts w:hint="eastAsia" w:ascii="宋体" w:hAnsi="宋体" w:eastAsia="宋体" w:cs="宋体"/>
          <w:color w:val="auto"/>
          <w:kern w:val="0"/>
          <w:sz w:val="24"/>
          <w:szCs w:val="24"/>
          <w:highlight w:val="none"/>
          <w:lang w:val="en-US" w:eastAsia="zh-CN" w:bidi="ar"/>
        </w:rPr>
        <w:t>76号丰满区政府</w:t>
      </w:r>
    </w:p>
    <w:p w14:paraId="15A5F871">
      <w:pPr>
        <w:autoSpaceDE w:val="0"/>
        <w:spacing w:line="440" w:lineRule="exact"/>
        <w:ind w:firstLine="480" w:firstLineChars="200"/>
        <w:rPr>
          <w:rFonts w:hint="default" w:ascii="宋体" w:hAnsi="宋体" w:eastAsia="宋体" w:cs="宋体"/>
          <w:color w:val="auto"/>
          <w:kern w:val="0"/>
          <w:sz w:val="24"/>
          <w:szCs w:val="24"/>
          <w:highlight w:val="none"/>
          <w:lang w:val="en-US" w:bidi="ar"/>
        </w:rPr>
      </w:pPr>
      <w:r>
        <w:rPr>
          <w:rFonts w:hint="default" w:ascii="宋体" w:hAnsi="宋体" w:eastAsia="宋体" w:cs="宋体"/>
          <w:color w:val="auto"/>
          <w:kern w:val="0"/>
          <w:sz w:val="24"/>
          <w:szCs w:val="24"/>
          <w:highlight w:val="none"/>
          <w:lang w:val="en-US" w:bidi="ar"/>
        </w:rPr>
        <w:t>联系人：</w:t>
      </w:r>
      <w:r>
        <w:rPr>
          <w:rFonts w:hint="eastAsia" w:ascii="宋体" w:hAnsi="宋体" w:cs="宋体"/>
          <w:color w:val="auto"/>
          <w:kern w:val="0"/>
          <w:sz w:val="24"/>
          <w:szCs w:val="24"/>
          <w:highlight w:val="none"/>
          <w:lang w:val="en-US" w:eastAsia="zh-CN" w:bidi="ar"/>
        </w:rPr>
        <w:t xml:space="preserve">范潇萱  </w:t>
      </w:r>
      <w:r>
        <w:rPr>
          <w:rFonts w:hint="default" w:ascii="宋体" w:hAnsi="宋体" w:eastAsia="宋体" w:cs="宋体"/>
          <w:color w:val="auto"/>
          <w:kern w:val="0"/>
          <w:sz w:val="24"/>
          <w:szCs w:val="24"/>
          <w:highlight w:val="none"/>
          <w:lang w:val="en-US" w:bidi="ar"/>
        </w:rPr>
        <w:t xml:space="preserve">    联系电话：</w:t>
      </w:r>
      <w:r>
        <w:rPr>
          <w:rFonts w:hint="eastAsia" w:ascii="宋体" w:hAnsi="宋体" w:cs="宋体"/>
          <w:color w:val="auto"/>
          <w:kern w:val="0"/>
          <w:sz w:val="24"/>
          <w:szCs w:val="24"/>
          <w:highlight w:val="none"/>
          <w:lang w:val="en-US" w:eastAsia="zh-CN" w:bidi="ar"/>
        </w:rPr>
        <w:t xml:space="preserve">0432-64631165  </w:t>
      </w:r>
    </w:p>
    <w:p w14:paraId="1689AABC">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2</w:t>
      </w:r>
      <w:r>
        <w:rPr>
          <w:rFonts w:hint="eastAsia" w:ascii="宋体" w:hAnsi="宋体" w:cs="宋体"/>
          <w:color w:val="auto"/>
          <w:spacing w:val="0"/>
          <w:kern w:val="0"/>
          <w:sz w:val="24"/>
          <w:szCs w:val="24"/>
          <w:highlight w:val="none"/>
          <w:lang w:val="en-US" w:eastAsia="zh-CN" w:bidi="ar"/>
        </w:rPr>
        <w:t>.</w:t>
      </w:r>
      <w:r>
        <w:rPr>
          <w:rFonts w:hint="eastAsia" w:ascii="宋体" w:hAnsi="宋体" w:eastAsia="宋体" w:cs="宋体"/>
          <w:color w:val="auto"/>
          <w:spacing w:val="0"/>
          <w:kern w:val="0"/>
          <w:sz w:val="24"/>
          <w:szCs w:val="24"/>
          <w:highlight w:val="none"/>
          <w:lang w:val="en-US" w:eastAsia="zh-CN" w:bidi="ar"/>
        </w:rPr>
        <w:t>采购代理机构信息</w:t>
      </w:r>
    </w:p>
    <w:p w14:paraId="31535CFB">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名    称：吉林市新诚招标代理有限公司</w:t>
      </w:r>
    </w:p>
    <w:p w14:paraId="3FACCB51">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地    址：</w:t>
      </w:r>
      <w:r>
        <w:rPr>
          <w:rFonts w:hint="eastAsia" w:ascii="宋体" w:hAnsi="宋体" w:eastAsia="宋体" w:cs="宋体"/>
          <w:color w:val="auto"/>
          <w:kern w:val="0"/>
          <w:sz w:val="24"/>
          <w:szCs w:val="24"/>
          <w:highlight w:val="none"/>
          <w:lang w:eastAsia="zh-CN" w:bidi="ar"/>
        </w:rPr>
        <w:t>吉林市丰满区南山街115号</w:t>
      </w:r>
    </w:p>
    <w:p w14:paraId="5F069CE2">
      <w:pPr>
        <w:autoSpaceDE w:val="0"/>
        <w:spacing w:line="440" w:lineRule="exact"/>
        <w:ind w:firstLine="480" w:firstLineChars="200"/>
        <w:rPr>
          <w:rFonts w:hint="default" w:ascii="宋体" w:hAnsi="宋体" w:eastAsia="宋体" w:cs="宋体"/>
          <w:color w:val="auto"/>
          <w:kern w:val="0"/>
          <w:sz w:val="24"/>
          <w:szCs w:val="24"/>
          <w:highlight w:val="none"/>
          <w:lang w:val="en-US" w:bidi="ar"/>
        </w:rPr>
      </w:pPr>
      <w:r>
        <w:rPr>
          <w:rFonts w:hint="default" w:ascii="宋体" w:hAnsi="宋体" w:eastAsia="宋体" w:cs="宋体"/>
          <w:color w:val="auto"/>
          <w:kern w:val="0"/>
          <w:sz w:val="24"/>
          <w:szCs w:val="24"/>
          <w:highlight w:val="none"/>
          <w:lang w:val="en-US" w:bidi="ar"/>
        </w:rPr>
        <w:t>联系人：杨昌默    联系电话：</w:t>
      </w:r>
      <w:r>
        <w:rPr>
          <w:rFonts w:hint="default" w:ascii="宋体" w:hAnsi="宋体" w:eastAsia="宋体" w:cs="宋体"/>
          <w:color w:val="auto"/>
          <w:kern w:val="0"/>
          <w:sz w:val="24"/>
          <w:szCs w:val="24"/>
          <w:highlight w:val="none"/>
          <w:lang w:val="en-US" w:eastAsia="zh-CN" w:bidi="ar"/>
        </w:rPr>
        <w:t>15643604917</w:t>
      </w:r>
    </w:p>
    <w:p w14:paraId="2B80C0BD">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项目联系方式</w:t>
      </w:r>
    </w:p>
    <w:p w14:paraId="38945E0A">
      <w:pPr>
        <w:autoSpaceDE w:val="0"/>
        <w:spacing w:line="440" w:lineRule="exact"/>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项目联系人：</w:t>
      </w:r>
      <w:r>
        <w:rPr>
          <w:rFonts w:hint="eastAsia" w:ascii="宋体" w:hAnsi="宋体" w:eastAsia="宋体" w:cs="宋体"/>
          <w:color w:val="auto"/>
          <w:kern w:val="0"/>
          <w:sz w:val="24"/>
          <w:szCs w:val="24"/>
          <w:highlight w:val="none"/>
          <w:lang w:val="en-US" w:bidi="ar"/>
        </w:rPr>
        <w:t>杨昌默</w:t>
      </w:r>
    </w:p>
    <w:p w14:paraId="66967850">
      <w:pPr>
        <w:autoSpaceDE w:val="0"/>
        <w:spacing w:line="44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电      话：</w:t>
      </w:r>
      <w:r>
        <w:rPr>
          <w:rFonts w:hint="eastAsia" w:ascii="宋体" w:hAnsi="宋体" w:eastAsia="宋体" w:cs="宋体"/>
          <w:color w:val="auto"/>
          <w:kern w:val="0"/>
          <w:sz w:val="24"/>
          <w:szCs w:val="24"/>
          <w:highlight w:val="none"/>
          <w:lang w:val="en-US" w:eastAsia="zh-CN" w:bidi="ar"/>
        </w:rPr>
        <w:t>15643604917</w:t>
      </w:r>
    </w:p>
    <w:p w14:paraId="3FF1D067">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邮  箱：</w:t>
      </w:r>
      <w:r>
        <w:rPr>
          <w:rFonts w:hint="eastAsia" w:ascii="宋体" w:hAnsi="宋体" w:cs="宋体"/>
          <w:color w:val="auto"/>
          <w:kern w:val="0"/>
          <w:sz w:val="24"/>
          <w:szCs w:val="24"/>
          <w:highlight w:val="none"/>
          <w:lang w:val="en-US" w:eastAsia="zh-CN" w:bidi="ar"/>
        </w:rPr>
        <w:t>969444636</w:t>
      </w:r>
      <w:r>
        <w:rPr>
          <w:rFonts w:hint="eastAsia" w:ascii="宋体" w:hAnsi="宋体" w:eastAsia="宋体" w:cs="宋体"/>
          <w:color w:val="auto"/>
          <w:kern w:val="0"/>
          <w:sz w:val="24"/>
          <w:szCs w:val="24"/>
          <w:highlight w:val="none"/>
          <w:lang w:val="en-US" w:eastAsia="zh-CN" w:bidi="ar"/>
        </w:rPr>
        <w:t>@qq.com</w:t>
      </w:r>
    </w:p>
    <w:p w14:paraId="7301E74E">
      <w:pPr>
        <w:autoSpaceDE w:val="0"/>
        <w:spacing w:line="440" w:lineRule="exact"/>
        <w:ind w:firstLine="480" w:firstLineChars="200"/>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招标监督管理部门：吉林市</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丰满区</w:t>
      </w:r>
      <w:r>
        <w:rPr>
          <w:rFonts w:hint="eastAsia" w:ascii="宋体" w:hAnsi="宋体" w:eastAsia="宋体" w:cs="宋体"/>
          <w:color w:val="000000" w:themeColor="text1"/>
          <w:kern w:val="0"/>
          <w:sz w:val="24"/>
          <w:szCs w:val="24"/>
          <w:highlight w:val="none"/>
          <w:lang w:bidi="ar"/>
          <w14:textFill>
            <w14:solidFill>
              <w14:schemeClr w14:val="tx1"/>
            </w14:solidFill>
          </w14:textFill>
        </w:rPr>
        <w:t>政府采购管理工作办公室</w:t>
      </w:r>
    </w:p>
    <w:p w14:paraId="485A6409">
      <w:pPr>
        <w:autoSpaceDE w:val="0"/>
        <w:spacing w:line="440" w:lineRule="exact"/>
        <w:ind w:firstLine="480" w:firstLineChars="200"/>
        <w:rPr>
          <w:rFonts w:hint="default" w:ascii="宋体" w:hAnsi="宋体" w:eastAsia="宋体" w:cs="宋体"/>
          <w:color w:val="auto"/>
          <w:kern w:val="0"/>
          <w:sz w:val="24"/>
          <w:szCs w:val="24"/>
          <w:highlight w:val="none"/>
          <w:lang w:val="en-US" w:eastAsia="zh-CN" w:bidi="ar"/>
        </w:rPr>
      </w:pPr>
    </w:p>
    <w:p w14:paraId="0ECF690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C762B31">
      <w:pPr>
        <w:rPr>
          <w:rFonts w:hint="eastAsia" w:ascii="宋体" w:hAnsi="宋体" w:eastAsia="宋体" w:cs="宋体"/>
          <w:color w:val="auto"/>
          <w:highlight w:val="none"/>
        </w:rPr>
      </w:pPr>
    </w:p>
    <w:p w14:paraId="6A8582DE">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6" w:name="_Toc28014"/>
      <w:r>
        <w:rPr>
          <w:rFonts w:hint="eastAsia" w:ascii="宋体" w:hAnsi="宋体" w:eastAsia="宋体" w:cs="宋体"/>
          <w:color w:val="auto"/>
          <w:sz w:val="36"/>
          <w:szCs w:val="36"/>
          <w:highlight w:val="none"/>
        </w:rPr>
        <w:t>第二部分  供应商须知</w:t>
      </w:r>
      <w:bookmarkEnd w:id="6"/>
    </w:p>
    <w:p w14:paraId="08257AAC">
      <w:pPr>
        <w:pStyle w:val="9"/>
        <w:pageBreakBefore w:val="0"/>
        <w:kinsoku/>
        <w:overflowPunct/>
        <w:topLinePunct w:val="0"/>
        <w:bidi w:val="0"/>
        <w:spacing w:line="288"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一、供应商须知前附表</w:t>
      </w:r>
    </w:p>
    <w:tbl>
      <w:tblPr>
        <w:tblStyle w:val="44"/>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692"/>
        <w:gridCol w:w="7050"/>
      </w:tblGrid>
      <w:tr w14:paraId="024E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22" w:type="dxa"/>
            <w:noWrap w:val="0"/>
            <w:vAlign w:val="center"/>
          </w:tcPr>
          <w:p w14:paraId="1E87141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692" w:type="dxa"/>
            <w:noWrap w:val="0"/>
            <w:vAlign w:val="center"/>
          </w:tcPr>
          <w:p w14:paraId="41ED6166">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条款名称</w:t>
            </w:r>
          </w:p>
        </w:tc>
        <w:tc>
          <w:tcPr>
            <w:tcW w:w="7050" w:type="dxa"/>
            <w:noWrap w:val="0"/>
            <w:vAlign w:val="center"/>
          </w:tcPr>
          <w:p w14:paraId="704C1A70">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编列内容</w:t>
            </w:r>
          </w:p>
        </w:tc>
      </w:tr>
      <w:tr w14:paraId="152A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036D78F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1692" w:type="dxa"/>
            <w:noWrap w:val="0"/>
            <w:vAlign w:val="center"/>
          </w:tcPr>
          <w:p w14:paraId="4DBD493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7050" w:type="dxa"/>
            <w:noWrap w:val="0"/>
            <w:vAlign w:val="top"/>
          </w:tcPr>
          <w:p w14:paraId="302271EE">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sz w:val="24"/>
                <w:szCs w:val="24"/>
                <w:highlight w:val="none"/>
                <w:lang w:val="en-US"/>
              </w:rPr>
            </w:pPr>
            <w:r>
              <w:rPr>
                <w:rFonts w:hint="default" w:ascii="宋体" w:hAnsi="宋体" w:eastAsia="宋体" w:cs="宋体"/>
                <w:bCs/>
                <w:color w:val="auto"/>
                <w:sz w:val="24"/>
                <w:szCs w:val="24"/>
                <w:highlight w:val="none"/>
                <w:lang w:val="en-US"/>
              </w:rPr>
              <w:t>名    称：</w:t>
            </w:r>
            <w:r>
              <w:rPr>
                <w:rFonts w:hint="default" w:ascii="宋体" w:hAnsi="宋体" w:eastAsia="宋体" w:cs="宋体"/>
                <w:bCs/>
                <w:color w:val="auto"/>
                <w:sz w:val="24"/>
                <w:szCs w:val="24"/>
                <w:highlight w:val="none"/>
                <w:lang w:val="en-US" w:eastAsia="zh-CN"/>
              </w:rPr>
              <w:t>吉林市丰满区农业农村局</w:t>
            </w:r>
          </w:p>
          <w:p w14:paraId="7D06F53F">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sz w:val="24"/>
                <w:szCs w:val="24"/>
                <w:highlight w:val="none"/>
                <w:lang w:val="en-US"/>
              </w:rPr>
            </w:pPr>
            <w:r>
              <w:rPr>
                <w:rFonts w:hint="default" w:ascii="宋体" w:hAnsi="宋体" w:eastAsia="宋体" w:cs="宋体"/>
                <w:bCs/>
                <w:color w:val="auto"/>
                <w:sz w:val="24"/>
                <w:szCs w:val="24"/>
                <w:highlight w:val="none"/>
                <w:lang w:val="en-US"/>
              </w:rPr>
              <w:t>地    址：吉林市</w:t>
            </w:r>
            <w:r>
              <w:rPr>
                <w:rFonts w:hint="default" w:ascii="宋体" w:hAnsi="宋体" w:eastAsia="宋体" w:cs="宋体"/>
                <w:bCs/>
                <w:color w:val="auto"/>
                <w:sz w:val="24"/>
                <w:szCs w:val="24"/>
                <w:highlight w:val="none"/>
                <w:lang w:val="en-US" w:eastAsia="zh-CN"/>
              </w:rPr>
              <w:t>吉林大街76号丰满区政府</w:t>
            </w:r>
          </w:p>
          <w:p w14:paraId="3A4B5FF7">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sz w:val="24"/>
                <w:szCs w:val="24"/>
                <w:highlight w:val="none"/>
                <w:lang w:val="en-US"/>
              </w:rPr>
            </w:pPr>
            <w:r>
              <w:rPr>
                <w:rFonts w:hint="default" w:ascii="宋体" w:hAnsi="宋体" w:eastAsia="宋体" w:cs="宋体"/>
                <w:bCs/>
                <w:color w:val="auto"/>
                <w:sz w:val="24"/>
                <w:szCs w:val="24"/>
                <w:highlight w:val="none"/>
                <w:lang w:val="en-US"/>
              </w:rPr>
              <w:t>联系人：</w:t>
            </w:r>
            <w:r>
              <w:rPr>
                <w:rFonts w:hint="default" w:ascii="宋体" w:hAnsi="宋体" w:eastAsia="宋体" w:cs="宋体"/>
                <w:bCs/>
                <w:color w:val="auto"/>
                <w:sz w:val="24"/>
                <w:szCs w:val="24"/>
                <w:highlight w:val="none"/>
                <w:lang w:val="en-US" w:eastAsia="zh-CN"/>
              </w:rPr>
              <w:t xml:space="preserve">范潇萱  </w:t>
            </w:r>
            <w:r>
              <w:rPr>
                <w:rFonts w:hint="default" w:ascii="宋体" w:hAnsi="宋体" w:eastAsia="宋体" w:cs="宋体"/>
                <w:bCs/>
                <w:color w:val="auto"/>
                <w:sz w:val="24"/>
                <w:szCs w:val="24"/>
                <w:highlight w:val="none"/>
                <w:lang w:val="en-US"/>
              </w:rPr>
              <w:t xml:space="preserve">    </w:t>
            </w:r>
          </w:p>
          <w:p w14:paraId="575444E0">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sz w:val="24"/>
                <w:szCs w:val="24"/>
                <w:highlight w:val="none"/>
                <w:lang w:val="en-US"/>
              </w:rPr>
            </w:pPr>
            <w:r>
              <w:rPr>
                <w:rFonts w:hint="default" w:ascii="宋体" w:hAnsi="宋体" w:eastAsia="宋体" w:cs="宋体"/>
                <w:bCs/>
                <w:color w:val="auto"/>
                <w:sz w:val="24"/>
                <w:szCs w:val="24"/>
                <w:highlight w:val="none"/>
                <w:lang w:val="en-US"/>
              </w:rPr>
              <w:t>联系电话：</w:t>
            </w:r>
            <w:r>
              <w:rPr>
                <w:rFonts w:hint="default" w:ascii="宋体" w:hAnsi="宋体" w:eastAsia="宋体" w:cs="宋体"/>
                <w:bCs/>
                <w:color w:val="auto"/>
                <w:sz w:val="24"/>
                <w:szCs w:val="24"/>
                <w:highlight w:val="none"/>
                <w:lang w:val="en-US" w:eastAsia="zh-CN"/>
              </w:rPr>
              <w:t>0432-</w:t>
            </w:r>
            <w:r>
              <w:rPr>
                <w:rFonts w:hint="eastAsia" w:ascii="宋体" w:hAnsi="宋体" w:cs="宋体"/>
                <w:bCs/>
                <w:color w:val="auto"/>
                <w:sz w:val="24"/>
                <w:szCs w:val="24"/>
                <w:highlight w:val="none"/>
                <w:lang w:val="en-US" w:eastAsia="zh-CN"/>
              </w:rPr>
              <w:t>64631165</w:t>
            </w:r>
          </w:p>
        </w:tc>
      </w:tr>
      <w:tr w14:paraId="373E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682E1E7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1692" w:type="dxa"/>
            <w:noWrap w:val="0"/>
            <w:vAlign w:val="center"/>
          </w:tcPr>
          <w:p w14:paraId="1F1BEE3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7050" w:type="dxa"/>
            <w:noWrap w:val="0"/>
            <w:vAlign w:val="center"/>
          </w:tcPr>
          <w:p w14:paraId="6084FFE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    称：吉林市新诚招标代理有限公司</w:t>
            </w:r>
          </w:p>
          <w:p w14:paraId="5047A47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r>
              <w:rPr>
                <w:rFonts w:hint="eastAsia" w:ascii="宋体" w:hAnsi="宋体" w:eastAsia="宋体" w:cs="宋体"/>
                <w:bCs/>
                <w:color w:val="auto"/>
                <w:sz w:val="24"/>
                <w:szCs w:val="24"/>
                <w:highlight w:val="none"/>
                <w:lang w:eastAsia="zh-CN"/>
              </w:rPr>
              <w:t>吉林市丰满区南山街115号</w:t>
            </w:r>
          </w:p>
          <w:p w14:paraId="10DA757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 xml:space="preserve">联系人：杨昌默    </w:t>
            </w:r>
          </w:p>
          <w:p w14:paraId="4F75D12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联系电话：</w:t>
            </w:r>
            <w:r>
              <w:rPr>
                <w:rFonts w:hint="eastAsia" w:ascii="宋体" w:hAnsi="宋体" w:eastAsia="宋体" w:cs="宋体"/>
                <w:bCs/>
                <w:color w:val="auto"/>
                <w:sz w:val="24"/>
                <w:szCs w:val="24"/>
                <w:highlight w:val="none"/>
                <w:lang w:val="en-US" w:eastAsia="zh-CN"/>
              </w:rPr>
              <w:t>15643604917</w:t>
            </w:r>
          </w:p>
        </w:tc>
      </w:tr>
      <w:tr w14:paraId="0E43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5D9E74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1692" w:type="dxa"/>
            <w:noWrap w:val="0"/>
            <w:vAlign w:val="center"/>
          </w:tcPr>
          <w:p w14:paraId="590FB12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w:t>
            </w:r>
          </w:p>
        </w:tc>
        <w:tc>
          <w:tcPr>
            <w:tcW w:w="7050" w:type="dxa"/>
            <w:noWrap w:val="0"/>
            <w:vAlign w:val="center"/>
          </w:tcPr>
          <w:p w14:paraId="3265DBD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吉林市丰满区设施蔬菜连作障碍综合治理项目生物有机肥采购（</w:t>
            </w:r>
            <w:r>
              <w:rPr>
                <w:rFonts w:hint="eastAsia" w:ascii="宋体" w:hAnsi="宋体" w:eastAsia="宋体" w:cs="宋体"/>
                <w:bCs/>
                <w:color w:val="auto"/>
                <w:kern w:val="0"/>
                <w:sz w:val="24"/>
                <w:szCs w:val="24"/>
                <w:highlight w:val="none"/>
                <w:lang w:val="en-US" w:eastAsia="zh-CN"/>
              </w:rPr>
              <w:t>二次</w:t>
            </w:r>
            <w:r>
              <w:rPr>
                <w:rFonts w:hint="eastAsia" w:ascii="宋体" w:hAnsi="宋体" w:eastAsia="宋体" w:cs="宋体"/>
                <w:bCs/>
                <w:color w:val="auto"/>
                <w:kern w:val="0"/>
                <w:sz w:val="24"/>
                <w:szCs w:val="24"/>
                <w:highlight w:val="none"/>
                <w:lang w:eastAsia="zh-CN"/>
              </w:rPr>
              <w:t>）</w:t>
            </w:r>
          </w:p>
        </w:tc>
      </w:tr>
      <w:tr w14:paraId="7922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2042781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1692" w:type="dxa"/>
            <w:noWrap w:val="0"/>
            <w:vAlign w:val="center"/>
          </w:tcPr>
          <w:p w14:paraId="2C43233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供货地点</w:t>
            </w:r>
          </w:p>
        </w:tc>
        <w:tc>
          <w:tcPr>
            <w:tcW w:w="7050" w:type="dxa"/>
            <w:noWrap w:val="0"/>
            <w:vAlign w:val="center"/>
          </w:tcPr>
          <w:p w14:paraId="77A86F4A">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0"/>
                <w:sz w:val="24"/>
                <w:szCs w:val="24"/>
                <w:highlight w:val="none"/>
                <w:lang w:val="en-US"/>
              </w:rPr>
            </w:pPr>
            <w:r>
              <w:rPr>
                <w:rFonts w:hint="eastAsia" w:ascii="宋体" w:hAnsi="宋体" w:cs="宋体"/>
                <w:color w:val="auto"/>
                <w:kern w:val="0"/>
                <w:sz w:val="24"/>
                <w:szCs w:val="24"/>
                <w:highlight w:val="none"/>
                <w:lang w:val="en-US" w:eastAsia="zh-CN" w:bidi="ar"/>
              </w:rPr>
              <w:t>招标人指定地点（按招标人指定时间运送到指定各地点）</w:t>
            </w:r>
          </w:p>
        </w:tc>
      </w:tr>
      <w:tr w14:paraId="139F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225EAD7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1692" w:type="dxa"/>
            <w:noWrap w:val="0"/>
            <w:vAlign w:val="center"/>
          </w:tcPr>
          <w:p w14:paraId="207C7C4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eastAsia="zh-CN" w:bidi="ar"/>
              </w:rPr>
              <w:t>资金来源</w:t>
            </w:r>
            <w:r>
              <w:rPr>
                <w:rFonts w:hint="eastAsia" w:ascii="宋体" w:hAnsi="宋体" w:eastAsia="宋体" w:cs="宋体"/>
                <w:color w:val="auto"/>
                <w:kern w:val="0"/>
                <w:sz w:val="24"/>
                <w:szCs w:val="24"/>
                <w:highlight w:val="none"/>
                <w:lang w:val="en-US" w:eastAsia="zh-CN" w:bidi="ar"/>
              </w:rPr>
              <w:t>及采购预算</w:t>
            </w:r>
          </w:p>
        </w:tc>
        <w:tc>
          <w:tcPr>
            <w:tcW w:w="7050" w:type="dxa"/>
            <w:noWrap w:val="0"/>
            <w:vAlign w:val="center"/>
          </w:tcPr>
          <w:p w14:paraId="43AAEBEB">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财政资金</w:t>
            </w:r>
            <w:r>
              <w:rPr>
                <w:rFonts w:hint="eastAsia" w:ascii="宋体" w:hAnsi="宋体" w:cs="宋体"/>
                <w:color w:val="auto"/>
                <w:kern w:val="0"/>
                <w:sz w:val="24"/>
                <w:szCs w:val="24"/>
                <w:highlight w:val="none"/>
                <w:lang w:val="en-US" w:eastAsia="zh-CN" w:bidi="ar"/>
              </w:rPr>
              <w:t xml:space="preserve">   150</w:t>
            </w:r>
            <w:r>
              <w:rPr>
                <w:rFonts w:hint="eastAsia" w:ascii="宋体" w:hAnsi="宋体" w:eastAsia="宋体" w:cs="宋体"/>
                <w:color w:val="auto"/>
                <w:kern w:val="0"/>
                <w:sz w:val="24"/>
                <w:szCs w:val="24"/>
                <w:highlight w:val="none"/>
                <w:lang w:val="en-US" w:eastAsia="zh-CN" w:bidi="ar"/>
              </w:rPr>
              <w:t>万元</w:t>
            </w:r>
          </w:p>
        </w:tc>
      </w:tr>
      <w:tr w14:paraId="637B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583B70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1692" w:type="dxa"/>
            <w:noWrap w:val="0"/>
            <w:vAlign w:val="center"/>
          </w:tcPr>
          <w:p w14:paraId="73F5B0F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资金落实情况</w:t>
            </w:r>
          </w:p>
        </w:tc>
        <w:tc>
          <w:tcPr>
            <w:tcW w:w="7050" w:type="dxa"/>
            <w:noWrap w:val="0"/>
            <w:vAlign w:val="center"/>
          </w:tcPr>
          <w:p w14:paraId="376B25DA">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已落实</w:t>
            </w:r>
          </w:p>
        </w:tc>
      </w:tr>
      <w:tr w14:paraId="4DFA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0947833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1692" w:type="dxa"/>
            <w:noWrap w:val="0"/>
            <w:vAlign w:val="center"/>
          </w:tcPr>
          <w:p w14:paraId="12EE899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招标内容</w:t>
            </w:r>
          </w:p>
        </w:tc>
        <w:tc>
          <w:tcPr>
            <w:tcW w:w="7050" w:type="dxa"/>
            <w:noWrap w:val="0"/>
            <w:vAlign w:val="center"/>
          </w:tcPr>
          <w:p w14:paraId="172603E5">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生物有机肥采购，详见招标文件“第四部分 采购需求”。</w:t>
            </w:r>
          </w:p>
        </w:tc>
      </w:tr>
      <w:tr w14:paraId="0E59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22" w:type="dxa"/>
            <w:noWrap w:val="0"/>
            <w:vAlign w:val="center"/>
          </w:tcPr>
          <w:p w14:paraId="0F7398B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1692" w:type="dxa"/>
            <w:noWrap w:val="0"/>
            <w:vAlign w:val="center"/>
          </w:tcPr>
          <w:p w14:paraId="628818A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供货期</w:t>
            </w:r>
          </w:p>
        </w:tc>
        <w:tc>
          <w:tcPr>
            <w:tcW w:w="7050" w:type="dxa"/>
            <w:noWrap w:val="0"/>
            <w:vAlign w:val="center"/>
          </w:tcPr>
          <w:p w14:paraId="777EC9E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中标单位</w:t>
            </w:r>
            <w:r>
              <w:rPr>
                <w:rFonts w:hint="eastAsia" w:ascii="宋体" w:hAnsi="宋体" w:eastAsia="宋体" w:cs="宋体"/>
                <w:bCs/>
                <w:color w:val="auto"/>
                <w:sz w:val="24"/>
                <w:szCs w:val="24"/>
                <w:highlight w:val="none"/>
                <w:lang w:val="en-US" w:eastAsia="zh-CN"/>
              </w:rPr>
              <w:t>中标后</w:t>
            </w:r>
            <w:r>
              <w:rPr>
                <w:rFonts w:hint="eastAsia" w:ascii="宋体" w:hAnsi="宋体" w:eastAsia="宋体" w:cs="宋体"/>
                <w:bCs/>
                <w:color w:val="auto"/>
                <w:sz w:val="24"/>
                <w:szCs w:val="24"/>
                <w:highlight w:val="none"/>
                <w:lang w:eastAsia="zh-CN"/>
              </w:rPr>
              <w:t>提供样品，经第三方质量检测符合国家标准</w:t>
            </w:r>
            <w:r>
              <w:rPr>
                <w:rFonts w:hint="eastAsia" w:ascii="宋体" w:hAnsi="宋体" w:eastAsia="宋体" w:cs="宋体"/>
                <w:bCs/>
                <w:color w:val="auto"/>
                <w:sz w:val="24"/>
                <w:szCs w:val="24"/>
                <w:highlight w:val="none"/>
                <w:lang w:val="en-US" w:eastAsia="zh-CN"/>
              </w:rPr>
              <w:t>后</w:t>
            </w:r>
            <w:r>
              <w:rPr>
                <w:rFonts w:hint="eastAsia" w:ascii="宋体" w:hAnsi="宋体" w:eastAsia="宋体" w:cs="宋体"/>
                <w:bCs/>
                <w:color w:val="auto"/>
                <w:sz w:val="24"/>
                <w:szCs w:val="24"/>
                <w:highlight w:val="none"/>
                <w:lang w:eastAsia="zh-CN"/>
              </w:rPr>
              <w:t>签订合同，签订合同之日起10天内完成供货。</w:t>
            </w:r>
          </w:p>
        </w:tc>
      </w:tr>
      <w:tr w14:paraId="53A7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6094499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1.3.3</w:t>
            </w:r>
          </w:p>
        </w:tc>
        <w:tc>
          <w:tcPr>
            <w:tcW w:w="1692" w:type="dxa"/>
            <w:noWrap w:val="0"/>
            <w:vAlign w:val="center"/>
          </w:tcPr>
          <w:p w14:paraId="2A1E470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质量标准</w:t>
            </w:r>
          </w:p>
        </w:tc>
        <w:tc>
          <w:tcPr>
            <w:tcW w:w="7050" w:type="dxa"/>
            <w:noWrap w:val="0"/>
            <w:vAlign w:val="center"/>
          </w:tcPr>
          <w:p w14:paraId="67C689DA">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符合国家及相关行业合格标准</w:t>
            </w:r>
          </w:p>
        </w:tc>
      </w:tr>
      <w:tr w14:paraId="59AD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2FD1BA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1.4.1</w:t>
            </w:r>
          </w:p>
        </w:tc>
        <w:tc>
          <w:tcPr>
            <w:tcW w:w="1692" w:type="dxa"/>
            <w:noWrap w:val="0"/>
            <w:vAlign w:val="center"/>
          </w:tcPr>
          <w:p w14:paraId="4BA67C9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资格条件、能力和信誉</w:t>
            </w:r>
          </w:p>
        </w:tc>
        <w:tc>
          <w:tcPr>
            <w:tcW w:w="7050" w:type="dxa"/>
            <w:noWrap w:val="0"/>
            <w:vAlign w:val="center"/>
          </w:tcPr>
          <w:p w14:paraId="308DBE8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14:paraId="0CE9E1F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(1)具有独立承担民事责任的能力；</w:t>
            </w:r>
          </w:p>
          <w:p w14:paraId="3FEDBCD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(2)具有良好的商业信誉和健全的财务会计制度；</w:t>
            </w:r>
          </w:p>
          <w:p w14:paraId="53748F2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(3)具有履行合同所必需的设备和专业技术能力；</w:t>
            </w:r>
          </w:p>
          <w:p w14:paraId="71E451F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(4)有依法缴纳税收和社会保障资金的良好记录；</w:t>
            </w:r>
          </w:p>
          <w:p w14:paraId="1DBCBEE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(5)参加政府采购活动前三年内，在经营活动中没有重大违法记录；</w:t>
            </w:r>
          </w:p>
          <w:p w14:paraId="25A3303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(6)法律、行政法规规定的其他条件。</w:t>
            </w:r>
          </w:p>
          <w:p w14:paraId="32260A5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2、落实政府采购政策需满足的资格要求：</w:t>
            </w:r>
          </w:p>
          <w:p w14:paraId="353B95D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（1）鼓励节能、环保政策；</w:t>
            </w:r>
          </w:p>
          <w:p w14:paraId="72732E8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（2）本项目非专门面向中小企业，满足《政府采购促进中小企业发展管理办法》（财库〔2020〕46号）享受政府采购政策的需提供相关声明。监狱企业、残疾人福利性单位视同小微企业。本项目所属行业为工业。</w:t>
            </w:r>
          </w:p>
          <w:p w14:paraId="6A1554A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3、本项目的特定资格要求：</w:t>
            </w:r>
          </w:p>
          <w:p w14:paraId="44DB6D0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3.1供应商须是具有独立法人资格的企业或其他组织（生产厂商或代理商）；</w:t>
            </w:r>
          </w:p>
          <w:p w14:paraId="42DB2D5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3.2投标人须具有有效的肥料登记证，所投产品须符合《生物有机肥》（NY 884-2012）相关要求</w:t>
            </w:r>
            <w:r>
              <w:rPr>
                <w:rFonts w:hint="eastAsia" w:ascii="宋体" w:hAnsi="宋体" w:eastAsia="宋体" w:cs="宋体"/>
                <w:b w:val="0"/>
                <w:bCs w:val="0"/>
                <w:color w:val="auto"/>
                <w:sz w:val="24"/>
                <w:szCs w:val="24"/>
                <w:highlight w:val="none"/>
              </w:rPr>
              <w:t>；</w:t>
            </w:r>
          </w:p>
          <w:p w14:paraId="073FE21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拒绝列入政府取消投标资格记录期间的企业或个人投标；</w:t>
            </w:r>
          </w:p>
          <w:p w14:paraId="224C86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不得为“信用中国”网站（www.creditchina.gov.cn）中列入失信被执行人和</w:t>
            </w:r>
            <w:r>
              <w:rPr>
                <w:rFonts w:hint="eastAsia" w:ascii="宋体" w:hAnsi="宋体" w:eastAsia="宋体" w:cs="宋体"/>
                <w:b w:val="0"/>
                <w:bCs w:val="0"/>
                <w:color w:val="auto"/>
                <w:sz w:val="24"/>
                <w:szCs w:val="24"/>
                <w:highlight w:val="none"/>
                <w:lang w:eastAsia="zh-CN"/>
              </w:rPr>
              <w:t>重大税收违法失信主体</w:t>
            </w:r>
            <w:r>
              <w:rPr>
                <w:rFonts w:hint="eastAsia" w:ascii="宋体" w:hAnsi="宋体" w:eastAsia="宋体" w:cs="宋体"/>
                <w:b w:val="0"/>
                <w:bCs w:val="0"/>
                <w:color w:val="auto"/>
                <w:sz w:val="24"/>
                <w:szCs w:val="24"/>
                <w:highlight w:val="none"/>
              </w:rPr>
              <w:t>供应商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不得为中国政府采购网（www.ccpg.gov.cn）政府采购严重违法失信行为记录名单中被财政部门禁止参加政府采购活动的供应商（在处罚决定规定的时间和地域范围内）</w:t>
            </w:r>
            <w:r>
              <w:rPr>
                <w:rFonts w:hint="eastAsia" w:ascii="宋体" w:hAnsi="宋体" w:eastAsia="宋体" w:cs="宋体"/>
                <w:b w:val="0"/>
                <w:bCs w:val="0"/>
                <w:color w:val="auto"/>
                <w:sz w:val="24"/>
                <w:szCs w:val="24"/>
                <w:highlight w:val="none"/>
                <w:lang w:val="en-US" w:eastAsia="zh-CN"/>
              </w:rPr>
              <w:t>（详见财库[2016]125号）</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在2021年至今供应商和其法定代表人在“中国裁判文书网”(wenshu.court.gov.cn)上无行贿犯罪行为；</w:t>
            </w:r>
          </w:p>
          <w:p w14:paraId="2F453C9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单位负责人为同一人或者存在直接控股、管理关系的不同供应商，不得参加同一合同项下的政府采购活动</w:t>
            </w:r>
            <w:r>
              <w:rPr>
                <w:rFonts w:hint="eastAsia" w:ascii="宋体" w:hAnsi="宋体" w:eastAsia="宋体" w:cs="宋体"/>
                <w:b w:val="0"/>
                <w:bCs w:val="0"/>
                <w:color w:val="auto"/>
                <w:sz w:val="24"/>
                <w:szCs w:val="24"/>
                <w:highlight w:val="none"/>
                <w:lang w:eastAsia="zh-CN"/>
              </w:rPr>
              <w:t>；</w:t>
            </w:r>
          </w:p>
          <w:p w14:paraId="1BF6A33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3.6</w:t>
            </w:r>
            <w:r>
              <w:rPr>
                <w:rFonts w:hint="eastAsia" w:ascii="宋体" w:hAnsi="宋体" w:eastAsia="宋体" w:cs="宋体"/>
                <w:b w:val="0"/>
                <w:bCs w:val="0"/>
                <w:color w:val="auto"/>
                <w:sz w:val="24"/>
                <w:szCs w:val="24"/>
                <w:highlight w:val="none"/>
                <w:lang w:eastAsia="zh-CN"/>
              </w:rPr>
              <w:t>参加政府采购活动前三年内，在经营活动中没有重大违法记录。</w:t>
            </w:r>
          </w:p>
        </w:tc>
      </w:tr>
      <w:tr w14:paraId="1A33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BD1327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1692" w:type="dxa"/>
            <w:noWrap w:val="0"/>
            <w:vAlign w:val="center"/>
          </w:tcPr>
          <w:p w14:paraId="5CAF2BD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7050" w:type="dxa"/>
            <w:noWrap w:val="0"/>
            <w:vAlign w:val="center"/>
          </w:tcPr>
          <w:p w14:paraId="5AED91DA">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15"/>
                <w:sz w:val="24"/>
                <w:szCs w:val="24"/>
                <w:highlight w:val="none"/>
              </w:rPr>
              <w:fldChar w:fldCharType="begin"/>
            </w:r>
            <w:r>
              <w:rPr>
                <w:rFonts w:hint="eastAsia" w:ascii="宋体" w:hAnsi="宋体" w:eastAsia="宋体" w:cs="宋体"/>
                <w:bCs/>
                <w:color w:val="auto"/>
                <w:kern w:val="15"/>
                <w:sz w:val="24"/>
                <w:szCs w:val="24"/>
                <w:highlight w:val="none"/>
              </w:rPr>
              <w:instrText xml:space="preserve">eq \o\ac(□,√)</w:instrText>
            </w:r>
            <w:r>
              <w:rPr>
                <w:rFonts w:hint="eastAsia" w:ascii="宋体" w:hAnsi="宋体" w:eastAsia="宋体" w:cs="宋体"/>
                <w:bCs/>
                <w:color w:val="auto"/>
                <w:kern w:val="15"/>
                <w:sz w:val="24"/>
                <w:szCs w:val="24"/>
                <w:highlight w:val="none"/>
              </w:rPr>
              <w:fldChar w:fldCharType="end"/>
            </w:r>
            <w:r>
              <w:rPr>
                <w:rFonts w:hint="eastAsia" w:ascii="宋体" w:hAnsi="宋体" w:eastAsia="宋体" w:cs="宋体"/>
                <w:bCs/>
                <w:color w:val="auto"/>
                <w:sz w:val="24"/>
                <w:szCs w:val="24"/>
                <w:highlight w:val="none"/>
              </w:rPr>
              <w:t>不接受</w:t>
            </w:r>
          </w:p>
          <w:p w14:paraId="72C88370">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□接受，应满足下列要求：/</w:t>
            </w:r>
          </w:p>
        </w:tc>
      </w:tr>
      <w:tr w14:paraId="1A8C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93728E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1.9.1</w:t>
            </w:r>
          </w:p>
        </w:tc>
        <w:tc>
          <w:tcPr>
            <w:tcW w:w="1692" w:type="dxa"/>
            <w:noWrap w:val="0"/>
            <w:vAlign w:val="center"/>
          </w:tcPr>
          <w:p w14:paraId="13DDFBA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踏勘现场</w:t>
            </w:r>
          </w:p>
        </w:tc>
        <w:tc>
          <w:tcPr>
            <w:tcW w:w="7050" w:type="dxa"/>
            <w:tcBorders>
              <w:top w:val="single" w:color="auto" w:sz="4" w:space="0"/>
            </w:tcBorders>
            <w:noWrap w:val="0"/>
            <w:vAlign w:val="center"/>
          </w:tcPr>
          <w:p w14:paraId="60139CA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14:paraId="2DA9506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□组织，踏勘时间：/</w:t>
            </w:r>
          </w:p>
          <w:p w14:paraId="375C06BC">
            <w:pPr>
              <w:keepNext w:val="0"/>
              <w:keepLines w:val="0"/>
              <w:pageBreakBefore w:val="0"/>
              <w:widowControl w:val="0"/>
              <w:kinsoku/>
              <w:wordWrap w:val="0"/>
              <w:overflowPunct/>
              <w:topLinePunct w:val="0"/>
              <w:autoSpaceDE/>
              <w:autoSpaceDN/>
              <w:bidi w:val="0"/>
              <w:adjustRightInd w:val="0"/>
              <w:spacing w:line="440" w:lineRule="exact"/>
              <w:ind w:firstLine="960" w:firstLineChars="4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踏勘集中地点：/</w:t>
            </w:r>
          </w:p>
        </w:tc>
      </w:tr>
      <w:tr w14:paraId="4E6D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293CF1A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1.10.1</w:t>
            </w:r>
          </w:p>
        </w:tc>
        <w:tc>
          <w:tcPr>
            <w:tcW w:w="1692" w:type="dxa"/>
            <w:noWrap w:val="0"/>
            <w:vAlign w:val="center"/>
          </w:tcPr>
          <w:p w14:paraId="7A69474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投标预备会</w:t>
            </w:r>
          </w:p>
        </w:tc>
        <w:tc>
          <w:tcPr>
            <w:tcW w:w="7050" w:type="dxa"/>
            <w:noWrap w:val="0"/>
            <w:vAlign w:val="center"/>
          </w:tcPr>
          <w:p w14:paraId="27C0BD22">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14:paraId="4732701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□召开,召开时间：/</w:t>
            </w:r>
          </w:p>
          <w:p w14:paraId="185264FC">
            <w:pPr>
              <w:keepNext w:val="0"/>
              <w:keepLines w:val="0"/>
              <w:pageBreakBefore w:val="0"/>
              <w:widowControl w:val="0"/>
              <w:kinsoku/>
              <w:wordWrap w:val="0"/>
              <w:overflowPunct/>
              <w:topLinePunct w:val="0"/>
              <w:autoSpaceDE/>
              <w:autoSpaceDN/>
              <w:bidi w:val="0"/>
              <w:adjustRightInd w:val="0"/>
              <w:spacing w:line="440" w:lineRule="exact"/>
              <w:ind w:firstLine="840" w:firstLineChars="35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召开地点：/</w:t>
            </w:r>
          </w:p>
        </w:tc>
      </w:tr>
      <w:tr w14:paraId="647C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restart"/>
            <w:noWrap w:val="0"/>
            <w:vAlign w:val="center"/>
          </w:tcPr>
          <w:p w14:paraId="0B56DCF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1.10.2</w:t>
            </w:r>
          </w:p>
        </w:tc>
        <w:tc>
          <w:tcPr>
            <w:tcW w:w="1692" w:type="dxa"/>
            <w:vMerge w:val="restart"/>
            <w:noWrap w:val="0"/>
            <w:vAlign w:val="center"/>
          </w:tcPr>
          <w:p w14:paraId="261E70C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在投标预备会前提出问题</w:t>
            </w:r>
          </w:p>
        </w:tc>
        <w:tc>
          <w:tcPr>
            <w:tcW w:w="7050" w:type="dxa"/>
            <w:noWrap w:val="0"/>
            <w:vAlign w:val="center"/>
          </w:tcPr>
          <w:p w14:paraId="2E25FBE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lang w:val="zh-CN"/>
              </w:rPr>
              <w:t>/</w:t>
            </w:r>
          </w:p>
        </w:tc>
      </w:tr>
      <w:tr w14:paraId="1FB3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continue"/>
            <w:noWrap w:val="0"/>
            <w:vAlign w:val="center"/>
          </w:tcPr>
          <w:p w14:paraId="080DA5A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92" w:type="dxa"/>
            <w:vMerge w:val="continue"/>
            <w:noWrap w:val="0"/>
            <w:vAlign w:val="center"/>
          </w:tcPr>
          <w:p w14:paraId="16E060C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050" w:type="dxa"/>
            <w:noWrap w:val="0"/>
            <w:vAlign w:val="center"/>
          </w:tcPr>
          <w:p w14:paraId="6A12621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形式：</w:t>
            </w:r>
            <w:r>
              <w:rPr>
                <w:rFonts w:hint="eastAsia" w:ascii="宋体" w:hAnsi="宋体" w:eastAsia="宋体" w:cs="宋体"/>
                <w:bCs/>
                <w:color w:val="auto"/>
                <w:sz w:val="24"/>
                <w:szCs w:val="24"/>
                <w:highlight w:val="none"/>
                <w:lang w:val="zh-CN"/>
              </w:rPr>
              <w:t>/</w:t>
            </w:r>
          </w:p>
        </w:tc>
      </w:tr>
      <w:tr w14:paraId="34AB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7C1D8E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1.11.1</w:t>
            </w:r>
          </w:p>
        </w:tc>
        <w:tc>
          <w:tcPr>
            <w:tcW w:w="1692" w:type="dxa"/>
            <w:noWrap w:val="0"/>
            <w:vAlign w:val="center"/>
          </w:tcPr>
          <w:p w14:paraId="0E4A84B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7050" w:type="dxa"/>
            <w:noWrap w:val="0"/>
            <w:vAlign w:val="center"/>
          </w:tcPr>
          <w:p w14:paraId="36ED703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szCs w:val="24"/>
                <w:highlight w:val="none"/>
                <w:lang w:val="zh-CN"/>
              </w:rPr>
              <w:t>不允许</w:t>
            </w:r>
          </w:p>
          <w:p w14:paraId="4A37C46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□允许，分包内容：/</w:t>
            </w:r>
          </w:p>
        </w:tc>
      </w:tr>
      <w:tr w14:paraId="02E5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47CFA9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1.12.3</w:t>
            </w:r>
          </w:p>
        </w:tc>
        <w:tc>
          <w:tcPr>
            <w:tcW w:w="1692" w:type="dxa"/>
            <w:noWrap w:val="0"/>
            <w:vAlign w:val="center"/>
          </w:tcPr>
          <w:p w14:paraId="1126668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偏离</w:t>
            </w:r>
          </w:p>
        </w:tc>
        <w:tc>
          <w:tcPr>
            <w:tcW w:w="7050" w:type="dxa"/>
            <w:noWrap w:val="0"/>
            <w:vAlign w:val="center"/>
          </w:tcPr>
          <w:p w14:paraId="0E2028D4">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Cs/>
                <w:color w:val="000000" w:themeColor="text1"/>
                <w:sz w:val="24"/>
                <w:szCs w:val="24"/>
                <w:highlight w:val="none"/>
                <w:lang w:val="en-US" w:eastAsia="zh-CN"/>
                <w14:textFill>
                  <w14:solidFill>
                    <w14:schemeClr w14:val="tx1"/>
                  </w14:solidFill>
                </w14:textFill>
              </w:rPr>
              <w:t>对招标文件的实质性技术参数要求条款不允许负偏离</w:t>
            </w:r>
          </w:p>
        </w:tc>
      </w:tr>
      <w:tr w14:paraId="5134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316B51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1692" w:type="dxa"/>
            <w:noWrap w:val="0"/>
            <w:vAlign w:val="center"/>
          </w:tcPr>
          <w:p w14:paraId="0ACC874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7050" w:type="dxa"/>
            <w:noWrap w:val="0"/>
            <w:vAlign w:val="center"/>
          </w:tcPr>
          <w:p w14:paraId="6A20EA8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本项目的澄清、修改、补充说明文件</w:t>
            </w:r>
            <w:r>
              <w:rPr>
                <w:rFonts w:hint="eastAsia" w:ascii="宋体" w:hAnsi="宋体" w:eastAsia="宋体" w:cs="宋体"/>
                <w:bCs/>
                <w:color w:val="auto"/>
                <w:sz w:val="24"/>
                <w:szCs w:val="24"/>
                <w:highlight w:val="none"/>
              </w:rPr>
              <w:t>（如有）。</w:t>
            </w:r>
          </w:p>
          <w:p w14:paraId="366D56C2">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注：采购代理机构将上述内容以带有编号的补遗文件发送到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答疑文件</w:t>
            </w:r>
            <w:r>
              <w:rPr>
                <w:rFonts w:hint="eastAsia" w:ascii="宋体" w:hAnsi="宋体" w:eastAsia="宋体" w:cs="宋体"/>
                <w:bCs/>
                <w:color w:val="auto"/>
                <w:sz w:val="24"/>
                <w:szCs w:val="24"/>
                <w:highlight w:val="none"/>
              </w:rPr>
              <w:t>中，各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答疑文件处自行下载。如果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未在上述答疑文件中收到相应文件，请及时与采购代理机构联系，否则采购人和采购代理机构不承担任何责任。</w:t>
            </w:r>
          </w:p>
        </w:tc>
      </w:tr>
      <w:tr w14:paraId="3E89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restart"/>
            <w:noWrap w:val="0"/>
            <w:vAlign w:val="center"/>
          </w:tcPr>
          <w:p w14:paraId="60E09C7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1692" w:type="dxa"/>
            <w:vMerge w:val="restart"/>
            <w:noWrap w:val="0"/>
            <w:vAlign w:val="center"/>
          </w:tcPr>
          <w:p w14:paraId="1809395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供应商要求澄</w:t>
            </w:r>
            <w:r>
              <w:rPr>
                <w:rFonts w:hint="eastAsia" w:ascii="宋体" w:hAnsi="宋体" w:eastAsia="宋体" w:cs="宋体"/>
                <w:bCs/>
                <w:color w:val="000000" w:themeColor="text1"/>
                <w:sz w:val="24"/>
                <w:szCs w:val="24"/>
                <w:highlight w:val="none"/>
                <w:lang w:val="zh-CN"/>
                <w14:textFill>
                  <w14:solidFill>
                    <w14:schemeClr w14:val="tx1"/>
                  </w14:solidFill>
                </w14:textFill>
              </w:rPr>
              <w:t>清招标文件</w:t>
            </w:r>
          </w:p>
        </w:tc>
        <w:tc>
          <w:tcPr>
            <w:tcW w:w="7050" w:type="dxa"/>
            <w:noWrap w:val="0"/>
            <w:vAlign w:val="center"/>
          </w:tcPr>
          <w:p w14:paraId="73043A1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时间：递交投标文件截止之日</w:t>
            </w:r>
            <w:r>
              <w:rPr>
                <w:rFonts w:hint="eastAsia" w:ascii="宋体" w:hAnsi="宋体" w:eastAsia="宋体" w:cs="宋体"/>
                <w:bCs/>
                <w:color w:val="auto"/>
                <w:sz w:val="24"/>
                <w:szCs w:val="24"/>
                <w:highlight w:val="none"/>
                <w:u w:val="single"/>
              </w:rPr>
              <w:t>10</w:t>
            </w:r>
            <w:r>
              <w:rPr>
                <w:rFonts w:hint="eastAsia" w:ascii="宋体" w:hAnsi="宋体" w:eastAsia="宋体" w:cs="宋体"/>
                <w:bCs/>
                <w:color w:val="auto"/>
                <w:sz w:val="24"/>
                <w:szCs w:val="24"/>
                <w:highlight w:val="none"/>
              </w:rPr>
              <w:t>天前</w:t>
            </w:r>
          </w:p>
        </w:tc>
      </w:tr>
      <w:tr w14:paraId="3195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continue"/>
            <w:noWrap w:val="0"/>
            <w:vAlign w:val="center"/>
          </w:tcPr>
          <w:p w14:paraId="6649EE6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92" w:type="dxa"/>
            <w:vMerge w:val="continue"/>
            <w:noWrap w:val="0"/>
            <w:vAlign w:val="center"/>
          </w:tcPr>
          <w:p w14:paraId="73DFD63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050" w:type="dxa"/>
            <w:noWrap w:val="0"/>
            <w:vAlign w:val="center"/>
          </w:tcPr>
          <w:p w14:paraId="463AD1D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形式：各供应商使用CA数字证书登录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供应商提问栏在线提问，并致电采购代理机构</w:t>
            </w:r>
            <w:r>
              <w:rPr>
                <w:rFonts w:hint="eastAsia" w:ascii="宋体" w:hAnsi="宋体" w:eastAsia="宋体" w:cs="宋体"/>
                <w:bCs/>
                <w:color w:val="auto"/>
                <w:sz w:val="24"/>
                <w:szCs w:val="24"/>
                <w:highlight w:val="none"/>
                <w:lang w:val="zh-CN" w:eastAsia="zh-CN"/>
              </w:rPr>
              <w:t>15643604917</w:t>
            </w:r>
            <w:r>
              <w:rPr>
                <w:rFonts w:hint="eastAsia" w:ascii="宋体" w:hAnsi="宋体" w:eastAsia="宋体" w:cs="宋体"/>
                <w:bCs/>
                <w:color w:val="auto"/>
                <w:sz w:val="24"/>
                <w:szCs w:val="24"/>
                <w:highlight w:val="none"/>
                <w:lang w:val="zh-CN"/>
              </w:rPr>
              <w:t>（供应商在此时间之后提出的问题，采购人不再进行澄清和答复）。</w:t>
            </w:r>
          </w:p>
        </w:tc>
      </w:tr>
      <w:tr w14:paraId="4D00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E20E34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1692" w:type="dxa"/>
            <w:noWrap w:val="0"/>
            <w:vAlign w:val="center"/>
          </w:tcPr>
          <w:p w14:paraId="2603093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招标文件澄清发出的形式</w:t>
            </w:r>
          </w:p>
        </w:tc>
        <w:tc>
          <w:tcPr>
            <w:tcW w:w="7050" w:type="dxa"/>
            <w:noWrap w:val="0"/>
            <w:vAlign w:val="center"/>
          </w:tcPr>
          <w:p w14:paraId="2EABAB54">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详见本章2.1款。</w:t>
            </w:r>
          </w:p>
        </w:tc>
      </w:tr>
      <w:tr w14:paraId="71B8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restart"/>
            <w:noWrap w:val="0"/>
            <w:vAlign w:val="center"/>
          </w:tcPr>
          <w:p w14:paraId="7174A47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1692" w:type="dxa"/>
            <w:vMerge w:val="restart"/>
            <w:noWrap w:val="0"/>
            <w:vAlign w:val="center"/>
          </w:tcPr>
          <w:p w14:paraId="12523A1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供应商确认收到招标文件澄清</w:t>
            </w:r>
          </w:p>
        </w:tc>
        <w:tc>
          <w:tcPr>
            <w:tcW w:w="7050" w:type="dxa"/>
            <w:noWrap w:val="0"/>
            <w:vAlign w:val="center"/>
          </w:tcPr>
          <w:p w14:paraId="59B4179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时间：收到澄清后</w:t>
            </w:r>
            <w:r>
              <w:rPr>
                <w:rFonts w:hint="eastAsia" w:ascii="宋体" w:hAnsi="宋体" w:eastAsia="宋体" w:cs="宋体"/>
                <w:bCs/>
                <w:color w:val="auto"/>
                <w:sz w:val="24"/>
                <w:szCs w:val="24"/>
                <w:highlight w:val="none"/>
                <w:u w:val="single"/>
              </w:rPr>
              <w:t>24小时</w:t>
            </w:r>
            <w:r>
              <w:rPr>
                <w:rFonts w:hint="eastAsia" w:ascii="宋体" w:hAnsi="宋体" w:eastAsia="宋体" w:cs="宋体"/>
                <w:bCs/>
                <w:color w:val="auto"/>
                <w:sz w:val="24"/>
                <w:szCs w:val="24"/>
                <w:highlight w:val="none"/>
              </w:rPr>
              <w:t>内（以发出时间为准）。</w:t>
            </w:r>
          </w:p>
        </w:tc>
      </w:tr>
      <w:tr w14:paraId="011C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continue"/>
            <w:noWrap w:val="0"/>
            <w:vAlign w:val="center"/>
          </w:tcPr>
          <w:p w14:paraId="5BC5967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92" w:type="dxa"/>
            <w:vMerge w:val="continue"/>
            <w:noWrap w:val="0"/>
            <w:vAlign w:val="center"/>
          </w:tcPr>
          <w:p w14:paraId="66EA55B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050" w:type="dxa"/>
            <w:noWrap w:val="0"/>
            <w:vAlign w:val="center"/>
          </w:tcPr>
          <w:p w14:paraId="50AC6B3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形式：本项目所有修改文件均在</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”中发布，供应商收到后必须以确认函的形式发送至采购代理机构的邮箱</w:t>
            </w:r>
            <w:r>
              <w:rPr>
                <w:rFonts w:hint="eastAsia" w:ascii="宋体" w:hAnsi="宋体" w:cs="宋体"/>
                <w:bCs/>
                <w:color w:val="auto"/>
                <w:sz w:val="24"/>
                <w:szCs w:val="24"/>
                <w:highlight w:val="none"/>
                <w:lang w:val="en-US" w:eastAsia="zh-CN"/>
              </w:rPr>
              <w:t>969444636</w:t>
            </w:r>
            <w:r>
              <w:rPr>
                <w:rFonts w:hint="eastAsia" w:ascii="宋体" w:hAnsi="宋体" w:eastAsia="宋体" w:cs="宋体"/>
                <w:bCs/>
                <w:color w:val="auto"/>
                <w:sz w:val="24"/>
                <w:szCs w:val="24"/>
                <w:highlight w:val="none"/>
                <w:lang w:val="zh-CN"/>
              </w:rPr>
              <w:t>@qq.com，因供应商自身原因未能及时查阅下载所导致的对本项目有关文件理解错误由供应商自行承担。</w:t>
            </w:r>
          </w:p>
        </w:tc>
      </w:tr>
      <w:tr w14:paraId="768E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1C4DDD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2.3.1</w:t>
            </w:r>
          </w:p>
        </w:tc>
        <w:tc>
          <w:tcPr>
            <w:tcW w:w="1692" w:type="dxa"/>
            <w:noWrap w:val="0"/>
            <w:vAlign w:val="center"/>
          </w:tcPr>
          <w:p w14:paraId="74004BB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招标文件修改发出的形式</w:t>
            </w:r>
          </w:p>
        </w:tc>
        <w:tc>
          <w:tcPr>
            <w:tcW w:w="7050" w:type="dxa"/>
            <w:noWrap w:val="0"/>
            <w:vAlign w:val="center"/>
          </w:tcPr>
          <w:p w14:paraId="24C909EA">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sz w:val="24"/>
                <w:szCs w:val="24"/>
                <w:highlight w:val="none"/>
                <w:lang w:val="zh-CN" w:eastAsia="zh-CN"/>
              </w:rPr>
              <w:t>详见本章2.1款。</w:t>
            </w:r>
          </w:p>
        </w:tc>
      </w:tr>
      <w:tr w14:paraId="68DA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22" w:type="dxa"/>
            <w:noWrap w:val="0"/>
            <w:vAlign w:val="center"/>
          </w:tcPr>
          <w:p w14:paraId="5728B63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1692" w:type="dxa"/>
            <w:noWrap w:val="0"/>
            <w:vAlign w:val="center"/>
          </w:tcPr>
          <w:p w14:paraId="0A97844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供应商确认收到招标文件修改</w:t>
            </w:r>
          </w:p>
        </w:tc>
        <w:tc>
          <w:tcPr>
            <w:tcW w:w="7050" w:type="dxa"/>
            <w:noWrap w:val="0"/>
            <w:vAlign w:val="center"/>
          </w:tcPr>
          <w:p w14:paraId="128614A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详见本章2.2.3款。</w:t>
            </w:r>
          </w:p>
        </w:tc>
      </w:tr>
      <w:tr w14:paraId="6DD6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661F12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3.2.4</w:t>
            </w:r>
          </w:p>
        </w:tc>
        <w:tc>
          <w:tcPr>
            <w:tcW w:w="1692" w:type="dxa"/>
            <w:noWrap w:val="0"/>
            <w:vAlign w:val="center"/>
          </w:tcPr>
          <w:p w14:paraId="22984C2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rPr>
              <w:t>最高投标限价</w:t>
            </w:r>
          </w:p>
        </w:tc>
        <w:tc>
          <w:tcPr>
            <w:tcW w:w="7050" w:type="dxa"/>
            <w:noWrap w:val="0"/>
            <w:vAlign w:val="center"/>
          </w:tcPr>
          <w:p w14:paraId="1C9F00B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150</w:t>
            </w:r>
            <w:r>
              <w:rPr>
                <w:rFonts w:hint="eastAsia" w:ascii="宋体" w:hAnsi="宋体" w:eastAsia="宋体" w:cs="宋体"/>
                <w:color w:val="auto"/>
                <w:kern w:val="0"/>
                <w:sz w:val="24"/>
                <w:szCs w:val="24"/>
                <w:highlight w:val="none"/>
                <w:lang w:val="en-US" w:eastAsia="zh-CN" w:bidi="ar"/>
              </w:rPr>
              <w:t>万元</w:t>
            </w:r>
          </w:p>
          <w:p w14:paraId="10A45791">
            <w:pPr>
              <w:pStyle w:val="62"/>
              <w:rPr>
                <w:rFonts w:hint="default"/>
                <w:lang w:val="en-US"/>
              </w:rPr>
            </w:pPr>
            <w:r>
              <w:rPr>
                <w:rFonts w:hint="default" w:ascii="宋体" w:hAnsi="宋体" w:eastAsia="宋体" w:cs="宋体"/>
                <w:color w:val="auto"/>
                <w:kern w:val="0"/>
                <w:sz w:val="24"/>
                <w:szCs w:val="24"/>
                <w:highlight w:val="none"/>
                <w:lang w:val="en-US" w:eastAsia="zh-CN" w:bidi="ar"/>
              </w:rPr>
              <w:t>投标报价不能超过上述总投标限价，否则为废标。</w:t>
            </w:r>
          </w:p>
        </w:tc>
      </w:tr>
      <w:tr w14:paraId="0AD0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4E989B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1692" w:type="dxa"/>
            <w:noWrap w:val="0"/>
            <w:vAlign w:val="center"/>
          </w:tcPr>
          <w:p w14:paraId="5FA8A7A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7050" w:type="dxa"/>
            <w:noWrap w:val="0"/>
            <w:vAlign w:val="center"/>
          </w:tcPr>
          <w:p w14:paraId="09E0445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投标截止之日后90天（日历天），从开标截止之日算起。</w:t>
            </w:r>
          </w:p>
        </w:tc>
      </w:tr>
      <w:tr w14:paraId="3825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22" w:type="dxa"/>
            <w:noWrap w:val="0"/>
            <w:vAlign w:val="center"/>
          </w:tcPr>
          <w:p w14:paraId="68B8040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1692" w:type="dxa"/>
            <w:noWrap w:val="0"/>
            <w:vAlign w:val="center"/>
          </w:tcPr>
          <w:p w14:paraId="57D990A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7050" w:type="dxa"/>
            <w:noWrap w:val="0"/>
            <w:vAlign w:val="center"/>
          </w:tcPr>
          <w:p w14:paraId="22D2E640">
            <w:pPr>
              <w:pageBreakBefore w:val="0"/>
              <w:kinsoku/>
              <w:overflowPunct/>
              <w:topLinePunct w:val="0"/>
              <w:bidi w:val="0"/>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投标保证金形式：投标保证金应当以</w:t>
            </w:r>
            <w:r>
              <w:rPr>
                <w:rFonts w:hint="eastAsia" w:ascii="宋体" w:hAnsi="宋体" w:cs="宋体"/>
                <w:color w:val="auto"/>
                <w:sz w:val="24"/>
                <w:szCs w:val="24"/>
                <w:highlight w:val="none"/>
                <w:lang w:val="en-US" w:eastAsia="zh-CN"/>
              </w:rPr>
              <w:t>转账、</w:t>
            </w:r>
            <w:r>
              <w:rPr>
                <w:rFonts w:hint="eastAsia" w:ascii="宋体" w:hAnsi="宋体" w:eastAsia="宋体" w:cs="宋体"/>
                <w:color w:val="auto"/>
                <w:sz w:val="24"/>
                <w:szCs w:val="24"/>
                <w:highlight w:val="none"/>
                <w:lang w:val="en-US" w:eastAsia="zh-CN"/>
              </w:rPr>
              <w:t>支票、汇票、本票或者金融机构、担保机构出具的保函等非现金形式提交。供应商未按照采购文件要求提交投标保证金的，投标无效。以</w:t>
            </w:r>
            <w:r>
              <w:rPr>
                <w:rFonts w:hint="eastAsia" w:ascii="宋体" w:hAnsi="宋体" w:cs="宋体"/>
                <w:color w:val="auto"/>
                <w:sz w:val="24"/>
                <w:szCs w:val="24"/>
                <w:highlight w:val="none"/>
                <w:lang w:val="en-US" w:eastAsia="zh-CN"/>
              </w:rPr>
              <w:t>转账、</w:t>
            </w:r>
            <w:r>
              <w:rPr>
                <w:rFonts w:hint="eastAsia" w:ascii="宋体" w:hAnsi="宋体" w:eastAsia="宋体" w:cs="宋体"/>
                <w:color w:val="auto"/>
                <w:sz w:val="24"/>
                <w:szCs w:val="24"/>
                <w:highlight w:val="none"/>
                <w:lang w:val="en-US" w:eastAsia="zh-CN"/>
              </w:rPr>
              <w:t>支票形式提交的投标保证金应当从供应商的基本账户转出。</w:t>
            </w:r>
          </w:p>
          <w:p w14:paraId="64C6CB73">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highlight w:val="none"/>
                <w:lang w:eastAsia="zh-CN"/>
              </w:rPr>
            </w:pPr>
            <w:r>
              <w:rPr>
                <w:rFonts w:hint="eastAsia" w:ascii="宋体" w:hAnsi="宋体" w:eastAsia="宋体" w:cs="宋体"/>
                <w:color w:val="auto"/>
                <w:sz w:val="24"/>
                <w:szCs w:val="24"/>
                <w:highlight w:val="none"/>
                <w:lang w:val="en-US" w:eastAsia="zh-CN"/>
              </w:rPr>
              <w:t>投标保证金截止时间：投标保证金须在投标文件递交截止时间前到账；投标保证金的确认以最终到账日期为准。</w:t>
            </w:r>
          </w:p>
          <w:p w14:paraId="609B1076">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15"/>
                <w:sz w:val="24"/>
                <w:highlight w:val="none"/>
                <w:lang w:eastAsia="zh-CN"/>
              </w:rPr>
              <w:t>投标保证金的金</w:t>
            </w:r>
            <w:r>
              <w:rPr>
                <w:rFonts w:hint="eastAsia" w:ascii="宋体" w:hAnsi="宋体" w:eastAsia="宋体" w:cs="宋体"/>
                <w:color w:val="auto"/>
                <w:sz w:val="24"/>
                <w:szCs w:val="24"/>
                <w:highlight w:val="none"/>
                <w:lang w:val="en-US" w:eastAsia="zh-CN"/>
              </w:rPr>
              <w:t>额：</w:t>
            </w:r>
            <w:r>
              <w:rPr>
                <w:rFonts w:hint="eastAsia" w:ascii="宋体" w:hAnsi="宋体" w:cs="宋体"/>
                <w:color w:val="auto"/>
                <w:sz w:val="24"/>
                <w:szCs w:val="24"/>
                <w:highlight w:val="none"/>
                <w:lang w:val="en-US" w:eastAsia="zh-CN"/>
              </w:rPr>
              <w:t>30000</w:t>
            </w:r>
            <w:r>
              <w:rPr>
                <w:rFonts w:hint="eastAsia" w:ascii="宋体" w:hAnsi="宋体" w:eastAsia="宋体" w:cs="宋体"/>
                <w:color w:val="auto"/>
                <w:sz w:val="24"/>
                <w:szCs w:val="24"/>
                <w:highlight w:val="none"/>
                <w:lang w:val="en-US" w:eastAsia="zh-CN"/>
              </w:rPr>
              <w:t>元</w:t>
            </w:r>
          </w:p>
          <w:p w14:paraId="35957867">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highlight w:val="none"/>
                <w:lang w:val="en-US" w:eastAsia="zh-CN"/>
              </w:rPr>
            </w:pPr>
            <w:r>
              <w:rPr>
                <w:rFonts w:hint="eastAsia" w:ascii="宋体" w:hAnsi="宋体" w:eastAsia="宋体" w:cs="宋体"/>
                <w:bCs/>
                <w:color w:val="auto"/>
                <w:kern w:val="15"/>
                <w:sz w:val="24"/>
                <w:highlight w:val="none"/>
                <w:lang w:val="en-US" w:eastAsia="zh-CN"/>
              </w:rPr>
              <w:t xml:space="preserve">收款单位: </w:t>
            </w:r>
            <w:r>
              <w:rPr>
                <w:rFonts w:hint="eastAsia" w:ascii="宋体" w:hAnsi="宋体" w:eastAsia="宋体" w:cs="宋体"/>
                <w:bCs/>
                <w:color w:val="auto"/>
                <w:kern w:val="15"/>
                <w:sz w:val="24"/>
                <w:highlight w:val="none"/>
                <w:lang w:eastAsia="zh-CN"/>
              </w:rPr>
              <w:t>吉林市新诚招标代理有限公司</w:t>
            </w:r>
          </w:p>
          <w:p w14:paraId="50DB6E84">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highlight w:val="none"/>
                <w:lang w:eastAsia="zh-CN"/>
              </w:rPr>
            </w:pPr>
            <w:r>
              <w:rPr>
                <w:rFonts w:hint="eastAsia" w:ascii="宋体" w:hAnsi="宋体" w:eastAsia="宋体" w:cs="宋体"/>
                <w:bCs/>
                <w:color w:val="auto"/>
                <w:kern w:val="15"/>
                <w:sz w:val="24"/>
                <w:highlight w:val="none"/>
                <w:lang w:val="en-US" w:eastAsia="zh-CN"/>
              </w:rPr>
              <w:t>开户行：</w:t>
            </w:r>
            <w:r>
              <w:rPr>
                <w:rFonts w:hint="eastAsia" w:ascii="宋体" w:hAnsi="宋体" w:eastAsia="宋体" w:cs="宋体"/>
                <w:bCs/>
                <w:color w:val="auto"/>
                <w:kern w:val="15"/>
                <w:sz w:val="24"/>
                <w:highlight w:val="none"/>
                <w:lang w:eastAsia="zh-CN"/>
              </w:rPr>
              <w:t>吉林环城农村商业银行</w:t>
            </w:r>
            <w:r>
              <w:rPr>
                <w:rFonts w:hint="eastAsia" w:ascii="宋体" w:hAnsi="宋体" w:eastAsia="宋体" w:cs="宋体"/>
                <w:bCs/>
                <w:color w:val="auto"/>
                <w:kern w:val="15"/>
                <w:sz w:val="24"/>
                <w:highlight w:val="none"/>
                <w:lang w:val="en-US" w:eastAsia="zh-CN"/>
              </w:rPr>
              <w:t>股份有限公司</w:t>
            </w:r>
            <w:r>
              <w:rPr>
                <w:rFonts w:hint="eastAsia" w:ascii="宋体" w:hAnsi="宋体" w:eastAsia="宋体" w:cs="宋体"/>
                <w:bCs/>
                <w:color w:val="auto"/>
                <w:kern w:val="15"/>
                <w:sz w:val="24"/>
                <w:highlight w:val="none"/>
                <w:lang w:eastAsia="zh-CN"/>
              </w:rPr>
              <w:t>政务服务中心支行</w:t>
            </w:r>
          </w:p>
          <w:p w14:paraId="635B084A">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highlight w:val="none"/>
                <w:lang w:val="en-US" w:eastAsia="zh-CN"/>
              </w:rPr>
            </w:pPr>
            <w:r>
              <w:rPr>
                <w:rFonts w:hint="eastAsia" w:ascii="宋体" w:hAnsi="宋体" w:eastAsia="宋体" w:cs="宋体"/>
                <w:bCs/>
                <w:color w:val="auto"/>
                <w:kern w:val="15"/>
                <w:sz w:val="24"/>
                <w:highlight w:val="none"/>
                <w:lang w:val="en-US" w:eastAsia="zh-CN"/>
              </w:rPr>
              <w:t>账号：</w:t>
            </w:r>
            <w:r>
              <w:rPr>
                <w:rFonts w:hint="eastAsia" w:ascii="宋体" w:hAnsi="宋体" w:eastAsia="宋体" w:cs="宋体"/>
                <w:bCs/>
                <w:color w:val="auto"/>
                <w:kern w:val="15"/>
                <w:sz w:val="24"/>
                <w:highlight w:val="none"/>
                <w:lang w:eastAsia="zh-CN"/>
              </w:rPr>
              <w:t>0720622011015200008250</w:t>
            </w:r>
          </w:p>
          <w:p w14:paraId="2DD876C9">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highlight w:val="none"/>
                <w:lang w:val="en-US" w:eastAsia="zh-CN"/>
              </w:rPr>
            </w:pPr>
            <w:r>
              <w:rPr>
                <w:rFonts w:hint="eastAsia" w:ascii="宋体" w:hAnsi="宋体" w:eastAsia="宋体" w:cs="宋体"/>
                <w:bCs/>
                <w:color w:val="auto"/>
                <w:kern w:val="15"/>
                <w:sz w:val="24"/>
                <w:highlight w:val="none"/>
                <w:lang w:val="en-US" w:eastAsia="zh-CN"/>
              </w:rPr>
              <w:t>联系电话：15643604917</w:t>
            </w:r>
          </w:p>
          <w:p w14:paraId="3C9D5EB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val="0"/>
                <w:bCs/>
                <w:color w:val="auto"/>
                <w:kern w:val="15"/>
                <w:sz w:val="24"/>
                <w:szCs w:val="24"/>
                <w:highlight w:val="none"/>
                <w:lang w:val="en-US" w:eastAsia="zh-CN"/>
              </w:rPr>
            </w:pPr>
            <w:r>
              <w:rPr>
                <w:rFonts w:hint="eastAsia" w:ascii="宋体" w:hAnsi="宋体" w:eastAsia="宋体" w:cs="宋体"/>
                <w:b/>
                <w:color w:val="auto"/>
                <w:kern w:val="15"/>
                <w:sz w:val="24"/>
                <w:szCs w:val="24"/>
                <w:highlight w:val="none"/>
              </w:rPr>
              <w:t>注：</w:t>
            </w:r>
            <w:r>
              <w:rPr>
                <w:rFonts w:hint="eastAsia" w:ascii="宋体" w:hAnsi="宋体" w:eastAsia="宋体" w:cs="宋体"/>
                <w:b w:val="0"/>
                <w:bCs/>
                <w:color w:val="auto"/>
                <w:kern w:val="15"/>
                <w:sz w:val="24"/>
                <w:szCs w:val="24"/>
                <w:highlight w:val="none"/>
                <w:lang w:val="en-US" w:eastAsia="zh-CN"/>
              </w:rPr>
              <w:t>1.以支票、汇票、本票等形式递交投标保证金的，在递交截止前</w:t>
            </w:r>
            <w:r>
              <w:rPr>
                <w:rFonts w:hint="eastAsia" w:ascii="宋体" w:hAnsi="宋体" w:cs="宋体"/>
                <w:b w:val="0"/>
                <w:bCs/>
                <w:color w:val="auto"/>
                <w:kern w:val="15"/>
                <w:sz w:val="24"/>
                <w:szCs w:val="24"/>
                <w:highlight w:val="none"/>
                <w:lang w:val="en-US" w:eastAsia="zh-CN"/>
              </w:rPr>
              <w:t>,</w:t>
            </w:r>
            <w:r>
              <w:rPr>
                <w:rFonts w:hint="eastAsia" w:ascii="宋体" w:hAnsi="宋体" w:eastAsia="宋体" w:cs="宋体"/>
                <w:b w:val="0"/>
                <w:bCs/>
                <w:color w:val="auto"/>
                <w:kern w:val="15"/>
                <w:sz w:val="24"/>
                <w:szCs w:val="24"/>
                <w:highlight w:val="none"/>
                <w:lang w:val="en-US" w:eastAsia="zh-CN"/>
              </w:rPr>
              <w:t>应当从投标单位的基本账户一次性转出采购代理机构指定账户，银行进帐单或电汇凭证等凭证上应明确用途为“投标保证金”、项目名称、项目编号、标段等，以便核对查实。缴纳完投标保证金后须将银行的存款回单以邮件的方式传送至采购代理机构。（邮箱：969444636@qq.com）。投标保证金的确认以最终到帐日期为准。</w:t>
            </w:r>
          </w:p>
          <w:p w14:paraId="7A36E40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kern w:val="15"/>
                <w:sz w:val="24"/>
                <w:szCs w:val="24"/>
                <w:highlight w:val="none"/>
                <w:lang w:val="en-US" w:eastAsia="zh-CN"/>
              </w:rPr>
              <w:t>2.以“担保”形式递交投标保证金的，应在递交截止时间前，将担保公司或银行开具的担保保函原件递交到采购代理机构项目负责人处核验，并自留一份复印件附在投标文件。未按规定时间办理，投标将被拒绝。</w:t>
            </w:r>
          </w:p>
        </w:tc>
      </w:tr>
      <w:tr w14:paraId="0888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22" w:type="dxa"/>
            <w:noWrap w:val="0"/>
            <w:vAlign w:val="center"/>
          </w:tcPr>
          <w:p w14:paraId="7419F24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3.4.4</w:t>
            </w:r>
          </w:p>
        </w:tc>
        <w:tc>
          <w:tcPr>
            <w:tcW w:w="1692" w:type="dxa"/>
            <w:noWrap w:val="0"/>
            <w:vAlign w:val="center"/>
          </w:tcPr>
          <w:p w14:paraId="3D4F68B8">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其他可以不予退还投标保证金的情形</w:t>
            </w:r>
          </w:p>
        </w:tc>
        <w:tc>
          <w:tcPr>
            <w:tcW w:w="7050" w:type="dxa"/>
            <w:noWrap w:val="0"/>
            <w:vAlign w:val="center"/>
          </w:tcPr>
          <w:p w14:paraId="2D74DF2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在投标过程中借用他人资质，互相串通、结盟，伪造虚假业绩、人员、财务、履约情况等，或违反国家有关规定，损害招标的公正性和竞争性进行投标者。</w:t>
            </w:r>
          </w:p>
        </w:tc>
      </w:tr>
      <w:tr w14:paraId="3385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628DFB1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1692" w:type="dxa"/>
            <w:noWrap w:val="0"/>
            <w:vAlign w:val="center"/>
          </w:tcPr>
          <w:p w14:paraId="3E1B91A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7050" w:type="dxa"/>
            <w:noWrap w:val="0"/>
            <w:vAlign w:val="center"/>
          </w:tcPr>
          <w:p w14:paraId="05111D9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i w:val="0"/>
                <w:iCs w:val="0"/>
                <w:color w:val="auto"/>
                <w:kern w:val="24"/>
                <w:sz w:val="24"/>
                <w:szCs w:val="24"/>
                <w:highlight w:val="none"/>
                <w:u w:val="none"/>
                <w:lang w:eastAsia="zh-CN"/>
              </w:rPr>
              <w:t>20</w:t>
            </w:r>
            <w:r>
              <w:rPr>
                <w:rFonts w:hint="eastAsia" w:ascii="宋体" w:hAnsi="宋体" w:cs="宋体"/>
                <w:i w:val="0"/>
                <w:iCs w:val="0"/>
                <w:color w:val="auto"/>
                <w:kern w:val="24"/>
                <w:sz w:val="24"/>
                <w:szCs w:val="24"/>
                <w:highlight w:val="none"/>
                <w:u w:val="none"/>
                <w:lang w:val="en-US" w:eastAsia="zh-CN"/>
              </w:rPr>
              <w:t>21</w:t>
            </w:r>
            <w:r>
              <w:rPr>
                <w:rFonts w:hint="eastAsia" w:ascii="宋体" w:hAnsi="宋体" w:eastAsia="宋体" w:cs="宋体"/>
                <w:i w:val="0"/>
                <w:iCs w:val="0"/>
                <w:color w:val="auto"/>
                <w:kern w:val="24"/>
                <w:sz w:val="24"/>
                <w:szCs w:val="24"/>
                <w:highlight w:val="none"/>
                <w:u w:val="none"/>
              </w:rPr>
              <w:t xml:space="preserve"> 年 1 月 1 日起至 </w:t>
            </w:r>
            <w:r>
              <w:rPr>
                <w:rFonts w:hint="eastAsia" w:ascii="宋体" w:hAnsi="宋体" w:cs="宋体"/>
                <w:i w:val="0"/>
                <w:iCs w:val="0"/>
                <w:color w:val="auto"/>
                <w:kern w:val="24"/>
                <w:sz w:val="24"/>
                <w:szCs w:val="24"/>
                <w:highlight w:val="none"/>
                <w:u w:val="none"/>
                <w:lang w:eastAsia="zh-CN"/>
              </w:rPr>
              <w:t>202</w:t>
            </w:r>
            <w:r>
              <w:rPr>
                <w:rFonts w:hint="eastAsia" w:ascii="宋体" w:hAnsi="宋体" w:cs="宋体"/>
                <w:i w:val="0"/>
                <w:iCs w:val="0"/>
                <w:color w:val="auto"/>
                <w:kern w:val="24"/>
                <w:sz w:val="24"/>
                <w:szCs w:val="24"/>
                <w:highlight w:val="none"/>
                <w:u w:val="none"/>
                <w:lang w:val="en-US" w:eastAsia="zh-CN"/>
              </w:rPr>
              <w:t>3</w:t>
            </w:r>
            <w:r>
              <w:rPr>
                <w:rFonts w:hint="eastAsia" w:ascii="宋体" w:hAnsi="宋体" w:eastAsia="宋体" w:cs="宋体"/>
                <w:i w:val="0"/>
                <w:iCs w:val="0"/>
                <w:color w:val="auto"/>
                <w:kern w:val="24"/>
                <w:sz w:val="24"/>
                <w:szCs w:val="24"/>
                <w:highlight w:val="none"/>
                <w:u w:val="none"/>
              </w:rPr>
              <w:t>年 12 月 31 日止。（</w:t>
            </w:r>
            <w:r>
              <w:rPr>
                <w:rFonts w:hint="eastAsia" w:ascii="宋体" w:hAnsi="宋体" w:cs="宋体"/>
                <w:i w:val="0"/>
                <w:iCs w:val="0"/>
                <w:color w:val="auto"/>
                <w:kern w:val="24"/>
                <w:sz w:val="24"/>
                <w:szCs w:val="24"/>
                <w:highlight w:val="none"/>
                <w:u w:val="none"/>
                <w:lang w:val="zh-CN"/>
              </w:rPr>
              <w:t>投标人</w:t>
            </w:r>
            <w:r>
              <w:rPr>
                <w:rFonts w:hint="eastAsia" w:ascii="宋体" w:hAnsi="宋体" w:eastAsia="宋体" w:cs="宋体"/>
                <w:i w:val="0"/>
                <w:iCs w:val="0"/>
                <w:color w:val="auto"/>
                <w:kern w:val="24"/>
                <w:sz w:val="24"/>
                <w:szCs w:val="24"/>
                <w:highlight w:val="none"/>
                <w:u w:val="none"/>
                <w:lang w:val="zh-CN"/>
              </w:rPr>
              <w:t>的成立时间少于规定年份的，应提供成立以来至</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3</w:t>
            </w:r>
            <w:r>
              <w:rPr>
                <w:rFonts w:hint="eastAsia" w:ascii="宋体" w:hAnsi="宋体" w:eastAsia="宋体" w:cs="宋体"/>
                <w:i w:val="0"/>
                <w:iCs w:val="0"/>
                <w:color w:val="auto"/>
                <w:kern w:val="24"/>
                <w:sz w:val="24"/>
                <w:szCs w:val="24"/>
                <w:highlight w:val="none"/>
                <w:u w:val="none"/>
                <w:lang w:val="zh-CN"/>
              </w:rPr>
              <w:t>年</w:t>
            </w:r>
            <w:r>
              <w:rPr>
                <w:rFonts w:hint="eastAsia" w:ascii="宋体" w:hAnsi="宋体" w:cs="宋体"/>
                <w:i w:val="0"/>
                <w:iCs w:val="0"/>
                <w:color w:val="auto"/>
                <w:kern w:val="24"/>
                <w:sz w:val="24"/>
                <w:szCs w:val="24"/>
                <w:highlight w:val="none"/>
                <w:u w:val="none"/>
                <w:lang w:val="en-US" w:eastAsia="zh-CN"/>
              </w:rPr>
              <w:t>的</w:t>
            </w:r>
            <w:r>
              <w:rPr>
                <w:rFonts w:hint="eastAsia" w:ascii="宋体" w:hAnsi="宋体" w:eastAsia="宋体" w:cs="宋体"/>
                <w:i w:val="0"/>
                <w:iCs w:val="0"/>
                <w:color w:val="auto"/>
                <w:kern w:val="24"/>
                <w:sz w:val="24"/>
                <w:szCs w:val="24"/>
                <w:highlight w:val="none"/>
                <w:u w:val="none"/>
                <w:lang w:val="zh-CN"/>
              </w:rPr>
              <w:t>；</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3</w:t>
            </w:r>
            <w:r>
              <w:rPr>
                <w:rFonts w:hint="eastAsia" w:ascii="宋体" w:hAnsi="宋体" w:eastAsia="宋体" w:cs="宋体"/>
                <w:i w:val="0"/>
                <w:iCs w:val="0"/>
                <w:color w:val="auto"/>
                <w:kern w:val="24"/>
                <w:sz w:val="24"/>
                <w:szCs w:val="24"/>
                <w:highlight w:val="none"/>
                <w:u w:val="none"/>
                <w:lang w:val="zh-CN"/>
              </w:rPr>
              <w:t>年</w:t>
            </w:r>
            <w:r>
              <w:rPr>
                <w:rFonts w:hint="eastAsia" w:ascii="宋体" w:hAnsi="宋体" w:cs="宋体"/>
                <w:i w:val="0"/>
                <w:iCs w:val="0"/>
                <w:color w:val="auto"/>
                <w:kern w:val="24"/>
                <w:sz w:val="24"/>
                <w:szCs w:val="24"/>
                <w:highlight w:val="none"/>
                <w:u w:val="none"/>
                <w:lang w:val="en-US" w:eastAsia="zh-CN"/>
              </w:rPr>
              <w:t>以后</w:t>
            </w:r>
            <w:r>
              <w:rPr>
                <w:rFonts w:hint="eastAsia" w:ascii="宋体" w:hAnsi="宋体" w:eastAsia="宋体" w:cs="宋体"/>
                <w:i w:val="0"/>
                <w:iCs w:val="0"/>
                <w:color w:val="auto"/>
                <w:kern w:val="24"/>
                <w:sz w:val="24"/>
                <w:szCs w:val="24"/>
                <w:highlight w:val="none"/>
                <w:u w:val="none"/>
                <w:lang w:val="zh-CN"/>
              </w:rPr>
              <w:t>成立企业需提供当年银行出具的公司资信证明）。</w:t>
            </w:r>
          </w:p>
        </w:tc>
      </w:tr>
      <w:tr w14:paraId="5588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61D51A7">
            <w:pPr>
              <w:keepNext w:val="0"/>
              <w:keepLines w:val="0"/>
              <w:pageBreakBefore w:val="0"/>
              <w:widowControl w:val="0"/>
              <w:kinsoku/>
              <w:wordWrap w:val="0"/>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w:t>
            </w:r>
          </w:p>
        </w:tc>
        <w:tc>
          <w:tcPr>
            <w:tcW w:w="1692" w:type="dxa"/>
            <w:noWrap w:val="0"/>
            <w:vAlign w:val="center"/>
          </w:tcPr>
          <w:p w14:paraId="0F9BA36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7050" w:type="dxa"/>
            <w:noWrap w:val="0"/>
            <w:vAlign w:val="center"/>
          </w:tcPr>
          <w:p w14:paraId="17D21B1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20</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年1月1日至招标公告发布之日止。</w:t>
            </w:r>
          </w:p>
        </w:tc>
      </w:tr>
      <w:tr w14:paraId="344A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13F34E5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3.6.1</w:t>
            </w:r>
          </w:p>
        </w:tc>
        <w:tc>
          <w:tcPr>
            <w:tcW w:w="1692" w:type="dxa"/>
            <w:noWrap w:val="0"/>
            <w:vAlign w:val="center"/>
          </w:tcPr>
          <w:p w14:paraId="19A61FF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是否允许递交备选投标方案</w:t>
            </w:r>
          </w:p>
        </w:tc>
        <w:tc>
          <w:tcPr>
            <w:tcW w:w="7050" w:type="dxa"/>
            <w:noWrap w:val="0"/>
            <w:vAlign w:val="center"/>
          </w:tcPr>
          <w:p w14:paraId="13056006">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highlight w:val="none"/>
                <w:lang w:val="zh-CN"/>
              </w:rPr>
              <w:t>不允许</w:t>
            </w:r>
          </w:p>
          <w:p w14:paraId="7AB75FE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zh-CN"/>
              </w:rPr>
              <w:t>允许</w:t>
            </w:r>
          </w:p>
        </w:tc>
      </w:tr>
      <w:tr w14:paraId="63B2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6936F1EF">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3.7.3（</w:t>
            </w: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w:t>
            </w:r>
          </w:p>
        </w:tc>
        <w:tc>
          <w:tcPr>
            <w:tcW w:w="1692" w:type="dxa"/>
            <w:noWrap w:val="0"/>
            <w:vAlign w:val="center"/>
          </w:tcPr>
          <w:p w14:paraId="3DF8855E">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投标文件是否需要分册装订</w:t>
            </w:r>
          </w:p>
        </w:tc>
        <w:tc>
          <w:tcPr>
            <w:tcW w:w="7050" w:type="dxa"/>
            <w:noWrap w:val="0"/>
            <w:vAlign w:val="center"/>
          </w:tcPr>
          <w:p w14:paraId="316C87C5">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zh-CN"/>
              </w:rPr>
              <w:t>是</w:t>
            </w:r>
          </w:p>
          <w:p w14:paraId="42E53D15">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highlight w:val="none"/>
                <w:lang w:val="zh-CN"/>
              </w:rPr>
              <w:t>否</w:t>
            </w:r>
          </w:p>
        </w:tc>
      </w:tr>
      <w:tr w14:paraId="21F2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BC81E3F">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3.7.3（</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w:t>
            </w:r>
          </w:p>
        </w:tc>
        <w:tc>
          <w:tcPr>
            <w:tcW w:w="1692" w:type="dxa"/>
            <w:noWrap w:val="0"/>
            <w:vAlign w:val="center"/>
          </w:tcPr>
          <w:p w14:paraId="309700ED">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投标文件的补充递交</w:t>
            </w:r>
          </w:p>
        </w:tc>
        <w:tc>
          <w:tcPr>
            <w:tcW w:w="7050" w:type="dxa"/>
            <w:noWrap w:val="0"/>
            <w:vAlign w:val="center"/>
          </w:tcPr>
          <w:p w14:paraId="4F50C6F5">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t>中标单位需在中标通知书领取之前到采购代理机构提交纸质版投标文件</w:t>
            </w:r>
            <w:r>
              <w:rPr>
                <w:rFonts w:hint="eastAsia" w:ascii="宋体" w:hAnsi="宋体" w:cs="宋体"/>
                <w:bCs/>
                <w:color w:val="auto"/>
                <w:sz w:val="24"/>
                <w:highlight w:val="none"/>
                <w:lang w:val="en-US" w:eastAsia="zh-CN"/>
              </w:rPr>
              <w:t>正本1份、</w:t>
            </w:r>
            <w:r>
              <w:rPr>
                <w:rFonts w:hint="eastAsia" w:ascii="宋体" w:hAnsi="宋体" w:eastAsia="宋体" w:cs="宋体"/>
                <w:bCs/>
                <w:color w:val="auto"/>
                <w:sz w:val="24"/>
                <w:highlight w:val="none"/>
                <w:lang w:val="zh-CN"/>
              </w:rPr>
              <w:t>副本</w:t>
            </w:r>
            <w:r>
              <w:rPr>
                <w:rFonts w:hint="eastAsia" w:ascii="宋体" w:hAnsi="宋体" w:cs="宋体"/>
                <w:bCs/>
                <w:color w:val="auto"/>
                <w:sz w:val="24"/>
                <w:highlight w:val="none"/>
                <w:lang w:val="en-US" w:eastAsia="zh-CN"/>
              </w:rPr>
              <w:t>4份</w:t>
            </w:r>
            <w:r>
              <w:rPr>
                <w:rFonts w:hint="eastAsia" w:ascii="宋体" w:hAnsi="宋体" w:eastAsia="宋体" w:cs="宋体"/>
                <w:bCs/>
                <w:color w:val="auto"/>
                <w:sz w:val="24"/>
                <w:highlight w:val="none"/>
                <w:lang w:val="zh-CN"/>
              </w:rPr>
              <w:t>（中标单位提交的纸质版投标文件副本，必须与上传的电子投标文件以及开标截止时间前递交的纸质版投标文件正本相同，装订要整齐、牢固、采用左侧纵向无线胶订机胶订，编制目录及页码，使用标准的宋体字、A4纸打印胶装装订成册），否则视为放弃中标。</w:t>
            </w:r>
          </w:p>
        </w:tc>
      </w:tr>
      <w:tr w14:paraId="7D7E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E6A35D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w:t>
            </w:r>
            <w:r>
              <w:rPr>
                <w:rFonts w:hint="eastAsia" w:ascii="宋体" w:hAnsi="宋体" w:eastAsia="宋体" w:cs="宋体"/>
                <w:bCs/>
                <w:color w:val="auto"/>
                <w:sz w:val="24"/>
                <w:szCs w:val="24"/>
                <w:highlight w:val="none"/>
              </w:rPr>
              <w:t>4</w:t>
            </w:r>
          </w:p>
        </w:tc>
        <w:tc>
          <w:tcPr>
            <w:tcW w:w="1692" w:type="dxa"/>
            <w:noWrap w:val="0"/>
            <w:vAlign w:val="center"/>
          </w:tcPr>
          <w:p w14:paraId="75C1CE7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投标文件上传</w:t>
            </w:r>
          </w:p>
        </w:tc>
        <w:tc>
          <w:tcPr>
            <w:tcW w:w="7050" w:type="dxa"/>
            <w:noWrap w:val="0"/>
            <w:vAlign w:val="center"/>
          </w:tcPr>
          <w:p w14:paraId="5BDF0EB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eastAsia="zh-CN"/>
              </w:rPr>
              <w:t>供应商</w:t>
            </w:r>
            <w:r>
              <w:rPr>
                <w:rFonts w:hint="eastAsia" w:ascii="宋体" w:hAnsi="宋体" w:eastAsia="宋体" w:cs="宋体"/>
                <w:bCs/>
                <w:color w:val="auto"/>
                <w:kern w:val="15"/>
                <w:sz w:val="24"/>
                <w:szCs w:val="24"/>
                <w:highlight w:val="none"/>
              </w:rPr>
              <w:t>需在开标前将投标文件制作工具生成的加密文件上传到</w:t>
            </w:r>
            <w:r>
              <w:rPr>
                <w:rFonts w:hint="eastAsia" w:ascii="宋体" w:hAnsi="宋体" w:cs="宋体"/>
                <w:bCs/>
                <w:color w:val="auto"/>
                <w:sz w:val="24"/>
                <w:szCs w:val="24"/>
                <w:highlight w:val="none"/>
              </w:rPr>
              <w:t>政府采购云平台（网址：http://www.zcygov.cn）</w:t>
            </w:r>
            <w:r>
              <w:rPr>
                <w:rFonts w:hint="eastAsia" w:ascii="宋体" w:hAnsi="宋体" w:eastAsia="宋体" w:cs="宋体"/>
                <w:bCs/>
                <w:color w:val="auto"/>
                <w:kern w:val="15"/>
                <w:sz w:val="24"/>
                <w:szCs w:val="24"/>
                <w:highlight w:val="none"/>
              </w:rPr>
              <w:t>。</w:t>
            </w:r>
          </w:p>
        </w:tc>
      </w:tr>
      <w:tr w14:paraId="6800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7CDC62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4.2.1</w:t>
            </w:r>
          </w:p>
        </w:tc>
        <w:tc>
          <w:tcPr>
            <w:tcW w:w="1692" w:type="dxa"/>
            <w:noWrap w:val="0"/>
            <w:vAlign w:val="center"/>
          </w:tcPr>
          <w:p w14:paraId="4FA2628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供应商上传提交投标文件的截止时间(开标时间）</w:t>
            </w:r>
          </w:p>
        </w:tc>
        <w:tc>
          <w:tcPr>
            <w:tcW w:w="7050" w:type="dxa"/>
            <w:noWrap w:val="0"/>
            <w:vAlign w:val="center"/>
          </w:tcPr>
          <w:p w14:paraId="5A50B1B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202</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年</w:t>
            </w:r>
            <w:r>
              <w:rPr>
                <w:rFonts w:hint="eastAsia" w:ascii="宋体" w:hAnsi="宋体" w:cs="宋体"/>
                <w:bCs/>
                <w:color w:val="auto"/>
                <w:sz w:val="24"/>
                <w:szCs w:val="24"/>
                <w:highlight w:val="none"/>
                <w:lang w:val="en-US" w:eastAsia="zh-CN"/>
              </w:rPr>
              <w:t>10月12</w:t>
            </w:r>
            <w:r>
              <w:rPr>
                <w:rFonts w:hint="eastAsia" w:ascii="宋体" w:hAnsi="宋体" w:cs="宋体"/>
                <w:bCs/>
                <w:color w:val="auto"/>
                <w:sz w:val="24"/>
                <w:szCs w:val="24"/>
                <w:highlight w:val="none"/>
                <w:lang w:eastAsia="zh-CN"/>
              </w:rPr>
              <w:t>日09时30分（北京时间）</w:t>
            </w:r>
          </w:p>
        </w:tc>
      </w:tr>
      <w:tr w14:paraId="7AA7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C12884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.2</w:t>
            </w:r>
          </w:p>
        </w:tc>
        <w:tc>
          <w:tcPr>
            <w:tcW w:w="1692" w:type="dxa"/>
            <w:noWrap w:val="0"/>
            <w:vAlign w:val="center"/>
          </w:tcPr>
          <w:p w14:paraId="5D0FD8E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供应商上传提交投标文件的平台</w:t>
            </w:r>
          </w:p>
        </w:tc>
        <w:tc>
          <w:tcPr>
            <w:tcW w:w="7050" w:type="dxa"/>
            <w:noWrap w:val="0"/>
            <w:vAlign w:val="top"/>
          </w:tcPr>
          <w:p w14:paraId="328E4326">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本项目执行电子化招投标，供应商须通过政府采购云平台（网址：http://www.zcygov.cn）递交电子版</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eastAsia="zh-CN"/>
              </w:rPr>
              <w:t>。</w:t>
            </w:r>
          </w:p>
        </w:tc>
      </w:tr>
      <w:tr w14:paraId="1889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14F749C8">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4.2.3</w:t>
            </w:r>
          </w:p>
        </w:tc>
        <w:tc>
          <w:tcPr>
            <w:tcW w:w="1692" w:type="dxa"/>
            <w:noWrap w:val="0"/>
            <w:vAlign w:val="center"/>
          </w:tcPr>
          <w:p w14:paraId="1ACB454F">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投标文件是否退还</w:t>
            </w:r>
          </w:p>
        </w:tc>
        <w:tc>
          <w:tcPr>
            <w:tcW w:w="7050" w:type="dxa"/>
            <w:noWrap w:val="0"/>
            <w:vAlign w:val="center"/>
          </w:tcPr>
          <w:p w14:paraId="2543D29F">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lang w:val="zh-CN"/>
              </w:rPr>
              <w:t>是</w:t>
            </w:r>
          </w:p>
          <w:p w14:paraId="3A306FE5">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highlight w:val="none"/>
                <w:lang w:val="zh-CN"/>
              </w:rPr>
              <w:fldChar w:fldCharType="begin"/>
            </w:r>
            <w:r>
              <w:rPr>
                <w:rFonts w:hint="eastAsia" w:ascii="宋体" w:hAnsi="宋体" w:eastAsia="宋体" w:cs="宋体"/>
                <w:bCs/>
                <w:color w:val="auto"/>
                <w:kern w:val="0"/>
                <w:sz w:val="24"/>
                <w:highlight w:val="none"/>
                <w:lang w:val="zh-CN"/>
              </w:rPr>
              <w:instrText xml:space="preserve">eq \o\ac(□,√)</w:instrText>
            </w:r>
            <w:r>
              <w:rPr>
                <w:rFonts w:hint="eastAsia" w:ascii="宋体" w:hAnsi="宋体" w:eastAsia="宋体" w:cs="宋体"/>
                <w:bCs/>
                <w:color w:val="auto"/>
                <w:kern w:val="0"/>
                <w:sz w:val="24"/>
                <w:highlight w:val="none"/>
                <w:lang w:val="zh-CN"/>
              </w:rPr>
              <w:fldChar w:fldCharType="end"/>
            </w:r>
            <w:r>
              <w:rPr>
                <w:rFonts w:hint="eastAsia" w:ascii="宋体" w:hAnsi="宋体" w:eastAsia="宋体" w:cs="宋体"/>
                <w:bCs/>
                <w:color w:val="auto"/>
                <w:kern w:val="0"/>
                <w:sz w:val="24"/>
                <w:highlight w:val="none"/>
                <w:lang w:val="zh-CN"/>
              </w:rPr>
              <w:t>否</w:t>
            </w:r>
            <w:r>
              <w:rPr>
                <w:rFonts w:hint="eastAsia" w:ascii="宋体" w:hAnsi="宋体" w:eastAsia="宋体" w:cs="宋体"/>
                <w:bCs/>
                <w:color w:val="auto"/>
                <w:sz w:val="24"/>
                <w:highlight w:val="none"/>
                <w:lang w:val="zh-CN"/>
              </w:rPr>
              <w:t>，已递交的投标文件不予返还，请供应商自行做好备份工作。</w:t>
            </w:r>
          </w:p>
        </w:tc>
      </w:tr>
      <w:tr w14:paraId="64A6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0B498C4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1692" w:type="dxa"/>
            <w:noWrap w:val="0"/>
            <w:vAlign w:val="center"/>
          </w:tcPr>
          <w:p w14:paraId="2375B1A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7050" w:type="dxa"/>
            <w:noWrap w:val="0"/>
            <w:vAlign w:val="top"/>
          </w:tcPr>
          <w:p w14:paraId="72076AE4">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评标委员会构成：5人</w:t>
            </w:r>
          </w:p>
          <w:p w14:paraId="196EE890">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其中采购人代表0</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人，专家</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5人。</w:t>
            </w:r>
          </w:p>
          <w:p w14:paraId="783CBBF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评标专家确定方式由采购人在行政监督部门的监督下在</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的专家库中随机抽取。</w:t>
            </w:r>
          </w:p>
        </w:tc>
      </w:tr>
      <w:tr w14:paraId="4A19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105AFA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w:t>
            </w:r>
          </w:p>
        </w:tc>
        <w:tc>
          <w:tcPr>
            <w:tcW w:w="1692" w:type="dxa"/>
            <w:noWrap w:val="0"/>
            <w:vAlign w:val="center"/>
          </w:tcPr>
          <w:p w14:paraId="36E8433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评标委员会推荐中标候选人的人数</w:t>
            </w:r>
          </w:p>
        </w:tc>
        <w:tc>
          <w:tcPr>
            <w:tcW w:w="7050" w:type="dxa"/>
            <w:noWrap w:val="0"/>
            <w:vAlign w:val="center"/>
          </w:tcPr>
          <w:p w14:paraId="75C008CB">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推荐的中标候选人数：3人。评标委员会推荐初步评审合格，综合评审得分由高到低排名第一、第二、第三的供应商为中标候选人。</w:t>
            </w:r>
          </w:p>
        </w:tc>
      </w:tr>
      <w:tr w14:paraId="5E92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42D0BF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7.1</w:t>
            </w:r>
          </w:p>
        </w:tc>
        <w:tc>
          <w:tcPr>
            <w:tcW w:w="1692" w:type="dxa"/>
            <w:noWrap w:val="0"/>
            <w:vAlign w:val="center"/>
          </w:tcPr>
          <w:p w14:paraId="0349DFE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中标</w:t>
            </w:r>
            <w:r>
              <w:rPr>
                <w:rFonts w:hint="eastAsia" w:ascii="宋体" w:hAnsi="宋体" w:eastAsia="宋体" w:cs="宋体"/>
                <w:bCs/>
                <w:color w:val="000000" w:themeColor="text1"/>
                <w:sz w:val="24"/>
                <w:szCs w:val="24"/>
                <w:highlight w:val="none"/>
                <w:lang w:eastAsia="zh-CN"/>
                <w14:textFill>
                  <w14:solidFill>
                    <w14:schemeClr w14:val="tx1"/>
                  </w14:solidFill>
                </w14:textFill>
              </w:rPr>
              <w:t>结果公告</w:t>
            </w:r>
            <w:r>
              <w:rPr>
                <w:rFonts w:hint="eastAsia" w:ascii="宋体" w:hAnsi="宋体" w:eastAsia="宋体" w:cs="宋体"/>
                <w:bCs/>
                <w:color w:val="000000" w:themeColor="text1"/>
                <w:sz w:val="24"/>
                <w:szCs w:val="24"/>
                <w:highlight w:val="none"/>
                <w14:textFill>
                  <w14:solidFill>
                    <w14:schemeClr w14:val="tx1"/>
                  </w14:solidFill>
                </w14:textFill>
              </w:rPr>
              <w:t>媒介及期限</w:t>
            </w:r>
          </w:p>
        </w:tc>
        <w:tc>
          <w:tcPr>
            <w:tcW w:w="7050" w:type="dxa"/>
            <w:noWrap w:val="0"/>
            <w:vAlign w:val="center"/>
          </w:tcPr>
          <w:p w14:paraId="5037C4CE">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公</w:t>
            </w:r>
            <w:r>
              <w:rPr>
                <w:rFonts w:hint="eastAsia" w:ascii="宋体" w:hAnsi="宋体" w:eastAsia="宋体" w:cs="宋体"/>
                <w:bCs/>
                <w:color w:val="000000" w:themeColor="text1"/>
                <w:sz w:val="24"/>
                <w:szCs w:val="24"/>
                <w:highlight w:val="none"/>
                <w:lang w:eastAsia="zh-CN"/>
                <w14:textFill>
                  <w14:solidFill>
                    <w14:schemeClr w14:val="tx1"/>
                  </w14:solidFill>
                </w14:textFill>
              </w:rPr>
              <w:t>告</w:t>
            </w:r>
            <w:r>
              <w:rPr>
                <w:rFonts w:hint="eastAsia" w:ascii="宋体" w:hAnsi="宋体" w:eastAsia="宋体" w:cs="宋体"/>
                <w:bCs/>
                <w:color w:val="000000" w:themeColor="text1"/>
                <w:sz w:val="24"/>
                <w:szCs w:val="24"/>
                <w:highlight w:val="none"/>
                <w14:textFill>
                  <w14:solidFill>
                    <w14:schemeClr w14:val="tx1"/>
                  </w14:solidFill>
                </w14:textFill>
              </w:rPr>
              <w:t>媒</w:t>
            </w:r>
            <w:r>
              <w:rPr>
                <w:rFonts w:hint="eastAsia" w:ascii="宋体" w:hAnsi="宋体" w:eastAsia="宋体" w:cs="宋体"/>
                <w:bCs/>
                <w:color w:val="000000" w:themeColor="text1"/>
                <w:sz w:val="24"/>
                <w:szCs w:val="24"/>
                <w:highlight w:val="none"/>
                <w:lang w:eastAsia="zh-CN"/>
                <w14:textFill>
                  <w14:solidFill>
                    <w14:schemeClr w14:val="tx1"/>
                  </w14:solidFill>
                </w14:textFill>
              </w:rPr>
              <w:t>介：在“政采云”平台(http：//www.zcygov.cn)（同步推送到吉林省政府采购网）、中国政府采购网同时发布；</w:t>
            </w:r>
          </w:p>
          <w:p w14:paraId="0295B8A5">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公告期限：1个工作日。</w:t>
            </w:r>
          </w:p>
        </w:tc>
      </w:tr>
      <w:tr w14:paraId="2CEC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25AD9BA2">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7.4</w:t>
            </w:r>
          </w:p>
        </w:tc>
        <w:tc>
          <w:tcPr>
            <w:tcW w:w="1692" w:type="dxa"/>
            <w:noWrap w:val="0"/>
            <w:vAlign w:val="center"/>
          </w:tcPr>
          <w:p w14:paraId="7D95576D">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是否授权评标委员会确定中标供应商</w:t>
            </w:r>
          </w:p>
        </w:tc>
        <w:tc>
          <w:tcPr>
            <w:tcW w:w="7050" w:type="dxa"/>
            <w:noWrap w:val="0"/>
            <w:vAlign w:val="center"/>
          </w:tcPr>
          <w:p w14:paraId="4EFD6A24">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□是</w:t>
            </w:r>
          </w:p>
          <w:p w14:paraId="648168FD">
            <w:pPr>
              <w:keepNext w:val="0"/>
              <w:keepLines w:val="0"/>
              <w:pageBreakBefore w:val="0"/>
              <w:widowControl w:val="0"/>
              <w:kinsoku/>
              <w:wordWrap w:val="0"/>
              <w:overflowPunct/>
              <w:topLinePunct w:val="0"/>
              <w:autoSpaceDE/>
              <w:autoSpaceDN/>
              <w:bidi w:val="0"/>
              <w:spacing w:line="400" w:lineRule="exact"/>
              <w:textAlignment w:val="auto"/>
              <w:rPr>
                <w:rFonts w:hint="eastAsia" w:ascii="宋体" w:hAnsi="宋体" w:eastAsia="宋体" w:cs="宋体"/>
                <w:bCs/>
                <w:color w:val="auto"/>
                <w:kern w:val="15"/>
                <w:sz w:val="24"/>
                <w:highlight w:val="none"/>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eq \o\ac(□,√)</w:instrText>
            </w:r>
            <w:r>
              <w:rPr>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rPr>
              <w:t>否</w:t>
            </w:r>
          </w:p>
        </w:tc>
      </w:tr>
      <w:tr w14:paraId="4B48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BC5B65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w:t>
            </w:r>
          </w:p>
        </w:tc>
        <w:tc>
          <w:tcPr>
            <w:tcW w:w="1692" w:type="dxa"/>
            <w:noWrap w:val="0"/>
            <w:vAlign w:val="center"/>
          </w:tcPr>
          <w:p w14:paraId="7179D2DB">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履约保证金</w:t>
            </w:r>
          </w:p>
        </w:tc>
        <w:tc>
          <w:tcPr>
            <w:tcW w:w="7050" w:type="dxa"/>
            <w:noWrap w:val="0"/>
            <w:vAlign w:val="center"/>
          </w:tcPr>
          <w:p w14:paraId="4F76C192">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是否要求</w:t>
            </w:r>
            <w:r>
              <w:rPr>
                <w:rFonts w:hint="eastAsia" w:ascii="宋体" w:hAnsi="宋体" w:eastAsia="宋体" w:cs="宋体"/>
                <w:bCs/>
                <w:color w:val="auto"/>
                <w:sz w:val="24"/>
                <w:highlight w:val="none"/>
                <w:lang w:eastAsia="zh-CN"/>
              </w:rPr>
              <w:t>中标供应商</w:t>
            </w:r>
            <w:r>
              <w:rPr>
                <w:rFonts w:hint="eastAsia" w:ascii="宋体" w:hAnsi="宋体" w:eastAsia="宋体" w:cs="宋体"/>
                <w:bCs/>
                <w:color w:val="auto"/>
                <w:sz w:val="24"/>
                <w:highlight w:val="none"/>
              </w:rPr>
              <w:t>提交履约保证金：</w:t>
            </w:r>
          </w:p>
          <w:p w14:paraId="5EF9962C">
            <w:pPr>
              <w:pageBreakBefore w:val="0"/>
              <w:kinsoku/>
              <w:overflowPunct/>
              <w:topLinePunct w:val="0"/>
              <w:bidi w:val="0"/>
              <w:adjustRightInd w:val="0"/>
              <w:snapToGrid w:val="0"/>
              <w:spacing w:line="288" w:lineRule="auto"/>
              <w:ind w:firstLine="960" w:firstLineChars="400"/>
              <w:textAlignment w:val="auto"/>
              <w:rPr>
                <w:rFonts w:hint="default" w:ascii="宋体" w:hAnsi="宋体" w:eastAsia="宋体" w:cs="宋体"/>
                <w:bCs/>
                <w:color w:val="auto"/>
                <w:kern w:val="15"/>
                <w:sz w:val="24"/>
                <w:szCs w:val="24"/>
                <w:highlight w:val="none"/>
                <w:lang w:val="en-US" w:eastAsia="zh-CN"/>
              </w:rPr>
            </w:pPr>
            <w:r>
              <w:rPr>
                <w:rFonts w:hint="eastAsia" w:ascii="宋体" w:hAnsi="宋体" w:eastAsia="宋体" w:cs="宋体"/>
                <w:bCs/>
                <w:color w:val="auto"/>
                <w:sz w:val="24"/>
                <w:highlight w:val="none"/>
              </w:rPr>
              <w:sym w:font="Wingdings 2" w:char="00A3"/>
            </w:r>
          </w:p>
          <w:p w14:paraId="0DE2838E">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color w:val="auto"/>
                <w:kern w:val="0"/>
                <w:sz w:val="24"/>
                <w:szCs w:val="24"/>
                <w:highlight w:val="none"/>
              </w:rPr>
              <w:instrText xml:space="preserve">eq \o\ac(□</w:instrText>
            </w:r>
            <w:r>
              <w:rPr>
                <w:rFonts w:hint="eastAsia" w:ascii="宋体" w:hAnsi="宋体" w:cs="宋体"/>
                <w:b/>
                <w:bCs w:val="0"/>
                <w:color w:val="auto"/>
                <w:kern w:val="0"/>
                <w:sz w:val="24"/>
                <w:szCs w:val="24"/>
                <w:highlight w:val="none"/>
                <w:lang w:eastAsia="zh-CN"/>
              </w:rPr>
              <w:instrText xml:space="preserve">,</w:instrText>
            </w:r>
            <w:r>
              <w:rPr>
                <w:rFonts w:hint="eastAsia" w:ascii="宋体" w:hAnsi="宋体" w:cs="宋体"/>
                <w:b/>
                <w:bCs w:val="0"/>
                <w:color w:val="auto"/>
                <w:kern w:val="0"/>
                <w:position w:val="2"/>
                <w:sz w:val="16"/>
                <w:szCs w:val="24"/>
                <w:highlight w:val="none"/>
                <w:lang w:eastAsia="zh-CN"/>
              </w:rPr>
              <w:instrText xml:space="preserve">√</w:instrText>
            </w:r>
            <w:r>
              <w:rPr>
                <w:rFonts w:hint="eastAsia" w:ascii="宋体" w:hAnsi="宋体" w:eastAsia="宋体" w:cs="宋体"/>
                <w:b/>
                <w:bCs w:val="0"/>
                <w:color w:val="auto"/>
                <w:kern w:val="0"/>
                <w:sz w:val="24"/>
                <w:szCs w:val="24"/>
                <w:highlight w:val="none"/>
              </w:rPr>
              <w:instrText xml:space="preserve">)</w:instrText>
            </w:r>
            <w:r>
              <w:rPr>
                <w:rFonts w:hint="eastAsia" w:ascii="宋体" w:hAnsi="宋体" w:eastAsia="宋体" w:cs="宋体"/>
                <w:b/>
                <w:bCs w:val="0"/>
                <w:color w:val="auto"/>
                <w:kern w:val="0"/>
                <w:sz w:val="24"/>
                <w:szCs w:val="24"/>
                <w:highlight w:val="none"/>
              </w:rPr>
              <w:fldChar w:fldCharType="end"/>
            </w:r>
            <w:r>
              <w:rPr>
                <w:rFonts w:hint="eastAsia" w:ascii="宋体" w:hAnsi="宋体" w:eastAsia="宋体" w:cs="宋体"/>
                <w:b/>
                <w:bCs w:val="0"/>
                <w:color w:val="auto"/>
                <w:sz w:val="24"/>
                <w:highlight w:val="none"/>
              </w:rPr>
              <w:t>不要求</w:t>
            </w:r>
          </w:p>
        </w:tc>
      </w:tr>
      <w:tr w14:paraId="2691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2FA931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w:t>
            </w:r>
          </w:p>
        </w:tc>
        <w:tc>
          <w:tcPr>
            <w:tcW w:w="1692" w:type="dxa"/>
            <w:noWrap w:val="0"/>
            <w:vAlign w:val="center"/>
          </w:tcPr>
          <w:p w14:paraId="063BA36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是否采用电子招标投标</w:t>
            </w:r>
          </w:p>
        </w:tc>
        <w:tc>
          <w:tcPr>
            <w:tcW w:w="7050" w:type="dxa"/>
            <w:noWrap w:val="0"/>
            <w:vAlign w:val="center"/>
          </w:tcPr>
          <w:p w14:paraId="1F12EE4E">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□否</w:t>
            </w:r>
          </w:p>
          <w:p w14:paraId="13B7C6E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color w:val="auto"/>
                <w:kern w:val="0"/>
                <w:sz w:val="24"/>
                <w:szCs w:val="24"/>
                <w:highlight w:val="none"/>
              </w:rPr>
              <w:instrText xml:space="preserve">eq \o\ac(□,√)</w:instrTex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是，具体要求：详见</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须知前附表第10.9项。</w:t>
            </w:r>
          </w:p>
        </w:tc>
      </w:tr>
      <w:tr w14:paraId="7ABA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CC1578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1</w:t>
            </w:r>
          </w:p>
        </w:tc>
        <w:tc>
          <w:tcPr>
            <w:tcW w:w="1692" w:type="dxa"/>
            <w:noWrap w:val="0"/>
            <w:vAlign w:val="center"/>
          </w:tcPr>
          <w:p w14:paraId="55742CD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val="zh-CN"/>
              </w:rPr>
              <w:t>评审办法</w:t>
            </w:r>
          </w:p>
        </w:tc>
        <w:tc>
          <w:tcPr>
            <w:tcW w:w="7050" w:type="dxa"/>
            <w:noWrap w:val="0"/>
            <w:vAlign w:val="center"/>
          </w:tcPr>
          <w:p w14:paraId="01820C2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val="zh-CN"/>
              </w:rPr>
              <w:t>综合评分法</w:t>
            </w:r>
          </w:p>
        </w:tc>
      </w:tr>
      <w:tr w14:paraId="5751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9CE35F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.2</w:t>
            </w:r>
          </w:p>
        </w:tc>
        <w:tc>
          <w:tcPr>
            <w:tcW w:w="1692" w:type="dxa"/>
            <w:noWrap w:val="0"/>
            <w:vAlign w:val="center"/>
          </w:tcPr>
          <w:p w14:paraId="53218C6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报价合理性</w:t>
            </w:r>
          </w:p>
        </w:tc>
        <w:tc>
          <w:tcPr>
            <w:tcW w:w="7050" w:type="dxa"/>
            <w:noWrap w:val="0"/>
            <w:vAlign w:val="center"/>
          </w:tcPr>
          <w:p w14:paraId="391C9C0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依据财政部第87号令第60条：</w:t>
            </w:r>
          </w:p>
          <w:p w14:paraId="6382D85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评标委员会认为投标人的报价明显低于其他通过符合性审查投标人的报价，有可能影响产品质量或者不能诚信履约的，应当要求其在评标现场</w:t>
            </w:r>
            <w:r>
              <w:rPr>
                <w:rFonts w:hint="eastAsia" w:ascii="宋体" w:hAnsi="宋体" w:eastAsia="宋体" w:cs="宋体"/>
                <w:bCs/>
                <w:color w:val="auto"/>
                <w:kern w:val="15"/>
                <w:sz w:val="24"/>
                <w:szCs w:val="24"/>
                <w:highlight w:val="none"/>
                <w:lang w:val="zh-CN" w:eastAsia="zh-CN"/>
              </w:rPr>
              <w:t>规定</w:t>
            </w:r>
            <w:r>
              <w:rPr>
                <w:rFonts w:hint="eastAsia" w:ascii="宋体" w:hAnsi="宋体" w:eastAsia="宋体" w:cs="宋体"/>
                <w:bCs/>
                <w:color w:val="auto"/>
                <w:kern w:val="15"/>
                <w:sz w:val="24"/>
                <w:szCs w:val="24"/>
                <w:highlight w:val="none"/>
                <w:lang w:val="zh-CN"/>
              </w:rPr>
              <w:t>时间内提供书面说明，必要时提交相关证明材料；投标人不能证明其报价合理性的，评标委员会应当将其作为无效投标处理。</w:t>
            </w:r>
          </w:p>
        </w:tc>
      </w:tr>
      <w:tr w14:paraId="7AA5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28432B4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3</w:t>
            </w:r>
          </w:p>
        </w:tc>
        <w:tc>
          <w:tcPr>
            <w:tcW w:w="1692" w:type="dxa"/>
            <w:noWrap w:val="0"/>
            <w:vAlign w:val="center"/>
          </w:tcPr>
          <w:p w14:paraId="2A5B37C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7050" w:type="dxa"/>
            <w:noWrap w:val="0"/>
            <w:vAlign w:val="top"/>
          </w:tcPr>
          <w:p w14:paraId="6F18446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按照国家发展计划委员会“发改价格【2015】299号”文要求</w:t>
            </w:r>
            <w:r>
              <w:rPr>
                <w:rFonts w:hint="eastAsia" w:ascii="宋体" w:hAnsi="宋体" w:eastAsia="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按</w:t>
            </w:r>
            <w:r>
              <w:rPr>
                <w:rFonts w:hint="eastAsia" w:ascii="宋体" w:hAnsi="宋体" w:eastAsia="宋体" w:cs="宋体"/>
                <w:bCs/>
                <w:color w:val="auto"/>
                <w:kern w:val="0"/>
                <w:sz w:val="24"/>
                <w:szCs w:val="24"/>
                <w:highlight w:val="none"/>
                <w:lang w:val="en-US" w:eastAsia="zh-CN"/>
              </w:rPr>
              <w:t>中标金额</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lang w:val="en-US" w:eastAsia="zh-CN"/>
              </w:rPr>
              <w:t>收取</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于中标通</w:t>
            </w:r>
            <w:r>
              <w:rPr>
                <w:rFonts w:hint="eastAsia" w:ascii="宋体" w:hAnsi="宋体" w:cs="宋体"/>
                <w:bCs/>
                <w:color w:val="auto"/>
                <w:kern w:val="0"/>
                <w:sz w:val="24"/>
                <w:szCs w:val="24"/>
                <w:highlight w:val="none"/>
                <w:lang w:val="en-US" w:eastAsia="zh-CN"/>
              </w:rPr>
              <w:t>知书下发前向中标人收取。</w:t>
            </w:r>
          </w:p>
        </w:tc>
      </w:tr>
      <w:tr w14:paraId="5911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643DB4A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4</w:t>
            </w:r>
          </w:p>
        </w:tc>
        <w:tc>
          <w:tcPr>
            <w:tcW w:w="1692" w:type="dxa"/>
            <w:noWrap w:val="0"/>
            <w:vAlign w:val="center"/>
          </w:tcPr>
          <w:p w14:paraId="1A7B6B0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代表出席开标会</w:t>
            </w:r>
          </w:p>
        </w:tc>
        <w:tc>
          <w:tcPr>
            <w:tcW w:w="7050" w:type="dxa"/>
            <w:noWrap w:val="0"/>
            <w:vAlign w:val="center"/>
          </w:tcPr>
          <w:p w14:paraId="088F7E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2"/>
                <w:sz w:val="24"/>
                <w:szCs w:val="24"/>
                <w:highlight w:val="none"/>
                <w:lang w:val="zh-CN"/>
              </w:rPr>
              <w:t>按照本须知的规定，采购人邀请所有</w:t>
            </w:r>
            <w:r>
              <w:rPr>
                <w:rFonts w:hint="eastAsia" w:ascii="宋体" w:hAnsi="宋体" w:cs="宋体"/>
                <w:bCs/>
                <w:color w:val="auto"/>
                <w:kern w:val="2"/>
                <w:sz w:val="24"/>
                <w:szCs w:val="24"/>
                <w:highlight w:val="none"/>
                <w:lang w:val="zh-CN"/>
              </w:rPr>
              <w:t>投标人</w:t>
            </w:r>
            <w:r>
              <w:rPr>
                <w:rFonts w:hint="eastAsia" w:ascii="宋体" w:hAnsi="宋体" w:eastAsia="宋体" w:cs="宋体"/>
                <w:bCs/>
                <w:color w:val="auto"/>
                <w:kern w:val="2"/>
                <w:sz w:val="24"/>
                <w:szCs w:val="24"/>
                <w:highlight w:val="none"/>
                <w:lang w:val="zh-CN"/>
              </w:rPr>
              <w:t>的法定代表人或其委托代理人参加网上开标会。</w:t>
            </w:r>
          </w:p>
        </w:tc>
      </w:tr>
      <w:tr w14:paraId="1D1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2" w:type="dxa"/>
            <w:noWrap w:val="0"/>
            <w:vAlign w:val="center"/>
          </w:tcPr>
          <w:p w14:paraId="01DBCE2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5</w:t>
            </w:r>
          </w:p>
        </w:tc>
        <w:tc>
          <w:tcPr>
            <w:tcW w:w="1692" w:type="dxa"/>
            <w:noWrap w:val="0"/>
            <w:vAlign w:val="center"/>
          </w:tcPr>
          <w:p w14:paraId="7D98D4A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付款方式</w:t>
            </w:r>
          </w:p>
        </w:tc>
        <w:tc>
          <w:tcPr>
            <w:tcW w:w="7050" w:type="dxa"/>
            <w:noWrap w:val="0"/>
            <w:vAlign w:val="center"/>
          </w:tcPr>
          <w:p w14:paraId="3F5A806F">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通过质量检测并完成供货</w:t>
            </w:r>
            <w:r>
              <w:rPr>
                <w:rFonts w:hint="default" w:ascii="宋体" w:hAnsi="宋体" w:eastAsia="宋体" w:cs="宋体"/>
                <w:bCs/>
                <w:color w:val="000000" w:themeColor="text1"/>
                <w:sz w:val="24"/>
                <w:szCs w:val="24"/>
                <w:highlight w:val="none"/>
                <w:lang w:val="en-US" w:eastAsia="zh-CN"/>
                <w14:textFill>
                  <w14:solidFill>
                    <w14:schemeClr w14:val="tx1"/>
                  </w14:solidFill>
                </w14:textFill>
              </w:rPr>
              <w:t>，供货方提供足额发票，采购方履行财政拨付程序，最终以财政拨付时间为准。达到付款条件起10日，支付合同总金额的100%。</w:t>
            </w:r>
          </w:p>
        </w:tc>
      </w:tr>
      <w:tr w14:paraId="24BB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2FF7C7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6</w:t>
            </w:r>
          </w:p>
        </w:tc>
        <w:tc>
          <w:tcPr>
            <w:tcW w:w="1692" w:type="dxa"/>
            <w:noWrap w:val="0"/>
            <w:vAlign w:val="center"/>
          </w:tcPr>
          <w:p w14:paraId="3C69010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价格扣除</w:t>
            </w:r>
          </w:p>
        </w:tc>
        <w:tc>
          <w:tcPr>
            <w:tcW w:w="7050" w:type="dxa"/>
            <w:noWrap w:val="0"/>
            <w:vAlign w:val="center"/>
          </w:tcPr>
          <w:p w14:paraId="1EAF36FB">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评标委员会在评审时，将按下列规定计算价格扣除：</w:t>
            </w:r>
          </w:p>
          <w:p w14:paraId="57D6CD1D">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08EF6E10">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2A9041FA">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26838AFF">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（4）投标产品同时列入上述多个清单的，将上述规定的价格扣除比例叠加后计算价格扣除。</w:t>
            </w:r>
          </w:p>
          <w:p w14:paraId="74F982ED">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（5）根据财库【2022】19号文件规定，对小型和微型企业的产品给予10%的价格扣除，并按照扣除后的价格参加排序。</w:t>
            </w:r>
          </w:p>
          <w:p w14:paraId="42805DCA">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（6）价格扣除的依据：第（1）至（4）条提供投标货物相关认证证书复印件加盖投标人公章，附在投标文件内。第（5）条提供中小企业声明函。</w:t>
            </w:r>
          </w:p>
          <w:p w14:paraId="2BD1D3CF">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（7）中小企业认定标准：《统计上大中小微型企业划分办法（2017）》及《中小企业划型标准规定（修订征求意见稿）》，本项目属于工</w:t>
            </w:r>
            <w:r>
              <w:rPr>
                <w:rFonts w:hint="eastAsia" w:ascii="宋体" w:hAnsi="宋体" w:eastAsia="宋体" w:cs="宋体"/>
                <w:bCs/>
                <w:color w:val="auto"/>
                <w:sz w:val="24"/>
                <w:szCs w:val="24"/>
                <w:highlight w:val="none"/>
                <w:lang w:eastAsia="zh-CN"/>
              </w:rPr>
              <w:t>业</w:t>
            </w:r>
            <w:r>
              <w:rPr>
                <w:rFonts w:hint="eastAsia" w:ascii="宋体" w:hAnsi="宋体" w:eastAsia="宋体" w:cs="宋体"/>
                <w:bCs/>
                <w:color w:val="auto"/>
                <w:sz w:val="24"/>
                <w:szCs w:val="24"/>
                <w:highlight w:val="none"/>
                <w:lang w:val="en-US" w:eastAsia="zh-CN"/>
              </w:rPr>
              <w:t>。</w:t>
            </w:r>
          </w:p>
          <w:p w14:paraId="5D4E4A06">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按照财政部财库[2022]19号、[2020]46号、[2014]68号、[2017]141号、[2019]9号等文件要求，落实政府采购支持节能环保、中小企业发展等政策。</w:t>
            </w:r>
          </w:p>
        </w:tc>
      </w:tr>
      <w:tr w14:paraId="4890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5B0F243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7</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CEB292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w:t>
            </w:r>
            <w:r>
              <w:rPr>
                <w:rFonts w:hint="eastAsia" w:ascii="宋体" w:hAnsi="宋体" w:cs="宋体"/>
                <w:bCs/>
                <w:color w:val="auto"/>
                <w:sz w:val="24"/>
                <w:szCs w:val="24"/>
                <w:highlight w:val="none"/>
                <w:lang w:val="en-US" w:eastAsia="zh-CN"/>
              </w:rPr>
              <w:t>投标无效</w:t>
            </w:r>
            <w:r>
              <w:rPr>
                <w:rFonts w:hint="eastAsia" w:ascii="宋体" w:hAnsi="宋体" w:eastAsia="宋体" w:cs="宋体"/>
                <w:bCs/>
                <w:color w:val="auto"/>
                <w:sz w:val="24"/>
                <w:szCs w:val="24"/>
                <w:highlight w:val="none"/>
                <w:lang w:val="zh-CN"/>
              </w:rPr>
              <w:t>说明</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01EF865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1、供应商需在开标前将响应文件制作工具生成的加密文件上传到政府采购云平台（网址：http://www.zcygov.cn）。</w:t>
            </w:r>
          </w:p>
          <w:p w14:paraId="4F94CFB8">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2、开标时，供应商需用生成最终响应文件所使用的数字证书（CA锁），以防签到、解密失败。</w:t>
            </w:r>
          </w:p>
          <w:p w14:paraId="4E913636">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开评标过程中如因上述原因导致投标无效标，供应商自行承担后果。</w:t>
            </w:r>
          </w:p>
        </w:tc>
      </w:tr>
      <w:tr w14:paraId="7C74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1247B6B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8</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4C461C2">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电子招投标相关说明</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756FFC6C">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本次招标实行不见面开标，具体要求如下：</w:t>
            </w:r>
          </w:p>
          <w:p w14:paraId="02F22F01">
            <w:pPr>
              <w:keepNext w:val="0"/>
              <w:keepLines w:val="0"/>
              <w:pageBreakBefore w:val="0"/>
              <w:widowControl w:val="0"/>
              <w:numPr>
                <w:ilvl w:val="0"/>
                <w:numId w:val="1"/>
              </w:numPr>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业务要求 </w:t>
            </w:r>
          </w:p>
          <w:p w14:paraId="0560733B">
            <w:pPr>
              <w:keepNext w:val="0"/>
              <w:keepLines w:val="0"/>
              <w:pageBreakBefore w:val="0"/>
              <w:widowControl w:val="0"/>
              <w:numPr>
                <w:ilvl w:val="0"/>
                <w:numId w:val="2"/>
              </w:numPr>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开标项目的时间均以国家授时中心发布的时间为准。</w:t>
            </w:r>
          </w:p>
          <w:p w14:paraId="288BED70">
            <w:pPr>
              <w:keepNext w:val="0"/>
              <w:keepLines w:val="0"/>
              <w:pageBreakBefore w:val="0"/>
              <w:widowControl w:val="0"/>
              <w:numPr>
                <w:ilvl w:val="0"/>
                <w:numId w:val="2"/>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政府采购云平台不见面开标系统适用进入政府采购云平台的政府采购项目。 </w:t>
            </w:r>
          </w:p>
          <w:p w14:paraId="416565F7">
            <w:pPr>
              <w:keepNext w:val="0"/>
              <w:keepLines w:val="0"/>
              <w:pageBreakBefore w:val="0"/>
              <w:widowControl w:val="0"/>
              <w:numPr>
                <w:ilvl w:val="0"/>
                <w:numId w:val="2"/>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通过该系统完成投标过程。依照</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的规定完成电子投标文件的编制和提交。如未按</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要求编制、提交电子投标文件，将可能导致否决投标，其后果由投标人自负。</w:t>
            </w:r>
          </w:p>
          <w:p w14:paraId="5280F33E">
            <w:pPr>
              <w:keepNext w:val="0"/>
              <w:keepLines w:val="0"/>
              <w:pageBreakBefore w:val="0"/>
              <w:widowControl w:val="0"/>
              <w:numPr>
                <w:ilvl w:val="0"/>
                <w:numId w:val="2"/>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投标人应充分考虑到网络及系统平台可能存在的突发状况，在投标文件编制完成后尽早完成上传。</w:t>
            </w:r>
          </w:p>
          <w:p w14:paraId="0F90C945">
            <w:pPr>
              <w:keepNext w:val="0"/>
              <w:keepLines w:val="0"/>
              <w:pageBreakBefore w:val="0"/>
              <w:widowControl w:val="0"/>
              <w:numPr>
                <w:ilvl w:val="0"/>
                <w:numId w:val="2"/>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投标文件提交截止时间前，采购人或招标代理提前进入政府采购云平台（网址：http:// 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w:t>
            </w:r>
          </w:p>
          <w:p w14:paraId="159F68F9">
            <w:pPr>
              <w:keepNext w:val="0"/>
              <w:keepLines w:val="0"/>
              <w:pageBreakBefore w:val="0"/>
              <w:widowControl w:val="0"/>
              <w:numPr>
                <w:ilvl w:val="0"/>
                <w:numId w:val="2"/>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投标文件提交截止时间后，通过系统互动区发出投标文件解密的指令，投标人在任意地点按规定时间自行实施远程解密，解密限定在规定时间内完成。 </w:t>
            </w:r>
          </w:p>
          <w:p w14:paraId="03D054A4">
            <w:pPr>
              <w:keepNext w:val="0"/>
              <w:keepLines w:val="0"/>
              <w:pageBreakBefore w:val="0"/>
              <w:widowControl w:val="0"/>
              <w:numPr>
                <w:ilvl w:val="0"/>
                <w:numId w:val="2"/>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投标人必须使用能正确解密投标文件的CA 证书，在</w:t>
            </w:r>
            <w:r>
              <w:rPr>
                <w:rFonts w:hint="eastAsia" w:ascii="宋体" w:hAnsi="宋体" w:eastAsia="宋体" w:cs="宋体"/>
                <w:color w:val="auto"/>
                <w:sz w:val="24"/>
                <w:szCs w:val="24"/>
                <w:highlight w:val="none"/>
                <w:lang w:eastAsia="zh-CN"/>
              </w:rPr>
              <w:t>系统</w:t>
            </w:r>
            <w:r>
              <w:rPr>
                <w:rFonts w:ascii="宋体" w:hAnsi="宋体" w:eastAsia="宋体" w:cs="宋体"/>
                <w:color w:val="auto"/>
                <w:sz w:val="24"/>
                <w:szCs w:val="24"/>
                <w:highlight w:val="none"/>
              </w:rPr>
              <w:t xml:space="preserve">规定的时间内完成远程解密，因投标人原因未能解密、解密失败或解密超时，视为投标人撤销其投标文件；因采购人或系统原因，导致无法按时完成投标文件解密或开标、评标工作无法进行的，可根据实际情况相应延迟解密时间或调整开标、评标时间。 </w:t>
            </w:r>
          </w:p>
          <w:p w14:paraId="736A06EA">
            <w:pPr>
              <w:keepNext w:val="0"/>
              <w:keepLines w:val="0"/>
              <w:pageBreakBefore w:val="0"/>
              <w:widowControl w:val="0"/>
              <w:numPr>
                <w:ilvl w:val="0"/>
                <w:numId w:val="2"/>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开标当日，投标人不必抵达开标现场，仅需在任意地点通过政府采购云平台（网址：http:// www.zcygov.cn）不见面开标系统参加开标会议，并根据需要使用开标系统与现场采购人进行互动交流、澄清、质疑等活动。 </w:t>
            </w:r>
          </w:p>
          <w:p w14:paraId="2293A82D">
            <w:pPr>
              <w:keepNext w:val="0"/>
              <w:keepLines w:val="0"/>
              <w:pageBreakBefore w:val="0"/>
              <w:widowControl w:val="0"/>
              <w:numPr>
                <w:ilvl w:val="0"/>
                <w:numId w:val="2"/>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w:t>
            </w:r>
          </w:p>
          <w:p w14:paraId="1A9C2C90">
            <w:pPr>
              <w:keepNext w:val="0"/>
              <w:keepLines w:val="0"/>
              <w:pageBreakBefore w:val="0"/>
              <w:widowControl w:val="0"/>
              <w:numPr>
                <w:ilvl w:val="0"/>
                <w:numId w:val="2"/>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纸质投标文件的</w:t>
            </w:r>
            <w:r>
              <w:rPr>
                <w:rFonts w:hint="eastAsia" w:ascii="宋体" w:hAnsi="宋体" w:eastAsia="宋体" w:cs="宋体"/>
                <w:color w:val="auto"/>
                <w:sz w:val="24"/>
                <w:szCs w:val="24"/>
                <w:highlight w:val="none"/>
                <w:lang w:eastAsia="zh-CN"/>
              </w:rPr>
              <w:t>存档</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w:t>
            </w:r>
            <w:r>
              <w:rPr>
                <w:rFonts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具体递交要求执行</w:t>
            </w:r>
            <w:r>
              <w:rPr>
                <w:rFonts w:ascii="宋体" w:hAnsi="宋体" w:eastAsia="宋体" w:cs="宋体"/>
                <w:color w:val="auto"/>
                <w:sz w:val="24"/>
                <w:szCs w:val="24"/>
                <w:highlight w:val="none"/>
              </w:rPr>
              <w:t>。</w:t>
            </w:r>
          </w:p>
          <w:p w14:paraId="7D1ED46F">
            <w:pPr>
              <w:keepNext w:val="0"/>
              <w:keepLines w:val="0"/>
              <w:pageBreakBefore w:val="0"/>
              <w:widowControl w:val="0"/>
              <w:numPr>
                <w:ilvl w:val="0"/>
                <w:numId w:val="1"/>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系统操作注意事项 </w:t>
            </w:r>
          </w:p>
          <w:p w14:paraId="787CD32C">
            <w:pPr>
              <w:keepNext w:val="0"/>
              <w:keepLines w:val="0"/>
              <w:pageBreakBefore w:val="0"/>
              <w:widowControl w:val="0"/>
              <w:numPr>
                <w:ilvl w:val="0"/>
                <w:numId w:val="3"/>
              </w:numPr>
              <w:kinsoku/>
              <w:wordWrap w:val="0"/>
              <w:overflowPunct/>
              <w:topLinePunct w:val="0"/>
              <w:autoSpaceDE/>
              <w:autoSpaceDN/>
              <w:bidi w:val="0"/>
              <w:adjustRightInd w:val="0"/>
              <w:spacing w:line="440" w:lineRule="exact"/>
              <w:ind w:leftChars="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软硬件及网络要求 </w:t>
            </w:r>
          </w:p>
          <w:p w14:paraId="7C5C1344">
            <w:pPr>
              <w:keepNext w:val="0"/>
              <w:keepLines w:val="0"/>
              <w:pageBreakBefore w:val="0"/>
              <w:widowControl w:val="0"/>
              <w:numPr>
                <w:ilvl w:val="0"/>
                <w:numId w:val="0"/>
              </w:numPr>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ascii="宋体" w:hAnsi="宋体" w:eastAsia="宋体" w:cs="宋体"/>
                <w:color w:val="auto"/>
                <w:sz w:val="24"/>
                <w:szCs w:val="24"/>
                <w:highlight w:val="none"/>
              </w:rPr>
              <w:t>1.参与不见面开标电脑须安装有清晰可用的摄像头、音响和麦克风设备。 2.参与不见面开标电脑须安装正确驱动，可在不见面开标系统登录界面的驱动下载页面进行下载及后续安装。3.为更好实时查看不见面开标室现场，推荐使用20M 及以上网络宽带。 4.操作系统为 win7 或 win10 系统，IE10 版本及以上，运存≥4G （二）投标文件制作及上传说明 1.供应商在政府采购云平台网注册入库成为正式供应商后，在平台上按《政府采购项目电子交易管理操作指南-供应商》进行投标操作。投标人须办理数字证书方可参加投标。2.收到 CA 锁以后在“政采云”登陆界面，点击CA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w:t>
            </w:r>
            <w:r>
              <w:rPr>
                <w:rFonts w:hint="eastAsia" w:ascii="宋体" w:hAnsi="宋体" w:eastAsia="宋体" w:cs="宋体"/>
                <w:color w:val="auto"/>
                <w:sz w:val="24"/>
                <w:szCs w:val="24"/>
                <w:highlight w:val="none"/>
                <w:lang w:eastAsia="zh-CN"/>
              </w:rPr>
              <w:t>相关</w:t>
            </w:r>
            <w:r>
              <w:rPr>
                <w:rFonts w:ascii="宋体" w:hAnsi="宋体" w:eastAsia="宋体" w:cs="宋体"/>
                <w:color w:val="auto"/>
                <w:sz w:val="24"/>
                <w:szCs w:val="24"/>
                <w:highlight w:val="none"/>
              </w:rPr>
              <w:t>要求使用对应版本的投标文件制作工具。（三）开标过程注意事项 1.开标当天，投标人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规定解密时间内使用相应的投标文件 CA 证书进行在线解密，否则将无法解密。 四、技术支持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r>
              <w:rPr>
                <w:rFonts w:hint="eastAsia" w:ascii="宋体" w:hAnsi="宋体" w:eastAsia="宋体" w:cs="宋体"/>
                <w:bCs/>
                <w:color w:val="auto"/>
                <w:sz w:val="24"/>
                <w:szCs w:val="24"/>
                <w:highlight w:val="none"/>
                <w:lang w:val="zh-CN"/>
              </w:rPr>
              <w:t>。</w:t>
            </w:r>
          </w:p>
        </w:tc>
      </w:tr>
      <w:tr w14:paraId="6AE5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964" w:type="dxa"/>
            <w:gridSpan w:val="3"/>
            <w:noWrap w:val="0"/>
            <w:vAlign w:val="center"/>
          </w:tcPr>
          <w:p w14:paraId="65E7DB02">
            <w:pPr>
              <w:keepNext w:val="0"/>
              <w:keepLines w:val="0"/>
              <w:pageBreakBefore w:val="0"/>
              <w:widowControl w:val="0"/>
              <w:kinsoku/>
              <w:wordWrap w:val="0"/>
              <w:overflowPunct/>
              <w:topLinePunct w:val="0"/>
              <w:autoSpaceDE/>
              <w:autoSpaceDN/>
              <w:bidi w:val="0"/>
              <w:adjustRightInd/>
              <w:snapToGrid/>
              <w:spacing w:line="0" w:lineRule="atLeas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须知前附表”用于修改、补充和完善正文中的相关事宜，前附表与正文如有冲突以正文为准。</w:t>
            </w:r>
          </w:p>
        </w:tc>
      </w:tr>
    </w:tbl>
    <w:p w14:paraId="50517548">
      <w:pPr>
        <w:pageBreakBefore w:val="0"/>
        <w:kinsoku/>
        <w:overflowPunct/>
        <w:topLinePunct w:val="0"/>
        <w:bidi w:val="0"/>
        <w:spacing w:line="288" w:lineRule="auto"/>
        <w:textAlignment w:val="auto"/>
        <w:rPr>
          <w:rFonts w:hint="eastAsia" w:ascii="宋体" w:hAnsi="宋体" w:eastAsia="宋体" w:cs="宋体"/>
          <w:color w:val="auto"/>
          <w:sz w:val="24"/>
          <w:szCs w:val="24"/>
          <w:highlight w:val="none"/>
        </w:rPr>
      </w:pPr>
    </w:p>
    <w:p w14:paraId="7260982F">
      <w:pPr>
        <w:pStyle w:val="9"/>
        <w:pageBreakBefore w:val="0"/>
        <w:kinsoku/>
        <w:overflowPunct/>
        <w:topLinePunct w:val="0"/>
        <w:bidi w:val="0"/>
        <w:spacing w:line="288" w:lineRule="auto"/>
        <w:jc w:val="both"/>
        <w:textAlignment w:val="auto"/>
        <w:rPr>
          <w:rFonts w:hint="eastAsia" w:ascii="宋体" w:hAnsi="宋体" w:eastAsia="宋体" w:cs="宋体"/>
          <w:color w:val="auto"/>
          <w:sz w:val="24"/>
          <w:szCs w:val="24"/>
          <w:highlight w:val="none"/>
        </w:rPr>
      </w:pPr>
    </w:p>
    <w:p w14:paraId="14B180C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95DB0AA">
      <w:pPr>
        <w:pStyle w:val="9"/>
        <w:pageBreakBefore w:val="0"/>
        <w:kinsoku/>
        <w:overflowPunct/>
        <w:topLinePunct w:val="0"/>
        <w:bidi w:val="0"/>
        <w:spacing w:line="288"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w:t>
      </w:r>
      <w:bookmarkEnd w:id="0"/>
    </w:p>
    <w:p w14:paraId="67AEB14D">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1.总则</w:t>
      </w:r>
    </w:p>
    <w:p w14:paraId="153C1274">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 招标项目概况</w:t>
      </w:r>
    </w:p>
    <w:p w14:paraId="7A6190C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1.1.1 </w:t>
      </w:r>
      <w:r>
        <w:rPr>
          <w:rFonts w:hint="eastAsia" w:ascii="宋体" w:hAnsi="宋体" w:eastAsia="宋体" w:cs="宋体"/>
          <w:bCs/>
          <w:color w:val="auto"/>
          <w:sz w:val="24"/>
          <w:szCs w:val="24"/>
          <w:highlight w:val="none"/>
        </w:rPr>
        <w:t>本次招标适用法律法规为《中华人民共和国政府采购法》、《中华人民共和国政府采购法实施条例》、《政府采购货物和服务招标投标管理办法》及政府采购其它相关法规。</w:t>
      </w:r>
    </w:p>
    <w:p w14:paraId="75E4FD27">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采购人：见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103A00C0">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采购代理机构：见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AD2D30C">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项目名称：见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1EE3D3D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供货地点：见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D8FDAC8">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1.1.6 投标人</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val="en-US" w:eastAsia="zh-CN"/>
        </w:rPr>
        <w:t>：是指向采购人提供货物、工程或者服务的法人、其他组织或者自然人。</w:t>
      </w:r>
    </w:p>
    <w:p w14:paraId="1945751C">
      <w:pPr>
        <w:wordWrap w:val="0"/>
        <w:adjustRightInd w:val="0"/>
        <w:spacing w:line="440" w:lineRule="exact"/>
        <w:ind w:firstLine="482"/>
        <w:rPr>
          <w:rFonts w:hint="eastAsia"/>
          <w:color w:val="auto"/>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投标人代表</w:t>
      </w:r>
      <w:r>
        <w:rPr>
          <w:rFonts w:hint="eastAsia" w:ascii="宋体" w:hAnsi="宋体" w:cs="宋体"/>
          <w:color w:val="auto"/>
          <w:sz w:val="24"/>
          <w:szCs w:val="24"/>
          <w:highlight w:val="none"/>
        </w:rPr>
        <w:t>：是指法人</w:t>
      </w:r>
      <w:r>
        <w:rPr>
          <w:rFonts w:hint="eastAsia" w:ascii="宋体" w:hAnsi="宋体" w:cs="宋体"/>
          <w:color w:val="auto"/>
          <w:sz w:val="24"/>
          <w:szCs w:val="24"/>
          <w:highlight w:val="none"/>
          <w:lang w:eastAsia="zh-CN"/>
        </w:rPr>
        <w:t>及被授权人</w:t>
      </w:r>
      <w:r>
        <w:rPr>
          <w:rFonts w:hint="eastAsia" w:ascii="宋体" w:hAnsi="宋体" w:cs="宋体"/>
          <w:color w:val="auto"/>
          <w:sz w:val="24"/>
          <w:szCs w:val="24"/>
          <w:highlight w:val="none"/>
        </w:rPr>
        <w:t>。</w:t>
      </w:r>
    </w:p>
    <w:p w14:paraId="4F4565AB">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1.2 资金来源和落实情况</w:t>
      </w:r>
    </w:p>
    <w:p w14:paraId="407FA181">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 资金来源及比例：见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54CCCA55">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 资金落实情况：见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6F4B2FFB">
      <w:pPr>
        <w:keepNext w:val="0"/>
        <w:keepLines w:val="0"/>
        <w:pageBreakBefore w:val="0"/>
        <w:widowControl w:val="0"/>
        <w:tabs>
          <w:tab w:val="center" w:pos="4737"/>
        </w:tabs>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 招标范围、供货及安装工期和质量标准</w:t>
      </w:r>
    </w:p>
    <w:p w14:paraId="323CC15F">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 招标范围：见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18D5FA4A">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1.3.2 供货期：见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70116F86">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 质量标准：见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3EBE7C6E">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1.4 供应商资格要求</w:t>
      </w:r>
    </w:p>
    <w:p w14:paraId="4B89158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应具备承担本采购项目的资格条件、能力和信誉：</w:t>
      </w:r>
      <w:r>
        <w:rPr>
          <w:rFonts w:hint="eastAsia" w:ascii="宋体" w:hAnsi="宋体" w:eastAsia="宋体" w:cs="宋体"/>
          <w:color w:val="auto"/>
          <w:sz w:val="24"/>
          <w:szCs w:val="24"/>
          <w:highlight w:val="none"/>
        </w:rPr>
        <w:t>参加本项目政府采购活动的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auto"/>
          <w:sz w:val="24"/>
          <w:szCs w:val="24"/>
          <w:highlight w:val="none"/>
        </w:rPr>
        <w:t>有关</w:t>
      </w:r>
      <w:r>
        <w:rPr>
          <w:rFonts w:hint="eastAsia" w:ascii="宋体" w:hAnsi="宋体" w:eastAsia="宋体" w:cs="宋体"/>
          <w:bCs/>
          <w:color w:val="auto"/>
          <w:sz w:val="24"/>
          <w:szCs w:val="24"/>
          <w:highlight w:val="none"/>
          <w:lang w:eastAsia="zh-CN"/>
        </w:rPr>
        <w:t>资格证明</w:t>
      </w:r>
      <w:r>
        <w:rPr>
          <w:rFonts w:hint="eastAsia" w:ascii="宋体" w:hAnsi="宋体" w:eastAsia="宋体" w:cs="宋体"/>
          <w:bCs/>
          <w:color w:val="auto"/>
          <w:sz w:val="24"/>
          <w:szCs w:val="24"/>
          <w:highlight w:val="none"/>
        </w:rPr>
        <w:t>文件原件，具体要求见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须知前附表第1.4.1项和第3.1.1项</w:t>
      </w:r>
      <w:r>
        <w:rPr>
          <w:rFonts w:hint="eastAsia" w:ascii="宋体" w:hAnsi="宋体" w:eastAsia="宋体" w:cs="宋体"/>
          <w:color w:val="auto"/>
          <w:sz w:val="24"/>
          <w:szCs w:val="24"/>
          <w:highlight w:val="none"/>
        </w:rPr>
        <w:t>。</w:t>
      </w:r>
    </w:p>
    <w:p w14:paraId="47C5C24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以上各款关于合格</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资格条件的要求均须提供中文文本，否则无效，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应按《投标文件格式》的相关规定提交。</w:t>
      </w:r>
    </w:p>
    <w:p w14:paraId="2CE01B2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须知前附表规定接受联合体投标的，联合体除应符合本章第 1.4.1 款和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须知前附表的要求外，还应遵守以下规定：</w:t>
      </w:r>
    </w:p>
    <w:p w14:paraId="436643E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（1）联合体各方应按招标文件提供的格式签订联合体协议书，明确联合体牵头人和各方权利义务，并承诺就中标项目向采购人承担连带责任；</w:t>
      </w:r>
    </w:p>
    <w:p w14:paraId="355C509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（2）联合体各方不得再以自己名义单独或参加其他联合体在本招标项目中投标，否则各相关投标均无效。</w:t>
      </w:r>
    </w:p>
    <w:p w14:paraId="6524971E">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1.4.3 供应商不得存在下列情形之一：</w:t>
      </w:r>
    </w:p>
    <w:p w14:paraId="727938B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（1）为采购人不具有独立法人资格的附属机构（单位）；</w:t>
      </w:r>
    </w:p>
    <w:p w14:paraId="7E33462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（2）与采购人存在利害关系且可能影响招标公正性；</w:t>
      </w:r>
    </w:p>
    <w:p w14:paraId="492AE16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为同一个单位负责人；</w:t>
      </w:r>
    </w:p>
    <w:p w14:paraId="6C2DD61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存在控股、管理关系；</w:t>
      </w:r>
    </w:p>
    <w:p w14:paraId="287B231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（5）为本采购标项目的采购代理机构；</w:t>
      </w:r>
    </w:p>
    <w:p w14:paraId="41C6667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（6）与本采购项目的采购代理机构同为一个法定代表人；</w:t>
      </w:r>
    </w:p>
    <w:p w14:paraId="7E68A30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（7）与本采购项目的采购代理机构存在控股或参股关系；</w:t>
      </w:r>
    </w:p>
    <w:p w14:paraId="69D2203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（8）被依法暂停或者取消投标资格；</w:t>
      </w:r>
    </w:p>
    <w:p w14:paraId="63C8D27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（9）被责令停产停业、暂扣或者吊销许可证、暂扣或者吊销执照；</w:t>
      </w:r>
    </w:p>
    <w:p w14:paraId="1FE878C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（10）进入清算程序，或被宣告破产，或其他丧失履约能力的情形；</w:t>
      </w:r>
    </w:p>
    <w:p w14:paraId="7FEC7D0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（11）在最近三年内发生重大供货质量问题（以相关行业主管部门的行政处罚决定或司法机关出具的有关法律文书为准）；</w:t>
      </w:r>
    </w:p>
    <w:p w14:paraId="4B9FB56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（12）被工商行政管理机关在“信用中国”网站中</w:t>
      </w:r>
      <w:r>
        <w:rPr>
          <w:rFonts w:hint="eastAsia" w:ascii="宋体" w:hAnsi="宋体" w:eastAsia="宋体" w:cs="宋体"/>
          <w:color w:val="auto"/>
          <w:sz w:val="24"/>
          <w:szCs w:val="24"/>
          <w:highlight w:val="none"/>
        </w:rPr>
        <w:t>列入失信被执行人名单、</w:t>
      </w:r>
      <w:r>
        <w:rPr>
          <w:rFonts w:hint="eastAsia" w:ascii="宋体" w:hAnsi="宋体" w:eastAsia="宋体" w:cs="宋体"/>
          <w:color w:val="auto"/>
          <w:sz w:val="24"/>
          <w:szCs w:val="24"/>
          <w:highlight w:val="none"/>
          <w:lang w:eastAsia="zh-CN"/>
        </w:rPr>
        <w:t>税收违法黑名单</w:t>
      </w:r>
      <w:r>
        <w:rPr>
          <w:rFonts w:hint="eastAsia" w:ascii="宋体" w:hAnsi="宋体" w:eastAsia="宋体" w:cs="宋体"/>
          <w:color w:val="auto"/>
          <w:sz w:val="24"/>
          <w:szCs w:val="24"/>
          <w:highlight w:val="none"/>
        </w:rPr>
        <w:t>名单</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中国政府采购网</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列入政府采购严重违法失信行为记录名单；</w:t>
      </w:r>
    </w:p>
    <w:p w14:paraId="5B3B3E7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（13）被最高人民法院在各级信用信息共享平台中列入失信被执行人名单；</w:t>
      </w:r>
    </w:p>
    <w:p w14:paraId="4E47B89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（14）在近三年内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或其法定代表人有行贿犯罪行为的（以中国裁判文书网的查询结果为准）；</w:t>
      </w:r>
    </w:p>
    <w:p w14:paraId="7ED8CBF2">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（15）法律法规或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须知前附表规定的其他情形。</w:t>
      </w:r>
    </w:p>
    <w:p w14:paraId="7A286358">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1.5 费用承担</w:t>
      </w:r>
    </w:p>
    <w:p w14:paraId="3E4612A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供应商准备和参加投标活动发生的费用自理，</w:t>
      </w:r>
      <w:r>
        <w:rPr>
          <w:rFonts w:hint="eastAsia" w:ascii="宋体" w:hAnsi="宋体" w:eastAsia="宋体" w:cs="宋体"/>
          <w:color w:val="auto"/>
          <w:sz w:val="24"/>
          <w:szCs w:val="24"/>
          <w:highlight w:val="none"/>
          <w:lang w:val="zh-CN"/>
        </w:rPr>
        <w:t>无论投标的结果如何，</w:t>
      </w:r>
      <w:r>
        <w:rPr>
          <w:rFonts w:hint="eastAsia" w:ascii="宋体" w:hAnsi="宋体" w:eastAsia="宋体" w:cs="宋体"/>
          <w:bCs/>
          <w:color w:val="auto"/>
          <w:sz w:val="24"/>
          <w:szCs w:val="24"/>
          <w:highlight w:val="none"/>
          <w:lang w:val="zh-CN"/>
        </w:rPr>
        <w:t>采购人和采购代理机构在任何情况下均无义务和责任承担这些费用。</w:t>
      </w:r>
    </w:p>
    <w:p w14:paraId="16316C59">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 保密和披露</w:t>
      </w:r>
    </w:p>
    <w:p w14:paraId="5C0DDD3F">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1.6.1 参与招标投标活动的各方应对招标文件和投标文件中的商业和技术等秘密保密</w:t>
      </w:r>
      <w:r>
        <w:rPr>
          <w:rFonts w:hint="eastAsia" w:ascii="宋体" w:hAnsi="宋体" w:eastAsia="宋体" w:cs="宋体"/>
          <w:bCs/>
          <w:color w:val="auto"/>
          <w:sz w:val="24"/>
          <w:szCs w:val="24"/>
          <w:highlight w:val="none"/>
        </w:rPr>
        <w:t>，否则应承担相应的法律责任。</w:t>
      </w:r>
    </w:p>
    <w:p w14:paraId="0C4AC707">
      <w:pPr>
        <w:keepNext w:val="0"/>
        <w:keepLines w:val="0"/>
        <w:pageBreakBefore w:val="0"/>
        <w:widowControl w:val="0"/>
        <w:tabs>
          <w:tab w:val="left" w:pos="709"/>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1.6.2 </w:t>
      </w:r>
      <w:r>
        <w:rPr>
          <w:rFonts w:hint="eastAsia" w:ascii="宋体" w:hAnsi="宋体" w:eastAsia="宋体" w:cs="宋体"/>
          <w:color w:val="auto"/>
          <w:sz w:val="24"/>
          <w:szCs w:val="24"/>
          <w:highlight w:val="none"/>
          <w:lang w:val="zh-CN"/>
        </w:rPr>
        <w:t>采购人有权将供应商提供的所有资料向其他政府部门或有关的非政府机构负责评审标书的人员或与评标有关的人员披露。</w:t>
      </w:r>
    </w:p>
    <w:p w14:paraId="57EDD9BC">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6647AE57">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1.7 语言文字</w:t>
      </w:r>
    </w:p>
    <w:p w14:paraId="0527CDC8">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与招标投标有关的语言均使用中文，专用术语使用外文的，应附有中文注释。</w:t>
      </w:r>
    </w:p>
    <w:p w14:paraId="2EA85CBB">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 计量单位</w:t>
      </w:r>
    </w:p>
    <w:p w14:paraId="17A461B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所有计量均采用中华人民共和国法定计量单位。</w:t>
      </w:r>
    </w:p>
    <w:p w14:paraId="1EE42A47">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1.9 踏勘现场</w:t>
      </w:r>
    </w:p>
    <w:p w14:paraId="06CCBFB3">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须知前附表规定组织踏勘现场的，采购人按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须知前附表规定的时间、地点组织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踏勘项目现场。部分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未按时参加踏勘现场的，不影响踏勘现场的正常进行。</w:t>
      </w:r>
    </w:p>
    <w:p w14:paraId="064EA0A9">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踏勘现场发生的费用自理。</w:t>
      </w:r>
    </w:p>
    <w:p w14:paraId="0BF0A75D">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1.9.3 除采购人的原因外，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自行负责在踏勘现场中所发生的人员伤亡和财产损失。</w:t>
      </w:r>
    </w:p>
    <w:p w14:paraId="54C67809">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1.9.4 采购人在踏勘现场中获取的相关情况，供</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在编制投标文件时参考，采购人不对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据此作出的判断和决策负责。</w:t>
      </w:r>
    </w:p>
    <w:p w14:paraId="1A48C34C">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1.10 投标预备会</w:t>
      </w:r>
    </w:p>
    <w:p w14:paraId="4C1E9F8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须知前附表规定召开投标预备会的，采购人按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须知前附表规定的时间和地点召开投标预备会，澄清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提出的问题。</w:t>
      </w:r>
    </w:p>
    <w:p w14:paraId="31562345">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须知前附表规定的时间和形式将提出的问题送达采购人，以便采购人在会议期间澄清。</w:t>
      </w:r>
    </w:p>
    <w:p w14:paraId="6B9243C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1.10.3</w:t>
      </w:r>
      <w:r>
        <w:rPr>
          <w:rFonts w:hint="eastAsia" w:ascii="宋体" w:hAnsi="宋体" w:eastAsia="宋体" w:cs="宋体"/>
          <w:bCs/>
          <w:color w:val="auto"/>
          <w:sz w:val="24"/>
          <w:szCs w:val="24"/>
          <w:highlight w:val="none"/>
        </w:rPr>
        <w:t>投标预备会后，采购人将对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所提问题的澄清，以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须知前附表规定的形式通知所有获取招标文件的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。该澄清内容为招标文件的组成部分。</w:t>
      </w:r>
    </w:p>
    <w:p w14:paraId="27871E79">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1.11 分包</w:t>
      </w:r>
    </w:p>
    <w:p w14:paraId="53EEEDF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拟在中标后将中标项目的非主体、非关键性工作进行分包的，应符合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须知前附表规定的分包内容、分包金额和资格要求等限制性条件，除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须知前附表规定的非主体、非关键性工作外，其他工作不得分包。</w:t>
      </w:r>
    </w:p>
    <w:p w14:paraId="1D3BDF8F">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1.11.2 </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不得向他人转让中标项目，接受分包的人不得再次分包。</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应当就分包项目向采购人负责，接受分包的人就分包项目承担连带责任。</w:t>
      </w:r>
    </w:p>
    <w:p w14:paraId="7AA86DAA">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 xml:space="preserve">1.12 </w:t>
      </w:r>
      <w:r>
        <w:rPr>
          <w:rFonts w:hint="eastAsia" w:ascii="宋体" w:hAnsi="宋体" w:eastAsia="宋体" w:cs="宋体"/>
          <w:b/>
          <w:color w:val="auto"/>
          <w:sz w:val="24"/>
          <w:szCs w:val="24"/>
          <w:highlight w:val="none"/>
        </w:rPr>
        <w:t>响应和偏差</w:t>
      </w:r>
    </w:p>
    <w:p w14:paraId="0D9FD049">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w:t>
      </w:r>
      <w:r>
        <w:rPr>
          <w:rFonts w:hint="eastAsia" w:ascii="宋体" w:hAnsi="宋体" w:eastAsia="宋体" w:cs="宋体"/>
          <w:color w:val="auto"/>
          <w:sz w:val="24"/>
          <w:szCs w:val="24"/>
          <w:highlight w:val="none"/>
          <w:lang w:eastAsia="zh-CN"/>
        </w:rPr>
        <w:t>所有条款的</w:t>
      </w:r>
      <w:r>
        <w:rPr>
          <w:rFonts w:hint="eastAsia" w:ascii="宋体" w:hAnsi="宋体" w:eastAsia="宋体" w:cs="宋体"/>
          <w:color w:val="auto"/>
          <w:sz w:val="24"/>
          <w:szCs w:val="24"/>
          <w:highlight w:val="none"/>
        </w:rPr>
        <w:t>实质性要求和条件作出满足性或更有利于采购人的响应，否则，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EAC9D3">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应根据招标文件的要求提供投标技术文件等内容以对招标文件作出响应。</w:t>
      </w:r>
    </w:p>
    <w:p w14:paraId="21D46ECE">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某些要求的，偏差应当符合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规定的偏差范围和幅度。</w:t>
      </w:r>
    </w:p>
    <w:p w14:paraId="1C877D79">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2.招标文件</w:t>
      </w:r>
    </w:p>
    <w:p w14:paraId="5DCF0523">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招标文件的组成</w:t>
      </w:r>
    </w:p>
    <w:p w14:paraId="3AA91E36">
      <w:pPr>
        <w:keepNext w:val="0"/>
        <w:keepLines w:val="0"/>
        <w:pageBreakBefore w:val="0"/>
        <w:widowControl w:val="0"/>
        <w:kinsoku/>
        <w:wordWrap w:val="0"/>
        <w:overflowPunct/>
        <w:topLinePunct w:val="0"/>
        <w:autoSpaceDE/>
        <w:autoSpaceDN/>
        <w:bidi w:val="0"/>
        <w:adjustRightInd w:val="0"/>
        <w:spacing w:line="4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7F8FA884">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275A1F3D">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14714EC3">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7C30A9BC">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采购需求</w:t>
      </w:r>
      <w:r>
        <w:rPr>
          <w:rFonts w:hint="eastAsia" w:ascii="宋体" w:hAnsi="宋体" w:eastAsia="宋体" w:cs="宋体"/>
          <w:color w:val="auto"/>
          <w:sz w:val="24"/>
          <w:szCs w:val="24"/>
          <w:highlight w:val="none"/>
        </w:rPr>
        <w:t>；</w:t>
      </w:r>
    </w:p>
    <w:p w14:paraId="65A4A8F0">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合同格式</w:t>
      </w:r>
      <w:r>
        <w:rPr>
          <w:rFonts w:hint="eastAsia" w:ascii="宋体" w:hAnsi="宋体" w:eastAsia="宋体" w:cs="宋体"/>
          <w:color w:val="auto"/>
          <w:sz w:val="24"/>
          <w:szCs w:val="24"/>
          <w:highlight w:val="none"/>
        </w:rPr>
        <w:t>；</w:t>
      </w:r>
    </w:p>
    <w:p w14:paraId="0AE56D21">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07C4BE95">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）附件。</w:t>
      </w:r>
    </w:p>
    <w:p w14:paraId="3860A1F5">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 1.10 款、第 2.2 款和第 2.3 款对招标文件所作的澄清、修改，构成招标文件的组成部分，</w:t>
      </w:r>
      <w:r>
        <w:rPr>
          <w:rFonts w:hint="eastAsia" w:ascii="宋体" w:hAnsi="宋体" w:eastAsia="宋体" w:cs="宋体"/>
          <w:color w:val="auto"/>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59834D3F">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2.2 招标文件的澄清</w:t>
      </w:r>
    </w:p>
    <w:p w14:paraId="07ED24D1">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须知前附表规定的时间和形式将提出的问题送达采购人，要求采购人对招标文件予以澄清。</w:t>
      </w:r>
    </w:p>
    <w:p w14:paraId="6DA581FB">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 招标文件的澄清以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须知前附表规定的形式发给所有获取招标文件的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，但不指明澄清问题的来源。澄清发出的时间距本章第 4.2.1 款规定的投标截止时间不足 15 日的，并且澄清内容可能影响投标文件编制的，将相应延长投标截止时间。</w:t>
      </w:r>
    </w:p>
    <w:p w14:paraId="11D3851F">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在收到澄清后，应按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须知前附表规定的时间和形式通知采购人，确认已收到该澄清。</w:t>
      </w:r>
    </w:p>
    <w:p w14:paraId="33ABB92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2.2.4 除非采购人认为确有必要答复，否则，采购人有权拒绝回复</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在本章第 2.2.1 款规定的时间后的任何澄清要求。</w:t>
      </w:r>
    </w:p>
    <w:p w14:paraId="5F79071C">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2.3 招标文件的修改</w:t>
      </w:r>
    </w:p>
    <w:p w14:paraId="26F294D8">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 采购人以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须知前附表规定的形式修改招标文件，并通知所有已获取招标文件的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。修改招标文件的时间距本章第 4.2.1 款规定的投标截止时间不足 15 日的，并且修改内容可能影响投标文件编制的，将相应延长投标截止时间。</w:t>
      </w:r>
    </w:p>
    <w:p w14:paraId="61C6AEC2">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rPr>
        <w:t xml:space="preserve">2.3.2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收到修改内容后，应按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须知前附表规定的时间和形式通知采购人，确认已收到该修改。</w:t>
      </w:r>
    </w:p>
    <w:p w14:paraId="1874864C">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w:t>
      </w:r>
      <w:r>
        <w:rPr>
          <w:rFonts w:hint="eastAsia" w:ascii="宋体" w:hAnsi="宋体" w:eastAsia="宋体" w:cs="宋体"/>
          <w:color w:val="auto"/>
          <w:sz w:val="24"/>
          <w:szCs w:val="24"/>
          <w:highlight w:val="none"/>
          <w:lang w:val="zh-CN"/>
        </w:rPr>
        <w:t>回复并</w:t>
      </w:r>
      <w:r>
        <w:rPr>
          <w:rFonts w:hint="eastAsia" w:ascii="宋体" w:hAnsi="宋体" w:eastAsia="宋体" w:cs="宋体"/>
          <w:bCs/>
          <w:color w:val="auto"/>
          <w:sz w:val="24"/>
          <w:szCs w:val="24"/>
          <w:highlight w:val="none"/>
        </w:rPr>
        <w:t>通知采购人</w:t>
      </w:r>
      <w:r>
        <w:rPr>
          <w:rFonts w:hint="eastAsia" w:ascii="宋体" w:hAnsi="宋体" w:eastAsia="宋体" w:cs="宋体"/>
          <w:color w:val="auto"/>
          <w:sz w:val="24"/>
          <w:szCs w:val="24"/>
          <w:highlight w:val="none"/>
          <w:lang w:val="zh-CN"/>
        </w:rPr>
        <w:t>确认已收到</w:t>
      </w:r>
      <w:r>
        <w:rPr>
          <w:rFonts w:hint="eastAsia" w:ascii="宋体" w:hAnsi="宋体" w:eastAsia="宋体" w:cs="宋体"/>
          <w:bCs/>
          <w:color w:val="auto"/>
          <w:sz w:val="24"/>
          <w:szCs w:val="24"/>
          <w:highlight w:val="none"/>
        </w:rPr>
        <w:t>。</w:t>
      </w:r>
    </w:p>
    <w:p w14:paraId="149141ED">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color w:val="auto"/>
          <w:sz w:val="24"/>
          <w:szCs w:val="24"/>
          <w:highlight w:val="none"/>
          <w:lang w:val="zh-CN"/>
        </w:rPr>
        <w:t>在这种情况下，采购人和供应商受投标截止时间制约的所有权利和义务均相应延长至新的投标截止时间。</w:t>
      </w:r>
    </w:p>
    <w:p w14:paraId="061588F5">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3.投标文件</w:t>
      </w:r>
    </w:p>
    <w:p w14:paraId="387BB4FA">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3.1 投标文件的组成</w:t>
      </w:r>
    </w:p>
    <w:p w14:paraId="738F703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3.1.1 </w:t>
      </w:r>
      <w:r>
        <w:rPr>
          <w:rFonts w:hint="eastAsia" w:ascii="宋体" w:hAnsi="宋体" w:eastAsia="宋体" w:cs="宋体"/>
          <w:color w:val="auto"/>
          <w:sz w:val="24"/>
          <w:szCs w:val="24"/>
          <w:highlight w:val="none"/>
        </w:rPr>
        <w:t>投标文件分为商务部分和技术部分。商务部分是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提交的证明其具有合格的投标资格和中标后有能力履行合同的文件。技术部分是能够证明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所提供货物和服务的合格性和符合招标文件规定的文件，</w:t>
      </w:r>
      <w:r>
        <w:rPr>
          <w:rFonts w:hint="eastAsia" w:ascii="宋体" w:hAnsi="宋体" w:eastAsia="宋体" w:cs="宋体"/>
          <w:color w:val="auto"/>
          <w:sz w:val="24"/>
          <w:szCs w:val="24"/>
          <w:highlight w:val="none"/>
          <w:lang w:eastAsia="zh-CN"/>
        </w:rPr>
        <w:t>所有复印件为加盖公章鲜章的彩色复印件原件，标书内附其扫描件。</w:t>
      </w:r>
      <w:r>
        <w:rPr>
          <w:rFonts w:hint="eastAsia" w:ascii="宋体" w:hAnsi="宋体" w:eastAsia="宋体" w:cs="宋体"/>
          <w:color w:val="auto"/>
          <w:sz w:val="24"/>
          <w:szCs w:val="24"/>
          <w:highlight w:val="none"/>
        </w:rPr>
        <w:t>构成投标文件的其他材料具体见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D0B782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3E1864DC">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3.1.3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在评标过程中作出的符合法律法规和招标文件规定的澄清确认，构成投标文件的组成部分。</w:t>
      </w:r>
    </w:p>
    <w:p w14:paraId="0C1203D0">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投标报价</w:t>
      </w:r>
    </w:p>
    <w:p w14:paraId="7408B939">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应按第六章“投标文件格式”的要求在投标函</w:t>
      </w:r>
      <w:r>
        <w:rPr>
          <w:rFonts w:hint="eastAsia" w:ascii="宋体" w:hAnsi="宋体" w:cs="宋体"/>
          <w:color w:val="auto"/>
          <w:sz w:val="24"/>
          <w:szCs w:val="24"/>
          <w:highlight w:val="none"/>
        </w:rPr>
        <w:t>要求在投标函</w:t>
      </w:r>
      <w:r>
        <w:rPr>
          <w:rFonts w:hint="eastAsia" w:ascii="宋体" w:hAnsi="宋体" w:cs="宋体"/>
          <w:color w:val="auto"/>
          <w:sz w:val="24"/>
          <w:szCs w:val="24"/>
          <w:highlight w:val="none"/>
          <w:lang w:eastAsia="zh-CN"/>
        </w:rPr>
        <w:t>、开标一览表</w:t>
      </w:r>
      <w:r>
        <w:rPr>
          <w:rFonts w:hint="eastAsia" w:ascii="宋体" w:hAnsi="宋体" w:cs="宋体"/>
          <w:color w:val="auto"/>
          <w:sz w:val="24"/>
          <w:szCs w:val="24"/>
          <w:highlight w:val="none"/>
        </w:rPr>
        <w:t>中进行报价并填写</w:t>
      </w:r>
      <w:r>
        <w:rPr>
          <w:rFonts w:hint="eastAsia" w:ascii="宋体" w:hAnsi="宋体" w:cs="宋体"/>
          <w:bCs/>
          <w:color w:val="auto"/>
          <w:sz w:val="24"/>
          <w:szCs w:val="24"/>
          <w:highlight w:val="none"/>
        </w:rPr>
        <w:t>投标报价明细表</w:t>
      </w:r>
      <w:r>
        <w:rPr>
          <w:rFonts w:hint="eastAsia" w:ascii="宋体" w:hAnsi="宋体" w:cs="宋体"/>
          <w:bCs/>
          <w:color w:val="auto"/>
          <w:sz w:val="24"/>
          <w:szCs w:val="24"/>
          <w:highlight w:val="none"/>
          <w:lang w:eastAsia="zh-CN"/>
        </w:rPr>
        <w:t>，必须在开标一览表空白处签</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字和加盖公章</w:t>
      </w:r>
      <w:r>
        <w:rPr>
          <w:rFonts w:hint="eastAsia" w:ascii="宋体" w:hAnsi="宋体" w:cs="宋体"/>
          <w:color w:val="auto"/>
          <w:sz w:val="24"/>
          <w:szCs w:val="24"/>
          <w:highlight w:val="none"/>
        </w:rPr>
        <w:t>。</w:t>
      </w:r>
    </w:p>
    <w:p w14:paraId="671AA6F3">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应充分了解该项目的总体情况以及影响投标报价的其他要素。</w:t>
      </w:r>
    </w:p>
    <w:p w14:paraId="5DFC9F5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在投标截止时间前修改投标函中的投标报价总额，应同时修改投标文件“</w:t>
      </w:r>
      <w:r>
        <w:rPr>
          <w:rFonts w:hint="eastAsia" w:ascii="宋体" w:hAnsi="宋体" w:eastAsia="宋体" w:cs="宋体"/>
          <w:bCs/>
          <w:color w:val="auto"/>
          <w:sz w:val="24"/>
          <w:szCs w:val="24"/>
          <w:highlight w:val="none"/>
        </w:rPr>
        <w:t>投标报价明细表</w:t>
      </w:r>
      <w:r>
        <w:rPr>
          <w:rFonts w:hint="eastAsia" w:ascii="宋体" w:hAnsi="宋体" w:eastAsia="宋体" w:cs="宋体"/>
          <w:color w:val="auto"/>
          <w:sz w:val="24"/>
          <w:szCs w:val="24"/>
          <w:highlight w:val="none"/>
        </w:rPr>
        <w:t>”中的相应报价。此修改须符合本章第 4.3 款的有关要求。</w:t>
      </w:r>
    </w:p>
    <w:p w14:paraId="357BCEA5">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采购人设有最高投标限价的，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20FAB005">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投标货币：所有投标报价均以人民币元为计算单位。</w:t>
      </w:r>
    </w:p>
    <w:p w14:paraId="050F3412">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3.2.6</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供应商应一次性报出投标货物的单价和总价，每种货物只允许有一个报价，任何有选择的报价将不予接受。供应商所报价格应为在本招标文件指定地点交货、由供应商负责安装调试、验收合格并交付的全部价格。</w:t>
      </w:r>
    </w:p>
    <w:p w14:paraId="38C57E0D">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3.2.7</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供应商所报的价格在合同执行过程中是固定不变的，不得以任何理由予以变更。以可调整的价格提交的投标将作为非响应性投标予以拒绝。</w:t>
      </w:r>
    </w:p>
    <w:p w14:paraId="5630B9CE">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3.2.8</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最低报价不能作为中标的保证和唯一依据。</w:t>
      </w:r>
    </w:p>
    <w:p w14:paraId="08CD8760">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 投标有效期</w:t>
      </w:r>
    </w:p>
    <w:p w14:paraId="3FAC18AB">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须知前附表另有规定外，投标有效期为 90 天。</w:t>
      </w:r>
    </w:p>
    <w:p w14:paraId="058D799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3.3.2 在投标有效期内，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撤销投标文件的，应承担招标文件和法律规定的责任。</w:t>
      </w:r>
    </w:p>
    <w:p w14:paraId="2ADECEC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3.3.3 出现特殊情况需要延长投标有效期的，采购人或采购代理机构</w:t>
      </w:r>
      <w:r>
        <w:rPr>
          <w:rFonts w:hint="eastAsia" w:ascii="宋体" w:hAnsi="宋体" w:eastAsia="宋体" w:cs="宋体"/>
          <w:color w:val="auto"/>
          <w:sz w:val="24"/>
          <w:szCs w:val="24"/>
          <w:highlight w:val="none"/>
          <w:lang w:val="zh-CN"/>
        </w:rPr>
        <w:t>将</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拒绝延长的，其投标失效，但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有权收回其投标保证金及以现金或者支票形式递交的投标保证金的银行同期存款利息。</w:t>
      </w:r>
    </w:p>
    <w:p w14:paraId="5960AEF7">
      <w:pPr>
        <w:keepNext w:val="0"/>
        <w:keepLines w:val="0"/>
        <w:pageBreakBefore w:val="0"/>
        <w:widowControl w:val="0"/>
        <w:tabs>
          <w:tab w:val="left" w:pos="1365"/>
        </w:tabs>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3.4 投标保证金</w:t>
      </w:r>
    </w:p>
    <w:p w14:paraId="3EC46FF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在递交投标文件的同时，应按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须知前附表的规定。</w:t>
      </w:r>
    </w:p>
    <w:p w14:paraId="2250FFF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不按本章第 3.4.1 款要求提交投标保证金的，</w:t>
      </w:r>
      <w:r>
        <w:rPr>
          <w:rFonts w:hint="eastAsia" w:ascii="宋体" w:hAnsi="宋体" w:eastAsia="宋体" w:cs="宋体"/>
          <w:bCs/>
          <w:color w:val="auto"/>
          <w:sz w:val="24"/>
          <w:szCs w:val="24"/>
          <w:highlight w:val="none"/>
          <w:lang w:eastAsia="zh-CN"/>
        </w:rPr>
        <w:t>投标无效，</w:t>
      </w:r>
      <w:r>
        <w:rPr>
          <w:rFonts w:hint="eastAsia" w:ascii="宋体" w:hAnsi="宋体" w:eastAsia="宋体" w:cs="宋体"/>
          <w:bCs/>
          <w:color w:val="auto"/>
          <w:sz w:val="24"/>
          <w:szCs w:val="24"/>
          <w:highlight w:val="none"/>
        </w:rPr>
        <w:t>评标委员会将否决其投标。</w:t>
      </w:r>
    </w:p>
    <w:p w14:paraId="1CE52B1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3.4.3 </w:t>
      </w:r>
      <w:r>
        <w:rPr>
          <w:rFonts w:hint="eastAsia" w:ascii="宋体" w:hAnsi="宋体" w:eastAsia="宋体" w:cs="宋体"/>
          <w:color w:val="auto"/>
          <w:sz w:val="24"/>
          <w:szCs w:val="24"/>
          <w:highlight w:val="none"/>
        </w:rPr>
        <w:t>除因处理质疑、投诉等原因外，未中标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的投标保证金在中标通知书发出之日起5个工作日内退还,</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的投标保证金自采购合同签订之日起5个工作日内退还或者转为</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被质疑、投诉的，在调查处理期间该项目的投标保证金暂不退还，待处理结果明确后按规定处理。</w:t>
      </w:r>
    </w:p>
    <w:p w14:paraId="02410459">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3.4.4 有下列情形之一的，投标保证金将不予退还：</w:t>
      </w:r>
    </w:p>
    <w:p w14:paraId="775C9B49">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在投标有效期内撤销投标文件；</w:t>
      </w:r>
    </w:p>
    <w:p w14:paraId="64A9C5A3">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bCs/>
          <w:color w:val="auto"/>
          <w:sz w:val="24"/>
          <w:szCs w:val="24"/>
          <w:highlight w:val="none"/>
        </w:rPr>
        <w:t>；</w:t>
      </w:r>
    </w:p>
    <w:p w14:paraId="205F4AD6">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（3）经</w:t>
      </w:r>
      <w:r>
        <w:rPr>
          <w:rFonts w:hint="eastAsia" w:ascii="宋体" w:hAnsi="宋体" w:eastAsia="宋体" w:cs="宋体"/>
          <w:color w:val="auto"/>
          <w:sz w:val="24"/>
          <w:szCs w:val="24"/>
          <w:highlight w:val="none"/>
          <w:lang w:val="zh-CN"/>
        </w:rPr>
        <w:t>评标委员会评标过程中发现</w:t>
      </w:r>
      <w:r>
        <w:rPr>
          <w:rFonts w:hint="eastAsia" w:ascii="宋体" w:hAnsi="宋体" w:eastAsia="宋体" w:cs="宋体"/>
          <w:bCs/>
          <w:color w:val="auto"/>
          <w:sz w:val="24"/>
          <w:szCs w:val="24"/>
          <w:highlight w:val="none"/>
          <w:lang w:eastAsia="zh-CN"/>
        </w:rPr>
        <w:t>供应商</w:t>
      </w:r>
      <w:r>
        <w:rPr>
          <w:rFonts w:hint="eastAsia" w:ascii="宋体" w:hAnsi="宋体" w:eastAsia="宋体" w:cs="宋体"/>
          <w:color w:val="auto"/>
          <w:sz w:val="24"/>
          <w:szCs w:val="24"/>
          <w:highlight w:val="none"/>
          <w:lang w:val="zh-CN"/>
        </w:rPr>
        <w:t>符合“6.3.4 审查供应商是否存在串通投标行为”情形的；</w:t>
      </w:r>
    </w:p>
    <w:p w14:paraId="06E330B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（4）其他可以不予退还投标保证金的情形，具体详见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3E9D67E9">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3.5 资格审查资料</w:t>
      </w:r>
    </w:p>
    <w:p w14:paraId="6F9B3213">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《投标文件格式》及</w:t>
      </w:r>
      <w:r>
        <w:rPr>
          <w:rFonts w:hint="eastAsia" w:ascii="宋体" w:hAnsi="宋体" w:eastAsia="宋体" w:cs="宋体"/>
          <w:bCs/>
          <w:color w:val="auto"/>
          <w:sz w:val="24"/>
          <w:szCs w:val="24"/>
          <w:highlight w:val="none"/>
        </w:rPr>
        <w:t>下列规定提供资格审查资料，以证明其满足本章第 1.4 款规定的资质、财务、业绩、信誉等要求。</w:t>
      </w:r>
    </w:p>
    <w:p w14:paraId="7EC78A76">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0000FF"/>
          <w:sz w:val="24"/>
          <w:szCs w:val="24"/>
          <w:highlight w:val="none"/>
        </w:rPr>
      </w:pPr>
      <w:r>
        <w:rPr>
          <w:rFonts w:hint="eastAsia" w:ascii="宋体" w:hAnsi="宋体" w:eastAsia="宋体" w:cs="宋体"/>
          <w:bCs/>
          <w:color w:val="auto"/>
          <w:sz w:val="24"/>
          <w:szCs w:val="24"/>
          <w:highlight w:val="none"/>
        </w:rPr>
        <w:t>3.5.1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基本情况”应附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营业执照和组织机构代码证的复印件（按照“三证合一”或“五证合一”登记制度进行登记的，可仅提供营业执照副本复印件）、</w:t>
      </w:r>
      <w:r>
        <w:rPr>
          <w:rFonts w:hint="eastAsia" w:ascii="宋体" w:hAnsi="宋体" w:eastAsia="宋体" w:cs="宋体"/>
          <w:bCs/>
          <w:color w:val="000000" w:themeColor="text1"/>
          <w:sz w:val="24"/>
          <w:szCs w:val="24"/>
          <w:highlight w:val="none"/>
          <w14:textFill>
            <w14:solidFill>
              <w14:schemeClr w14:val="tx1"/>
            </w14:solidFill>
          </w14:textFill>
        </w:rPr>
        <w:t>开户许可证</w:t>
      </w:r>
      <w:r>
        <w:rPr>
          <w:rFonts w:hint="eastAsia" w:ascii="宋体" w:hAnsi="宋体" w:cs="宋体"/>
          <w:bCs/>
          <w:color w:val="000000" w:themeColor="text1"/>
          <w:sz w:val="24"/>
          <w:szCs w:val="24"/>
          <w:highlight w:val="none"/>
          <w:lang w:val="en-US" w:eastAsia="zh-CN"/>
          <w14:textFill>
            <w14:solidFill>
              <w14:schemeClr w14:val="tx1"/>
            </w14:solidFill>
          </w14:textFill>
        </w:rPr>
        <w:t>或开户证明材料</w:t>
      </w:r>
      <w:r>
        <w:rPr>
          <w:rFonts w:hint="eastAsia" w:ascii="宋体" w:hAnsi="宋体" w:eastAsia="宋体" w:cs="宋体"/>
          <w:bCs/>
          <w:color w:val="000000" w:themeColor="text1"/>
          <w:sz w:val="24"/>
          <w:szCs w:val="24"/>
          <w:highlight w:val="none"/>
          <w14:textFill>
            <w14:solidFill>
              <w14:schemeClr w14:val="tx1"/>
            </w14:solidFill>
          </w14:textFill>
        </w:rPr>
        <w:t>等材料的复印件。</w:t>
      </w:r>
    </w:p>
    <w:p w14:paraId="7C02458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3.5.2 “公司财务状况”应附财务报表或财务审计报告，包括资产负债表、现金流量表、利润表和财务情况说明书的复印件，具体年份要求见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5B27741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须知前附表”第3.1.1款；③“中国裁判文书网”行贿犯罪记录官网截图，具体要求见本章“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w:t>
      </w:r>
      <w:r>
        <w:rPr>
          <w:rFonts w:hint="eastAsia" w:ascii="宋体" w:hAnsi="宋体" w:eastAsia="宋体" w:cs="宋体"/>
          <w:bCs/>
          <w:color w:val="auto"/>
          <w:sz w:val="24"/>
          <w:szCs w:val="24"/>
          <w:highlight w:val="none"/>
        </w:rPr>
        <w:sym w:font="Wingdings" w:char="F084"/>
      </w:r>
      <w:r>
        <w:rPr>
          <w:rFonts w:hint="eastAsia" w:ascii="宋体" w:hAnsi="宋体" w:eastAsia="宋体" w:cs="宋体"/>
          <w:bCs/>
          <w:color w:val="auto"/>
          <w:sz w:val="24"/>
          <w:szCs w:val="24"/>
          <w:highlight w:val="none"/>
          <w:lang w:val="zh-CN"/>
        </w:rPr>
        <w:t>发生的诉讼及仲裁情况，如有须提供</w:t>
      </w:r>
      <w:r>
        <w:rPr>
          <w:rFonts w:hint="eastAsia" w:ascii="宋体" w:hAnsi="宋体" w:eastAsia="宋体" w:cs="宋体"/>
          <w:bCs/>
          <w:color w:val="auto"/>
          <w:sz w:val="24"/>
          <w:szCs w:val="24"/>
          <w:highlight w:val="none"/>
        </w:rPr>
        <w:t>法院或仲裁机构作出的判决、裁决等有关法律文书复印件；具体时间要求见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66B61A69">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须知前附表规定接受联合体投标的，本章第 3.5.1 款至第 3.5.</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款规定的表格和资料应包括联合体各方相关情况。</w:t>
      </w:r>
    </w:p>
    <w:p w14:paraId="1C52EC61">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3.6 备选投标方案</w:t>
      </w:r>
    </w:p>
    <w:p w14:paraId="3450973B">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须知前附表规定允许外，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不得递交备选投标方案，否则其投标将被否决。</w:t>
      </w:r>
    </w:p>
    <w:p w14:paraId="6762B2E3">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3.6.2 允许</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递交备选投标方案的，只有</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所递交的备选投标方案方可予以考虑。评标委员会认为</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的备选投标方案优于其按照招标文件要求编制的投标方案的，采购人可以接受该备选投标方案。</w:t>
      </w:r>
    </w:p>
    <w:p w14:paraId="250F261C">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3.6.3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提供两个或两个以上投标报价，或者在投标文件中提供一个报价，但同时提供两个或两个以上技术方案的，视为提供备选方案。</w:t>
      </w:r>
    </w:p>
    <w:p w14:paraId="7598EF4C">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3.7 投标文件的编制</w:t>
      </w:r>
    </w:p>
    <w:p w14:paraId="186673C8">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3.7.1 投标文件应按第六章“投标文件格式”</w:t>
      </w:r>
      <w:r>
        <w:rPr>
          <w:rFonts w:hint="eastAsia" w:ascii="宋体" w:hAnsi="宋体" w:eastAsia="宋体" w:cs="宋体"/>
          <w:bCs/>
          <w:color w:val="auto"/>
          <w:sz w:val="24"/>
          <w:szCs w:val="24"/>
          <w:highlight w:val="none"/>
          <w:lang w:eastAsia="zh-CN"/>
        </w:rPr>
        <w:t>及本章条款要求</w:t>
      </w:r>
      <w:r>
        <w:rPr>
          <w:rFonts w:hint="eastAsia" w:ascii="宋体" w:hAnsi="宋体" w:eastAsia="宋体" w:cs="宋体"/>
          <w:bCs/>
          <w:color w:val="auto"/>
          <w:sz w:val="24"/>
          <w:szCs w:val="24"/>
          <w:highlight w:val="none"/>
        </w:rPr>
        <w:t>进行编写，</w:t>
      </w:r>
      <w:r>
        <w:rPr>
          <w:rFonts w:hint="eastAsia" w:ascii="宋体" w:hAnsi="宋体" w:eastAsia="宋体" w:cs="宋体"/>
          <w:bCs/>
          <w:color w:val="auto"/>
          <w:sz w:val="24"/>
          <w:szCs w:val="24"/>
          <w:highlight w:val="none"/>
          <w:lang w:eastAsia="zh-CN"/>
        </w:rPr>
        <w:t>否则均视为无效投标情形，由此引发的</w:t>
      </w:r>
      <w:r>
        <w:rPr>
          <w:rFonts w:hint="eastAsia" w:ascii="宋体" w:hAnsi="宋体" w:eastAsia="宋体" w:cs="宋体"/>
          <w:bCs/>
          <w:color w:val="auto"/>
          <w:sz w:val="24"/>
          <w:szCs w:val="24"/>
          <w:highlight w:val="none"/>
        </w:rPr>
        <w:t>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自行负责。如有必要，可以增加附页，作为投标文件的组成部分。其中，商务条款在满足招标文件实质性要求的基础上，可以提出比招标文件要求更有利于采购人的承诺。</w:t>
      </w:r>
    </w:p>
    <w:p w14:paraId="13BE0A5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3.7.2 投标文件应当对招标文件有关供货期、投标有效期、招标范围等实质性内容作出响应。</w:t>
      </w:r>
    </w:p>
    <w:p w14:paraId="26842F3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3.7.3（1）投标文件应按招标文件所提供的投标文件格式标准制作，签字或盖章应清晰，易于识别，要求签字盖章处必须签字盖章，严禁代签和仿造行为。电子</w:t>
      </w:r>
      <w:r>
        <w:rPr>
          <w:rFonts w:hint="eastAsia" w:ascii="宋体" w:hAnsi="宋体" w:eastAsia="宋体" w:cs="宋体"/>
          <w:bCs/>
          <w:color w:val="auto"/>
          <w:sz w:val="24"/>
          <w:szCs w:val="24"/>
          <w:highlight w:val="none"/>
          <w:lang w:eastAsia="zh-CN"/>
        </w:rPr>
        <w:t>版</w:t>
      </w:r>
      <w:r>
        <w:rPr>
          <w:rFonts w:hint="eastAsia" w:ascii="宋体" w:hAnsi="宋体" w:eastAsia="宋体" w:cs="宋体"/>
          <w:bCs/>
          <w:color w:val="auto"/>
          <w:sz w:val="24"/>
          <w:szCs w:val="24"/>
          <w:highlight w:val="none"/>
        </w:rPr>
        <w:t>投标文件加盖的公章盖电子印章、</w:t>
      </w:r>
      <w:r>
        <w:rPr>
          <w:rFonts w:hint="eastAsia" w:ascii="宋体" w:hAnsi="宋体" w:eastAsia="宋体" w:cs="宋体"/>
          <w:bCs/>
          <w:color w:val="auto"/>
          <w:sz w:val="24"/>
          <w:szCs w:val="24"/>
          <w:highlight w:val="none"/>
          <w:lang w:eastAsia="zh-CN"/>
        </w:rPr>
        <w:t>法定代表人或</w:t>
      </w: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手写签字</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纸质版投标文件必须使用从投标文件制作工具中生成的投标文件（打印版）进行单面打印</w:t>
      </w:r>
      <w:r>
        <w:rPr>
          <w:rFonts w:hint="eastAsia" w:ascii="宋体" w:hAnsi="宋体" w:eastAsia="宋体" w:cs="宋体"/>
          <w:bCs/>
          <w:color w:val="auto"/>
          <w:sz w:val="24"/>
          <w:szCs w:val="24"/>
          <w:highlight w:val="none"/>
          <w:lang w:eastAsia="zh-CN"/>
        </w:rPr>
        <w:t>并</w:t>
      </w:r>
      <w:r>
        <w:rPr>
          <w:rFonts w:hint="eastAsia" w:ascii="宋体" w:hAnsi="宋体" w:eastAsia="宋体" w:cs="宋体"/>
          <w:bCs/>
          <w:color w:val="auto"/>
          <w:sz w:val="24"/>
          <w:szCs w:val="24"/>
          <w:highlight w:val="none"/>
        </w:rPr>
        <w:t>加盖公章鲜章</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签字必须由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的法定代表人或委托代理人亲笔手写签字（包括姓和名），</w:t>
      </w:r>
      <w:r>
        <w:rPr>
          <w:rFonts w:hint="eastAsia" w:ascii="宋体" w:hAnsi="宋体" w:eastAsia="宋体" w:cs="宋体"/>
          <w:bCs/>
          <w:color w:val="auto"/>
          <w:sz w:val="24"/>
          <w:szCs w:val="24"/>
          <w:highlight w:val="none"/>
          <w:lang w:eastAsia="zh-CN"/>
        </w:rPr>
        <w:t>签字处</w:t>
      </w:r>
      <w:r>
        <w:rPr>
          <w:rFonts w:hint="eastAsia" w:ascii="宋体" w:hAnsi="宋体" w:eastAsia="宋体" w:cs="宋体"/>
          <w:bCs/>
          <w:color w:val="auto"/>
          <w:sz w:val="24"/>
          <w:szCs w:val="24"/>
          <w:highlight w:val="none"/>
        </w:rPr>
        <w:t>不得</w:t>
      </w:r>
      <w:r>
        <w:rPr>
          <w:rFonts w:hint="eastAsia" w:ascii="宋体" w:hAnsi="宋体" w:eastAsia="宋体" w:cs="宋体"/>
          <w:bCs/>
          <w:color w:val="auto"/>
          <w:sz w:val="24"/>
          <w:szCs w:val="24"/>
          <w:highlight w:val="none"/>
          <w:lang w:eastAsia="zh-CN"/>
        </w:rPr>
        <w:t>使</w:t>
      </w:r>
      <w:r>
        <w:rPr>
          <w:rFonts w:hint="eastAsia" w:ascii="宋体" w:hAnsi="宋体" w:eastAsia="宋体" w:cs="宋体"/>
          <w:bCs/>
          <w:color w:val="auto"/>
          <w:sz w:val="24"/>
          <w:szCs w:val="24"/>
          <w:highlight w:val="none"/>
        </w:rPr>
        <w:t>用</w:t>
      </w:r>
      <w:r>
        <w:rPr>
          <w:rFonts w:hint="eastAsia" w:ascii="宋体" w:hAnsi="宋体" w:eastAsia="宋体" w:cs="宋体"/>
          <w:bCs/>
          <w:color w:val="auto"/>
          <w:sz w:val="24"/>
          <w:szCs w:val="24"/>
          <w:highlight w:val="none"/>
          <w:lang w:eastAsia="zh-CN"/>
        </w:rPr>
        <w:t>印</w:t>
      </w:r>
      <w:r>
        <w:rPr>
          <w:rFonts w:hint="eastAsia" w:ascii="宋体" w:hAnsi="宋体" w:eastAsia="宋体" w:cs="宋体"/>
          <w:bCs/>
          <w:color w:val="auto"/>
          <w:sz w:val="24"/>
          <w:szCs w:val="24"/>
          <w:highlight w:val="none"/>
        </w:rPr>
        <w:t>章（如签名章、签字章等）代替</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也不得由他人代签，由委托代理人签字的，投标文件应附法定代表人签署的授权委托书。投标文件应尽量避免涂改、行间插字或删除。如果出现上述情况，改动之处应加盖公章并由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的法定代表人或委托代理人签字确认。</w:t>
      </w:r>
    </w:p>
    <w:p w14:paraId="77451DE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（2）纸质版投标文件应用不褪色的材料书写或打印，正本必须彩色打印并加盖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鲜章，副本可以是正本的复印件，但应加盖骑页公章，并在封面标明“正本”、“副本”字样，当正本与副本内容不一致时，以正本为准。投标文件因内容不全或关键字迹模糊、无法辨认、字迹潦草或表达不清引起的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w:t>
      </w:r>
    </w:p>
    <w:p w14:paraId="3DDEED88">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（3）纸质版投标文件的装订要整齐、牢固、采用左侧纵向无线胶订机胶订，</w:t>
      </w:r>
      <w:r>
        <w:rPr>
          <w:rFonts w:hint="eastAsia" w:ascii="宋体" w:hAnsi="宋体" w:eastAsia="宋体" w:cs="宋体"/>
          <w:bCs/>
          <w:color w:val="auto"/>
          <w:sz w:val="24"/>
          <w:szCs w:val="24"/>
          <w:highlight w:val="none"/>
          <w:lang w:eastAsia="zh-CN"/>
        </w:rPr>
        <w:t>自行</w:t>
      </w:r>
      <w:r>
        <w:rPr>
          <w:rFonts w:hint="eastAsia" w:ascii="宋体" w:hAnsi="宋体" w:eastAsia="宋体" w:cs="宋体"/>
          <w:bCs/>
          <w:color w:val="auto"/>
          <w:sz w:val="24"/>
          <w:szCs w:val="24"/>
          <w:highlight w:val="none"/>
        </w:rPr>
        <w:t>编制目录</w:t>
      </w:r>
      <w:r>
        <w:rPr>
          <w:rFonts w:hint="eastAsia" w:ascii="宋体" w:hAnsi="宋体" w:eastAsia="宋体" w:cs="宋体"/>
          <w:bCs/>
          <w:color w:val="auto"/>
          <w:sz w:val="24"/>
          <w:szCs w:val="24"/>
          <w:highlight w:val="none"/>
          <w:lang w:eastAsia="zh-CN"/>
        </w:rPr>
        <w:t>（对应</w:t>
      </w:r>
      <w:r>
        <w:rPr>
          <w:rFonts w:hint="eastAsia" w:ascii="宋体" w:hAnsi="宋体" w:eastAsia="宋体" w:cs="宋体"/>
          <w:bCs/>
          <w:color w:val="auto"/>
          <w:sz w:val="24"/>
          <w:szCs w:val="24"/>
          <w:highlight w:val="none"/>
        </w:rPr>
        <w:t>页码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，使用标准的宋体字、A4纸打印胶装装订成册，投标文件需分册装订的，具体要求见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w:t>
      </w:r>
    </w:p>
    <w:p w14:paraId="13E28EB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zh-CN"/>
        </w:rPr>
        <w:t>投标文件的补充递交，具体要求见供应商须知前附表规定。</w:t>
      </w:r>
    </w:p>
    <w:p w14:paraId="1C562F2E">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4.投标</w:t>
      </w:r>
    </w:p>
    <w:p w14:paraId="17C6C0E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color w:val="auto"/>
          <w:sz w:val="24"/>
          <w:szCs w:val="24"/>
          <w:highlight w:val="none"/>
          <w:lang w:val="zh-CN"/>
        </w:rPr>
      </w:pPr>
      <w:bookmarkStart w:id="7" w:name="_Toc201719090"/>
      <w:bookmarkStart w:id="8" w:name="_Toc30156082"/>
      <w:bookmarkStart w:id="9" w:name="_Toc28681"/>
      <w:bookmarkStart w:id="10" w:name="_Toc10534"/>
      <w:r>
        <w:rPr>
          <w:rFonts w:hint="eastAsia" w:ascii="宋体" w:hAnsi="宋体" w:eastAsia="宋体" w:cs="宋体"/>
          <w:b/>
          <w:bCs/>
          <w:color w:val="auto"/>
          <w:sz w:val="24"/>
          <w:szCs w:val="24"/>
          <w:highlight w:val="none"/>
          <w:lang w:val="zh-CN"/>
        </w:rPr>
        <w:t xml:space="preserve">4.1 </w:t>
      </w:r>
      <w:bookmarkEnd w:id="7"/>
      <w:bookmarkEnd w:id="8"/>
      <w:r>
        <w:rPr>
          <w:rFonts w:hint="eastAsia" w:ascii="宋体" w:hAnsi="宋体" w:eastAsia="宋体" w:cs="宋体"/>
          <w:b/>
          <w:bCs/>
          <w:color w:val="auto"/>
          <w:sz w:val="24"/>
          <w:szCs w:val="24"/>
          <w:highlight w:val="none"/>
          <w:lang w:val="zh-CN"/>
        </w:rPr>
        <w:t>投标文件的保密</w:t>
      </w:r>
      <w:bookmarkEnd w:id="9"/>
      <w:bookmarkEnd w:id="10"/>
    </w:p>
    <w:p w14:paraId="53BC1DB6">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投标文件应独立制作，包封按招标文件</w:t>
      </w:r>
      <w:r>
        <w:rPr>
          <w:rFonts w:hint="eastAsia" w:ascii="宋体" w:hAnsi="宋体" w:eastAsia="宋体" w:cs="宋体"/>
          <w:color w:val="auto"/>
          <w:sz w:val="24"/>
          <w:szCs w:val="24"/>
          <w:highlight w:val="none"/>
          <w:lang w:val="zh-CN" w:eastAsia="zh-CN"/>
        </w:rPr>
        <w:t>要求进行密封</w:t>
      </w:r>
      <w:r>
        <w:rPr>
          <w:rFonts w:hint="eastAsia" w:ascii="宋体" w:hAnsi="宋体" w:eastAsia="宋体" w:cs="宋体"/>
          <w:color w:val="auto"/>
          <w:sz w:val="24"/>
          <w:szCs w:val="24"/>
          <w:highlight w:val="none"/>
          <w:lang w:val="zh-CN"/>
        </w:rPr>
        <w:t>，并在封套的封口处加盖投标供应商公章</w:t>
      </w:r>
      <w:r>
        <w:rPr>
          <w:rFonts w:hint="eastAsia" w:ascii="宋体" w:hAnsi="宋体" w:eastAsia="宋体" w:cs="宋体"/>
          <w:color w:val="auto"/>
          <w:sz w:val="24"/>
          <w:szCs w:val="24"/>
          <w:highlight w:val="none"/>
          <w:lang w:val="zh-CN" w:eastAsia="zh-CN"/>
        </w:rPr>
        <w:t>、法人章及法定代表人手书签字，包封格式详见附件</w:t>
      </w:r>
      <w:r>
        <w:rPr>
          <w:rFonts w:hint="eastAsia" w:ascii="宋体" w:hAnsi="宋体" w:eastAsia="宋体" w:cs="宋体"/>
          <w:color w:val="auto"/>
          <w:sz w:val="24"/>
          <w:szCs w:val="24"/>
          <w:highlight w:val="none"/>
          <w:lang w:val="zh-CN"/>
        </w:rPr>
        <w:t>。</w:t>
      </w:r>
    </w:p>
    <w:p w14:paraId="5746BB9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color w:val="auto"/>
          <w:sz w:val="24"/>
          <w:szCs w:val="24"/>
          <w:highlight w:val="none"/>
          <w:lang w:val="zh-CN"/>
        </w:rPr>
      </w:pPr>
      <w:bookmarkStart w:id="11" w:name="_Toc10334"/>
      <w:bookmarkStart w:id="12" w:name="_Toc31814"/>
      <w:r>
        <w:rPr>
          <w:rFonts w:hint="eastAsia" w:ascii="宋体" w:hAnsi="宋体" w:eastAsia="宋体" w:cs="宋体"/>
          <w:b/>
          <w:bCs/>
          <w:color w:val="auto"/>
          <w:sz w:val="24"/>
          <w:szCs w:val="24"/>
          <w:highlight w:val="none"/>
          <w:lang w:val="zh-CN"/>
        </w:rPr>
        <w:t>4.2 投标文件的递交</w:t>
      </w:r>
      <w:bookmarkEnd w:id="11"/>
      <w:bookmarkEnd w:id="12"/>
    </w:p>
    <w:p w14:paraId="44D449E6">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4.2.1 供应商应在供应商须知前附表规定的供应商上传提交投标文件的截止时间(开标时间）前递交投标文件。</w:t>
      </w:r>
    </w:p>
    <w:p w14:paraId="74182544">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4.2.2 供应商上传提交投标文件的平台：见供应商须知前附表。</w:t>
      </w:r>
    </w:p>
    <w:p w14:paraId="13231749">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4.2.3 除供应商须知前附表另有规定外，供应商所递交的投标文件不予退还。</w:t>
      </w:r>
    </w:p>
    <w:p w14:paraId="26AF979D">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 xml:space="preserve"> 首次招标投标截止时间结束后供应商不足三家的，将重新招标；重新招标仍出现本款前述情形的，可按本须知正文第11款的规定办理。</w:t>
      </w:r>
    </w:p>
    <w:p w14:paraId="7E2B16EE">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zh-CN"/>
        </w:rPr>
        <w:t xml:space="preserve"> 采购人在任何时候发现供应商提交的投标文件内容有下列情形之一时，将给予废标、解除合同及赔偿损失，同时有权依法追究供应商的责任：</w:t>
      </w:r>
    </w:p>
    <w:p w14:paraId="2D466F91">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（1）虚假的资料。</w:t>
      </w:r>
    </w:p>
    <w:p w14:paraId="03058DD7">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（2）在实质性方面失实。</w:t>
      </w:r>
    </w:p>
    <w:p w14:paraId="0BAD1ED1">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5.开标</w:t>
      </w:r>
    </w:p>
    <w:p w14:paraId="4288683B">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5.1</w:t>
      </w:r>
      <w:r>
        <w:rPr>
          <w:rFonts w:hint="eastAsia" w:ascii="宋体" w:hAnsi="宋体" w:eastAsia="宋体" w:cs="宋体"/>
          <w:b/>
          <w:bCs/>
          <w:color w:val="auto"/>
          <w:sz w:val="24"/>
          <w:szCs w:val="24"/>
          <w:highlight w:val="none"/>
        </w:rPr>
        <w:t>开标时间</w:t>
      </w:r>
      <w:r>
        <w:rPr>
          <w:rFonts w:hint="eastAsia" w:ascii="宋体" w:hAnsi="宋体" w:eastAsia="宋体" w:cs="宋体"/>
          <w:b/>
          <w:bCs/>
          <w:color w:val="auto"/>
          <w:sz w:val="24"/>
          <w:szCs w:val="24"/>
          <w:highlight w:val="none"/>
          <w:lang w:val="zh-CN"/>
        </w:rPr>
        <w:t>和地点</w:t>
      </w:r>
    </w:p>
    <w:p w14:paraId="36BEAE76">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采购人在本章第4.</w:t>
      </w:r>
      <w:r>
        <w:rPr>
          <w:rFonts w:hint="eastAsia" w:ascii="宋体" w:hAnsi="宋体" w:eastAsia="宋体" w:cs="宋体"/>
          <w:bCs/>
          <w:color w:val="auto"/>
          <w:sz w:val="24"/>
          <w:highlight w:val="none"/>
        </w:rPr>
        <w:t>2.1</w:t>
      </w:r>
      <w:r>
        <w:rPr>
          <w:rFonts w:hint="eastAsia" w:ascii="宋体" w:hAnsi="宋体" w:eastAsia="宋体" w:cs="宋体"/>
          <w:bCs/>
          <w:color w:val="auto"/>
          <w:sz w:val="24"/>
          <w:highlight w:val="none"/>
          <w:lang w:val="zh-CN"/>
        </w:rPr>
        <w:t>项规定的供应商上传提交投标文件的截止时间(开标时间）和供应商须知前附表规定的网址、地点公开开标。</w:t>
      </w:r>
    </w:p>
    <w:p w14:paraId="7AB54138">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5.2 开标程序</w:t>
      </w:r>
    </w:p>
    <w:p w14:paraId="42A68A36">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开标由采购人或者采购代理机构主持</w:t>
      </w:r>
      <w:r>
        <w:rPr>
          <w:rFonts w:hint="eastAsia" w:ascii="宋体" w:hAnsi="宋体" w:eastAsia="宋体" w:cs="宋体"/>
          <w:bCs/>
          <w:color w:val="auto"/>
          <w:sz w:val="24"/>
          <w:szCs w:val="24"/>
          <w:highlight w:val="none"/>
          <w:lang w:val="zh-CN"/>
        </w:rPr>
        <w:t>。开标时未宣读的投标价格等实质性内容，评标时不予承认。</w:t>
      </w:r>
    </w:p>
    <w:p w14:paraId="21EBAB4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主持人按下列程序进行开标：</w:t>
      </w:r>
    </w:p>
    <w:p w14:paraId="75A1E251">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（1）宣布开标纪律；</w:t>
      </w:r>
    </w:p>
    <w:p w14:paraId="6D618EC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（2）查看并公布投标报名名单；</w:t>
      </w:r>
    </w:p>
    <w:p w14:paraId="63EA61F7">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（3）宣布开标人、唱标人、监标人等有关人员；</w:t>
      </w:r>
    </w:p>
    <w:p w14:paraId="3E260FE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采购人或者采购代理机构将按照供应商电子投标文件解密后的开标记录，当众宣读供应商名称、修改和撤回投标的通知、投标价格、交货时间、是否提交了投标保证金等内容；并在开标后由供应商代表、采购人或者监督人员签字确认。</w:t>
      </w:r>
    </w:p>
    <w:p w14:paraId="2416057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（5）开标结束。</w:t>
      </w:r>
    </w:p>
    <w:p w14:paraId="3ECBEA20">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5.3 开标质疑</w:t>
      </w:r>
    </w:p>
    <w:p w14:paraId="064C4EE4">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代表提出的询问或者回避申请应当及时处理，如当场未提出，过后不予受理。</w:t>
      </w:r>
    </w:p>
    <w:p w14:paraId="7035E530">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5.4、供应商</w:t>
      </w:r>
      <w:r>
        <w:rPr>
          <w:rFonts w:hint="eastAsia" w:ascii="宋体" w:hAnsi="宋体" w:eastAsia="宋体" w:cs="宋体"/>
          <w:b/>
          <w:bCs/>
          <w:color w:val="auto"/>
          <w:sz w:val="24"/>
          <w:szCs w:val="24"/>
          <w:highlight w:val="none"/>
        </w:rPr>
        <w:t>存在下列情况之一的，投标无效:</w:t>
      </w:r>
    </w:p>
    <w:p w14:paraId="3A54E609">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（1）投标文件在规定的投标截止时间以后未上传的；</w:t>
      </w:r>
    </w:p>
    <w:p w14:paraId="4E668884">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（2）未按招标文件的规定提交投标保证金的；</w:t>
      </w:r>
    </w:p>
    <w:p w14:paraId="083998E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（3）上传的</w:t>
      </w:r>
      <w:r>
        <w:rPr>
          <w:rFonts w:hint="eastAsia" w:ascii="宋体" w:hAnsi="宋体" w:eastAsia="宋体" w:cs="宋体"/>
          <w:color w:val="auto"/>
          <w:sz w:val="24"/>
          <w:szCs w:val="24"/>
          <w:highlight w:val="none"/>
        </w:rPr>
        <w:t>投标文件未按招标文件要求签署、盖章</w:t>
      </w:r>
      <w:r>
        <w:rPr>
          <w:rFonts w:hint="eastAsia" w:ascii="宋体" w:hAnsi="宋体" w:eastAsia="宋体" w:cs="宋体"/>
          <w:color w:val="auto"/>
          <w:sz w:val="24"/>
          <w:szCs w:val="24"/>
          <w:highlight w:val="none"/>
          <w:lang w:val="zh-CN"/>
        </w:rPr>
        <w:t>的；</w:t>
      </w:r>
    </w:p>
    <w:p w14:paraId="5A23DF45">
      <w:pPr>
        <w:pStyle w:val="6"/>
        <w:keepNext w:val="0"/>
        <w:keepLines w:val="0"/>
        <w:pageBreakBefore w:val="0"/>
        <w:widowControl w:val="0"/>
        <w:kinsoku/>
        <w:wordWrap w:val="0"/>
        <w:overflowPunct/>
        <w:topLinePunct w:val="0"/>
        <w:autoSpaceDE/>
        <w:autoSpaceDN/>
        <w:bidi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）上传的投标文件签署、盖章不一致的情形；</w:t>
      </w:r>
    </w:p>
    <w:p w14:paraId="1E46EF2E">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）供应商所提交的投标文件无效、缺失或者不符合招标文件的规定；</w:t>
      </w:r>
    </w:p>
    <w:p w14:paraId="064D467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不具备招标文件中规定的资格要求的；</w:t>
      </w:r>
    </w:p>
    <w:p w14:paraId="053DE9A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）未实质性响应招标文件要求的其他情形；</w:t>
      </w:r>
    </w:p>
    <w:p w14:paraId="115D7EC3">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报价超过招标文件中规定的预算金额或者最高限价的；</w:t>
      </w:r>
    </w:p>
    <w:p w14:paraId="54F361F3">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（9）投标文件含有采购人不能接受的附加条件的；</w:t>
      </w:r>
    </w:p>
    <w:p w14:paraId="688A8953">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（10）法律、法规和招标文件规定的其他无效情形。</w:t>
      </w:r>
    </w:p>
    <w:p w14:paraId="062D4C7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存在以上任何一种情况，相关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的投标无效，做废标处理。</w:t>
      </w:r>
    </w:p>
    <w:p w14:paraId="26F993C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5.5、开标时有下列情形之一的，采购人有权宣布本项目废标：</w:t>
      </w:r>
    </w:p>
    <w:p w14:paraId="13291900">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（1）交货时间符合招标文件要求的供应商不足三家的；</w:t>
      </w:r>
    </w:p>
    <w:p w14:paraId="11FF9F96">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（2）所有供应商的报价均超过采购项目预算，采购人不能支付的。</w:t>
      </w:r>
    </w:p>
    <w:p w14:paraId="3455DEA4">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首次招标废标后将重新招标，重新招标仍出现本款情形的，可按本须知第11款的规定处理。</w:t>
      </w:r>
    </w:p>
    <w:p w14:paraId="73CA2E1D">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6.评标</w:t>
      </w:r>
    </w:p>
    <w:p w14:paraId="24BC9346">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6.1 评标委员会</w:t>
      </w:r>
    </w:p>
    <w:p w14:paraId="07EA1B15">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4"/>
          <w:szCs w:val="24"/>
          <w:highlight w:val="none"/>
        </w:rPr>
        <w:t>对符合性审查合格的投标文件进行商务和技术评估，综合比较与评价</w:t>
      </w:r>
      <w:r>
        <w:rPr>
          <w:rFonts w:hint="eastAsia" w:ascii="宋体" w:hAnsi="宋体" w:eastAsia="宋体" w:cs="宋体"/>
          <w:color w:val="auto"/>
          <w:sz w:val="24"/>
          <w:szCs w:val="24"/>
          <w:highlight w:val="none"/>
          <w:lang w:val="zh-CN"/>
        </w:rPr>
        <w:t>，负责完成评标的全过程直至评定预中标供应商。</w:t>
      </w:r>
    </w:p>
    <w:p w14:paraId="070AFD8B">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6.1.2 评标委员会成员有下列情形之一的，应当回避：</w:t>
      </w:r>
    </w:p>
    <w:p w14:paraId="4241B622">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（1）供应商或供应商主要负责人的近亲属；</w:t>
      </w:r>
    </w:p>
    <w:p w14:paraId="6019856B">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（2）项目主管部门或者行政监督部门的人员；</w:t>
      </w:r>
    </w:p>
    <w:p w14:paraId="178EEF19">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（3）与供应商有经济利益关系，可能影响对投标公正评审的；</w:t>
      </w:r>
    </w:p>
    <w:p w14:paraId="7FED99EC">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（4）曾因在招标、评标以及其他与招标投标有关活动中从事违法行为而受过行政处罚或刑事处罚的；</w:t>
      </w:r>
    </w:p>
    <w:p w14:paraId="22D3993E">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（5）与供应商有其他利害关系。</w:t>
      </w:r>
    </w:p>
    <w:p w14:paraId="2F69E17B">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6.1.3 评标过程中，</w:t>
      </w:r>
      <w:r>
        <w:rPr>
          <w:rFonts w:hint="eastAsia" w:ascii="宋体" w:hAnsi="宋体" w:eastAsia="宋体" w:cs="宋体"/>
          <w:bCs/>
          <w:color w:val="auto"/>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14:paraId="2F085B1B">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6.2 评标原则</w:t>
      </w:r>
    </w:p>
    <w:p w14:paraId="103CBE6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31A69BBB">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6.3 评标</w:t>
      </w:r>
    </w:p>
    <w:p w14:paraId="69B961C4">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6.3.1</w:t>
      </w:r>
      <w:r>
        <w:rPr>
          <w:rFonts w:hint="eastAsia" w:ascii="宋体" w:hAnsi="宋体" w:eastAsia="宋体" w:cs="宋体"/>
          <w:color w:val="auto"/>
          <w:sz w:val="24"/>
          <w:szCs w:val="24"/>
          <w:highlight w:val="none"/>
          <w:lang w:val="zh-CN"/>
        </w:rPr>
        <w:t xml:space="preserve"> </w:t>
      </w:r>
      <w:r>
        <w:rPr>
          <w:rFonts w:hint="eastAsia" w:ascii="宋体" w:hAnsi="宋体" w:eastAsia="宋体" w:cs="宋体"/>
          <w:bCs/>
          <w:color w:val="auto"/>
          <w:sz w:val="24"/>
          <w:szCs w:val="24"/>
          <w:highlight w:val="none"/>
          <w:lang w:val="zh-CN"/>
        </w:rPr>
        <w:t>按照本章及第三章“评标办法”规定的方法、评审因素、标准和程序对投标文件进行评审。本章及第三章“评标办法”没有规定的方法、评审因素和标准，不作为评标依据。</w:t>
      </w:r>
    </w:p>
    <w:p w14:paraId="1B54FE4C">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 评标完成后，评标委员会应当向采购人提交书面评标报告和中标候选人名单。评标委员会推荐中标候选人的人数见供应商须知前附表。</w:t>
      </w:r>
    </w:p>
    <w:p w14:paraId="7232F65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6.3.3 审查是否所有供应商的报价均超过最高投标限价：</w:t>
      </w:r>
    </w:p>
    <w:p w14:paraId="0E53FDE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根据《中华人民共和国政府采购法》的规定，所有供应商的报价均超过最高投标限价，采购人不能支付的，应予废标。</w:t>
      </w:r>
    </w:p>
    <w:p w14:paraId="3ECEA9F3">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6.3.4 审查供应商是否存在串通投标行为：</w:t>
      </w:r>
    </w:p>
    <w:p w14:paraId="25AD8FD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评标委员会发现供应商有下列情形之一的，将认定属于串通投标行为，相关供应商的投标应作废标处理。评标结束后，招标机构将以书面形式报告本级财政部门：</w:t>
      </w:r>
    </w:p>
    <w:p w14:paraId="5C0421A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（1）不同供应商的投标文件中错、漏之处相同的；</w:t>
      </w:r>
    </w:p>
    <w:p w14:paraId="65207DF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（2）不同供应商的投标文件相互混装的，或者相互加盖了对方公章的，或者相互出现了对方法定代表人或者委托代理人签名的，或者相互书写了对方名称的；</w:t>
      </w:r>
    </w:p>
    <w:p w14:paraId="12135BF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（3）一家供应商的投标文件中加盖了另一家供应商公章的；</w:t>
      </w:r>
    </w:p>
    <w:p w14:paraId="20B172D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的投标文件载明的项目管理成员或者联系人员为同一人</w:t>
      </w:r>
      <w:r>
        <w:rPr>
          <w:rFonts w:hint="eastAsia" w:ascii="宋体" w:hAnsi="宋体" w:eastAsia="宋体" w:cs="宋体"/>
          <w:color w:val="auto"/>
          <w:sz w:val="24"/>
          <w:szCs w:val="24"/>
          <w:highlight w:val="none"/>
          <w:lang w:val="zh-CN"/>
        </w:rPr>
        <w:t>；</w:t>
      </w:r>
    </w:p>
    <w:p w14:paraId="494AF8A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的投标文件异常一致或者投标报价呈规律性差异</w:t>
      </w:r>
      <w:r>
        <w:rPr>
          <w:rFonts w:hint="eastAsia" w:ascii="宋体" w:hAnsi="宋体" w:eastAsia="宋体" w:cs="宋体"/>
          <w:color w:val="auto"/>
          <w:sz w:val="24"/>
          <w:szCs w:val="24"/>
          <w:highlight w:val="none"/>
          <w:lang w:val="zh-CN"/>
        </w:rPr>
        <w:t>；</w:t>
      </w:r>
    </w:p>
    <w:p w14:paraId="257C08F8">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（6）不同供应商的投标文件中相关内容的段落、字句、售后服务电话、联系人姓名等非正常一致的；</w:t>
      </w:r>
    </w:p>
    <w:p w14:paraId="7A9A7E0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（7）一家供应商的投标文件中装订了标有另一家供应商名称的文件材料，或者出现了另一家法定代表人或者授予代理人签名的，其投标作废标处理；</w:t>
      </w:r>
    </w:p>
    <w:p w14:paraId="04505842">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（8）不同供应商的投标文件由同一单位或者个人编制；</w:t>
      </w:r>
    </w:p>
    <w:p w14:paraId="7CB234D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（9）不同供应商委托同一单位或者个人办理投标事宜；</w:t>
      </w:r>
    </w:p>
    <w:p w14:paraId="29E3D1B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（10）不同供应商的投标文件由同一台电脑编制。</w:t>
      </w:r>
    </w:p>
    <w:p w14:paraId="13B4947E">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（11）电子招投标时不同供应商的电子投标文件机器制作码或创建标识码一致的；</w:t>
      </w:r>
    </w:p>
    <w:p w14:paraId="145AA38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）不同供应商的投标保证金从同一单位或者个</w:t>
      </w:r>
      <w:r>
        <w:rPr>
          <w:rFonts w:hint="eastAsia" w:ascii="宋体" w:hAnsi="宋体" w:eastAsia="宋体" w:cs="宋体"/>
          <w:color w:val="auto"/>
          <w:sz w:val="24"/>
          <w:szCs w:val="24"/>
          <w:highlight w:val="none"/>
        </w:rPr>
        <w:t>人账户转出。</w:t>
      </w:r>
    </w:p>
    <w:p w14:paraId="42255DB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）《关于禁止串通招标投标行为的暂行规定》（国家工商行政管理局令第82号）第三条规定的串通投标行为；</w:t>
      </w:r>
    </w:p>
    <w:p w14:paraId="3A39F439">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）供应商串通投标的其他情形。</w:t>
      </w:r>
    </w:p>
    <w:p w14:paraId="35F109A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6.3.5 对投标文件商务部分（资格性）进行审查：</w:t>
      </w:r>
    </w:p>
    <w:p w14:paraId="1C5DD8F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评标委员会将审查每个供应商提交的商务文件是否齐全完整，是否合法有效，是否有重大偏离和保留，是否符合招标文件的全部要求。商务（供应商资格）审查不符合招标文件要求的投标文件将被拒绝。</w:t>
      </w:r>
    </w:p>
    <w:p w14:paraId="624BA8B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6.3.6  对投标文件技术部分（符合性）进行审查：</w:t>
      </w:r>
    </w:p>
    <w:p w14:paraId="12AA758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14:paraId="7995E13C">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14:paraId="16A6D7DD">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6.3.7 重大偏离和保留是指实质上影响合同的供货范围、质量和性能，或者实质上限制了合同中采购人的权利或供应商的义务。投标文件有下列情形之一的属于重大偏离和保留，将作废标处理：</w:t>
      </w:r>
    </w:p>
    <w:p w14:paraId="681D1BBE">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（1）供应商未按招标文件规定提交所要求提交的全部文件或者提交的文件无效、缺失、漏项或者不符合招标文件的规定；</w:t>
      </w:r>
    </w:p>
    <w:p w14:paraId="45B22AC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（2）投标文件未按招标文件的规定密封、签署或盖章；</w:t>
      </w:r>
    </w:p>
    <w:p w14:paraId="7BE145D6">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14:paraId="2F45CE58">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（4）投标文件技术部分存在明显雷同响应、响应内容与证明资料不一致、提供虚假证明资料或虚假描述的；</w:t>
      </w:r>
    </w:p>
    <w:p w14:paraId="5A7B24C6">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（5）投标文件技术规格、标准和技术参数与文件中证明材料不符合及不响应的；</w:t>
      </w:r>
    </w:p>
    <w:p w14:paraId="48D3D166">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（6）投标文件载明的货物包装方式、检验方法和标准等不符合招标文件要求；</w:t>
      </w:r>
    </w:p>
    <w:p w14:paraId="438AE94C">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（7）投标文件附有采购人不能接受的条件；</w:t>
      </w:r>
    </w:p>
    <w:p w14:paraId="59C012A0">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（8）不符合招标文件规定的其他实质性要求。</w:t>
      </w:r>
    </w:p>
    <w:p w14:paraId="64E62C61">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14:paraId="692A3986">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6.3.9 评标委员会对投标文件的判定，只依据投标文件内容本身，不依据任何外来证明。</w:t>
      </w:r>
    </w:p>
    <w:p w14:paraId="2B4A8716">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0AB5E81B">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14:paraId="5764128C">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68274CB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4CAB83F9">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6.3.11</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公开开标后，直至向中标的供应商授予合同时止，除按招标文件规定予以公开的评标结果外，凡与审查、澄清、评价和比较投标有关的资料以及授标意见等，均不得向供应商及与评标无关的其他人透露。</w:t>
      </w:r>
    </w:p>
    <w:p w14:paraId="014800C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6.3.12 </w:t>
      </w:r>
      <w:r>
        <w:rPr>
          <w:rFonts w:hint="eastAsia" w:ascii="宋体" w:hAnsi="宋体" w:eastAsia="宋体" w:cs="宋体"/>
          <w:color w:val="auto"/>
          <w:sz w:val="24"/>
          <w:szCs w:val="24"/>
          <w:highlight w:val="none"/>
        </w:rPr>
        <w:t>对于投标文件中含义不明确、同类问题表述不一致或者有明显文字和计算错误的内容，评标委员会</w:t>
      </w:r>
      <w:r>
        <w:rPr>
          <w:rFonts w:hint="eastAsia" w:ascii="宋体" w:hAnsi="宋体" w:eastAsia="宋体" w:cs="宋体"/>
          <w:color w:val="auto"/>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4B561335">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6.3.13本项目采用综合评分法，评标委员会将按不同供应商评审后得分由高到低的顺序推荐前三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提供相同品牌产品且通过资格审查、符合性审查的不同供应商参加同一合同项下投标的，按一家供应商计算，评审后得分最高的同品牌供应商获得中标供应商推荐资格；得分相同的，按投标报价最低的同品牌供应商确定一个供应商获得中标供应商推荐资格；得分且投标报价也相同的，按技术标评审得分最高的同品牌供应商确定一个供应商获得中标供应商推荐资格。</w:t>
      </w:r>
    </w:p>
    <w:p w14:paraId="69791561">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6.3.14评标结果汇总完成后，除下列情形外，任何人不得修改评标结果：</w:t>
      </w:r>
    </w:p>
    <w:p w14:paraId="7A9CF626">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（1）分值汇总计算错误的；</w:t>
      </w:r>
    </w:p>
    <w:p w14:paraId="6068D5B8">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（2）分项评分超出评分标准范围的；</w:t>
      </w:r>
    </w:p>
    <w:p w14:paraId="5F4B29B4">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（3）评标委员会成员对客观评审因素评分不一致的；</w:t>
      </w:r>
    </w:p>
    <w:p w14:paraId="63CFCDC5">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（4）经评标委员会认定评分畸高、畸低的。</w:t>
      </w:r>
    </w:p>
    <w:p w14:paraId="1FF8B0D1">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4554AEB">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对本条第一款情形提出质疑的，采购人或者采购代理机构可以组织原评标委员会进行重新评审，重新评审改变评标结果的，应当书面报告本级财政部门。</w:t>
      </w:r>
    </w:p>
    <w:p w14:paraId="2A61F54D">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7.合同授予</w:t>
      </w:r>
    </w:p>
    <w:p w14:paraId="2E834C63">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7.1 中标公告</w:t>
      </w:r>
    </w:p>
    <w:p w14:paraId="21027F33">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采购代理机构应当在评标结束后2个工作日内将评标报告送采购人，采购人应当自收到评标报告之日起5个工作日内，在评标报告确定的中标候选人名单中按顺序确定</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按照供应商须知前附表规定的公告媒介和期限公告中标结果，</w:t>
      </w:r>
      <w:r>
        <w:rPr>
          <w:rFonts w:hint="eastAsia" w:ascii="宋体" w:hAnsi="宋体" w:eastAsia="宋体" w:cs="宋体"/>
          <w:bCs/>
          <w:color w:val="auto"/>
          <w:sz w:val="24"/>
          <w:szCs w:val="24"/>
          <w:highlight w:val="none"/>
        </w:rPr>
        <w:t>中标公告期限为1个工作日</w:t>
      </w:r>
      <w:r>
        <w:rPr>
          <w:rFonts w:hint="eastAsia" w:ascii="宋体" w:hAnsi="宋体" w:eastAsia="宋体" w:cs="宋体"/>
          <w:bCs/>
          <w:color w:val="auto"/>
          <w:sz w:val="24"/>
          <w:szCs w:val="24"/>
          <w:highlight w:val="none"/>
          <w:lang w:val="zh-CN"/>
        </w:rPr>
        <w:t>。</w:t>
      </w:r>
    </w:p>
    <w:p w14:paraId="59107419">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7.2 评标结果异议</w:t>
      </w:r>
    </w:p>
    <w:p w14:paraId="6D3D94AD">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auto"/>
          <w:sz w:val="24"/>
          <w:szCs w:val="24"/>
          <w:highlight w:val="none"/>
        </w:rPr>
        <w:t>个工作日内</w:t>
      </w:r>
      <w:r>
        <w:rPr>
          <w:rFonts w:hint="eastAsia" w:ascii="宋体" w:hAnsi="宋体" w:eastAsia="宋体" w:cs="宋体"/>
          <w:bCs/>
          <w:color w:val="auto"/>
          <w:sz w:val="24"/>
          <w:szCs w:val="24"/>
          <w:highlight w:val="none"/>
          <w:lang w:val="zh-CN"/>
        </w:rPr>
        <w:t>作出答复。</w:t>
      </w:r>
    </w:p>
    <w:p w14:paraId="3ECE707F">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7.3 中标候选人履约能力审查</w:t>
      </w:r>
    </w:p>
    <w:p w14:paraId="2DCA86B7">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中标候选人的经营、财务状况发生较大变化或存在违法行为以及经采购人考察中标候选人提供中标货物的技术参数、技术规格、技术标准与招标文件的要求不符，采购人认为可能影响其履约能力的，将在发出中标通知书前提请原评标委员会按照招标文件规定的标准和方法进行审查确认。</w:t>
      </w:r>
    </w:p>
    <w:p w14:paraId="380C869F">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7.4 定标</w:t>
      </w:r>
    </w:p>
    <w:p w14:paraId="1A8DB2B1">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按照供应商须知前附表的规定，采购人或采购人授权的评标委员会依法确定中标供应商。</w:t>
      </w:r>
    </w:p>
    <w:p w14:paraId="5EC21C21">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7.5 中标通知</w:t>
      </w:r>
    </w:p>
    <w:p w14:paraId="28F1200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在本章第 3.3 款规定的投标有效期内，采购人以书面形式向中标供应商发出中标通知书，</w:t>
      </w:r>
      <w:r>
        <w:rPr>
          <w:rFonts w:hint="eastAsia" w:ascii="宋体" w:hAnsi="宋体" w:eastAsia="宋体" w:cs="宋体"/>
          <w:color w:val="auto"/>
          <w:sz w:val="24"/>
          <w:szCs w:val="24"/>
          <w:highlight w:val="none"/>
          <w:lang w:val="zh-CN"/>
        </w:rPr>
        <w:t>中标通知书是合同的组成部分，对采购人和中标供应商均具有法律约束力。</w:t>
      </w:r>
    </w:p>
    <w:p w14:paraId="7FA41781">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7.6 技术成果经济补偿</w:t>
      </w:r>
    </w:p>
    <w:p w14:paraId="5F3E1E5F">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采购人对符合招标文件规定的未中标供应商的技术成果进行补偿的，采购人将在供应商须知前附表中规定给予经济补偿标准，未规定的不予经济补偿。</w:t>
      </w:r>
    </w:p>
    <w:p w14:paraId="051F7285">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7.7 履约保证金</w:t>
      </w:r>
    </w:p>
    <w:p w14:paraId="2B7280D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本项目不收取</w:t>
      </w:r>
    </w:p>
    <w:p w14:paraId="74E46DAB">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7.8 签订合同</w:t>
      </w:r>
    </w:p>
    <w:p w14:paraId="5050B459">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auto"/>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auto"/>
          <w:sz w:val="24"/>
          <w:szCs w:val="24"/>
          <w:highlight w:val="none"/>
          <w:lang w:val="zh-CN"/>
        </w:rPr>
        <w:t>给采购人造成的损失超过投标保证金数额的，中标供应商还应当对超过部分予以赔偿。</w:t>
      </w:r>
    </w:p>
    <w:p w14:paraId="165A0F6F">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14:paraId="67F935C1">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7.8.3 联合体中标的，联合体各方应当共同与采购人签订合同，就中标项目向采购人承担连带责任。</w:t>
      </w:r>
    </w:p>
    <w:p w14:paraId="31B09705">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8.纪律和监督</w:t>
      </w:r>
    </w:p>
    <w:p w14:paraId="62EBE83B">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8.1 对采购人的纪律要求</w:t>
      </w:r>
    </w:p>
    <w:p w14:paraId="57520A29">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auto"/>
          <w:sz w:val="24"/>
          <w:szCs w:val="24"/>
          <w:highlight w:val="none"/>
          <w:lang w:val="zh-CN"/>
        </w:rPr>
        <w:t>采购人只负责评标组织工作，不参加评标。</w:t>
      </w:r>
      <w:r>
        <w:rPr>
          <w:rFonts w:hint="eastAsia" w:ascii="宋体" w:hAnsi="宋体" w:eastAsia="宋体" w:cs="宋体"/>
          <w:color w:val="auto"/>
          <w:sz w:val="24"/>
          <w:szCs w:val="24"/>
          <w:highlight w:val="none"/>
        </w:rPr>
        <w:t>采购人委托的采购代理机构工作人员不得参加由本机构代理的政府采购项目的评标。</w:t>
      </w:r>
    </w:p>
    <w:p w14:paraId="1F640012">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8.2 对供应商的纪律要求</w:t>
      </w:r>
    </w:p>
    <w:p w14:paraId="2456BA6F">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038C592C">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8.3 对评标委员会成员的纪律要求</w:t>
      </w:r>
    </w:p>
    <w:p w14:paraId="7093D31D">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4D8A2CE">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8.4 对与评标活动有关的工作人员的纪律要求</w:t>
      </w:r>
    </w:p>
    <w:p w14:paraId="56DB91D9">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3DD334C">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9.是否采用电子招标投标</w:t>
      </w:r>
    </w:p>
    <w:p w14:paraId="79F53464">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本招标项目是否采用电子招标投标方式，见供应商须知前附表。</w:t>
      </w:r>
    </w:p>
    <w:p w14:paraId="7BC004F6">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10.需要补充的其他内容</w:t>
      </w:r>
    </w:p>
    <w:p w14:paraId="67AB5C0D">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需要补充的其他内容：见供应商须知前附表</w:t>
      </w:r>
    </w:p>
    <w:p w14:paraId="29A244D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1</w:t>
      </w:r>
      <w:r>
        <w:rPr>
          <w:rFonts w:hint="eastAsia" w:ascii="宋体" w:hAnsi="宋体" w:eastAsia="宋体" w:cs="宋体"/>
          <w:b/>
          <w:color w:val="auto"/>
          <w:sz w:val="28"/>
          <w:szCs w:val="28"/>
          <w:highlight w:val="none"/>
          <w:lang w:val="zh-CN"/>
        </w:rPr>
        <w:t>1. 重新招标及采购方式变更</w:t>
      </w:r>
    </w:p>
    <w:p w14:paraId="6A5967AC">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公开招标数额标准以上的采购项目，投标截止后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不足3家或者通过资格审查或符合性审查的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不足3家的，除采购任务取消情形外，按照以下方式处理：</w:t>
      </w:r>
    </w:p>
    <w:p w14:paraId="41D6984F">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采用公开招标采购的项目，如果</w:t>
      </w:r>
      <w:r>
        <w:rPr>
          <w:rFonts w:hint="eastAsia" w:ascii="宋体" w:hAnsi="宋体" w:eastAsia="宋体" w:cs="宋体"/>
          <w:bCs/>
          <w:color w:val="auto"/>
          <w:sz w:val="24"/>
          <w:szCs w:val="24"/>
          <w:highlight w:val="none"/>
        </w:rPr>
        <w:t>招标</w:t>
      </w:r>
      <w:r>
        <w:rPr>
          <w:rFonts w:hint="eastAsia" w:ascii="宋体" w:hAnsi="宋体" w:eastAsia="宋体" w:cs="宋体"/>
          <w:color w:val="auto"/>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457CF40C">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（2）采用竞争性谈判方式采购的项目，如果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只有两家时，采购人拟采用非招标采购方式</w:t>
      </w:r>
      <w:r>
        <w:rPr>
          <w:rFonts w:hint="eastAsia" w:ascii="宋体" w:hAnsi="宋体" w:eastAsia="宋体" w:cs="宋体"/>
          <w:color w:val="auto"/>
          <w:sz w:val="24"/>
          <w:szCs w:val="24"/>
          <w:highlight w:val="none"/>
        </w:rPr>
        <w:t>竞争性谈判</w:t>
      </w:r>
      <w:r>
        <w:rPr>
          <w:rFonts w:hint="eastAsia" w:ascii="宋体" w:hAnsi="宋体" w:eastAsia="宋体" w:cs="宋体"/>
          <w:color w:val="auto"/>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进行竞争性谈判采购，采购人、采购代理机构应当根据采购需求编制</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，成立谈判小组，由谈判小组对</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进行确认。符合本款情形的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最低数量可以为两家。</w:t>
      </w:r>
    </w:p>
    <w:p w14:paraId="56EB3B53">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（3）采用单一来源方式采购的项目，如果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只有一家时，</w:t>
      </w:r>
      <w:r>
        <w:rPr>
          <w:rFonts w:hint="eastAsia" w:ascii="宋体" w:hAnsi="宋体" w:eastAsia="宋体" w:cs="宋体"/>
          <w:color w:val="auto"/>
          <w:sz w:val="24"/>
          <w:szCs w:val="24"/>
          <w:highlight w:val="none"/>
        </w:rPr>
        <w:t>不得直接变更为单一来源方式采购，</w:t>
      </w:r>
      <w:r>
        <w:rPr>
          <w:rFonts w:hint="eastAsia" w:ascii="宋体" w:hAnsi="宋体" w:eastAsia="宋体" w:cs="宋体"/>
          <w:color w:val="auto"/>
          <w:kern w:val="0"/>
          <w:sz w:val="24"/>
          <w:szCs w:val="24"/>
          <w:highlight w:val="none"/>
        </w:rPr>
        <w:t>采购人拟采用非招标采购方式</w:t>
      </w:r>
      <w:r>
        <w:rPr>
          <w:rFonts w:hint="eastAsia" w:ascii="宋体" w:hAnsi="宋体" w:eastAsia="宋体" w:cs="宋体"/>
          <w:color w:val="auto"/>
          <w:sz w:val="24"/>
          <w:szCs w:val="24"/>
          <w:highlight w:val="none"/>
        </w:rPr>
        <w:t>单一来源</w:t>
      </w:r>
      <w:r>
        <w:rPr>
          <w:rFonts w:hint="eastAsia" w:ascii="宋体" w:hAnsi="宋体" w:eastAsia="宋体" w:cs="宋体"/>
          <w:color w:val="auto"/>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3A40A38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highlight w:val="none"/>
        </w:rPr>
        <w:t>12.</w:t>
      </w:r>
      <w:r>
        <w:rPr>
          <w:rFonts w:hint="eastAsia" w:ascii="宋体" w:hAnsi="宋体" w:eastAsia="宋体" w:cs="宋体"/>
          <w:b/>
          <w:bCs/>
          <w:color w:val="auto"/>
          <w:sz w:val="28"/>
          <w:szCs w:val="28"/>
          <w:highlight w:val="none"/>
        </w:rPr>
        <w:t>质疑</w:t>
      </w:r>
    </w:p>
    <w:p w14:paraId="4594340A">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对采购活动及有关事项有质疑的，可以向采购人或采购代理机构提出询问或质疑，但应符合相关法律法规的规定。</w:t>
      </w:r>
    </w:p>
    <w:p w14:paraId="61FFF6F9">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认为采购文件、采购过程和中标、成交结果使自己的权益受到损害的，可以在知道或者应知其权益受到损害之日起七个工作日内，</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6DF8CCDB">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采购人或采购代理机构应在收到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网站质疑和书面质疑后七个工作日内作出答复，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应自主在网上查看，同时通知质疑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领取书面回复和通知其他有关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，但回复内容不涉及商业秘密。</w:t>
      </w:r>
    </w:p>
    <w:p w14:paraId="417FDAC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对采购代理机构提出质疑的，若质疑内容超出招标代理范围的，应明确告知质疑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向采购人提出质疑或协调采购人答复质疑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37C3B471">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质疑应当按照（财政部94号令）《政府采购质疑和投诉办法》规定执行，否则采购人或采购代理机构有权拒绝。</w:t>
      </w:r>
    </w:p>
    <w:p w14:paraId="0D09441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.投诉</w:t>
      </w:r>
    </w:p>
    <w:p w14:paraId="68B8C58A">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已提出质疑的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对答复内容不满意或采购人未在规定时间内作出答复的，可以在答复期满后十五个工作日内向同级政府采购监督管理部门投诉。</w:t>
      </w:r>
    </w:p>
    <w:p w14:paraId="1F2F84D8">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投诉应当按照（财政部94号令）《政府采购质疑和投诉办法》规定执行，否则监督部门有权拒绝受理。</w:t>
      </w:r>
    </w:p>
    <w:p w14:paraId="3431F25B">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投诉事项必须与质疑事项保持一致，不得超出质疑事项范围。</w:t>
      </w:r>
    </w:p>
    <w:p w14:paraId="591108D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569472B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.5 投诉人对政府采购监督管理部门的投诉处理决定不服或者政府采购监督管理部门逾期未作出处理的，可以依法申请行政复议或者向人民法院提起行政诉讼。</w:t>
      </w:r>
    </w:p>
    <w:p w14:paraId="18BF7A3D">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验收</w:t>
      </w:r>
    </w:p>
    <w:p w14:paraId="4A0DAA7D">
      <w:pPr>
        <w:pageBreakBefore w:val="0"/>
        <w:widowControl/>
        <w:kinsoku/>
        <w:wordWrap/>
        <w:overflowPunct/>
        <w:topLinePunct w:val="0"/>
        <w:bidi w:val="0"/>
        <w:adjustRightInd/>
        <w:snapToGrid/>
        <w:spacing w:line="288"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采购人应当及时对采购项目进行验收。采购人可以邀请参加本项目的其他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或者第三方机构参与验收。参与验收的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或者第三方机构的意见作为验收书的参考资料一并存档</w:t>
      </w:r>
      <w:r>
        <w:rPr>
          <w:rFonts w:hint="eastAsia" w:ascii="宋体" w:hAnsi="宋体" w:eastAsia="宋体" w:cs="宋体"/>
          <w:color w:val="auto"/>
          <w:kern w:val="0"/>
          <w:sz w:val="24"/>
          <w:szCs w:val="24"/>
          <w:highlight w:val="none"/>
          <w:lang w:eastAsia="zh-CN"/>
        </w:rPr>
        <w:t>。</w:t>
      </w:r>
    </w:p>
    <w:p w14:paraId="0950DC51">
      <w:pPr>
        <w:rPr>
          <w:rFonts w:hint="eastAsia" w:ascii="宋体" w:hAnsi="宋体" w:eastAsia="宋体" w:cs="宋体"/>
          <w:color w:val="auto"/>
          <w:highlight w:val="none"/>
        </w:rPr>
      </w:pPr>
      <w:bookmarkStart w:id="13" w:name="_Toc98580422"/>
      <w:bookmarkStart w:id="14" w:name="_Toc24696155"/>
      <w:r>
        <w:rPr>
          <w:rFonts w:hint="eastAsia" w:ascii="宋体" w:hAnsi="宋体" w:eastAsia="宋体" w:cs="宋体"/>
          <w:color w:val="auto"/>
          <w:sz w:val="21"/>
          <w:szCs w:val="21"/>
          <w:highlight w:val="none"/>
        </w:rPr>
        <w:br w:type="page"/>
      </w:r>
    </w:p>
    <w:p w14:paraId="4E934F8C">
      <w:pPr>
        <w:rPr>
          <w:rFonts w:hint="eastAsia" w:ascii="宋体" w:hAnsi="宋体" w:eastAsia="宋体" w:cs="宋体"/>
          <w:color w:val="auto"/>
          <w:highlight w:val="none"/>
        </w:rPr>
      </w:pPr>
    </w:p>
    <w:p w14:paraId="2BF6B1E5">
      <w:pPr>
        <w:pStyle w:val="2"/>
        <w:spacing w:before="0" w:after="0" w:line="360" w:lineRule="auto"/>
        <w:jc w:val="center"/>
        <w:rPr>
          <w:rFonts w:hint="eastAsia" w:ascii="宋体" w:hAnsi="宋体" w:eastAsia="宋体" w:cs="宋体"/>
          <w:color w:val="auto"/>
          <w:sz w:val="30"/>
          <w:szCs w:val="30"/>
          <w:highlight w:val="none"/>
        </w:rPr>
      </w:pPr>
      <w:bookmarkStart w:id="15" w:name="_Toc8440"/>
      <w:r>
        <w:rPr>
          <w:rFonts w:hint="eastAsia" w:ascii="宋体" w:hAnsi="宋体" w:eastAsia="宋体" w:cs="宋体"/>
          <w:color w:val="auto"/>
          <w:highlight w:val="none"/>
        </w:rPr>
        <w:t>第三部分  评标办法</w:t>
      </w:r>
      <w:bookmarkEnd w:id="15"/>
    </w:p>
    <w:p w14:paraId="3714637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按照国家相关部门的规定，遵循公开、公平、公正和诚实信用的原则，结合本招标项目的实际情况，制定本招标项目评标办法。</w:t>
      </w:r>
    </w:p>
    <w:p w14:paraId="1306A997">
      <w:pPr>
        <w:spacing w:line="440" w:lineRule="exact"/>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一、评标程序</w:t>
      </w:r>
    </w:p>
    <w:p w14:paraId="49081603">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（一）组成评标委员会</w:t>
      </w:r>
    </w:p>
    <w:p w14:paraId="61F1D00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有关部委及省、市的相关规定，从专家库中随机抽取技术、经济等方面的专家共5人组成评标委员会（以下简称“评委会”）。为保证评标工作的顺利进行，推荐一名评委担任评委会主任，负责评标全面工作。</w:t>
      </w:r>
    </w:p>
    <w:p w14:paraId="7AF40B8E">
      <w:pPr>
        <w:pStyle w:val="88"/>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（二）评审方法：综合评分法</w:t>
      </w:r>
    </w:p>
    <w:p w14:paraId="7406DF0D">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综合评分法，是指投标文件满足招标文件全部实质性要求，且按照评审因素的量化指标评审得分最高的供应商为中标候选人的评标方法。</w:t>
      </w:r>
    </w:p>
    <w:p w14:paraId="7DE8EAAC">
      <w:pPr>
        <w:pStyle w:val="88"/>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（三）评标工作</w:t>
      </w:r>
    </w:p>
    <w:p w14:paraId="11AE14A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评标本着客观公正、公平竞争、择优推荐、规范合法的原则进行。评标工作分为</w:t>
      </w:r>
      <w:r>
        <w:rPr>
          <w:rFonts w:hint="eastAsia" w:ascii="宋体" w:hAnsi="宋体" w:cs="宋体"/>
          <w:color w:val="auto"/>
          <w:sz w:val="24"/>
          <w:szCs w:val="24"/>
          <w:highlight w:val="none"/>
          <w:lang w:val="en-US" w:eastAsia="zh-CN"/>
        </w:rPr>
        <w:t>形式评审、</w:t>
      </w:r>
      <w:r>
        <w:rPr>
          <w:rFonts w:hint="eastAsia" w:ascii="宋体" w:hAnsi="宋体" w:eastAsia="宋体" w:cs="宋体"/>
          <w:color w:val="auto"/>
          <w:sz w:val="24"/>
          <w:szCs w:val="24"/>
          <w:highlight w:val="none"/>
        </w:rPr>
        <w:t>资格</w:t>
      </w:r>
      <w:r>
        <w:rPr>
          <w:rFonts w:hint="eastAsia" w:ascii="宋体" w:hAnsi="宋体" w:cs="宋体"/>
          <w:color w:val="auto"/>
          <w:sz w:val="24"/>
          <w:szCs w:val="24"/>
          <w:highlight w:val="none"/>
          <w:lang w:val="en-US" w:eastAsia="zh-CN"/>
        </w:rPr>
        <w:t>评审响应</w:t>
      </w:r>
      <w:r>
        <w:rPr>
          <w:rFonts w:hint="eastAsia" w:ascii="宋体" w:hAnsi="宋体" w:eastAsia="宋体" w:cs="宋体"/>
          <w:color w:val="auto"/>
          <w:sz w:val="24"/>
          <w:szCs w:val="24"/>
          <w:highlight w:val="none"/>
        </w:rPr>
        <w:t>性</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和详细评审三个步骤。</w:t>
      </w:r>
    </w:p>
    <w:p w14:paraId="14A3814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形式</w:t>
      </w:r>
      <w:r>
        <w:rPr>
          <w:rFonts w:hint="eastAsia" w:ascii="宋体" w:hAnsi="宋体" w:eastAsia="宋体" w:cs="宋体"/>
          <w:color w:val="auto"/>
          <w:sz w:val="24"/>
          <w:szCs w:val="24"/>
          <w:highlight w:val="none"/>
        </w:rPr>
        <w:t>审查。采购人或代理机构对各供应商的</w:t>
      </w:r>
      <w:r>
        <w:rPr>
          <w:rFonts w:hint="eastAsia" w:ascii="宋体" w:hAnsi="宋体" w:cs="宋体"/>
          <w:color w:val="auto"/>
          <w:sz w:val="24"/>
          <w:szCs w:val="24"/>
          <w:highlight w:val="none"/>
          <w:lang w:val="en-US" w:eastAsia="zh-CN"/>
        </w:rPr>
        <w:t>形式</w:t>
      </w:r>
      <w:r>
        <w:rPr>
          <w:rFonts w:hint="eastAsia" w:ascii="宋体" w:hAnsi="宋体" w:eastAsia="宋体" w:cs="宋体"/>
          <w:color w:val="auto"/>
          <w:sz w:val="24"/>
          <w:szCs w:val="24"/>
          <w:highlight w:val="none"/>
        </w:rPr>
        <w:t>进行审查。</w:t>
      </w:r>
      <w:r>
        <w:rPr>
          <w:rFonts w:hint="eastAsia" w:ascii="宋体" w:hAnsi="宋体" w:cs="宋体"/>
          <w:color w:val="auto"/>
          <w:sz w:val="24"/>
          <w:szCs w:val="24"/>
          <w:highlight w:val="none"/>
          <w:lang w:val="en-US" w:eastAsia="zh-CN"/>
        </w:rPr>
        <w:t>形式</w:t>
      </w:r>
      <w:r>
        <w:rPr>
          <w:rFonts w:hint="eastAsia" w:ascii="宋体" w:hAnsi="宋体" w:eastAsia="宋体" w:cs="宋体"/>
          <w:color w:val="auto"/>
          <w:sz w:val="24"/>
          <w:szCs w:val="24"/>
          <w:highlight w:val="none"/>
        </w:rPr>
        <w:t>审查合格的供应商方可进入</w:t>
      </w:r>
      <w:r>
        <w:rPr>
          <w:rFonts w:hint="eastAsia" w:ascii="宋体" w:hAnsi="宋体" w:cs="宋体"/>
          <w:color w:val="auto"/>
          <w:sz w:val="24"/>
          <w:szCs w:val="24"/>
          <w:highlight w:val="none"/>
          <w:lang w:val="en-US" w:eastAsia="zh-CN"/>
        </w:rPr>
        <w:t>资格</w:t>
      </w:r>
      <w:r>
        <w:rPr>
          <w:rFonts w:hint="eastAsia" w:ascii="宋体" w:hAnsi="宋体" w:eastAsia="宋体" w:cs="宋体"/>
          <w:color w:val="auto"/>
          <w:sz w:val="24"/>
          <w:szCs w:val="24"/>
          <w:highlight w:val="none"/>
        </w:rPr>
        <w:t>审查。</w:t>
      </w:r>
      <w:r>
        <w:rPr>
          <w:rFonts w:hint="eastAsia" w:ascii="宋体" w:hAnsi="宋体" w:eastAsia="宋体" w:cs="宋体"/>
          <w:color w:val="auto"/>
          <w:sz w:val="24"/>
          <w:highlight w:val="none"/>
        </w:rPr>
        <w:t>不具备招标文件中规定的要求的，投标无效。合格供应商不足3家的，不得评标。</w:t>
      </w:r>
    </w:p>
    <w:p w14:paraId="04B0002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.资格审查。采购人或代理机构对各供应商的资格进行审查。资格审查合格的供应商方可进入</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性审查。</w:t>
      </w:r>
      <w:r>
        <w:rPr>
          <w:rFonts w:hint="eastAsia" w:ascii="宋体" w:hAnsi="宋体" w:eastAsia="宋体" w:cs="宋体"/>
          <w:color w:val="auto"/>
          <w:sz w:val="24"/>
          <w:highlight w:val="none"/>
        </w:rPr>
        <w:t>不具备招标文件中规定的资格要求的，投标无效。合格供应商不足3家的，不得评标。</w:t>
      </w:r>
    </w:p>
    <w:p w14:paraId="3669707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性审查。评委会对供应商的投标文件进行符合性审查。符合性审查合格的供应商方可进入详细评审。</w:t>
      </w:r>
      <w:r>
        <w:rPr>
          <w:rFonts w:hint="eastAsia" w:ascii="宋体" w:hAnsi="宋体" w:eastAsia="宋体" w:cs="宋体"/>
          <w:color w:val="auto"/>
          <w:sz w:val="24"/>
          <w:highlight w:val="none"/>
        </w:rPr>
        <w:t>有一项不符合的，投标无效。</w:t>
      </w:r>
    </w:p>
    <w:p w14:paraId="0787C4A8">
      <w:pPr>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政府采购应当采购本国货物。按照财政部《政府采购进口产品管理办法》规定确需采购进口产品的，实行审核管理。经审核允许采购进口产品的，不得排斥符合要求的本国产品。在</w:t>
      </w:r>
      <w:r>
        <w:rPr>
          <w:rFonts w:hint="eastAsia" w:ascii="宋体" w:hAnsi="宋体" w:eastAsia="宋体" w:cs="宋体"/>
          <w:color w:val="auto"/>
          <w:sz w:val="24"/>
          <w:highlight w:val="none"/>
        </w:rPr>
        <w:t>招标文件</w:t>
      </w:r>
      <w:r>
        <w:rPr>
          <w:rFonts w:hint="eastAsia" w:ascii="宋体" w:hAnsi="宋体" w:eastAsia="宋体" w:cs="宋体"/>
          <w:bCs/>
          <w:color w:val="auto"/>
          <w:sz w:val="24"/>
          <w:highlight w:val="none"/>
        </w:rPr>
        <w:t>中未标明采购进口产品的，均为采购本国产品。供应商必须投标本国产品，投标进口产品的，投标无效。进口产品是指通过中国海关报关验放进入中国境内且产自关境外的产品。</w:t>
      </w:r>
    </w:p>
    <w:p w14:paraId="3BD30B9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核心产品</w:t>
      </w:r>
      <w:r>
        <w:rPr>
          <w:rFonts w:hint="eastAsia" w:ascii="宋体" w:hAnsi="宋体" w:eastAsia="宋体" w:cs="宋体"/>
          <w:color w:val="auto"/>
          <w:sz w:val="24"/>
          <w:highlight w:val="none"/>
        </w:rPr>
        <w:t>提供相同品牌</w:t>
      </w:r>
      <w:r>
        <w:rPr>
          <w:rFonts w:hint="eastAsia" w:ascii="宋体" w:hAnsi="宋体" w:cs="宋体"/>
          <w:color w:val="auto"/>
          <w:sz w:val="24"/>
          <w:highlight w:val="none"/>
          <w:lang w:eastAsia="zh-CN"/>
        </w:rPr>
        <w:t>、相同型号</w:t>
      </w:r>
      <w:r>
        <w:rPr>
          <w:rFonts w:hint="eastAsia" w:ascii="宋体" w:hAnsi="宋体" w:eastAsia="宋体" w:cs="宋体"/>
          <w:color w:val="auto"/>
          <w:sz w:val="24"/>
          <w:highlight w:val="none"/>
        </w:rPr>
        <w:t>且通过资格审查、符合性审查的不同</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参加同一合同项下投标的，按一家</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计算，评审后得分最高的同品牌</w:t>
      </w:r>
      <w:r>
        <w:rPr>
          <w:rFonts w:hint="eastAsia" w:ascii="宋体" w:hAnsi="宋体" w:cs="宋体"/>
          <w:color w:val="auto"/>
          <w:sz w:val="24"/>
          <w:highlight w:val="none"/>
          <w:lang w:eastAsia="zh-CN"/>
        </w:rPr>
        <w:t>同型号</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获得中标人推荐资格；评审得分相同的，参照5.1规定确定一个</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获得中标人推荐资格，其他同品牌</w:t>
      </w:r>
      <w:r>
        <w:rPr>
          <w:rFonts w:hint="eastAsia" w:ascii="宋体" w:hAnsi="宋体" w:cs="宋体"/>
          <w:color w:val="auto"/>
          <w:sz w:val="24"/>
          <w:highlight w:val="none"/>
          <w:lang w:eastAsia="zh-CN"/>
        </w:rPr>
        <w:t>同型号</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不作为中标候选人。符合性审查后，因提供相同品牌</w:t>
      </w:r>
      <w:r>
        <w:rPr>
          <w:rFonts w:hint="eastAsia" w:ascii="宋体" w:hAnsi="宋体" w:cs="宋体"/>
          <w:color w:val="auto"/>
          <w:sz w:val="24"/>
          <w:highlight w:val="none"/>
          <w:lang w:eastAsia="zh-CN"/>
        </w:rPr>
        <w:t>、相同型号</w:t>
      </w:r>
      <w:r>
        <w:rPr>
          <w:rFonts w:hint="eastAsia" w:ascii="宋体" w:hAnsi="宋体" w:eastAsia="宋体" w:cs="宋体"/>
          <w:color w:val="auto"/>
          <w:sz w:val="24"/>
          <w:highlight w:val="none"/>
        </w:rPr>
        <w:t>产品的不同</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按一家计算而导致有效</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不足3家的，应予废标。</w:t>
      </w:r>
    </w:p>
    <w:p w14:paraId="14FDA2EC">
      <w:pPr>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.详细评审。详细评审采用综合评分法。评委依据评标办法分别对各供应商的投标文件进行评审、赋分。如果通过资格审查和符合性审查的供应商不足三家，则采购人重新招标。</w:t>
      </w:r>
    </w:p>
    <w:p w14:paraId="72227861">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（四）询标（必要时）</w:t>
      </w:r>
    </w:p>
    <w:p w14:paraId="581C03C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评标委员会对投标文件需要澄清的问题，采用集体询标方式进行。</w:t>
      </w:r>
    </w:p>
    <w:p w14:paraId="46C1ACD4">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（五）推荐中标候选人</w:t>
      </w:r>
    </w:p>
    <w:p w14:paraId="3FDA8F0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5.1汇总各评委得分,</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最终得分按各位评委打分平均值计取,保留小数点后两位。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为排名第一的中标候选人。评标委员会根据综合评审结果，按照综合得分由高到低的顺序，推荐三名中标候选人，由采购人确定排名第一的供应商为中标人。</w:t>
      </w:r>
    </w:p>
    <w:p w14:paraId="5CAF8313">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5.2评标委员会成员对需要共同认定的事项存在争议的，应当按照少数服从多数的原则作出结论。持不同意见的评标委员会成员应当在评标报告上签署不同意见及理由，否则视为同意评标报告。</w:t>
      </w:r>
    </w:p>
    <w:p w14:paraId="7FAFCE48">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7ECE45B">
      <w:pPr>
        <w:spacing w:line="44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二、评标办法和标准</w:t>
      </w:r>
    </w:p>
    <w:tbl>
      <w:tblPr>
        <w:tblStyle w:val="44"/>
        <w:tblW w:w="98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46"/>
        <w:gridCol w:w="5553"/>
      </w:tblGrid>
      <w:tr w14:paraId="3563DB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70A175C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946" w:type="dxa"/>
            <w:tcBorders>
              <w:top w:val="single" w:color="000000" w:sz="12" w:space="0"/>
            </w:tcBorders>
            <w:noWrap w:val="0"/>
            <w:vAlign w:val="center"/>
          </w:tcPr>
          <w:p w14:paraId="7B97305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553" w:type="dxa"/>
            <w:tcBorders>
              <w:top w:val="single" w:color="000000" w:sz="12" w:space="0"/>
            </w:tcBorders>
            <w:noWrap w:val="0"/>
            <w:vAlign w:val="center"/>
          </w:tcPr>
          <w:p w14:paraId="54449F4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7B048E5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restart"/>
            <w:noWrap w:val="0"/>
            <w:vAlign w:val="center"/>
          </w:tcPr>
          <w:p w14:paraId="0850D80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1</w:t>
            </w:r>
          </w:p>
        </w:tc>
        <w:tc>
          <w:tcPr>
            <w:tcW w:w="1311" w:type="dxa"/>
            <w:vMerge w:val="restart"/>
            <w:noWrap w:val="0"/>
            <w:vAlign w:val="center"/>
          </w:tcPr>
          <w:p w14:paraId="62BE796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1946" w:type="dxa"/>
            <w:noWrap w:val="0"/>
            <w:vAlign w:val="center"/>
          </w:tcPr>
          <w:p w14:paraId="5D1A265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5553" w:type="dxa"/>
            <w:noWrap w:val="0"/>
            <w:vAlign w:val="center"/>
          </w:tcPr>
          <w:p w14:paraId="6BB250E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 1.4.1 和3.1.1项的规定</w:t>
            </w:r>
          </w:p>
          <w:p w14:paraId="0179B11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投标文件</w:t>
            </w:r>
            <w:r>
              <w:rPr>
                <w:rFonts w:hint="eastAsia" w:ascii="宋体" w:hAnsi="宋体" w:cs="宋体"/>
                <w:color w:val="auto"/>
                <w:sz w:val="24"/>
                <w:szCs w:val="24"/>
                <w:highlight w:val="none"/>
                <w:lang w:val="en-US" w:eastAsia="zh-CN"/>
              </w:rPr>
              <w:t>内提供</w:t>
            </w:r>
            <w:r>
              <w:rPr>
                <w:rFonts w:hint="eastAsia" w:ascii="宋体" w:hAnsi="宋体" w:eastAsia="宋体" w:cs="宋体"/>
                <w:color w:val="auto"/>
                <w:sz w:val="24"/>
                <w:szCs w:val="24"/>
                <w:highlight w:val="none"/>
              </w:rPr>
              <w:t>年检有效期内的营业执照。</w:t>
            </w:r>
          </w:p>
        </w:tc>
      </w:tr>
      <w:tr w14:paraId="2A55F0A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continue"/>
            <w:noWrap w:val="0"/>
            <w:vAlign w:val="top"/>
          </w:tcPr>
          <w:p w14:paraId="653348F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14:paraId="49462C2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14:paraId="555E30E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资质要求</w:t>
            </w:r>
          </w:p>
        </w:tc>
        <w:tc>
          <w:tcPr>
            <w:tcW w:w="5553" w:type="dxa"/>
            <w:noWrap w:val="0"/>
            <w:vAlign w:val="center"/>
          </w:tcPr>
          <w:p w14:paraId="2181274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投标人须具有有效的肥料登记证，所投产品须符合《生物有机肥》（NY 884-2012）相关要求；</w:t>
            </w:r>
          </w:p>
        </w:tc>
      </w:tr>
      <w:tr w14:paraId="4226C53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continue"/>
            <w:noWrap w:val="0"/>
            <w:vAlign w:val="top"/>
          </w:tcPr>
          <w:p w14:paraId="39E41CC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14:paraId="5A4A4AA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14:paraId="48F11E9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财务要求</w:t>
            </w:r>
          </w:p>
        </w:tc>
        <w:tc>
          <w:tcPr>
            <w:tcW w:w="5553" w:type="dxa"/>
            <w:noWrap w:val="0"/>
            <w:vAlign w:val="center"/>
          </w:tcPr>
          <w:p w14:paraId="3DB23D9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 1.4.1 和3.1.1项的规定</w:t>
            </w:r>
          </w:p>
          <w:p w14:paraId="459465F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投标文件</w:t>
            </w:r>
            <w:r>
              <w:rPr>
                <w:rFonts w:hint="eastAsia" w:ascii="宋体" w:hAnsi="宋体" w:cs="宋体"/>
                <w:color w:val="auto"/>
                <w:sz w:val="24"/>
                <w:szCs w:val="24"/>
                <w:highlight w:val="none"/>
                <w:lang w:val="en-US" w:eastAsia="zh-CN"/>
              </w:rPr>
              <w:t>内提供</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年至 </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的审计报务或企业财务报表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投标人的成立时间少于规定年份的，应提供成立以来至202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以后</w:t>
            </w:r>
            <w:r>
              <w:rPr>
                <w:rFonts w:hint="eastAsia" w:ascii="宋体" w:hAnsi="宋体" w:eastAsia="宋体" w:cs="宋体"/>
                <w:color w:val="auto"/>
                <w:sz w:val="24"/>
                <w:szCs w:val="24"/>
                <w:highlight w:val="none"/>
                <w:lang w:val="zh-CN"/>
              </w:rPr>
              <w:t>成立企业需提供当年银行出具的公司资信证明）。</w:t>
            </w:r>
          </w:p>
        </w:tc>
      </w:tr>
      <w:tr w14:paraId="52DC377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continue"/>
            <w:noWrap w:val="0"/>
            <w:vAlign w:val="top"/>
          </w:tcPr>
          <w:p w14:paraId="76AE9F4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14:paraId="0386621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14:paraId="334AA158">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社保</w:t>
            </w:r>
          </w:p>
        </w:tc>
        <w:tc>
          <w:tcPr>
            <w:tcW w:w="5553" w:type="dxa"/>
            <w:noWrap w:val="0"/>
            <w:vAlign w:val="center"/>
          </w:tcPr>
          <w:p w14:paraId="16F5DCE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具有依法缴纳税收和社会保障金的良好记录。</w:t>
            </w:r>
          </w:p>
          <w:p w14:paraId="008E7B55">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投标文件内</w:t>
            </w:r>
            <w:r>
              <w:rPr>
                <w:rFonts w:hint="eastAsia" w:ascii="宋体" w:hAnsi="宋体" w:eastAsia="宋体" w:cs="宋体"/>
                <w:color w:val="auto"/>
                <w:sz w:val="24"/>
                <w:szCs w:val="24"/>
                <w:highlight w:val="none"/>
                <w:lang w:val="en-US" w:eastAsia="zh-CN"/>
              </w:rPr>
              <w:t>提供2023</w:t>
            </w:r>
            <w:r>
              <w:rPr>
                <w:rFonts w:hint="eastAsia" w:ascii="宋体" w:hAnsi="宋体" w:eastAsia="宋体" w:cs="宋体"/>
                <w:color w:val="auto"/>
                <w:sz w:val="24"/>
                <w:szCs w:val="24"/>
                <w:highlight w:val="none"/>
                <w:lang w:val="zh-CN" w:eastAsia="zh-CN"/>
              </w:rPr>
              <w:t>年</w:t>
            </w:r>
            <w:r>
              <w:rPr>
                <w:rFonts w:hint="eastAsia" w:ascii="宋体" w:hAnsi="宋体" w:cs="宋体"/>
                <w:color w:val="auto"/>
                <w:sz w:val="24"/>
                <w:szCs w:val="24"/>
                <w:highlight w:val="none"/>
                <w:lang w:val="en-US" w:eastAsia="zh-CN"/>
              </w:rPr>
              <w:t>至今</w:t>
            </w:r>
            <w:r>
              <w:rPr>
                <w:rFonts w:hint="eastAsia" w:ascii="宋体" w:hAnsi="宋体" w:eastAsia="宋体" w:cs="宋体"/>
                <w:color w:val="auto"/>
                <w:sz w:val="24"/>
                <w:szCs w:val="24"/>
                <w:highlight w:val="none"/>
                <w:lang w:val="zh-CN" w:eastAsia="zh-CN"/>
              </w:rPr>
              <w:t>任意一个月纳税证明及社会保障资金缴纳证明复印件加盖公章。依法免</w:t>
            </w:r>
            <w:r>
              <w:rPr>
                <w:rFonts w:hint="eastAsia" w:ascii="宋体" w:hAnsi="宋体" w:cs="宋体"/>
                <w:color w:val="auto"/>
                <w:sz w:val="24"/>
                <w:szCs w:val="24"/>
                <w:highlight w:val="none"/>
                <w:lang w:val="en-US" w:eastAsia="zh-CN"/>
              </w:rPr>
              <w:t>缴</w:t>
            </w:r>
            <w:r>
              <w:rPr>
                <w:rFonts w:hint="eastAsia" w:ascii="宋体" w:hAnsi="宋体" w:eastAsia="宋体" w:cs="宋体"/>
                <w:color w:val="auto"/>
                <w:sz w:val="24"/>
                <w:szCs w:val="24"/>
                <w:highlight w:val="none"/>
                <w:lang w:val="zh-CN" w:eastAsia="zh-CN"/>
              </w:rPr>
              <w:t>的，应提供其依法免</w:t>
            </w:r>
            <w:r>
              <w:rPr>
                <w:rFonts w:hint="eastAsia" w:ascii="宋体" w:hAnsi="宋体" w:cs="宋体"/>
                <w:color w:val="auto"/>
                <w:sz w:val="24"/>
                <w:szCs w:val="24"/>
                <w:highlight w:val="none"/>
                <w:lang w:val="en-US" w:eastAsia="zh-CN"/>
              </w:rPr>
              <w:t>缴</w:t>
            </w:r>
            <w:r>
              <w:rPr>
                <w:rFonts w:hint="eastAsia" w:ascii="宋体" w:hAnsi="宋体" w:eastAsia="宋体" w:cs="宋体"/>
                <w:color w:val="auto"/>
                <w:sz w:val="24"/>
                <w:szCs w:val="24"/>
                <w:highlight w:val="none"/>
                <w:lang w:val="zh-CN" w:eastAsia="zh-CN"/>
              </w:rPr>
              <w:t>证明。</w:t>
            </w:r>
            <w:r>
              <w:rPr>
                <w:rFonts w:hint="eastAsia" w:ascii="宋体" w:hAnsi="宋体" w:cs="宋体"/>
                <w:color w:val="auto"/>
                <w:sz w:val="24"/>
                <w:szCs w:val="24"/>
                <w:highlight w:val="none"/>
                <w:lang w:val="en-US" w:eastAsia="zh-CN"/>
              </w:rPr>
              <w:t>新成立公司提供情况说明复印件加盖公章。</w:t>
            </w:r>
          </w:p>
        </w:tc>
      </w:tr>
      <w:tr w14:paraId="1149AC8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088" w:type="dxa"/>
            <w:vMerge w:val="continue"/>
            <w:noWrap w:val="0"/>
            <w:vAlign w:val="top"/>
          </w:tcPr>
          <w:p w14:paraId="6E2DEFF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14:paraId="6926A9D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14:paraId="283F83E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auto"/>
                <w:spacing w:val="0"/>
                <w:kern w:val="0"/>
                <w:sz w:val="24"/>
                <w:szCs w:val="24"/>
                <w:highlight w:val="none"/>
                <w:lang w:val="en-US" w:eastAsia="zh-CN" w:bidi="ar"/>
              </w:rPr>
              <w:t>具有履行合同所必需的设备和专业技术能力</w:t>
            </w:r>
          </w:p>
        </w:tc>
        <w:tc>
          <w:tcPr>
            <w:tcW w:w="5553" w:type="dxa"/>
            <w:noWrap w:val="0"/>
            <w:vAlign w:val="center"/>
          </w:tcPr>
          <w:p w14:paraId="3E8239C6">
            <w:pPr>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auto"/>
                <w:spacing w:val="0"/>
                <w:kern w:val="0"/>
                <w:sz w:val="24"/>
                <w:szCs w:val="24"/>
                <w:highlight w:val="none"/>
                <w:lang w:val="en-US" w:eastAsia="zh-CN" w:bidi="ar"/>
              </w:rPr>
              <w:t>具有履行合同所必需的设备和专业技术能力，投标文件内提供由法定代表签字或盖章并加盖公章的承诺书。</w:t>
            </w:r>
          </w:p>
        </w:tc>
      </w:tr>
      <w:tr w14:paraId="7CE3F80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1088" w:type="dxa"/>
            <w:vMerge w:val="continue"/>
            <w:noWrap w:val="0"/>
            <w:vAlign w:val="top"/>
          </w:tcPr>
          <w:p w14:paraId="67D3A84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14:paraId="23E6477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14:paraId="06211DD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信誉要求</w:t>
            </w:r>
          </w:p>
        </w:tc>
        <w:tc>
          <w:tcPr>
            <w:tcW w:w="5553" w:type="dxa"/>
            <w:noWrap w:val="0"/>
            <w:vAlign w:val="center"/>
          </w:tcPr>
          <w:p w14:paraId="013ED65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1.拒绝列入政府取消投标资格记录期间的企业或个人投标；</w:t>
            </w:r>
          </w:p>
          <w:p w14:paraId="2D4991F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2.单位负责人为同一人或者存在直接控股、管理关系的不同供应商，不得参加同一合同项下的政府采购活动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C2180B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3.参加政府采购活动前</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年内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在经营活动中没有重大违法记录；</w:t>
            </w:r>
          </w:p>
          <w:p w14:paraId="684224C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4.不得为“信用中国”网站（www.creditchina.gov.cn）中列入失信被执行人和</w:t>
            </w:r>
            <w:r>
              <w:rPr>
                <w:rFonts w:hint="eastAsia" w:ascii="宋体" w:hAnsi="宋体" w:eastAsia="宋体" w:cs="宋体"/>
                <w:color w:val="000000" w:themeColor="text1"/>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不得为中国政府采购网（www.ccpg.gov.cn）政府采购严重违法失信行为记录名单中被财政部门禁止参加政府采购活动的供应商（在处罚决定规定的时间和地域范围内）</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（详见财库[2016]125号）；在2021年至今供应商和其法定代表人在“中国裁判文书网”(wenshu.court.gov.cn)上无行贿犯罪行为</w:t>
            </w:r>
            <w:r>
              <w:rPr>
                <w:rFonts w:hint="eastAsia" w:ascii="宋体" w:hAnsi="宋体" w:eastAsia="宋体" w:cs="宋体"/>
                <w:color w:val="000000" w:themeColor="text1"/>
                <w:sz w:val="24"/>
                <w:szCs w:val="24"/>
                <w:highlight w:val="none"/>
                <w14:textFill>
                  <w14:solidFill>
                    <w14:schemeClr w14:val="tx1"/>
                  </w14:solidFill>
                </w14:textFill>
              </w:rPr>
              <w:t>。</w:t>
            </w:r>
          </w:p>
          <w:p w14:paraId="5083E87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投标文件内附由法定代表人或授权代表签字或盖章并加盖公章的承诺书。</w:t>
            </w:r>
          </w:p>
        </w:tc>
      </w:tr>
      <w:tr w14:paraId="48848BC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88" w:type="dxa"/>
            <w:vMerge w:val="continue"/>
            <w:noWrap w:val="0"/>
            <w:vAlign w:val="top"/>
          </w:tcPr>
          <w:p w14:paraId="45549D2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14:paraId="71ADE45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14:paraId="1587CA6E">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其它要求</w:t>
            </w:r>
          </w:p>
        </w:tc>
        <w:tc>
          <w:tcPr>
            <w:tcW w:w="5553" w:type="dxa"/>
            <w:noWrap w:val="0"/>
            <w:vAlign w:val="center"/>
          </w:tcPr>
          <w:p w14:paraId="5508584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对招标文件的全部条款做出实质性响应；</w:t>
            </w:r>
          </w:p>
          <w:p w14:paraId="49CCE90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2、本项目不接受联合体投标、不允许分包；</w:t>
            </w:r>
          </w:p>
          <w:p w14:paraId="498192B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3、不存在招标文件要求的其他</w:t>
            </w:r>
            <w:r>
              <w:rPr>
                <w:rFonts w:hint="eastAsia" w:ascii="宋体" w:hAnsi="宋体" w:eastAsia="宋体" w:cs="宋体"/>
                <w:color w:val="auto"/>
                <w:sz w:val="24"/>
                <w:szCs w:val="24"/>
                <w:highlight w:val="none"/>
                <w:lang w:val="zh-CN"/>
              </w:rPr>
              <w:t>无效投标的情形；</w:t>
            </w:r>
          </w:p>
          <w:p w14:paraId="6660D87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4、不存在</w:t>
            </w:r>
            <w:r>
              <w:rPr>
                <w:rFonts w:hint="eastAsia" w:ascii="宋体" w:hAnsi="宋体" w:eastAsia="宋体" w:cs="宋体"/>
                <w:color w:val="auto"/>
                <w:sz w:val="24"/>
                <w:szCs w:val="24"/>
                <w:highlight w:val="none"/>
              </w:rPr>
              <w:t>招标文件中规定的其他废标条款</w:t>
            </w:r>
            <w:r>
              <w:rPr>
                <w:rFonts w:hint="eastAsia" w:ascii="宋体" w:hAnsi="宋体" w:eastAsia="宋体" w:cs="宋体"/>
                <w:bCs/>
                <w:color w:val="auto"/>
                <w:sz w:val="24"/>
                <w:szCs w:val="24"/>
                <w:highlight w:val="none"/>
              </w:rPr>
              <w:t>。</w:t>
            </w:r>
          </w:p>
          <w:p w14:paraId="34F4E06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符合招标文件的要求为合格，否则为不合格。</w:t>
            </w:r>
          </w:p>
        </w:tc>
      </w:tr>
      <w:tr w14:paraId="2E13DC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2F450BC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14:paraId="7539F6B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7499" w:type="dxa"/>
            <w:gridSpan w:val="2"/>
            <w:noWrap w:val="0"/>
            <w:vAlign w:val="center"/>
          </w:tcPr>
          <w:p w14:paraId="6BF25BD5">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上述评审因素都合格为资格评审合格，有一项不合格为</w:t>
            </w:r>
            <w:r>
              <w:rPr>
                <w:rFonts w:hint="eastAsia" w:ascii="宋体" w:hAnsi="宋体" w:eastAsia="宋体" w:cs="宋体"/>
                <w:color w:val="auto"/>
                <w:sz w:val="24"/>
                <w:szCs w:val="24"/>
                <w:highlight w:val="none"/>
                <w:lang w:val="en-US" w:eastAsia="zh-CN"/>
              </w:rPr>
              <w:t>无效投标</w:t>
            </w:r>
            <w:r>
              <w:rPr>
                <w:rFonts w:hint="eastAsia" w:ascii="宋体" w:hAnsi="宋体" w:eastAsia="宋体" w:cs="宋体"/>
                <w:color w:val="auto"/>
                <w:sz w:val="24"/>
                <w:szCs w:val="24"/>
                <w:highlight w:val="none"/>
              </w:rPr>
              <w:t>，不再进行下一步评审。</w:t>
            </w:r>
          </w:p>
        </w:tc>
      </w:tr>
      <w:tr w14:paraId="1BF5D4C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restart"/>
            <w:noWrap w:val="0"/>
            <w:vAlign w:val="center"/>
          </w:tcPr>
          <w:p w14:paraId="5B59DC1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2</w:t>
            </w:r>
          </w:p>
        </w:tc>
        <w:tc>
          <w:tcPr>
            <w:tcW w:w="1311" w:type="dxa"/>
            <w:vMerge w:val="restart"/>
            <w:noWrap w:val="0"/>
            <w:vAlign w:val="center"/>
          </w:tcPr>
          <w:p w14:paraId="0689ECD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符合</w:t>
            </w:r>
            <w:r>
              <w:rPr>
                <w:rFonts w:hint="eastAsia" w:ascii="宋体" w:hAnsi="宋体" w:eastAsia="宋体" w:cs="宋体"/>
                <w:color w:val="auto"/>
                <w:sz w:val="24"/>
                <w:szCs w:val="24"/>
                <w:highlight w:val="none"/>
              </w:rPr>
              <w:t>性评审标准</w:t>
            </w:r>
          </w:p>
        </w:tc>
        <w:tc>
          <w:tcPr>
            <w:tcW w:w="1946" w:type="dxa"/>
            <w:noWrap w:val="0"/>
            <w:vAlign w:val="center"/>
          </w:tcPr>
          <w:p w14:paraId="208A334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5553" w:type="dxa"/>
            <w:noWrap w:val="0"/>
            <w:vAlign w:val="center"/>
          </w:tcPr>
          <w:p w14:paraId="694BAC8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与营业执照一致为合格，否则为不合格。</w:t>
            </w:r>
          </w:p>
        </w:tc>
      </w:tr>
      <w:tr w14:paraId="67D79BF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14:paraId="491C1C9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311" w:type="dxa"/>
            <w:vMerge w:val="continue"/>
            <w:noWrap w:val="0"/>
            <w:vAlign w:val="center"/>
          </w:tcPr>
          <w:p w14:paraId="7B5C096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946" w:type="dxa"/>
            <w:noWrap w:val="0"/>
            <w:vAlign w:val="center"/>
          </w:tcPr>
          <w:p w14:paraId="11BD819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签字和盖章要求</w:t>
            </w:r>
          </w:p>
        </w:tc>
        <w:tc>
          <w:tcPr>
            <w:tcW w:w="5553" w:type="dxa"/>
            <w:noWrap w:val="0"/>
            <w:vAlign w:val="center"/>
          </w:tcPr>
          <w:p w14:paraId="0158156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符合招标文件规定的要求为合格，否则为不合格。</w:t>
            </w:r>
          </w:p>
        </w:tc>
      </w:tr>
      <w:tr w14:paraId="0C8B317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14:paraId="0509910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311" w:type="dxa"/>
            <w:vMerge w:val="continue"/>
            <w:noWrap w:val="0"/>
            <w:vAlign w:val="center"/>
          </w:tcPr>
          <w:p w14:paraId="7446D29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946" w:type="dxa"/>
            <w:noWrap w:val="0"/>
            <w:vAlign w:val="center"/>
          </w:tcPr>
          <w:p w14:paraId="2EB2E14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投标文件的编制</w:t>
            </w:r>
          </w:p>
        </w:tc>
        <w:tc>
          <w:tcPr>
            <w:tcW w:w="5553" w:type="dxa"/>
            <w:noWrap w:val="0"/>
            <w:vAlign w:val="center"/>
          </w:tcPr>
          <w:p w14:paraId="2F7F57D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按照招标文件规定的要求编制</w:t>
            </w:r>
            <w:r>
              <w:rPr>
                <w:rFonts w:hint="eastAsia" w:ascii="宋体" w:hAnsi="宋体" w:eastAsia="宋体" w:cs="宋体"/>
                <w:bCs/>
                <w:color w:val="auto"/>
                <w:sz w:val="24"/>
                <w:szCs w:val="24"/>
                <w:highlight w:val="none"/>
              </w:rPr>
              <w:t>，内容齐全、关键字迹清晰，符合投标文件格式的要求为合格；未按</w:t>
            </w:r>
            <w:r>
              <w:rPr>
                <w:rFonts w:hint="eastAsia" w:ascii="宋体" w:hAnsi="宋体" w:eastAsia="宋体" w:cs="宋体"/>
                <w:color w:val="auto"/>
                <w:sz w:val="24"/>
                <w:szCs w:val="24"/>
                <w:highlight w:val="none"/>
              </w:rPr>
              <w:t>招标文件</w:t>
            </w:r>
            <w:r>
              <w:rPr>
                <w:rFonts w:hint="eastAsia" w:ascii="宋体" w:hAnsi="宋体" w:eastAsia="宋体" w:cs="宋体"/>
                <w:bCs/>
                <w:color w:val="auto"/>
                <w:sz w:val="24"/>
                <w:szCs w:val="24"/>
                <w:highlight w:val="none"/>
              </w:rPr>
              <w:t>规定的要求编制，内容不全或关键字迹模糊、无法辨认，不符合投标文件格式的要求为不合格。</w:t>
            </w:r>
          </w:p>
        </w:tc>
      </w:tr>
      <w:tr w14:paraId="68FF024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14:paraId="45907CA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311" w:type="dxa"/>
            <w:vMerge w:val="continue"/>
            <w:noWrap w:val="0"/>
            <w:vAlign w:val="center"/>
          </w:tcPr>
          <w:p w14:paraId="0D4C6EB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946" w:type="dxa"/>
            <w:noWrap w:val="0"/>
            <w:vAlign w:val="center"/>
          </w:tcPr>
          <w:p w14:paraId="096154E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报价唯一</w:t>
            </w:r>
          </w:p>
        </w:tc>
        <w:tc>
          <w:tcPr>
            <w:tcW w:w="5553" w:type="dxa"/>
            <w:noWrap w:val="0"/>
            <w:vAlign w:val="center"/>
          </w:tcPr>
          <w:p w14:paraId="6C4B2BD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合格：只能有一个有效报价；</w:t>
            </w:r>
          </w:p>
          <w:p w14:paraId="3000A16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不合格：有两个或多个报价，且未声明哪一个有效（按招标文件规定提交备选投标方案的除外）。</w:t>
            </w:r>
          </w:p>
        </w:tc>
      </w:tr>
      <w:tr w14:paraId="664531B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14:paraId="229A436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311" w:type="dxa"/>
            <w:vMerge w:val="continue"/>
            <w:noWrap w:val="0"/>
            <w:vAlign w:val="center"/>
          </w:tcPr>
          <w:p w14:paraId="1898B2C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946" w:type="dxa"/>
            <w:noWrap w:val="0"/>
            <w:vAlign w:val="center"/>
          </w:tcPr>
          <w:p w14:paraId="36DFEA5C">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投标内容</w:t>
            </w:r>
          </w:p>
        </w:tc>
        <w:tc>
          <w:tcPr>
            <w:tcW w:w="5553" w:type="dxa"/>
            <w:noWrap w:val="0"/>
            <w:vAlign w:val="center"/>
          </w:tcPr>
          <w:p w14:paraId="66C98112">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符合招标文件要求</w:t>
            </w:r>
          </w:p>
        </w:tc>
      </w:tr>
      <w:tr w14:paraId="0A7E783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6C186A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14:paraId="2178683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14:paraId="13BDD192">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供货期</w:t>
            </w:r>
          </w:p>
        </w:tc>
        <w:tc>
          <w:tcPr>
            <w:tcW w:w="5553" w:type="dxa"/>
            <w:noWrap w:val="0"/>
            <w:vAlign w:val="center"/>
          </w:tcPr>
          <w:p w14:paraId="612F615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符合招标文件要求</w:t>
            </w:r>
          </w:p>
        </w:tc>
      </w:tr>
      <w:tr w14:paraId="091107A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444115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14:paraId="53B263D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14:paraId="63A83F2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5553" w:type="dxa"/>
            <w:noWrap w:val="0"/>
            <w:vAlign w:val="center"/>
          </w:tcPr>
          <w:p w14:paraId="4EEF00DD">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eastAsia="zh-CN"/>
              </w:rPr>
              <w:t>符合国家及相关行业合格标准</w:t>
            </w:r>
          </w:p>
        </w:tc>
      </w:tr>
      <w:tr w14:paraId="71206FB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2596A53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14:paraId="1E0BFFF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14:paraId="4F02756E">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553" w:type="dxa"/>
            <w:noWrap w:val="0"/>
            <w:vAlign w:val="center"/>
          </w:tcPr>
          <w:p w14:paraId="73F11AE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须知”第3.3.1项的规定。</w:t>
            </w:r>
          </w:p>
        </w:tc>
      </w:tr>
      <w:tr w14:paraId="042FEBF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61EF447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14:paraId="2507BEF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14:paraId="061F3B2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5553" w:type="dxa"/>
            <w:noWrap w:val="0"/>
            <w:vAlign w:val="center"/>
          </w:tcPr>
          <w:p w14:paraId="038DFB6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须知”第3.4.1项的规定，有缴纳凭证加盖公章或财务章【要求清晰可见】。</w:t>
            </w:r>
          </w:p>
        </w:tc>
      </w:tr>
      <w:tr w14:paraId="1FF63EC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88" w:type="dxa"/>
            <w:vMerge w:val="continue"/>
            <w:noWrap w:val="0"/>
            <w:vAlign w:val="top"/>
          </w:tcPr>
          <w:p w14:paraId="444D6D9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14:paraId="7499AA8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14:paraId="08D7915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553" w:type="dxa"/>
            <w:noWrap w:val="0"/>
            <w:vAlign w:val="center"/>
          </w:tcPr>
          <w:p w14:paraId="32D9D60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须知”第3.2.4项的规定，不超过最高投标限价。</w:t>
            </w:r>
          </w:p>
        </w:tc>
      </w:tr>
      <w:tr w14:paraId="18C90CB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top"/>
          </w:tcPr>
          <w:p w14:paraId="145BCE6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14:paraId="1A7CA98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7499" w:type="dxa"/>
            <w:gridSpan w:val="2"/>
            <w:noWrap w:val="0"/>
            <w:vAlign w:val="center"/>
          </w:tcPr>
          <w:p w14:paraId="42E96696">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上述评审因素都合格为响应性评审合格，有一项不合格为</w:t>
            </w:r>
            <w:r>
              <w:rPr>
                <w:rFonts w:hint="eastAsia" w:ascii="宋体" w:hAnsi="宋体" w:eastAsia="宋体" w:cs="宋体"/>
                <w:color w:val="auto"/>
                <w:sz w:val="24"/>
                <w:szCs w:val="24"/>
                <w:highlight w:val="none"/>
                <w:lang w:val="en-US" w:eastAsia="zh-CN"/>
              </w:rPr>
              <w:t>无效投标</w:t>
            </w:r>
            <w:r>
              <w:rPr>
                <w:rFonts w:hint="eastAsia" w:ascii="宋体" w:hAnsi="宋体" w:eastAsia="宋体" w:cs="宋体"/>
                <w:color w:val="auto"/>
                <w:sz w:val="24"/>
                <w:szCs w:val="24"/>
                <w:highlight w:val="none"/>
              </w:rPr>
              <w:t>，不再进行下一步评审。</w:t>
            </w:r>
          </w:p>
        </w:tc>
      </w:tr>
      <w:tr w14:paraId="50284DE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98" w:type="dxa"/>
            <w:gridSpan w:val="4"/>
            <w:noWrap w:val="0"/>
            <w:vAlign w:val="top"/>
          </w:tcPr>
          <w:p w14:paraId="57D8C48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4"/>
                <w:highlight w:val="none"/>
              </w:rPr>
              <w:t>1、“通过”表示该项评审标准符合招标文件的要求，“不通过”表示该项评审标准不符合招标文件的要求；</w:t>
            </w:r>
          </w:p>
          <w:p w14:paraId="1A859F6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2、结论汇总意见采取少数服从多数原则，即超过半数评委的结论为“通过”，该</w:t>
            </w:r>
            <w:r>
              <w:rPr>
                <w:rFonts w:hint="eastAsia" w:ascii="宋体" w:hAnsi="宋体" w:eastAsia="宋体" w:cs="宋体"/>
                <w:color w:val="auto"/>
                <w:sz w:val="24"/>
                <w:szCs w:val="24"/>
                <w:highlight w:val="none"/>
                <w:lang w:eastAsia="zh-CN"/>
              </w:rPr>
              <w:t>供应商</w:t>
            </w:r>
            <w:r>
              <w:rPr>
                <w:rFonts w:hint="eastAsia" w:ascii="宋体" w:hAnsi="宋体" w:eastAsia="宋体" w:cs="宋体"/>
                <w:bCs/>
                <w:color w:val="auto"/>
                <w:sz w:val="24"/>
                <w:szCs w:val="24"/>
                <w:highlight w:val="none"/>
              </w:rPr>
              <w:t>初步评审合格，否则不合格</w:t>
            </w:r>
            <w:r>
              <w:rPr>
                <w:rFonts w:hint="eastAsia" w:ascii="宋体" w:hAnsi="宋体" w:eastAsia="宋体" w:cs="宋体"/>
                <w:color w:val="auto"/>
                <w:sz w:val="24"/>
                <w:szCs w:val="24"/>
                <w:highlight w:val="none"/>
              </w:rPr>
              <w:t>。</w:t>
            </w:r>
          </w:p>
        </w:tc>
      </w:tr>
      <w:tr w14:paraId="0EE8522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399" w:type="dxa"/>
            <w:gridSpan w:val="2"/>
            <w:noWrap w:val="0"/>
            <w:vAlign w:val="center"/>
          </w:tcPr>
          <w:p w14:paraId="3F780C8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2.2.1</w:t>
            </w:r>
          </w:p>
        </w:tc>
        <w:tc>
          <w:tcPr>
            <w:tcW w:w="1946" w:type="dxa"/>
            <w:noWrap w:val="0"/>
            <w:vAlign w:val="center"/>
          </w:tcPr>
          <w:p w14:paraId="78C2A8E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分值构成</w:t>
            </w:r>
          </w:p>
          <w:p w14:paraId="0F85ABF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(总分100分)</w:t>
            </w:r>
          </w:p>
        </w:tc>
        <w:tc>
          <w:tcPr>
            <w:tcW w:w="5553" w:type="dxa"/>
            <w:noWrap w:val="0"/>
            <w:vAlign w:val="center"/>
          </w:tcPr>
          <w:p w14:paraId="2A2CA844">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商务部分：</w:t>
            </w:r>
            <w:r>
              <w:rPr>
                <w:rFonts w:hint="eastAsia" w:ascii="宋体" w:hAnsi="宋体" w:eastAsia="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lang w:val="en-US" w:eastAsia="zh-CN"/>
              </w:rPr>
              <w:t>20</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分（投标报价</w:t>
            </w:r>
            <w:r>
              <w:rPr>
                <w:rFonts w:hint="eastAsia" w:ascii="宋体" w:hAnsi="宋体" w:eastAsia="宋体" w:cs="宋体"/>
                <w:color w:val="auto"/>
                <w:spacing w:val="-6"/>
                <w:sz w:val="24"/>
                <w:szCs w:val="24"/>
                <w:highlight w:val="none"/>
                <w:u w:val="single"/>
              </w:rPr>
              <w:t xml:space="preserve"> 30 </w:t>
            </w:r>
            <w:r>
              <w:rPr>
                <w:rFonts w:hint="eastAsia" w:ascii="宋体" w:hAnsi="宋体" w:eastAsia="宋体" w:cs="宋体"/>
                <w:color w:val="auto"/>
                <w:spacing w:val="-6"/>
                <w:sz w:val="24"/>
                <w:szCs w:val="24"/>
                <w:highlight w:val="none"/>
              </w:rPr>
              <w:t>分）</w:t>
            </w:r>
          </w:p>
          <w:p w14:paraId="03B04DC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pacing w:val="-6"/>
                <w:sz w:val="24"/>
                <w:szCs w:val="24"/>
                <w:highlight w:val="none"/>
              </w:rPr>
              <w:t>技术部分：</w:t>
            </w:r>
            <w:r>
              <w:rPr>
                <w:rFonts w:hint="eastAsia" w:ascii="宋体" w:hAnsi="宋体" w:eastAsia="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lang w:val="en-US" w:eastAsia="zh-CN"/>
              </w:rPr>
              <w:t>50</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分</w:t>
            </w:r>
          </w:p>
        </w:tc>
      </w:tr>
      <w:tr w14:paraId="7B763B1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gridSpan w:val="2"/>
            <w:noWrap w:val="0"/>
            <w:vAlign w:val="center"/>
          </w:tcPr>
          <w:p w14:paraId="6AA74BA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2.2.2</w:t>
            </w:r>
          </w:p>
        </w:tc>
        <w:tc>
          <w:tcPr>
            <w:tcW w:w="1946" w:type="dxa"/>
            <w:noWrap w:val="0"/>
            <w:vAlign w:val="center"/>
          </w:tcPr>
          <w:p w14:paraId="0BF4717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评标基准价计算方法</w:t>
            </w:r>
          </w:p>
        </w:tc>
        <w:tc>
          <w:tcPr>
            <w:tcW w:w="5553" w:type="dxa"/>
            <w:noWrap w:val="0"/>
            <w:vAlign w:val="center"/>
          </w:tcPr>
          <w:p w14:paraId="191607B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以满足招标文件要求且报价最低的价格为评标基准价</w:t>
            </w:r>
          </w:p>
        </w:tc>
      </w:tr>
      <w:tr w14:paraId="43DBFC1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88" w:type="dxa"/>
            <w:vMerge w:val="restart"/>
            <w:noWrap w:val="0"/>
            <w:vAlign w:val="center"/>
          </w:tcPr>
          <w:p w14:paraId="29C761A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2.2.3（1）</w:t>
            </w:r>
          </w:p>
        </w:tc>
        <w:tc>
          <w:tcPr>
            <w:tcW w:w="1311" w:type="dxa"/>
            <w:noWrap w:val="0"/>
            <w:vAlign w:val="center"/>
          </w:tcPr>
          <w:p w14:paraId="7AABE29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投标报价</w:t>
            </w:r>
          </w:p>
          <w:p w14:paraId="51E6456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6"/>
                <w:sz w:val="24"/>
                <w:szCs w:val="24"/>
                <w:highlight w:val="none"/>
              </w:rPr>
              <w:t>（ 30 分）</w:t>
            </w:r>
          </w:p>
        </w:tc>
        <w:tc>
          <w:tcPr>
            <w:tcW w:w="1946" w:type="dxa"/>
            <w:noWrap w:val="0"/>
            <w:vAlign w:val="center"/>
          </w:tcPr>
          <w:p w14:paraId="1BD98F58">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投标报价</w:t>
            </w:r>
          </w:p>
          <w:p w14:paraId="175A4AF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6"/>
                <w:sz w:val="24"/>
                <w:szCs w:val="24"/>
                <w:highlight w:val="none"/>
              </w:rPr>
              <w:t>（ 30 分）</w:t>
            </w:r>
          </w:p>
        </w:tc>
        <w:tc>
          <w:tcPr>
            <w:tcW w:w="5553" w:type="dxa"/>
            <w:noWrap w:val="0"/>
            <w:vAlign w:val="top"/>
          </w:tcPr>
          <w:p w14:paraId="5DA05016">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以满足招标文件要求且报价最低的价格为评标基准价，其价格分为满分 30分，其他供应商的价格分按照下列公式计算：报价得分=（评标基准价/投标报价）×30，结果保留两位小数。</w:t>
            </w:r>
          </w:p>
        </w:tc>
      </w:tr>
      <w:tr w14:paraId="2C68494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88" w:type="dxa"/>
            <w:vMerge w:val="continue"/>
            <w:noWrap w:val="0"/>
            <w:vAlign w:val="center"/>
          </w:tcPr>
          <w:p w14:paraId="23CCB98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restart"/>
            <w:noWrap w:val="0"/>
            <w:vAlign w:val="center"/>
          </w:tcPr>
          <w:p w14:paraId="7178BB3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商务部分评分标准</w:t>
            </w:r>
          </w:p>
          <w:p w14:paraId="484E50E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分）</w:t>
            </w:r>
          </w:p>
        </w:tc>
        <w:tc>
          <w:tcPr>
            <w:tcW w:w="1946" w:type="dxa"/>
            <w:noWrap w:val="0"/>
            <w:vAlign w:val="center"/>
          </w:tcPr>
          <w:p w14:paraId="3B52F40E">
            <w:pPr>
              <w:keepNext w:val="0"/>
              <w:keepLines w:val="0"/>
              <w:pageBreakBefore w:val="0"/>
              <w:kinsoku/>
              <w:wordWrap/>
              <w:overflowPunct/>
              <w:topLinePunct w:val="0"/>
              <w:bidi w:val="0"/>
              <w:snapToGrid/>
              <w:spacing w:line="0" w:lineRule="atLeas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p w14:paraId="033A9215">
            <w:pPr>
              <w:keepNext w:val="0"/>
              <w:keepLines w:val="0"/>
              <w:pageBreakBefore w:val="0"/>
              <w:kinsoku/>
              <w:wordWrap/>
              <w:overflowPunct/>
              <w:topLinePunct w:val="0"/>
              <w:bidi w:val="0"/>
              <w:snapToGrid/>
              <w:spacing w:line="0" w:lineRule="atLeast"/>
              <w:ind w:left="0" w:leftChars="0" w:right="0" w:right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rPr>
              <w:t>分）</w:t>
            </w:r>
          </w:p>
        </w:tc>
        <w:tc>
          <w:tcPr>
            <w:tcW w:w="5553" w:type="dxa"/>
            <w:noWrap w:val="0"/>
            <w:vAlign w:val="center"/>
          </w:tcPr>
          <w:p w14:paraId="62CB7C55">
            <w:pPr>
              <w:keepNext w:val="0"/>
              <w:keepLines w:val="0"/>
              <w:pageBreakBefore w:val="0"/>
              <w:kinsoku/>
              <w:wordWrap/>
              <w:overflowPunct/>
              <w:topLinePunct w:val="0"/>
              <w:bidi w:val="0"/>
              <w:snapToGrid/>
              <w:spacing w:line="0" w:lineRule="atLeas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近三年（</w:t>
            </w:r>
            <w:r>
              <w:rPr>
                <w:rFonts w:hint="eastAsia" w:ascii="宋体" w:hAnsi="宋体" w:cs="宋体"/>
                <w:color w:val="auto"/>
                <w:sz w:val="24"/>
                <w:szCs w:val="24"/>
                <w:highlight w:val="none"/>
                <w:lang w:val="en-US" w:eastAsia="zh-CN"/>
              </w:rPr>
              <w:t>2021</w:t>
            </w:r>
            <w:r>
              <w:rPr>
                <w:rFonts w:hint="eastAsia" w:ascii="宋体" w:hAnsi="宋体" w:eastAsia="宋体" w:cs="宋体"/>
                <w:color w:val="auto"/>
                <w:sz w:val="24"/>
                <w:szCs w:val="24"/>
                <w:highlight w:val="none"/>
              </w:rPr>
              <w:t>-至今）</w:t>
            </w:r>
            <w:r>
              <w:rPr>
                <w:rFonts w:hint="eastAsia" w:ascii="宋体" w:hAnsi="宋体" w:eastAsia="宋体" w:cs="宋体"/>
                <w:color w:val="auto"/>
                <w:sz w:val="24"/>
                <w:szCs w:val="24"/>
                <w:highlight w:val="none"/>
                <w:lang w:eastAsia="zh-CN"/>
              </w:rPr>
              <w:t>完成的</w:t>
            </w:r>
            <w:r>
              <w:rPr>
                <w:rFonts w:hint="eastAsia" w:ascii="宋体" w:hAnsi="宋体" w:eastAsia="宋体" w:cs="宋体"/>
                <w:color w:val="auto"/>
                <w:sz w:val="24"/>
                <w:szCs w:val="24"/>
                <w:highlight w:val="none"/>
              </w:rPr>
              <w:t>类似业绩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每有一项得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zh-CN"/>
              </w:rPr>
              <w:t>合同或中标通知书</w:t>
            </w:r>
            <w:r>
              <w:rPr>
                <w:rFonts w:hint="eastAsia" w:ascii="宋体" w:hAnsi="宋体" w:cs="宋体"/>
                <w:color w:val="auto"/>
                <w:sz w:val="24"/>
                <w:szCs w:val="24"/>
                <w:highlight w:val="none"/>
                <w:lang w:val="en-US" w:eastAsia="zh-CN"/>
              </w:rPr>
              <w:t>复印件加盖公章</w:t>
            </w:r>
            <w:r>
              <w:rPr>
                <w:rFonts w:hint="eastAsia" w:ascii="宋体" w:hAnsi="宋体" w:eastAsia="宋体" w:cs="宋体"/>
                <w:color w:val="auto"/>
                <w:sz w:val="24"/>
                <w:szCs w:val="24"/>
                <w:highlight w:val="none"/>
                <w:lang w:val="zh-CN"/>
              </w:rPr>
              <w:t>。</w:t>
            </w:r>
          </w:p>
        </w:tc>
      </w:tr>
      <w:tr w14:paraId="3D0C0F8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88" w:type="dxa"/>
            <w:vMerge w:val="continue"/>
            <w:noWrap w:val="0"/>
            <w:vAlign w:val="center"/>
          </w:tcPr>
          <w:p w14:paraId="56D3784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14:paraId="522EDB2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46" w:type="dxa"/>
            <w:noWrap w:val="0"/>
            <w:vAlign w:val="center"/>
          </w:tcPr>
          <w:p w14:paraId="76711801">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p w14:paraId="217C6C8A">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Cs/>
                <w:color w:val="auto"/>
                <w:sz w:val="24"/>
                <w:szCs w:val="24"/>
                <w:highlight w:val="none"/>
                <w:lang w:val="zh-CN" w:eastAsia="zh-CN" w:bidi="ar-SA"/>
              </w:rPr>
            </w:pPr>
            <w:r>
              <w:rPr>
                <w:rFonts w:hint="eastAsia" w:ascii="宋体" w:hAnsi="宋体" w:eastAsia="宋体" w:cs="宋体"/>
                <w:color w:val="auto"/>
                <w:spacing w:val="-6"/>
                <w:sz w:val="24"/>
                <w:szCs w:val="24"/>
                <w:highlight w:val="none"/>
              </w:rPr>
              <w:t>（</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分）</w:t>
            </w:r>
          </w:p>
        </w:tc>
        <w:tc>
          <w:tcPr>
            <w:tcW w:w="5553" w:type="dxa"/>
            <w:noWrap w:val="0"/>
            <w:vAlign w:val="center"/>
          </w:tcPr>
          <w:p w14:paraId="193D9EFF">
            <w:pPr>
              <w:keepNext w:val="0"/>
              <w:keepLines w:val="0"/>
              <w:pageBreakBefore w:val="0"/>
              <w:kinsoku/>
              <w:wordWrap/>
              <w:overflowPunct/>
              <w:topLinePunct w:val="0"/>
              <w:bidi w:val="0"/>
              <w:snapToGrid/>
              <w:spacing w:line="0" w:lineRule="atLeas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每有一条</w:t>
            </w:r>
            <w:r>
              <w:rPr>
                <w:rFonts w:hint="eastAsia" w:ascii="宋体" w:hAnsi="宋体" w:eastAsia="宋体" w:cs="宋体"/>
                <w:color w:val="auto"/>
                <w:sz w:val="24"/>
                <w:szCs w:val="24"/>
                <w:highlight w:val="none"/>
                <w:lang w:val="zh-CN" w:eastAsia="zh-CN"/>
              </w:rPr>
              <w:t>采购人可接受的</w:t>
            </w:r>
            <w:r>
              <w:rPr>
                <w:rFonts w:hint="eastAsia" w:ascii="宋体" w:hAnsi="宋体" w:eastAsia="宋体" w:cs="宋体"/>
                <w:color w:val="auto"/>
                <w:sz w:val="24"/>
                <w:szCs w:val="24"/>
                <w:highlight w:val="none"/>
                <w:lang w:val="en-US" w:eastAsia="zh-CN"/>
              </w:rPr>
              <w:t>服务承诺得1分，最多得5分，无不得分。</w:t>
            </w:r>
          </w:p>
        </w:tc>
      </w:tr>
      <w:tr w14:paraId="790F830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88" w:type="dxa"/>
            <w:vMerge w:val="continue"/>
            <w:noWrap w:val="0"/>
            <w:vAlign w:val="center"/>
          </w:tcPr>
          <w:p w14:paraId="52D78F1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14:paraId="3C0ACCC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46" w:type="dxa"/>
            <w:noWrap w:val="0"/>
            <w:vAlign w:val="center"/>
          </w:tcPr>
          <w:p w14:paraId="2E7A6D3A">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优惠条件</w:t>
            </w:r>
          </w:p>
          <w:p w14:paraId="6910059D">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分）</w:t>
            </w:r>
          </w:p>
        </w:tc>
        <w:tc>
          <w:tcPr>
            <w:tcW w:w="5553" w:type="dxa"/>
            <w:noWrap w:val="0"/>
            <w:vAlign w:val="center"/>
          </w:tcPr>
          <w:p w14:paraId="563D52B9">
            <w:pPr>
              <w:keepNext w:val="0"/>
              <w:keepLines w:val="0"/>
              <w:pageBreakBefore w:val="0"/>
              <w:kinsoku/>
              <w:overflowPunct/>
              <w:topLinePunct w:val="0"/>
              <w:bidi w:val="0"/>
              <w:spacing w:line="0" w:lineRule="atLeast"/>
              <w:ind w:left="0" w:leftChars="0" w:right="0" w:rightChars="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每有一条</w:t>
            </w:r>
            <w:r>
              <w:rPr>
                <w:rFonts w:hint="eastAsia" w:ascii="宋体" w:hAnsi="宋体" w:eastAsia="宋体" w:cs="宋体"/>
                <w:color w:val="auto"/>
                <w:sz w:val="24"/>
                <w:szCs w:val="24"/>
                <w:highlight w:val="none"/>
                <w:lang w:val="zh-CN" w:eastAsia="zh-CN"/>
              </w:rPr>
              <w:t>采购人可接受的</w:t>
            </w:r>
            <w:r>
              <w:rPr>
                <w:rFonts w:hint="eastAsia" w:ascii="宋体" w:hAnsi="宋体" w:eastAsia="宋体" w:cs="宋体"/>
                <w:color w:val="auto"/>
                <w:sz w:val="24"/>
                <w:szCs w:val="24"/>
                <w:highlight w:val="none"/>
                <w:lang w:val="en-US" w:eastAsia="zh-CN"/>
              </w:rPr>
              <w:t>优惠条件得1分，最多得5分，无不得分。</w:t>
            </w:r>
          </w:p>
        </w:tc>
      </w:tr>
      <w:tr w14:paraId="4FC2659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Merge w:val="restart"/>
            <w:noWrap w:val="0"/>
            <w:vAlign w:val="center"/>
          </w:tcPr>
          <w:p w14:paraId="503B9C56">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2.2.3（2）</w:t>
            </w:r>
          </w:p>
        </w:tc>
        <w:tc>
          <w:tcPr>
            <w:tcW w:w="1311" w:type="dxa"/>
            <w:vMerge w:val="restart"/>
            <w:noWrap w:val="0"/>
            <w:vAlign w:val="center"/>
          </w:tcPr>
          <w:p w14:paraId="46B5F1B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技术部分评分标准</w:t>
            </w:r>
          </w:p>
          <w:p w14:paraId="5E3FD76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1946" w:type="dxa"/>
            <w:noWrap w:val="0"/>
            <w:vAlign w:val="center"/>
          </w:tcPr>
          <w:p w14:paraId="5BB072A6">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w:t>
            </w:r>
          </w:p>
          <w:p w14:paraId="4FE22CD7">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分）</w:t>
            </w:r>
          </w:p>
        </w:tc>
        <w:tc>
          <w:tcPr>
            <w:tcW w:w="5553" w:type="dxa"/>
            <w:noWrap w:val="0"/>
            <w:vAlign w:val="center"/>
          </w:tcPr>
          <w:p w14:paraId="17729596">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根据供应商针对本项目所提供的项目实施方案，包括但不限于交货进度安排，项目验收方案，进度计划、质量保证措施进行评审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zh-CN" w:eastAsia="zh-CN"/>
              </w:rPr>
              <w:t>每具备1条完整的得2分，最多得10分，无不得分。</w:t>
            </w:r>
          </w:p>
        </w:tc>
      </w:tr>
      <w:tr w14:paraId="4557E4C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088" w:type="dxa"/>
            <w:vMerge w:val="continue"/>
            <w:noWrap w:val="0"/>
            <w:vAlign w:val="center"/>
          </w:tcPr>
          <w:p w14:paraId="3434894C">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311" w:type="dxa"/>
            <w:vMerge w:val="continue"/>
            <w:noWrap w:val="0"/>
            <w:vAlign w:val="center"/>
          </w:tcPr>
          <w:p w14:paraId="16BB12C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946" w:type="dxa"/>
            <w:noWrap w:val="0"/>
            <w:vAlign w:val="center"/>
          </w:tcPr>
          <w:p w14:paraId="06B4E5F3">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规章制度建设（5分）</w:t>
            </w:r>
          </w:p>
        </w:tc>
        <w:tc>
          <w:tcPr>
            <w:tcW w:w="5553" w:type="dxa"/>
            <w:noWrap w:val="0"/>
            <w:vAlign w:val="center"/>
          </w:tcPr>
          <w:p w14:paraId="19F1954C">
            <w:pPr>
              <w:pStyle w:val="63"/>
              <w:keepNext w:val="0"/>
              <w:keepLines w:val="0"/>
              <w:pageBreakBefore w:val="0"/>
              <w:widowControl/>
              <w:kinsoku/>
              <w:wordWrap/>
              <w:overflowPunct/>
              <w:topLinePunct w:val="0"/>
              <w:bidi w:val="0"/>
              <w:snapToGrid/>
              <w:spacing w:line="0" w:lineRule="atLeas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针对供应商</w:t>
            </w:r>
            <w:r>
              <w:rPr>
                <w:rFonts w:hint="eastAsia" w:ascii="宋体" w:hAnsi="宋体" w:eastAsia="宋体" w:cs="宋体"/>
                <w:color w:val="auto"/>
                <w:sz w:val="24"/>
                <w:szCs w:val="24"/>
                <w:highlight w:val="none"/>
                <w:lang w:val="zh-CN" w:eastAsia="zh-CN"/>
              </w:rPr>
              <w:t>基本概况及规章制度建设情况进行综合评价。规章制度</w:t>
            </w:r>
            <w:r>
              <w:rPr>
                <w:rFonts w:hint="eastAsia" w:ascii="宋体" w:hAnsi="宋体" w:eastAsia="宋体" w:cs="宋体"/>
                <w:color w:val="auto"/>
                <w:sz w:val="24"/>
                <w:szCs w:val="24"/>
                <w:highlight w:val="none"/>
                <w:lang w:val="en-US" w:eastAsia="zh-CN"/>
              </w:rPr>
              <w:t>应包括质量检验、财务管理、人员管理、仓储管理、运输管理等内容，每具备1条完整的得1分，最多得5分，无不得分。</w:t>
            </w:r>
          </w:p>
        </w:tc>
      </w:tr>
      <w:tr w14:paraId="0300944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88" w:type="dxa"/>
            <w:vMerge w:val="continue"/>
            <w:noWrap w:val="0"/>
            <w:vAlign w:val="center"/>
          </w:tcPr>
          <w:p w14:paraId="0CE8BA6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311" w:type="dxa"/>
            <w:vMerge w:val="continue"/>
            <w:noWrap w:val="0"/>
            <w:vAlign w:val="center"/>
          </w:tcPr>
          <w:p w14:paraId="4A7CD14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946" w:type="dxa"/>
            <w:noWrap w:val="0"/>
            <w:vAlign w:val="center"/>
          </w:tcPr>
          <w:p w14:paraId="1165715F">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供货包装、运输实施方案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5553" w:type="dxa"/>
            <w:noWrap w:val="0"/>
            <w:vAlign w:val="center"/>
          </w:tcPr>
          <w:p w14:paraId="7F11E9AC">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针对供应商供货包装、运输实施方案的完整性和可行性进行进行综合评价。供货包装、运输实施方案完善，且具有能满足采购人要求的配送调度方案、分拣包装方案、配送管理及货物运输安全保证措施、交货验收措施等，每具备1条完整的得2分，最多得10分，无不得分。</w:t>
            </w:r>
          </w:p>
        </w:tc>
      </w:tr>
      <w:tr w14:paraId="6CC6E56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088" w:type="dxa"/>
            <w:vMerge w:val="continue"/>
            <w:noWrap w:val="0"/>
            <w:vAlign w:val="center"/>
          </w:tcPr>
          <w:p w14:paraId="563335FC">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14:paraId="1A8A0B7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46" w:type="dxa"/>
            <w:noWrap w:val="0"/>
            <w:vAlign w:val="center"/>
          </w:tcPr>
          <w:p w14:paraId="04500394">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应急处置预案</w:t>
            </w:r>
          </w:p>
          <w:p w14:paraId="40DF2B72">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p>
        </w:tc>
        <w:tc>
          <w:tcPr>
            <w:tcW w:w="5553" w:type="dxa"/>
            <w:noWrap w:val="0"/>
            <w:vAlign w:val="center"/>
          </w:tcPr>
          <w:p w14:paraId="749E15BE">
            <w:pPr>
              <w:keepNext w:val="0"/>
              <w:keepLines w:val="0"/>
              <w:pageBreakBefore w:val="0"/>
              <w:widowControl w:val="0"/>
              <w:kinsoku/>
              <w:wordWrap w:val="0"/>
              <w:overflowPunct/>
              <w:topLinePunct w:val="0"/>
              <w:autoSpaceDE/>
              <w:autoSpaceDN/>
              <w:bidi w:val="0"/>
              <w:spacing w:line="440" w:lineRule="exact"/>
              <w:ind w:right="11" w:right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供应商应针对5种以上可能发生的紧急情况制定应急处置预案（包含但不仅限于情况预想、紧急情况报告手段、应急响应时间、相应的应对措施），每具备1条完整的得2分，最多得10分，无不得分。</w:t>
            </w:r>
          </w:p>
        </w:tc>
      </w:tr>
      <w:tr w14:paraId="75FA540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center"/>
          </w:tcPr>
          <w:p w14:paraId="163E1FF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14:paraId="6D0AAA9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46" w:type="dxa"/>
            <w:noWrap w:val="0"/>
            <w:vAlign w:val="center"/>
          </w:tcPr>
          <w:p w14:paraId="1B35A85F">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p w14:paraId="6C287143">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553" w:type="dxa"/>
            <w:noWrap w:val="0"/>
            <w:vAlign w:val="center"/>
          </w:tcPr>
          <w:p w14:paraId="559FF87D">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提供并承诺专人负责项目售后服务事宜，能够实行“三包”服务（包保质量、包数量、包调换）、定期满意度回访，内部管理考核、及时解决处理问题、有畅通的沟通交流渠道。每具备1条完整的得2分，最多得10分，无不得分。</w:t>
            </w:r>
          </w:p>
        </w:tc>
      </w:tr>
      <w:tr w14:paraId="28333AC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tcBorders>
              <w:bottom w:val="single" w:color="000000" w:sz="12" w:space="0"/>
            </w:tcBorders>
            <w:noWrap w:val="0"/>
            <w:vAlign w:val="center"/>
          </w:tcPr>
          <w:p w14:paraId="436B144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tcBorders>
              <w:bottom w:val="single" w:color="000000" w:sz="12" w:space="0"/>
            </w:tcBorders>
            <w:noWrap w:val="0"/>
            <w:vAlign w:val="center"/>
          </w:tcPr>
          <w:p w14:paraId="69B001E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46" w:type="dxa"/>
            <w:tcBorders>
              <w:bottom w:val="single" w:color="000000" w:sz="12" w:space="0"/>
            </w:tcBorders>
            <w:noWrap w:val="0"/>
            <w:vAlign w:val="center"/>
          </w:tcPr>
          <w:p w14:paraId="2EE39EC0">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合理化建议（</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5553" w:type="dxa"/>
            <w:tcBorders>
              <w:bottom w:val="single" w:color="000000" w:sz="12" w:space="0"/>
            </w:tcBorders>
            <w:noWrap w:val="0"/>
            <w:vAlign w:val="center"/>
          </w:tcPr>
          <w:p w14:paraId="775FBB60">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根据项目实际情况，提出可行</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合理化建议，</w:t>
            </w:r>
            <w:r>
              <w:rPr>
                <w:rFonts w:hint="eastAsia" w:ascii="宋体" w:hAnsi="宋体" w:eastAsia="宋体" w:cs="宋体"/>
                <w:color w:val="auto"/>
                <w:sz w:val="24"/>
                <w:szCs w:val="24"/>
                <w:highlight w:val="none"/>
                <w:lang w:val="en-US" w:eastAsia="zh-CN"/>
              </w:rPr>
              <w:t>每提供一条得1分</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满分5分，未提供不得分。</w:t>
            </w:r>
          </w:p>
        </w:tc>
      </w:tr>
    </w:tbl>
    <w:p w14:paraId="42DA732B">
      <w:pPr>
        <w:ind w:firstLine="48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 xml:space="preserve"> </w:t>
      </w:r>
    </w:p>
    <w:p w14:paraId="1EE5CC8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F2537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一、评标须知</w:t>
      </w:r>
    </w:p>
    <w:p w14:paraId="607099E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1.关于评标方案</w:t>
      </w:r>
    </w:p>
    <w:p w14:paraId="1E3171C1">
      <w:pPr>
        <w:keepNext w:val="0"/>
        <w:keepLines w:val="0"/>
        <w:pageBreakBefore w:val="0"/>
        <w:widowControl w:val="0"/>
        <w:kinsoku/>
        <w:wordWrap w:val="0"/>
        <w:overflowPunct/>
        <w:topLinePunct w:val="0"/>
        <w:autoSpaceDE/>
        <w:autoSpaceDN/>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（1）评标委员会的每位成员（简称评委）应认真地阅读并确认已经正确理解了评标方案；</w:t>
      </w:r>
    </w:p>
    <w:p w14:paraId="0541B22D">
      <w:pPr>
        <w:keepNext w:val="0"/>
        <w:keepLines w:val="0"/>
        <w:pageBreakBefore w:val="0"/>
        <w:widowControl w:val="0"/>
        <w:kinsoku/>
        <w:wordWrap w:val="0"/>
        <w:overflowPunct/>
        <w:topLinePunct w:val="0"/>
        <w:autoSpaceDE/>
        <w:autoSpaceDN/>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（2）评委如对评标方案有异议，应在评标开始前提出。</w:t>
      </w:r>
    </w:p>
    <w:p w14:paraId="54AA268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2.关于评标纪律</w:t>
      </w:r>
    </w:p>
    <w:p w14:paraId="18C07467">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评标委员会及其成员不得有下列行为：</w:t>
      </w:r>
    </w:p>
    <w:p w14:paraId="10BB785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（一）确定参与评标至评标结束前私自接触</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7141CD0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提出的与投标文件不一致的澄清或者说明；</w:t>
      </w:r>
    </w:p>
    <w:p w14:paraId="220C5569">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（三）违反评标纪律发表倾向性意见或者征询采购人的倾向性意见；</w:t>
      </w:r>
    </w:p>
    <w:p w14:paraId="02A83C96">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（四）对需要专业判断的主观评审因素协商评分；</w:t>
      </w:r>
    </w:p>
    <w:p w14:paraId="4BBA75A7">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（五）在评标过程中擅离职守，影响评标程序正常进行的；</w:t>
      </w:r>
    </w:p>
    <w:p w14:paraId="3E0653A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（六）记录、复制或者带走任何评标资料；</w:t>
      </w:r>
    </w:p>
    <w:p w14:paraId="7BC9F01B">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（七）其他不遵守评标纪律的行为。</w:t>
      </w:r>
    </w:p>
    <w:p w14:paraId="0184ADA9">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评标委员会成员有前款第一至五项行为之一的，其评审意见无效，并不得获取评审劳务报酬和报销异地评审差旅费。</w:t>
      </w:r>
    </w:p>
    <w:p w14:paraId="75B091E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3.关于评标责任</w:t>
      </w:r>
    </w:p>
    <w:p w14:paraId="24C164CE">
      <w:pPr>
        <w:keepNext w:val="0"/>
        <w:keepLines w:val="0"/>
        <w:pageBreakBefore w:val="0"/>
        <w:widowControl w:val="0"/>
        <w:kinsoku/>
        <w:wordWrap w:val="0"/>
        <w:overflowPunct/>
        <w:topLinePunct w:val="0"/>
        <w:autoSpaceDE/>
        <w:autoSpaceDN/>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（1）评委应在其书面评审意见上签字确认；</w:t>
      </w:r>
    </w:p>
    <w:p w14:paraId="3D915646">
      <w:pPr>
        <w:keepNext w:val="0"/>
        <w:keepLines w:val="0"/>
        <w:pageBreakBefore w:val="0"/>
        <w:widowControl w:val="0"/>
        <w:kinsoku/>
        <w:wordWrap w:val="0"/>
        <w:overflowPunct/>
        <w:topLinePunct w:val="0"/>
        <w:autoSpaceDE/>
        <w:autoSpaceDN/>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（2）评委对其所提出的评审意见承担个人责任。</w:t>
      </w:r>
    </w:p>
    <w:p w14:paraId="4601554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4.关于回避</w:t>
      </w:r>
    </w:p>
    <w:p w14:paraId="764ED6AA">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有下列情形之一的，不得担任评标委员会成员，如事先不知情的，应在宣读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名单及评标纪律后主动提出回避：</w:t>
      </w:r>
    </w:p>
    <w:p w14:paraId="79C5847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主要负责人的近亲属；</w:t>
      </w:r>
    </w:p>
    <w:p w14:paraId="7325B853">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（2）项目主管部门或者行政监督部门的人员；</w:t>
      </w:r>
    </w:p>
    <w:p w14:paraId="3846A84A">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有经济利益关系，可能影响对投标公正评审的；</w:t>
      </w:r>
    </w:p>
    <w:p w14:paraId="7C371F3D">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（4）曾因在招标、评标以及其他与招标投标有关活动中从事违法行为而受过行政处罚或刑事处罚的；</w:t>
      </w:r>
    </w:p>
    <w:p w14:paraId="776D59A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有其他利害关系。</w:t>
      </w:r>
    </w:p>
    <w:p w14:paraId="31AB93F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5.关于保密</w:t>
      </w:r>
    </w:p>
    <w:p w14:paraId="678FDAAB">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评标委员会成员和与评标活动有关的工作人员不得透露对投标文件的评审和比较、中标候选人的推荐情况以及评标有关的其他情况。</w:t>
      </w:r>
    </w:p>
    <w:p w14:paraId="489EDA79">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前款所称与评标活动有关的工作人员，是指评标委员会成员以外的因参与评标监督工作或者事务性工作而知悉有关评标情况的所有人员。</w:t>
      </w:r>
    </w:p>
    <w:p w14:paraId="5EE00DDE">
      <w:pPr>
        <w:keepNext w:val="0"/>
        <w:keepLines w:val="0"/>
        <w:pageBreakBefore w:val="0"/>
        <w:widowControl w:val="0"/>
        <w:kinsoku/>
        <w:wordWrap w:val="0"/>
        <w:overflowPunct/>
        <w:topLinePunct w:val="0"/>
        <w:autoSpaceDE/>
        <w:autoSpaceDN/>
        <w:bidi w:val="0"/>
        <w:spacing w:line="440" w:lineRule="exact"/>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二、评标原则</w:t>
      </w:r>
    </w:p>
    <w:p w14:paraId="3F2CD36D">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1.评标方法</w:t>
      </w:r>
    </w:p>
    <w:p w14:paraId="7D752598">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为排名第一的中标候选人，依次排列。提供相同品牌产品且通过资格审查、符合性审查的不同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参加同一合同项下投标的，按一家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计算，评审后得分最高的同品牌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推荐资格；得分相同的，按投标报价最低的同品牌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确定一个</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推荐资格；得分且投标报价也相同的，按技术标评审得分最高的同品牌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确定一个</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w:t>
      </w:r>
    </w:p>
    <w:p w14:paraId="63F785CE">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bookmarkStart w:id="16" w:name="_Toc22499"/>
      <w:bookmarkStart w:id="17" w:name="_Toc29384712"/>
      <w:bookmarkStart w:id="18" w:name="_Toc16369"/>
      <w:r>
        <w:rPr>
          <w:rFonts w:hint="eastAsia" w:ascii="宋体" w:hAnsi="宋体" w:eastAsia="宋体" w:cs="宋体"/>
          <w:b/>
          <w:color w:val="auto"/>
          <w:sz w:val="24"/>
          <w:szCs w:val="24"/>
          <w:highlight w:val="none"/>
        </w:rPr>
        <w:t>2.评审标准</w:t>
      </w:r>
      <w:bookmarkEnd w:id="16"/>
      <w:bookmarkEnd w:id="17"/>
      <w:bookmarkEnd w:id="18"/>
    </w:p>
    <w:p w14:paraId="5CCB601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19" w:name="_Toc22191"/>
      <w:bookmarkStart w:id="20" w:name="_Toc26592"/>
      <w:bookmarkStart w:id="21" w:name="_Toc29384713"/>
      <w:r>
        <w:rPr>
          <w:rFonts w:hint="eastAsia" w:ascii="宋体" w:hAnsi="宋体" w:eastAsia="宋体" w:cs="宋体"/>
          <w:b/>
          <w:bCs/>
          <w:color w:val="auto"/>
          <w:sz w:val="24"/>
          <w:szCs w:val="24"/>
          <w:highlight w:val="none"/>
        </w:rPr>
        <w:t>2.1 初步评审标准</w:t>
      </w:r>
      <w:bookmarkEnd w:id="19"/>
      <w:bookmarkEnd w:id="20"/>
      <w:bookmarkEnd w:id="21"/>
    </w:p>
    <w:p w14:paraId="33BD9039">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 资格评审标准：见评标办法前附表。</w:t>
      </w:r>
    </w:p>
    <w:p w14:paraId="08673C7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2.1.2 </w:t>
      </w:r>
      <w:r>
        <w:rPr>
          <w:rFonts w:hint="eastAsia" w:ascii="宋体" w:hAnsi="宋体" w:cs="宋体"/>
          <w:color w:val="auto"/>
          <w:kern w:val="0"/>
          <w:sz w:val="24"/>
          <w:szCs w:val="24"/>
          <w:highlight w:val="none"/>
          <w:lang w:val="en-US" w:eastAsia="zh-CN"/>
        </w:rPr>
        <w:t>符合</w:t>
      </w:r>
      <w:r>
        <w:rPr>
          <w:rFonts w:hint="eastAsia" w:ascii="宋体" w:hAnsi="宋体" w:eastAsia="宋体" w:cs="宋体"/>
          <w:color w:val="auto"/>
          <w:kern w:val="0"/>
          <w:sz w:val="24"/>
          <w:szCs w:val="24"/>
          <w:highlight w:val="none"/>
        </w:rPr>
        <w:t>性评审标准：见评标办法前附表。</w:t>
      </w:r>
    </w:p>
    <w:p w14:paraId="5F320F68">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22" w:name="_Toc31207"/>
      <w:bookmarkStart w:id="23" w:name="_Toc29384714"/>
      <w:bookmarkStart w:id="24" w:name="_Toc16309"/>
      <w:r>
        <w:rPr>
          <w:rFonts w:hint="eastAsia" w:ascii="宋体" w:hAnsi="宋体" w:eastAsia="宋体" w:cs="宋体"/>
          <w:b/>
          <w:bCs/>
          <w:color w:val="auto"/>
          <w:sz w:val="24"/>
          <w:szCs w:val="24"/>
          <w:highlight w:val="none"/>
        </w:rPr>
        <w:t>2.2 分值构成与评分标准</w:t>
      </w:r>
      <w:bookmarkEnd w:id="22"/>
      <w:bookmarkEnd w:id="23"/>
      <w:bookmarkEnd w:id="24"/>
    </w:p>
    <w:p w14:paraId="3B4767F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 分值构成</w:t>
      </w:r>
    </w:p>
    <w:p w14:paraId="10BE0325">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（1）商务部分：见评标办法前附表；</w:t>
      </w:r>
    </w:p>
    <w:p w14:paraId="1C9CFF2A">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（2）技术部分：见评标办法前附表；</w:t>
      </w:r>
    </w:p>
    <w:p w14:paraId="14317287">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 评标基准价计算</w:t>
      </w:r>
    </w:p>
    <w:p w14:paraId="0FBCBC58">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评标基准价计算方法：见评标办法前附表。</w:t>
      </w:r>
    </w:p>
    <w:p w14:paraId="641A3B6D">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 评分标准</w:t>
      </w:r>
    </w:p>
    <w:p w14:paraId="0CB3862C">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（1）商务部分评分标准：见评标办法前附表；</w:t>
      </w:r>
    </w:p>
    <w:p w14:paraId="49735449">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（2）技术部分评分标准：见评标办法前附表；</w:t>
      </w:r>
    </w:p>
    <w:p w14:paraId="0698A731">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bookmarkStart w:id="25" w:name="_Toc25483"/>
      <w:bookmarkStart w:id="26" w:name="_Toc17939"/>
      <w:bookmarkStart w:id="27" w:name="_Toc29384715"/>
      <w:r>
        <w:rPr>
          <w:rFonts w:hint="eastAsia" w:ascii="宋体" w:hAnsi="宋体" w:eastAsia="宋体" w:cs="宋体"/>
          <w:b/>
          <w:color w:val="auto"/>
          <w:sz w:val="24"/>
          <w:szCs w:val="24"/>
          <w:highlight w:val="none"/>
        </w:rPr>
        <w:t>3.评标程序</w:t>
      </w:r>
      <w:bookmarkEnd w:id="25"/>
      <w:bookmarkEnd w:id="26"/>
      <w:bookmarkEnd w:id="27"/>
    </w:p>
    <w:p w14:paraId="0783B71E">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28" w:name="_Toc29384716"/>
      <w:bookmarkStart w:id="29" w:name="_Toc22121"/>
      <w:bookmarkStart w:id="30" w:name="_Toc21277"/>
      <w:r>
        <w:rPr>
          <w:rFonts w:hint="eastAsia" w:ascii="宋体" w:hAnsi="宋体" w:eastAsia="宋体" w:cs="宋体"/>
          <w:b/>
          <w:bCs/>
          <w:color w:val="auto"/>
          <w:sz w:val="24"/>
          <w:szCs w:val="24"/>
          <w:highlight w:val="none"/>
        </w:rPr>
        <w:t>3.1 初步评审</w:t>
      </w:r>
      <w:bookmarkEnd w:id="28"/>
      <w:bookmarkEnd w:id="29"/>
      <w:bookmarkEnd w:id="30"/>
    </w:p>
    <w:p w14:paraId="17036737">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 评标委员会可以要求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提交第二章“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须知”规定的有关证明和证件的原件，以便核验。评标委员会依据本章第 2.1 款规定的标准对投标文件进行初步评审。有一项不符合评审标准的，评标委员会应当否决其投标。</w:t>
      </w:r>
    </w:p>
    <w:p w14:paraId="1275EA4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3.1.2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有以下情形之一的，评标委员会应当否决其投标：</w:t>
      </w:r>
    </w:p>
    <w:p w14:paraId="703EA627">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须知”前附表及正文规定的任何一种投标无效、废标、否决投标的情况；</w:t>
      </w:r>
    </w:p>
    <w:p w14:paraId="418427E6">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(2)串通投标或弄虚作假或有其他违法行为的：</w:t>
      </w:r>
    </w:p>
    <w:p w14:paraId="1CE6E585">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(3)不按评标委员会要求澄清、说明或补正的。</w:t>
      </w:r>
    </w:p>
    <w:p w14:paraId="36A9B810">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color w:val="auto"/>
          <w:sz w:val="24"/>
          <w:szCs w:val="24"/>
          <w:highlight w:val="none"/>
        </w:rPr>
      </w:pPr>
      <w:bookmarkStart w:id="31" w:name="_Toc29384717"/>
      <w:bookmarkStart w:id="32" w:name="_Toc415"/>
      <w:bookmarkStart w:id="33" w:name="_Toc24126"/>
      <w:r>
        <w:rPr>
          <w:rFonts w:hint="eastAsia" w:ascii="宋体" w:hAnsi="宋体" w:eastAsia="宋体" w:cs="宋体"/>
          <w:b/>
          <w:bCs/>
          <w:color w:val="auto"/>
          <w:sz w:val="24"/>
          <w:szCs w:val="24"/>
          <w:highlight w:val="none"/>
        </w:rPr>
        <w:t>3.2 详细评审</w:t>
      </w:r>
      <w:bookmarkEnd w:id="31"/>
      <w:bookmarkEnd w:id="32"/>
      <w:bookmarkEnd w:id="33"/>
    </w:p>
    <w:p w14:paraId="4892068B">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评标委员会按本章第 2.2 款规定的量化因素和分值进行打分，并计算出综合评估得分。</w:t>
      </w:r>
    </w:p>
    <w:p w14:paraId="3371890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（1）按本章第 2.2.3（1）目规定的评审因素和分值对商务部分计算出得分 A；</w:t>
      </w:r>
    </w:p>
    <w:p w14:paraId="088BC687">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（2）按本章第 2.2.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（2）目规定的评审因素和分值对技术部分计算出得分 B；</w:t>
      </w:r>
    </w:p>
    <w:p w14:paraId="45D0A886">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 评分分值计算保留小数点后两位，小数点后第三位“四舍五入”。</w:t>
      </w:r>
    </w:p>
    <w:p w14:paraId="04F14DE6">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3.2.3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得分=A+B。</w:t>
      </w:r>
    </w:p>
    <w:p w14:paraId="7DCFA158">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 评标委员会发现</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的报价明显低于其他通过符合性审查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的报价，或者在设有标底时明显低于标底，使得其投标报价可能低于其个别成本的，可能影响产品质量或者不能诚信履约的，应当要求其在评标现场合理的时间内提供书面说明，必要时提交相关证明材料；</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不能证明其报价合理性的，评标委员会应当将其作为无效投标处理。以低于成本报价竞标，其投标将被否决。</w:t>
      </w:r>
    </w:p>
    <w:p w14:paraId="5A460C01">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34" w:name="_Toc29384718"/>
      <w:bookmarkStart w:id="35" w:name="_Toc31488"/>
      <w:bookmarkStart w:id="36" w:name="_Toc11784"/>
      <w:r>
        <w:rPr>
          <w:rFonts w:hint="eastAsia" w:ascii="宋体" w:hAnsi="宋体" w:eastAsia="宋体" w:cs="宋体"/>
          <w:b/>
          <w:bCs/>
          <w:color w:val="auto"/>
          <w:sz w:val="24"/>
          <w:szCs w:val="24"/>
          <w:highlight w:val="none"/>
        </w:rPr>
        <w:t>3.3 投标文件的澄清</w:t>
      </w:r>
      <w:bookmarkEnd w:id="34"/>
      <w:bookmarkEnd w:id="35"/>
      <w:bookmarkEnd w:id="36"/>
      <w:r>
        <w:rPr>
          <w:rFonts w:hint="eastAsia" w:ascii="宋体" w:hAnsi="宋体" w:eastAsia="宋体" w:cs="宋体"/>
          <w:b/>
          <w:bCs/>
          <w:color w:val="auto"/>
          <w:sz w:val="24"/>
          <w:szCs w:val="24"/>
          <w:highlight w:val="none"/>
        </w:rPr>
        <w:t>和补正</w:t>
      </w:r>
    </w:p>
    <w:p w14:paraId="078D326B">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在评标过程中，评标委员会可以书面形式要求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对所提交投标文件中不明确的内容进行书面澄清或说明，或者对细微偏差进行补正。评标委员会不接受</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主动提出的澄清、说明或补正。</w:t>
      </w:r>
    </w:p>
    <w:p w14:paraId="199075DE">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澄清、说明和补正不得改变投标文件的实质性内容(算术性错误修正的除外)。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的书面澄清、说明和补正属于投标文件的组成部分。</w:t>
      </w:r>
    </w:p>
    <w:p w14:paraId="6DE3DA37">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评标委员会对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提交的澄清、说明或补正有疑问的，可以要求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进一步澄清、说明或补正，直至满足评标委员会的要求。</w:t>
      </w:r>
    </w:p>
    <w:p w14:paraId="38260BA8">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37" w:name="_Toc29384719"/>
      <w:bookmarkStart w:id="38" w:name="_Toc4950"/>
      <w:bookmarkStart w:id="39" w:name="_Toc19075"/>
      <w:r>
        <w:rPr>
          <w:rFonts w:hint="eastAsia" w:ascii="宋体" w:hAnsi="宋体" w:eastAsia="宋体" w:cs="宋体"/>
          <w:b/>
          <w:bCs/>
          <w:color w:val="auto"/>
          <w:sz w:val="24"/>
          <w:szCs w:val="24"/>
          <w:highlight w:val="none"/>
        </w:rPr>
        <w:t>3.4 评标结果</w:t>
      </w:r>
      <w:bookmarkEnd w:id="37"/>
      <w:bookmarkEnd w:id="38"/>
      <w:bookmarkEnd w:id="39"/>
    </w:p>
    <w:p w14:paraId="12AAA07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除第二章“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须知”前附表授权直接确定</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w:t>
      </w:r>
    </w:p>
    <w:p w14:paraId="46CF642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 评标委员会完成评标后，应当向招标人提交书面评标报告和中标候选人名单。</w:t>
      </w:r>
    </w:p>
    <w:p w14:paraId="6E24C27A">
      <w:pPr>
        <w:shd w:val="clear"/>
        <w:autoSpaceDE w:val="0"/>
        <w:autoSpaceDN w:val="0"/>
        <w:adjustRightInd w:val="0"/>
        <w:spacing w:line="400" w:lineRule="exact"/>
        <w:ind w:firstLine="420" w:firstLineChars="200"/>
        <w:rPr>
          <w:rFonts w:hint="eastAsia" w:ascii="宋体" w:hAnsi="宋体" w:cs="宋体"/>
          <w:color w:val="auto"/>
          <w:sz w:val="21"/>
          <w:szCs w:val="18"/>
          <w:highlight w:val="none"/>
          <w:lang w:val="en-US" w:eastAsia="zh-CN"/>
        </w:rPr>
      </w:pPr>
    </w:p>
    <w:p w14:paraId="386CC9F4">
      <w:pPr>
        <w:keepNext w:val="0"/>
        <w:keepLines w:val="0"/>
        <w:pageBreakBefore w:val="0"/>
        <w:widowControl/>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p>
    <w:p w14:paraId="1038D692">
      <w:pPr>
        <w:rPr>
          <w:rFonts w:hint="eastAsia" w:ascii="宋体" w:hAnsi="宋体" w:eastAsia="宋体" w:cs="宋体"/>
          <w:color w:val="auto"/>
          <w:highlight w:val="yellow"/>
        </w:rPr>
      </w:pPr>
    </w:p>
    <w:p w14:paraId="5737962E">
      <w:pPr>
        <w:pStyle w:val="2"/>
        <w:keepNext/>
        <w:keepLines/>
        <w:pageBreakBefore w:val="0"/>
        <w:widowControl/>
        <w:numPr>
          <w:ilvl w:val="0"/>
          <w:numId w:val="4"/>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w:t>
      </w:r>
      <w:bookmarkStart w:id="40" w:name="_Toc13415"/>
      <w:r>
        <w:rPr>
          <w:rFonts w:hint="eastAsia" w:ascii="宋体" w:hAnsi="宋体" w:eastAsia="宋体" w:cs="宋体"/>
          <w:color w:val="auto"/>
          <w:sz w:val="36"/>
          <w:szCs w:val="36"/>
          <w:highlight w:val="none"/>
        </w:rPr>
        <w:t>采购需求</w:t>
      </w:r>
      <w:bookmarkEnd w:id="40"/>
      <w:bookmarkStart w:id="41" w:name="_第五部分__"/>
      <w:bookmarkEnd w:id="41"/>
    </w:p>
    <w:p w14:paraId="726E8651">
      <w:pPr>
        <w:spacing w:line="360" w:lineRule="auto"/>
        <w:ind w:left="418" w:hanging="417" w:hangingChars="174"/>
        <w:rPr>
          <w:rFonts w:hint="eastAsia" w:ascii="宋体" w:hAnsi="宋体" w:cs="宋体"/>
          <w:sz w:val="24"/>
          <w:lang w:val="zh-CN"/>
        </w:rPr>
      </w:pPr>
      <w:r>
        <w:rPr>
          <w:rFonts w:hint="eastAsia" w:ascii="宋体" w:hAnsi="宋体" w:cs="宋体"/>
          <w:sz w:val="24"/>
          <w:lang w:val="zh-CN"/>
        </w:rPr>
        <w:t>NY 884-2012《生物有机肥》标准是一个全面规范生物有机肥产品质量的行业标准，以下是对该标准的详细归纳和解释，采用分点表示以确保清晰明了：</w:t>
      </w:r>
    </w:p>
    <w:p w14:paraId="490B109C">
      <w:pPr>
        <w:spacing w:line="360" w:lineRule="auto"/>
        <w:ind w:left="418" w:hanging="417" w:hangingChars="174"/>
        <w:rPr>
          <w:rFonts w:hint="eastAsia" w:ascii="宋体" w:hAnsi="宋体" w:cs="宋体"/>
          <w:sz w:val="24"/>
          <w:lang w:val="zh-CN"/>
        </w:rPr>
      </w:pPr>
      <w:r>
        <w:rPr>
          <w:rFonts w:hint="eastAsia" w:ascii="宋体" w:hAnsi="宋体" w:cs="宋体"/>
          <w:sz w:val="24"/>
          <w:lang w:val="zh-CN"/>
        </w:rPr>
        <w:t>一、标准基本信息</w:t>
      </w:r>
    </w:p>
    <w:p w14:paraId="75D1CD30">
      <w:pPr>
        <w:spacing w:line="360" w:lineRule="auto"/>
        <w:ind w:left="418" w:hanging="417" w:hangingChars="174"/>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标准编号：NY 884-2012</w:t>
      </w:r>
    </w:p>
    <w:p w14:paraId="21F337DD">
      <w:pPr>
        <w:spacing w:line="360" w:lineRule="auto"/>
        <w:ind w:left="418" w:hanging="417" w:hangingChars="174"/>
        <w:rPr>
          <w:rFonts w:hint="eastAsia" w:ascii="宋体" w:hAnsi="宋体" w:cs="宋体"/>
          <w:sz w:val="24"/>
          <w:lang w:val="zh-CN"/>
        </w:rPr>
      </w:pPr>
      <w:r>
        <w:rPr>
          <w:rFonts w:hint="eastAsia" w:ascii="宋体" w:hAnsi="宋体" w:cs="宋体"/>
          <w:sz w:val="24"/>
          <w:lang w:val="zh-CN"/>
        </w:rPr>
        <w:t>发布时间：相关公告指出该标准已发布，但具体发布日期可能因不同来源略有差异，但通常认为是2012年附近。</w:t>
      </w:r>
    </w:p>
    <w:p w14:paraId="25D221B1">
      <w:pPr>
        <w:spacing w:line="360" w:lineRule="auto"/>
        <w:ind w:left="418" w:hanging="417" w:hangingChars="174"/>
        <w:rPr>
          <w:rFonts w:hint="eastAsia" w:ascii="宋体" w:hAnsi="宋体" w:cs="宋体"/>
          <w:sz w:val="24"/>
          <w:lang w:val="zh-CN"/>
        </w:rPr>
      </w:pPr>
      <w:r>
        <w:rPr>
          <w:rFonts w:hint="eastAsia" w:ascii="宋体" w:hAnsi="宋体" w:cs="宋体"/>
          <w:sz w:val="24"/>
          <w:lang w:val="zh-CN"/>
        </w:rPr>
        <w:t>实施时间：标准发布后的一段时间内开始实施，具体日期需参考官方公告。</w:t>
      </w:r>
    </w:p>
    <w:p w14:paraId="47FFF02F">
      <w:pPr>
        <w:spacing w:line="360" w:lineRule="auto"/>
        <w:ind w:left="418" w:hanging="417" w:hangingChars="174"/>
        <w:rPr>
          <w:rFonts w:hint="eastAsia" w:ascii="宋体" w:hAnsi="宋体" w:cs="宋体"/>
          <w:sz w:val="24"/>
          <w:lang w:val="zh-CN"/>
        </w:rPr>
      </w:pPr>
      <w:r>
        <w:rPr>
          <w:rFonts w:hint="eastAsia" w:ascii="宋体" w:hAnsi="宋体" w:cs="宋体"/>
          <w:sz w:val="24"/>
          <w:lang w:val="zh-CN"/>
        </w:rPr>
        <w:t>发布部门：中华人民共和国农业部种植业管理司</w:t>
      </w:r>
    </w:p>
    <w:p w14:paraId="65CE3935">
      <w:pPr>
        <w:spacing w:line="360" w:lineRule="auto"/>
        <w:ind w:left="418" w:hanging="417" w:hangingChars="174"/>
        <w:rPr>
          <w:rFonts w:hint="eastAsia" w:ascii="宋体" w:hAnsi="宋体" w:cs="宋体"/>
          <w:sz w:val="24"/>
          <w:lang w:val="zh-CN"/>
        </w:rPr>
      </w:pPr>
      <w:r>
        <w:rPr>
          <w:rFonts w:hint="eastAsia" w:ascii="宋体" w:hAnsi="宋体" w:cs="宋体"/>
          <w:sz w:val="24"/>
          <w:lang w:val="zh-CN"/>
        </w:rPr>
        <w:t>起草单位：农业部微生物肥料和食用菌菌种质量监督检验测试中心、中国农业科学院农业资源与农业区划研究所</w:t>
      </w:r>
    </w:p>
    <w:p w14:paraId="66904A58">
      <w:pPr>
        <w:spacing w:line="360" w:lineRule="auto"/>
        <w:ind w:left="418" w:hanging="417" w:hangingChars="174"/>
        <w:rPr>
          <w:rFonts w:hint="eastAsia" w:ascii="宋体" w:hAnsi="宋体" w:cs="宋体"/>
          <w:sz w:val="24"/>
          <w:lang w:val="zh-CN"/>
        </w:rPr>
      </w:pPr>
      <w:r>
        <w:rPr>
          <w:rFonts w:hint="eastAsia" w:ascii="宋体" w:hAnsi="宋体" w:cs="宋体"/>
          <w:sz w:val="24"/>
          <w:lang w:val="zh-CN"/>
        </w:rPr>
        <w:t>二、主要修订内容</w:t>
      </w:r>
    </w:p>
    <w:p w14:paraId="673C1250">
      <w:pPr>
        <w:spacing w:line="360" w:lineRule="auto"/>
        <w:ind w:left="418" w:hanging="417" w:hangingChars="174"/>
        <w:rPr>
          <w:rFonts w:hint="eastAsia" w:ascii="宋体" w:hAnsi="宋体" w:cs="宋体"/>
          <w:sz w:val="24"/>
          <w:lang w:val="zh-CN"/>
        </w:rPr>
      </w:pPr>
      <w:r>
        <w:rPr>
          <w:rFonts w:hint="eastAsia" w:ascii="宋体" w:hAnsi="宋体" w:cs="宋体"/>
          <w:sz w:val="24"/>
          <w:lang w:val="zh-CN"/>
        </w:rPr>
        <w:t>与NY 884-2004相比，NY 884-2012主要进行了以下修订：</w:t>
      </w:r>
    </w:p>
    <w:p w14:paraId="58D4F4B0">
      <w:pPr>
        <w:spacing w:line="360" w:lineRule="auto"/>
        <w:ind w:left="418" w:hanging="417" w:hangingChars="174"/>
        <w:rPr>
          <w:rFonts w:hint="eastAsia" w:ascii="宋体" w:hAnsi="宋体" w:cs="宋体"/>
          <w:sz w:val="24"/>
          <w:lang w:val="zh-CN"/>
        </w:rPr>
      </w:pPr>
      <w:r>
        <w:rPr>
          <w:rFonts w:hint="eastAsia" w:ascii="宋体" w:hAnsi="宋体" w:cs="宋体"/>
          <w:sz w:val="24"/>
          <w:lang w:val="zh-CN"/>
        </w:rPr>
        <w:t>有机质的质量分数：</w:t>
      </w:r>
    </w:p>
    <w:p w14:paraId="4B00305A">
      <w:pPr>
        <w:spacing w:line="360" w:lineRule="auto"/>
        <w:ind w:left="418" w:hanging="417" w:hangingChars="174"/>
        <w:rPr>
          <w:rFonts w:hint="eastAsia" w:ascii="宋体" w:hAnsi="宋体" w:cs="宋体"/>
          <w:sz w:val="24"/>
          <w:lang w:val="zh-CN"/>
        </w:rPr>
      </w:pPr>
      <w:r>
        <w:rPr>
          <w:rFonts w:hint="eastAsia" w:ascii="宋体" w:hAnsi="宋体" w:cs="宋体"/>
          <w:sz w:val="24"/>
          <w:lang w:val="zh-CN"/>
        </w:rPr>
        <w:t>标准中明确规定了生物有机肥产品的有机质含量（以干基计）应不低于40.0%。</w:t>
      </w:r>
    </w:p>
    <w:p w14:paraId="301EF564">
      <w:pPr>
        <w:spacing w:line="360" w:lineRule="auto"/>
        <w:ind w:left="418" w:hanging="417" w:hangingChars="174"/>
        <w:rPr>
          <w:rFonts w:hint="eastAsia" w:ascii="宋体" w:hAnsi="宋体" w:cs="宋体"/>
          <w:sz w:val="24"/>
          <w:lang w:val="zh-CN"/>
        </w:rPr>
      </w:pPr>
      <w:r>
        <w:rPr>
          <w:rFonts w:hint="eastAsia" w:ascii="宋体" w:hAnsi="宋体" w:cs="宋体"/>
          <w:sz w:val="24"/>
          <w:lang w:val="zh-CN"/>
        </w:rPr>
        <w:t>颗粒产品的水分质量分数：</w:t>
      </w:r>
    </w:p>
    <w:p w14:paraId="7809DD44">
      <w:pPr>
        <w:spacing w:line="360" w:lineRule="auto"/>
        <w:ind w:left="418" w:hanging="417" w:hangingChars="174"/>
        <w:rPr>
          <w:rFonts w:hint="eastAsia" w:ascii="宋体" w:hAnsi="宋体" w:cs="宋体"/>
          <w:sz w:val="24"/>
          <w:lang w:val="zh-CN"/>
        </w:rPr>
      </w:pPr>
      <w:r>
        <w:rPr>
          <w:rFonts w:hint="eastAsia" w:ascii="宋体" w:hAnsi="宋体" w:cs="宋体"/>
          <w:sz w:val="24"/>
          <w:lang w:val="zh-CN"/>
        </w:rPr>
        <w:t>对于颗粒型生物有机肥产品，其水分含量应不超过30.0%。</w:t>
      </w:r>
    </w:p>
    <w:p w14:paraId="733D8286">
      <w:pPr>
        <w:spacing w:line="360" w:lineRule="auto"/>
        <w:ind w:left="418" w:hanging="417" w:hangingChars="174"/>
        <w:rPr>
          <w:rFonts w:hint="eastAsia" w:ascii="宋体" w:hAnsi="宋体" w:cs="宋体"/>
          <w:sz w:val="24"/>
          <w:lang w:val="zh-CN"/>
        </w:rPr>
      </w:pPr>
      <w:r>
        <w:rPr>
          <w:rFonts w:hint="eastAsia" w:ascii="宋体" w:hAnsi="宋体" w:cs="宋体"/>
          <w:sz w:val="24"/>
          <w:lang w:val="zh-CN"/>
        </w:rPr>
        <w:t>重金属限量指标：</w:t>
      </w:r>
    </w:p>
    <w:p w14:paraId="2CEAE255">
      <w:pPr>
        <w:spacing w:line="360" w:lineRule="auto"/>
        <w:ind w:left="418" w:hanging="417" w:hangingChars="174"/>
        <w:rPr>
          <w:rFonts w:hint="eastAsia" w:ascii="宋体" w:hAnsi="宋体" w:cs="宋体"/>
          <w:sz w:val="24"/>
          <w:lang w:val="zh-CN"/>
        </w:rPr>
      </w:pPr>
      <w:r>
        <w:rPr>
          <w:rFonts w:hint="eastAsia" w:ascii="宋体" w:hAnsi="宋体" w:cs="宋体"/>
          <w:sz w:val="24"/>
          <w:lang w:val="zh-CN"/>
        </w:rPr>
        <w:t>标准中对产品中砷(As)、镉(Cd)、铅(Pb)、铬(Cr)、汞(Hg)的限量进行了明确规定，具体限量指标如下（单位：mg/kg）：</w:t>
      </w:r>
    </w:p>
    <w:p w14:paraId="6AAC4A4B">
      <w:pPr>
        <w:spacing w:line="360" w:lineRule="auto"/>
        <w:ind w:left="418" w:hanging="417" w:hangingChars="174"/>
        <w:rPr>
          <w:rFonts w:hint="eastAsia" w:ascii="宋体" w:hAnsi="宋体" w:cs="宋体"/>
          <w:sz w:val="24"/>
          <w:lang w:val="zh-CN"/>
        </w:rPr>
      </w:pPr>
      <w:r>
        <w:rPr>
          <w:rFonts w:hint="eastAsia" w:ascii="宋体" w:hAnsi="宋体" w:cs="宋体"/>
          <w:sz w:val="24"/>
          <w:lang w:val="zh-CN"/>
        </w:rPr>
        <w:t>总砷(As)（以干基计）≤ 15</w:t>
      </w:r>
    </w:p>
    <w:p w14:paraId="5263D73C">
      <w:pPr>
        <w:spacing w:line="360" w:lineRule="auto"/>
        <w:ind w:left="418" w:hanging="417" w:hangingChars="174"/>
        <w:rPr>
          <w:rFonts w:hint="eastAsia" w:ascii="宋体" w:hAnsi="宋体" w:cs="宋体"/>
          <w:sz w:val="24"/>
          <w:lang w:val="zh-CN"/>
        </w:rPr>
      </w:pPr>
      <w:r>
        <w:rPr>
          <w:rFonts w:hint="eastAsia" w:ascii="宋体" w:hAnsi="宋体" w:cs="宋体"/>
          <w:sz w:val="24"/>
          <w:lang w:val="zh-CN"/>
        </w:rPr>
        <w:t>总镉(Cd)（以干基计）≤ 3</w:t>
      </w:r>
    </w:p>
    <w:p w14:paraId="1C5E6441">
      <w:pPr>
        <w:spacing w:line="360" w:lineRule="auto"/>
        <w:ind w:left="418" w:hanging="417" w:hangingChars="174"/>
        <w:rPr>
          <w:rFonts w:hint="eastAsia" w:ascii="宋体" w:hAnsi="宋体" w:cs="宋体"/>
          <w:sz w:val="24"/>
          <w:lang w:val="zh-CN"/>
        </w:rPr>
      </w:pPr>
      <w:r>
        <w:rPr>
          <w:rFonts w:hint="eastAsia" w:ascii="宋体" w:hAnsi="宋体" w:cs="宋体"/>
          <w:sz w:val="24"/>
          <w:lang w:val="zh-CN"/>
        </w:rPr>
        <w:t>总铅(Pb)（以干基计）≤ 50</w:t>
      </w:r>
    </w:p>
    <w:p w14:paraId="6A960593">
      <w:pPr>
        <w:spacing w:line="360" w:lineRule="auto"/>
        <w:ind w:left="418" w:hanging="417" w:hangingChars="174"/>
        <w:rPr>
          <w:rFonts w:hint="eastAsia" w:ascii="宋体" w:hAnsi="宋体" w:cs="宋体"/>
          <w:sz w:val="24"/>
          <w:lang w:val="zh-CN"/>
        </w:rPr>
      </w:pPr>
      <w:r>
        <w:rPr>
          <w:rFonts w:hint="eastAsia" w:ascii="宋体" w:hAnsi="宋体" w:cs="宋体"/>
          <w:sz w:val="24"/>
          <w:lang w:val="zh-CN"/>
        </w:rPr>
        <w:t>总铬(Cr)（以干基计）≤ 150</w:t>
      </w:r>
    </w:p>
    <w:p w14:paraId="377C8DD6">
      <w:pPr>
        <w:spacing w:line="360" w:lineRule="auto"/>
        <w:ind w:left="418" w:hanging="417" w:hangingChars="174"/>
        <w:rPr>
          <w:rFonts w:hint="eastAsia" w:ascii="宋体" w:hAnsi="宋体" w:cs="宋体"/>
          <w:sz w:val="24"/>
          <w:lang w:val="zh-CN"/>
        </w:rPr>
      </w:pPr>
      <w:r>
        <w:rPr>
          <w:rFonts w:hint="eastAsia" w:ascii="宋体" w:hAnsi="宋体" w:cs="宋体"/>
          <w:sz w:val="24"/>
          <w:lang w:val="zh-CN"/>
        </w:rPr>
        <w:t>总汞(Hg)（以干基计）≤ 2</w:t>
      </w:r>
    </w:p>
    <w:p w14:paraId="22EBA894">
      <w:pPr>
        <w:spacing w:line="360" w:lineRule="auto"/>
        <w:ind w:left="418" w:hanging="417" w:hangingChars="174"/>
        <w:rPr>
          <w:rFonts w:hint="eastAsia" w:ascii="宋体" w:hAnsi="宋体" w:cs="宋体"/>
          <w:sz w:val="24"/>
          <w:lang w:val="zh-CN"/>
        </w:rPr>
      </w:pPr>
      <w:r>
        <w:rPr>
          <w:rFonts w:hint="eastAsia" w:ascii="宋体" w:hAnsi="宋体" w:cs="宋体"/>
          <w:sz w:val="24"/>
          <w:lang w:val="zh-CN"/>
        </w:rPr>
        <w:t>三、技术要求</w:t>
      </w:r>
    </w:p>
    <w:p w14:paraId="770AD78D">
      <w:pPr>
        <w:spacing w:line="360" w:lineRule="auto"/>
        <w:ind w:left="418" w:hanging="417" w:hangingChars="174"/>
        <w:rPr>
          <w:rFonts w:hint="eastAsia" w:ascii="宋体" w:hAnsi="宋体" w:cs="宋体"/>
          <w:sz w:val="24"/>
          <w:lang w:val="zh-CN"/>
        </w:rPr>
      </w:pPr>
      <w:r>
        <w:rPr>
          <w:rFonts w:hint="eastAsia" w:ascii="宋体" w:hAnsi="宋体" w:cs="宋体"/>
          <w:sz w:val="24"/>
          <w:lang w:val="zh-CN"/>
        </w:rPr>
        <w:t>生物有机肥产品应满足以下技术要求：</w:t>
      </w:r>
    </w:p>
    <w:p w14:paraId="7B326A94">
      <w:pPr>
        <w:spacing w:line="360" w:lineRule="auto"/>
        <w:ind w:left="418" w:hanging="417" w:hangingChars="174"/>
        <w:rPr>
          <w:rFonts w:hint="eastAsia" w:ascii="宋体" w:hAnsi="宋体" w:cs="宋体"/>
          <w:sz w:val="24"/>
          <w:lang w:val="zh-CN"/>
        </w:rPr>
      </w:pPr>
      <w:r>
        <w:rPr>
          <w:rFonts w:hint="eastAsia" w:ascii="宋体" w:hAnsi="宋体" w:cs="宋体"/>
          <w:sz w:val="24"/>
          <w:lang w:val="zh-CN"/>
        </w:rPr>
        <w:t>菌种：</w:t>
      </w:r>
    </w:p>
    <w:p w14:paraId="383CAEF8">
      <w:pPr>
        <w:spacing w:line="360" w:lineRule="auto"/>
        <w:ind w:left="418" w:hanging="417" w:hangingChars="174"/>
        <w:rPr>
          <w:rFonts w:hint="eastAsia" w:ascii="宋体" w:hAnsi="宋体" w:cs="宋体"/>
          <w:sz w:val="24"/>
          <w:lang w:val="zh-CN"/>
        </w:rPr>
      </w:pPr>
      <w:r>
        <w:rPr>
          <w:rFonts w:hint="eastAsia" w:ascii="宋体" w:hAnsi="宋体" w:cs="宋体"/>
          <w:sz w:val="24"/>
          <w:lang w:val="zh-CN"/>
        </w:rPr>
        <w:t>使用的微生物菌种应安全、有效，有明确来源和种名，菌株安全性应符合NY 1109—2006的规定。</w:t>
      </w:r>
    </w:p>
    <w:p w14:paraId="240EC3CD">
      <w:pPr>
        <w:spacing w:line="360" w:lineRule="auto"/>
        <w:ind w:left="418" w:hanging="417" w:hangingChars="174"/>
        <w:rPr>
          <w:rFonts w:hint="eastAsia" w:ascii="宋体" w:hAnsi="宋体" w:cs="宋体"/>
          <w:sz w:val="24"/>
          <w:lang w:val="zh-CN"/>
        </w:rPr>
      </w:pPr>
      <w:r>
        <w:rPr>
          <w:rFonts w:hint="eastAsia" w:ascii="宋体" w:hAnsi="宋体" w:cs="宋体"/>
          <w:sz w:val="24"/>
          <w:lang w:val="zh-CN"/>
        </w:rPr>
        <w:t>外观（感官）：</w:t>
      </w:r>
    </w:p>
    <w:p w14:paraId="0BF6EBBE">
      <w:pPr>
        <w:spacing w:line="360" w:lineRule="auto"/>
        <w:ind w:left="418" w:hanging="417" w:hangingChars="174"/>
        <w:rPr>
          <w:rFonts w:hint="eastAsia" w:ascii="宋体" w:hAnsi="宋体" w:cs="宋体"/>
          <w:sz w:val="24"/>
          <w:lang w:val="zh-CN"/>
        </w:rPr>
      </w:pPr>
      <w:r>
        <w:rPr>
          <w:rFonts w:hint="eastAsia" w:ascii="宋体" w:hAnsi="宋体" w:cs="宋体"/>
          <w:sz w:val="24"/>
          <w:lang w:val="zh-CN"/>
        </w:rPr>
        <w:t>粉剂产品应松散、无恶臭味；颗粒产品应无明显机械杂质、大小均匀、无腐败味。</w:t>
      </w:r>
    </w:p>
    <w:p w14:paraId="7278CA7B">
      <w:pPr>
        <w:spacing w:line="360" w:lineRule="auto"/>
        <w:ind w:left="418" w:hanging="417" w:hangingChars="174"/>
        <w:rPr>
          <w:rFonts w:hint="eastAsia" w:ascii="宋体" w:hAnsi="宋体" w:cs="宋体"/>
          <w:sz w:val="24"/>
          <w:lang w:val="zh-CN"/>
        </w:rPr>
      </w:pPr>
      <w:r>
        <w:rPr>
          <w:rFonts w:hint="eastAsia" w:ascii="宋体" w:hAnsi="宋体" w:cs="宋体"/>
          <w:sz w:val="24"/>
          <w:lang w:val="zh-CN"/>
        </w:rPr>
        <w:t>技术指标：</w:t>
      </w:r>
    </w:p>
    <w:p w14:paraId="30DA5AF0">
      <w:pPr>
        <w:spacing w:line="360" w:lineRule="auto"/>
        <w:ind w:left="418" w:hanging="417" w:hangingChars="174"/>
        <w:rPr>
          <w:rFonts w:hint="eastAsia" w:ascii="宋体" w:hAnsi="宋体" w:cs="宋体"/>
          <w:sz w:val="24"/>
          <w:lang w:val="zh-CN"/>
        </w:rPr>
      </w:pPr>
      <w:r>
        <w:rPr>
          <w:rFonts w:hint="eastAsia" w:ascii="宋体" w:hAnsi="宋体" w:cs="宋体"/>
          <w:sz w:val="24"/>
          <w:lang w:val="zh-CN"/>
        </w:rPr>
        <w:t>产品应包含的有效活菌数（cfu）不低于0.20亿/g。</w:t>
      </w:r>
    </w:p>
    <w:p w14:paraId="0E3DB2B3">
      <w:pPr>
        <w:spacing w:line="360" w:lineRule="auto"/>
        <w:ind w:left="418" w:hanging="417" w:hangingChars="174"/>
        <w:rPr>
          <w:rFonts w:hint="eastAsia" w:ascii="宋体" w:hAnsi="宋体" w:cs="宋体"/>
          <w:sz w:val="24"/>
          <w:lang w:val="zh-CN"/>
        </w:rPr>
      </w:pPr>
      <w:r>
        <w:rPr>
          <w:rFonts w:hint="eastAsia" w:ascii="宋体" w:hAnsi="宋体" w:cs="宋体"/>
          <w:sz w:val="24"/>
          <w:lang w:val="zh-CN"/>
        </w:rPr>
        <w:t>pH值应在5.5~8.5之间。</w:t>
      </w:r>
    </w:p>
    <w:p w14:paraId="38392D8D">
      <w:pPr>
        <w:spacing w:line="360" w:lineRule="auto"/>
        <w:ind w:left="418" w:hanging="417" w:hangingChars="174"/>
        <w:rPr>
          <w:rFonts w:hint="eastAsia" w:ascii="宋体" w:hAnsi="宋体" w:cs="宋体"/>
          <w:sz w:val="24"/>
          <w:lang w:val="zh-CN"/>
        </w:rPr>
      </w:pPr>
      <w:r>
        <w:rPr>
          <w:rFonts w:hint="eastAsia" w:ascii="宋体" w:hAnsi="宋体" w:cs="宋体"/>
          <w:sz w:val="24"/>
          <w:lang w:val="zh-CN"/>
        </w:rPr>
        <w:t>粪大肠菌群数应不超过100个/g。</w:t>
      </w:r>
    </w:p>
    <w:p w14:paraId="2FEDC45F">
      <w:pPr>
        <w:spacing w:line="360" w:lineRule="auto"/>
        <w:ind w:left="418" w:hanging="417" w:hangingChars="174"/>
        <w:rPr>
          <w:rFonts w:hint="eastAsia" w:ascii="宋体" w:hAnsi="宋体" w:cs="宋体"/>
          <w:sz w:val="24"/>
          <w:lang w:val="zh-CN"/>
        </w:rPr>
      </w:pPr>
      <w:r>
        <w:rPr>
          <w:rFonts w:hint="eastAsia" w:ascii="宋体" w:hAnsi="宋体" w:cs="宋体"/>
          <w:sz w:val="24"/>
          <w:lang w:val="zh-CN"/>
        </w:rPr>
        <w:t>蛔虫卵死亡率应不低于95%。</w:t>
      </w:r>
    </w:p>
    <w:p w14:paraId="7BB01021">
      <w:pPr>
        <w:spacing w:line="360" w:lineRule="auto"/>
        <w:ind w:left="418" w:hanging="417" w:hangingChars="174"/>
        <w:rPr>
          <w:rFonts w:hint="eastAsia" w:ascii="宋体" w:hAnsi="宋体" w:cs="宋体"/>
          <w:sz w:val="24"/>
          <w:lang w:val="zh-CN"/>
        </w:rPr>
      </w:pPr>
      <w:r>
        <w:rPr>
          <w:rFonts w:hint="eastAsia" w:ascii="宋体" w:hAnsi="宋体" w:cs="宋体"/>
          <w:sz w:val="24"/>
          <w:lang w:val="zh-CN"/>
        </w:rPr>
        <w:t>产品的有效期应不少于6个月。</w:t>
      </w:r>
    </w:p>
    <w:p w14:paraId="37D528FD">
      <w:pPr>
        <w:spacing w:line="360" w:lineRule="auto"/>
        <w:ind w:left="418" w:hanging="417" w:hangingChars="174"/>
        <w:rPr>
          <w:rFonts w:hint="eastAsia" w:ascii="宋体" w:hAnsi="宋体" w:cs="宋体"/>
          <w:sz w:val="24"/>
          <w:lang w:val="zh-CN"/>
        </w:rPr>
      </w:pPr>
      <w:r>
        <w:rPr>
          <w:rFonts w:hint="eastAsia" w:ascii="宋体" w:hAnsi="宋体" w:cs="宋体"/>
          <w:sz w:val="24"/>
          <w:lang w:val="zh-CN"/>
        </w:rPr>
        <w:t>四、检验方法</w:t>
      </w:r>
    </w:p>
    <w:p w14:paraId="5951B181">
      <w:pPr>
        <w:spacing w:line="360" w:lineRule="auto"/>
        <w:ind w:left="418" w:hanging="417" w:hangingChars="174"/>
        <w:rPr>
          <w:rFonts w:hint="eastAsia" w:ascii="宋体" w:hAnsi="宋体" w:cs="宋体"/>
          <w:sz w:val="24"/>
          <w:lang w:val="zh-CN"/>
        </w:rPr>
      </w:pPr>
      <w:r>
        <w:rPr>
          <w:rFonts w:hint="eastAsia" w:ascii="宋体" w:hAnsi="宋体" w:cs="宋体"/>
          <w:sz w:val="24"/>
          <w:lang w:val="zh-CN"/>
        </w:rPr>
        <w:t>标准中详细规定了各项技术指标的检验方法，包括但不限于有效活菌数、有机质含量、水分、pH值、粪大肠菌群数、蛔虫卵死亡率以及重金属含量的测定方法。</w:t>
      </w:r>
    </w:p>
    <w:p w14:paraId="47627A31">
      <w:pPr>
        <w:spacing w:line="360" w:lineRule="auto"/>
        <w:ind w:left="418" w:hanging="417" w:hangingChars="174"/>
        <w:rPr>
          <w:rFonts w:hint="eastAsia" w:ascii="宋体" w:hAnsi="宋体" w:cs="宋体"/>
          <w:sz w:val="24"/>
          <w:lang w:val="zh-CN"/>
        </w:rPr>
      </w:pPr>
      <w:r>
        <w:rPr>
          <w:rFonts w:hint="eastAsia" w:ascii="宋体" w:hAnsi="宋体" w:cs="宋体"/>
          <w:sz w:val="24"/>
          <w:lang w:val="zh-CN"/>
        </w:rPr>
        <w:t>五、检验规则</w:t>
      </w:r>
    </w:p>
    <w:p w14:paraId="00DBD80C">
      <w:pPr>
        <w:spacing w:line="360" w:lineRule="auto"/>
        <w:ind w:left="418" w:hanging="417" w:hangingChars="174"/>
        <w:rPr>
          <w:rFonts w:hint="eastAsia" w:ascii="宋体" w:hAnsi="宋体" w:cs="宋体"/>
          <w:sz w:val="24"/>
          <w:lang w:val="zh-CN"/>
        </w:rPr>
      </w:pPr>
      <w:r>
        <w:rPr>
          <w:rFonts w:hint="eastAsia" w:ascii="宋体" w:hAnsi="宋体" w:cs="宋体"/>
          <w:sz w:val="24"/>
          <w:lang w:val="zh-CN"/>
        </w:rPr>
        <w:t>出厂检验：</w:t>
      </w:r>
    </w:p>
    <w:p w14:paraId="229CDC1A">
      <w:pPr>
        <w:spacing w:line="360" w:lineRule="auto"/>
        <w:ind w:left="418" w:hanging="417" w:hangingChars="174"/>
        <w:rPr>
          <w:rFonts w:hint="eastAsia" w:ascii="宋体" w:hAnsi="宋体" w:cs="宋体"/>
          <w:sz w:val="24"/>
          <w:lang w:val="zh-CN"/>
        </w:rPr>
      </w:pPr>
      <w:r>
        <w:rPr>
          <w:rFonts w:hint="eastAsia" w:ascii="宋体" w:hAnsi="宋体" w:cs="宋体"/>
          <w:sz w:val="24"/>
          <w:lang w:val="zh-CN"/>
        </w:rPr>
        <w:t>产品出厂时，应由生产厂的质量检验部门按照表1进行检验，检验合格并签发质量合格证的产品方可出厂。</w:t>
      </w:r>
    </w:p>
    <w:p w14:paraId="0DA74FEE">
      <w:pPr>
        <w:spacing w:line="360" w:lineRule="auto"/>
        <w:ind w:left="418" w:hanging="417" w:hangingChars="174"/>
        <w:rPr>
          <w:rFonts w:hint="eastAsia" w:ascii="宋体" w:hAnsi="宋体" w:cs="宋体"/>
          <w:sz w:val="24"/>
          <w:lang w:val="zh-CN"/>
        </w:rPr>
      </w:pPr>
      <w:r>
        <w:rPr>
          <w:rFonts w:hint="eastAsia" w:ascii="宋体" w:hAnsi="宋体" w:cs="宋体"/>
          <w:sz w:val="24"/>
          <w:lang w:val="zh-CN"/>
        </w:rPr>
        <w:t>型式检验：</w:t>
      </w:r>
    </w:p>
    <w:p w14:paraId="5A72E8C6">
      <w:pPr>
        <w:spacing w:line="360" w:lineRule="auto"/>
        <w:ind w:left="418" w:hanging="417" w:hangingChars="174"/>
        <w:rPr>
          <w:rFonts w:hint="eastAsia" w:ascii="宋体" w:hAnsi="宋体" w:cs="宋体"/>
          <w:sz w:val="24"/>
          <w:lang w:val="zh-CN"/>
        </w:rPr>
      </w:pPr>
      <w:r>
        <w:rPr>
          <w:rFonts w:hint="eastAsia" w:ascii="宋体" w:hAnsi="宋体" w:cs="宋体"/>
          <w:sz w:val="24"/>
          <w:lang w:val="zh-CN"/>
        </w:rPr>
        <w:t>一般情况下，一个季度进行一次型式检验。但在新产品鉴定、产品工艺或材料有较大更改、出厂检验结果与上次型式检验有较大差异以及国家质量监督机构进行抽查等情况下，也应进行型式检验。</w:t>
      </w:r>
    </w:p>
    <w:p w14:paraId="6FF70211">
      <w:pPr>
        <w:spacing w:line="360" w:lineRule="auto"/>
        <w:ind w:left="418" w:hanging="417" w:hangingChars="174"/>
        <w:rPr>
          <w:rFonts w:hint="eastAsia" w:ascii="宋体" w:hAnsi="宋体" w:cs="宋体"/>
          <w:sz w:val="24"/>
          <w:lang w:val="zh-CN"/>
        </w:rPr>
      </w:pPr>
      <w:r>
        <w:rPr>
          <w:rFonts w:hint="eastAsia" w:ascii="宋体" w:hAnsi="宋体" w:cs="宋体"/>
          <w:sz w:val="24"/>
          <w:lang w:val="zh-CN"/>
        </w:rPr>
        <w:t>六、包装、标识、运输和贮存</w:t>
      </w:r>
    </w:p>
    <w:p w14:paraId="642BF330">
      <w:pPr>
        <w:spacing w:line="360" w:lineRule="auto"/>
        <w:ind w:left="418" w:hanging="417" w:hangingChars="174"/>
        <w:rPr>
          <w:rFonts w:hint="eastAsia" w:ascii="宋体" w:hAnsi="宋体" w:cs="宋体"/>
          <w:sz w:val="24"/>
          <w:lang w:val="zh-CN"/>
        </w:rPr>
      </w:pPr>
      <w:r>
        <w:rPr>
          <w:rFonts w:hint="eastAsia" w:ascii="宋体" w:hAnsi="宋体" w:cs="宋体"/>
          <w:sz w:val="24"/>
          <w:lang w:val="zh-CN"/>
        </w:rPr>
        <w:t>生物有机肥的包装、标识、运输和贮存应符合NY/T 798—2004中第7章的规定。</w:t>
      </w:r>
    </w:p>
    <w:p w14:paraId="6C4A8E40">
      <w:pPr>
        <w:spacing w:line="360" w:lineRule="auto"/>
        <w:ind w:left="418" w:hanging="417" w:hangingChars="174"/>
        <w:rPr>
          <w:rFonts w:hint="eastAsia" w:ascii="宋体" w:hAnsi="宋体" w:cs="宋体"/>
          <w:sz w:val="24"/>
          <w:highlight w:val="none"/>
          <w:lang w:val="zh-CN"/>
        </w:rPr>
      </w:pPr>
      <w:r>
        <w:rPr>
          <w:rFonts w:hint="eastAsia" w:ascii="宋体" w:hAnsi="宋体" w:cs="宋体"/>
          <w:sz w:val="24"/>
          <w:lang w:val="zh-CN"/>
        </w:rPr>
        <w:t>综上所述，NY 884-2012《生物有机肥》标准对生物有机肥产品的各个方面进行了详细规</w:t>
      </w:r>
      <w:r>
        <w:rPr>
          <w:rFonts w:hint="eastAsia" w:ascii="宋体" w:hAnsi="宋体" w:cs="宋体"/>
          <w:sz w:val="24"/>
          <w:highlight w:val="none"/>
          <w:lang w:val="zh-CN"/>
        </w:rPr>
        <w:t>定，以确保其质量、安全性和有效性。</w:t>
      </w:r>
    </w:p>
    <w:p w14:paraId="161D2279">
      <w:pPr>
        <w:spacing w:line="360" w:lineRule="auto"/>
        <w:ind w:left="418" w:hanging="417" w:hangingChars="174"/>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t>七、中标单位中标后提供样品，需第三方检测公司进行质量检测，</w:t>
      </w:r>
      <w:r>
        <w:rPr>
          <w:rFonts w:hint="eastAsia" w:ascii="宋体" w:hAnsi="宋体" w:cs="宋体"/>
          <w:color w:val="000000" w:themeColor="text1"/>
          <w:sz w:val="24"/>
          <w:highlight w:val="none"/>
          <w:lang w:val="en-US" w:eastAsia="zh-CN"/>
          <w14:textFill>
            <w14:solidFill>
              <w14:schemeClr w14:val="tx1"/>
            </w14:solidFill>
          </w14:textFill>
        </w:rPr>
        <w:t>检测结果</w:t>
      </w:r>
      <w:r>
        <w:rPr>
          <w:rFonts w:hint="eastAsia" w:ascii="宋体" w:hAnsi="宋体" w:cs="宋体"/>
          <w:color w:val="000000" w:themeColor="text1"/>
          <w:sz w:val="24"/>
          <w:highlight w:val="none"/>
          <w:lang w:val="zh-CN" w:eastAsia="zh-CN"/>
          <w14:textFill>
            <w14:solidFill>
              <w14:schemeClr w14:val="tx1"/>
            </w14:solidFill>
          </w14:textFill>
        </w:rPr>
        <w:t>符合国家标准</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lang w:val="zh-CN" w:eastAsia="zh-CN"/>
          <w14:textFill>
            <w14:solidFill>
              <w14:schemeClr w14:val="tx1"/>
            </w14:solidFill>
          </w14:textFill>
        </w:rPr>
        <w:t>进行供货。</w:t>
      </w:r>
    </w:p>
    <w:p w14:paraId="1A7F1DD1">
      <w:pPr>
        <w:spacing w:line="360" w:lineRule="auto"/>
        <w:ind w:left="418" w:hanging="417" w:hangingChars="174"/>
        <w:rPr>
          <w:rFonts w:hint="eastAsia" w:ascii="宋体" w:hAnsi="宋体" w:cs="宋体"/>
          <w:sz w:val="24"/>
          <w:lang w:val="zh-CN"/>
        </w:rPr>
      </w:pPr>
    </w:p>
    <w:p w14:paraId="2D8266CC">
      <w:pPr>
        <w:spacing w:line="360" w:lineRule="auto"/>
        <w:ind w:left="418" w:hanging="417" w:hangingChars="174"/>
        <w:rPr>
          <w:rFonts w:hint="eastAsia" w:ascii="宋体" w:hAnsi="宋体" w:cs="宋体"/>
          <w:sz w:val="24"/>
          <w:lang w:val="zh-CN"/>
        </w:rPr>
      </w:pPr>
    </w:p>
    <w:p w14:paraId="445AF4FA">
      <w:pPr>
        <w:pStyle w:val="63"/>
        <w:rPr>
          <w:rFonts w:hint="eastAsia" w:ascii="宋体" w:hAnsi="宋体" w:eastAsia="宋体" w:cs="宋体"/>
          <w:color w:val="auto"/>
          <w:highlight w:val="none"/>
        </w:rPr>
      </w:pPr>
    </w:p>
    <w:p w14:paraId="0C409742">
      <w:pPr>
        <w:rPr>
          <w:rFonts w:hint="eastAsia" w:ascii="宋体" w:hAnsi="宋体" w:eastAsia="宋体" w:cs="宋体"/>
          <w:color w:val="auto"/>
          <w:sz w:val="36"/>
          <w:szCs w:val="36"/>
          <w:highlight w:val="none"/>
        </w:rPr>
      </w:pPr>
      <w:bookmarkStart w:id="42" w:name="_Toc18914"/>
    </w:p>
    <w:p w14:paraId="69D3D71C">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第五部分  合同格式</w:t>
      </w:r>
      <w:bookmarkEnd w:id="42"/>
    </w:p>
    <w:p w14:paraId="2E51D829">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政府采购合同条款及格式</w:t>
      </w:r>
      <w:r>
        <w:rPr>
          <w:rFonts w:hint="eastAsia" w:ascii="宋体" w:hAnsi="宋体" w:eastAsia="宋体" w:cs="宋体"/>
          <w:color w:val="auto"/>
          <w:sz w:val="36"/>
          <w:szCs w:val="36"/>
          <w:highlight w:val="none"/>
          <w:lang w:eastAsia="zh-CN"/>
        </w:rPr>
        <w:t>（参考）</w:t>
      </w:r>
    </w:p>
    <w:p w14:paraId="35312B6A">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合同编号：</w:t>
      </w:r>
    </w:p>
    <w:p w14:paraId="47B8F696">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签订地点： </w:t>
      </w:r>
    </w:p>
    <w:p w14:paraId="25C31726">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签订日期：</w:t>
      </w:r>
    </w:p>
    <w:p w14:paraId="13BA4065">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采购任务编号：</w:t>
      </w:r>
    </w:p>
    <w:p w14:paraId="7529E28B">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（需方）需求的“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（货物名称）经</w:t>
      </w:r>
      <w:r>
        <w:rPr>
          <w:rFonts w:hint="eastAsia" w:ascii="宋体" w:hAnsi="宋体" w:eastAsia="宋体" w:cs="宋体"/>
          <w:bCs/>
          <w:color w:val="auto"/>
          <w:sz w:val="24"/>
          <w:szCs w:val="24"/>
          <w:highlight w:val="none"/>
          <w:u w:val="single"/>
        </w:rPr>
        <w:t xml:space="preserve">        以编号为      </w:t>
      </w:r>
      <w:r>
        <w:rPr>
          <w:rFonts w:hint="eastAsia" w:ascii="宋体" w:hAnsi="宋体" w:eastAsia="宋体" w:cs="宋体"/>
          <w:bCs/>
          <w:color w:val="auto"/>
          <w:sz w:val="24"/>
          <w:szCs w:val="24"/>
          <w:highlight w:val="none"/>
        </w:rPr>
        <w:t>的招标文件在国内公开招标，经评标委员会评定</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（供方）（包号）为中标单位。供需双方按照《中华人民共和国合同法》和有关法律法规，遵循平等、自愿、公平和诚实信用原则，同意按照下面的条款和条件订立本合同，共同信守。</w:t>
      </w:r>
    </w:p>
    <w:p w14:paraId="7A486EF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一、货物名称、品牌、规格、数量</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2E769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1A146AB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152" w:type="dxa"/>
            <w:vAlign w:val="center"/>
          </w:tcPr>
          <w:p w14:paraId="0D217E0C">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2520" w:type="dxa"/>
            <w:vAlign w:val="center"/>
          </w:tcPr>
          <w:p w14:paraId="65F9A4F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规格型号及配置</w:t>
            </w:r>
          </w:p>
        </w:tc>
        <w:tc>
          <w:tcPr>
            <w:tcW w:w="900" w:type="dxa"/>
            <w:vAlign w:val="center"/>
          </w:tcPr>
          <w:p w14:paraId="33329C6F">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vAlign w:val="center"/>
          </w:tcPr>
          <w:p w14:paraId="29C18F9F">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2004" w:type="dxa"/>
            <w:vAlign w:val="center"/>
          </w:tcPr>
          <w:p w14:paraId="5B4B96E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小计金额(元)</w:t>
            </w:r>
          </w:p>
        </w:tc>
      </w:tr>
      <w:tr w14:paraId="513AC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160EFB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152" w:type="dxa"/>
            <w:vAlign w:val="center"/>
          </w:tcPr>
          <w:p w14:paraId="6ECD9C5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520" w:type="dxa"/>
            <w:vAlign w:val="center"/>
          </w:tcPr>
          <w:p w14:paraId="1325210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900" w:type="dxa"/>
            <w:vAlign w:val="center"/>
          </w:tcPr>
          <w:p w14:paraId="0255967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260" w:type="dxa"/>
            <w:vAlign w:val="center"/>
          </w:tcPr>
          <w:p w14:paraId="631A4D0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004" w:type="dxa"/>
            <w:vAlign w:val="center"/>
          </w:tcPr>
          <w:p w14:paraId="4023358F">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r>
      <w:tr w14:paraId="6B0A0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8779F0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152" w:type="dxa"/>
            <w:vAlign w:val="center"/>
          </w:tcPr>
          <w:p w14:paraId="0BFB306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520" w:type="dxa"/>
            <w:vAlign w:val="center"/>
          </w:tcPr>
          <w:p w14:paraId="6E0F7E5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900" w:type="dxa"/>
            <w:vAlign w:val="center"/>
          </w:tcPr>
          <w:p w14:paraId="4A70E2F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260" w:type="dxa"/>
            <w:vAlign w:val="center"/>
          </w:tcPr>
          <w:p w14:paraId="371E269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004" w:type="dxa"/>
            <w:vAlign w:val="center"/>
          </w:tcPr>
          <w:p w14:paraId="5D7CACA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r>
      <w:tr w14:paraId="68962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477BDE4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152" w:type="dxa"/>
            <w:vAlign w:val="center"/>
          </w:tcPr>
          <w:p w14:paraId="551A9ED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520" w:type="dxa"/>
            <w:vAlign w:val="center"/>
          </w:tcPr>
          <w:p w14:paraId="784C7A0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900" w:type="dxa"/>
            <w:vAlign w:val="center"/>
          </w:tcPr>
          <w:p w14:paraId="15A25E7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260" w:type="dxa"/>
            <w:vAlign w:val="center"/>
          </w:tcPr>
          <w:p w14:paraId="3E6D7A00">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004" w:type="dxa"/>
            <w:vAlign w:val="center"/>
          </w:tcPr>
          <w:p w14:paraId="31AD368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r>
    </w:tbl>
    <w:p w14:paraId="0D1FA9F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二、合同价款</w:t>
      </w:r>
    </w:p>
    <w:p w14:paraId="38521220">
      <w:pPr>
        <w:keepNext w:val="0"/>
        <w:keepLines w:val="0"/>
        <w:pageBreakBefore w:val="0"/>
        <w:kinsoku/>
        <w:wordWrap/>
        <w:overflowPunct/>
        <w:topLinePunct w:val="0"/>
        <w:autoSpaceDE/>
        <w:autoSpaceDN/>
        <w:bidi w:val="0"/>
        <w:adjustRightInd/>
        <w:snapToGrid/>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2.1合同总价：人民币（大写）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471904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三、交货地点及交货时间</w:t>
      </w:r>
    </w:p>
    <w:p w14:paraId="456CBC64">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个工作日内，将相关设备送至需方指定位置，并负责相关要求安装调试。</w:t>
      </w:r>
      <w:r>
        <w:rPr>
          <w:rFonts w:hint="eastAsia" w:ascii="宋体" w:hAnsi="宋体" w:eastAsia="宋体" w:cs="宋体"/>
          <w:color w:val="auto"/>
          <w:sz w:val="24"/>
          <w:szCs w:val="24"/>
          <w:highlight w:val="none"/>
          <w:lang w:val="zh-CN"/>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04C608ED">
      <w:pPr>
        <w:pStyle w:val="94"/>
        <w:keepNext w:val="0"/>
        <w:keepLines w:val="0"/>
        <w:pageBreakBefore w:val="0"/>
        <w:numPr>
          <w:ilvl w:val="0"/>
          <w:numId w:val="5"/>
        </w:numPr>
        <w:kinsoku/>
        <w:wordWrap/>
        <w:overflowPunct/>
        <w:topLinePunct w:val="0"/>
        <w:autoSpaceDE/>
        <w:autoSpaceDN/>
        <w:bidi w:val="0"/>
        <w:adjustRightInd/>
        <w:snapToGrid/>
        <w:spacing w:line="288" w:lineRule="auto"/>
        <w:ind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付款 </w:t>
      </w:r>
    </w:p>
    <w:p w14:paraId="77469BBB">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lang w:val="zh-CN"/>
        </w:rPr>
        <w:t xml:space="preserve"> 4.1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货到验收合格后付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货款</w:t>
      </w:r>
      <w:r>
        <w:rPr>
          <w:rFonts w:hint="eastAsia" w:ascii="宋体" w:hAnsi="宋体" w:eastAsia="宋体" w:cs="宋体"/>
          <w:color w:val="auto"/>
          <w:sz w:val="24"/>
          <w:szCs w:val="24"/>
          <w:highlight w:val="none"/>
          <w:lang w:val="zh-CN"/>
        </w:rPr>
        <w:t>。</w:t>
      </w:r>
    </w:p>
    <w:p w14:paraId="562D643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五、施工</w:t>
      </w:r>
    </w:p>
    <w:p w14:paraId="38381BF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六、验收（严格执行国家相关标准和招标文件要求）。</w:t>
      </w:r>
    </w:p>
    <w:p w14:paraId="3FAFA45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七、知识产权及有关规定</w:t>
      </w:r>
    </w:p>
    <w:p w14:paraId="280631EB">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供方应保证需方在使用本合同项下的货物或其任何一部分时免受第三方提出侵犯其知识产权、商标权或工业设计权的起诉。如果发生此类问题，供方应负责交涉并承担一切费用和责任。</w:t>
      </w:r>
    </w:p>
    <w:p w14:paraId="4C3F9752">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供方应保证所供货物符合国家的有关规定。</w:t>
      </w:r>
    </w:p>
    <w:p w14:paraId="2F8F8B3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八、伴随服务</w:t>
      </w:r>
    </w:p>
    <w:p w14:paraId="24BC0E75">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8.1供方应提供所交付货物的全套技术文件资料，包括产品目录、图纸、操作手册、使用说明、维护手册和服务指南等。</w:t>
      </w:r>
    </w:p>
    <w:p w14:paraId="0C42A9ED">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0AD6417">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8.3上述伴随服务的费用应包含在合同价中，不单独进行支付。</w:t>
      </w:r>
    </w:p>
    <w:p w14:paraId="40AF6DA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九、质量保证期及售后服务</w:t>
      </w:r>
    </w:p>
    <w:p w14:paraId="5D54CFBB">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9.1 质量保证期：  </w:t>
      </w:r>
    </w:p>
    <w:p w14:paraId="09D3D053">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 售后服务要求：</w:t>
      </w:r>
    </w:p>
    <w:p w14:paraId="58E647B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十、质量保证</w:t>
      </w:r>
    </w:p>
    <w:p w14:paraId="47D06F81">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38A34D1">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3A23DEA0">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10.3在质量保证期内，供方在接到需方的通知后，应在本合同第八条约定的响应时间内,免费维修和/或更换有缺陷的货物或部件。</w:t>
      </w:r>
    </w:p>
    <w:p w14:paraId="22140907">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如果供方在接到需方通知后，在本合同第八条约定的响应时间内没有弥补缺陷，需方可采取必要的补救措施，但其风险和费用将由供方负担，并且需方根据合同规定对供方行使的其他权利不受影响。</w:t>
      </w:r>
    </w:p>
    <w:p w14:paraId="0EDAC26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十一、索赔</w:t>
      </w:r>
    </w:p>
    <w:p w14:paraId="7056E1DD">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11.1需方有权根据当地国家技术监督局、进出口商品检验局或其他具有法定资格的质检机构出具的检验证书向供方提出索赔。</w:t>
      </w:r>
    </w:p>
    <w:p w14:paraId="01D1E4CB">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11.2如果供方对缺陷负有责任而需方提出索赔，供方应按照需方同意的下列一种或多种方式解决索赔事宜：</w:t>
      </w:r>
    </w:p>
    <w:p w14:paraId="144FF48A">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（1）供方同意退货并用合同规定的货币将货款退还给需方，并承担由此发生的一切损失和费用，包括利息、银行手续费、运费、保险费、检验费、仓储费、装卸费以及为保护退回货物所需的其他必要费用。</w:t>
      </w:r>
    </w:p>
    <w:p w14:paraId="1F927D95">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（2）根据货物低劣、损坏程度以及需方所遭受损失的金额，经过供需双方商定降低货物的价格。</w:t>
      </w:r>
    </w:p>
    <w:p w14:paraId="61D8741A">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32125865">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5A60FBF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十二、供方履约延误</w:t>
      </w:r>
    </w:p>
    <w:p w14:paraId="212F0F00">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供方应按照合同规定的时间、地点交货和提供服务。</w:t>
      </w:r>
    </w:p>
    <w:p w14:paraId="730979FD">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如供方无正当理由拖延交货或不按投标文件提供服务，将受到以下制裁：没收履约保证金、加收误期赔偿和／或违约终止合同。</w:t>
      </w:r>
    </w:p>
    <w:p w14:paraId="1DD50C98">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B7259F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十三、误期赔偿</w:t>
      </w:r>
    </w:p>
    <w:p w14:paraId="696187EA">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D6CC942">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13.2误期赔偿费可从应付货款和/或履约保证金中扣除。</w:t>
      </w:r>
    </w:p>
    <w:p w14:paraId="3F72BE3C">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13.3收取误期赔偿费不影响需方采取合同规定的其他补救措施的权利。</w:t>
      </w:r>
    </w:p>
    <w:p w14:paraId="4480921E">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13.4供方如未能按本合同第九条规定进行售后服务，在收到需方县级远程办书面故障处理通知之日起一个月内仍未能解决故障，需方将按出现故障设备供货价格扣除质量保证金。</w:t>
      </w:r>
    </w:p>
    <w:p w14:paraId="10FD8173">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13.5在收取误期赔偿费期间，需方有权决定是否终止合同。</w:t>
      </w:r>
    </w:p>
    <w:p w14:paraId="1F21674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十四、履约保证金</w:t>
      </w:r>
    </w:p>
    <w:p w14:paraId="24343991">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中标供应商接到中标通知书后，合同签订前向采购人缴纳中标金额的5%做为履约保证金。</w:t>
      </w:r>
    </w:p>
    <w:p w14:paraId="65FE52AF">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履约金返还的时间和条件：</w:t>
      </w:r>
      <w:r>
        <w:rPr>
          <w:rFonts w:hint="eastAsia" w:ascii="宋体" w:hAnsi="宋体" w:cs="宋体"/>
          <w:color w:val="auto"/>
          <w:sz w:val="24"/>
          <w:szCs w:val="24"/>
          <w:highlight w:val="none"/>
          <w:lang w:val="en-US" w:eastAsia="zh-CN"/>
        </w:rPr>
        <w:t>按相关规定执行</w:t>
      </w:r>
      <w:r>
        <w:rPr>
          <w:rFonts w:hint="eastAsia" w:ascii="宋体" w:hAnsi="宋体" w:eastAsia="宋体" w:cs="宋体"/>
          <w:color w:val="auto"/>
          <w:sz w:val="24"/>
          <w:szCs w:val="24"/>
          <w:highlight w:val="none"/>
        </w:rPr>
        <w:t>。</w:t>
      </w:r>
    </w:p>
    <w:p w14:paraId="580C1F3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十五、不可抗力</w:t>
      </w:r>
    </w:p>
    <w:p w14:paraId="6F1DBD72">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15.1 如果供需双方因不可抗力而导致合同实施延误或不能履行合同义务，不应该承担误期赔偿或不能履行合同义务的责任。</w:t>
      </w:r>
    </w:p>
    <w:p w14:paraId="082A149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55C6144E">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BFE23A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十六、税费</w:t>
      </w:r>
    </w:p>
    <w:p w14:paraId="747F402E">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 根据现行法律规定对需方征收的与本合同有关的一切税费均由需方负担。</w:t>
      </w:r>
    </w:p>
    <w:p w14:paraId="2B37FCFB">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16.2 根据现行法律规定对供方征收的与本合同有关的一切税费均由供方负担。</w:t>
      </w:r>
    </w:p>
    <w:p w14:paraId="124C5D93">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在中国境外发生的与执行本合同有关的一切税费均由供方负担。</w:t>
      </w:r>
    </w:p>
    <w:p w14:paraId="15FFD27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十七、争端的解决</w:t>
      </w:r>
    </w:p>
    <w:p w14:paraId="09B3C54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17.1 供需双方应通过友好协商，解决在执行本合同过程中所发生的或与本合同有关的一切争端。如从协商开始十（10）天内仍不能解决，可以向有关合同管理部门提请调解。</w:t>
      </w:r>
    </w:p>
    <w:p w14:paraId="0225B570">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如果调解不成，供需双方的任何一方可以向人民法院提起诉讼。诉讼由合同签订地人民法院管辖。</w:t>
      </w:r>
    </w:p>
    <w:p w14:paraId="393E19AD">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17.3诉讼费除法院另有裁决外均由败诉方负担。</w:t>
      </w:r>
    </w:p>
    <w:p w14:paraId="0C1C0950">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17.4在诉讼期间，除正在进行诉讼的部分外，本合同的其它部分应继续执行。</w:t>
      </w:r>
    </w:p>
    <w:p w14:paraId="34AA23A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十八、违约终止合同</w:t>
      </w:r>
    </w:p>
    <w:p w14:paraId="157AAC7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18.1 在需方因供方违约而按合同约定采取的任何补救措施不受影响的情况下，需方可在下列情况下向供方发出书面通知，提出终止部分或全部合同。</w:t>
      </w:r>
    </w:p>
    <w:p w14:paraId="75B6997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（1）如果供方未能在合同规定的限期或需方同意延长的限期内提供部分或全部货物和服务。</w:t>
      </w:r>
    </w:p>
    <w:p w14:paraId="55CEAB8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（2）如果供方未能履行合同规定的其它任何义务。</w:t>
      </w:r>
    </w:p>
    <w:p w14:paraId="39B5B67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AF39323">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A0430F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十九、破产终止合同</w:t>
      </w:r>
    </w:p>
    <w:p w14:paraId="625D4F62">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如果供方破产或丧失清偿能力，需方可在任何时候以书面形式通知供方终止合同而不给供方补偿。该终止合同将不损害或影响需方已经采取或将要采取任何补救措施的权力。</w:t>
      </w:r>
    </w:p>
    <w:p w14:paraId="53E21BF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二十、合同转让和分包</w:t>
      </w:r>
    </w:p>
    <w:p w14:paraId="4659EEBC">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供方不得部分转让和分包或全部转让和分包其应履行的合同义务。</w:t>
      </w:r>
    </w:p>
    <w:p w14:paraId="465BBAB3">
      <w:pPr>
        <w:keepNext w:val="0"/>
        <w:keepLines w:val="0"/>
        <w:pageBreakBefore w:val="0"/>
        <w:kinsoku/>
        <w:wordWrap/>
        <w:overflowPunct/>
        <w:topLinePunct w:val="0"/>
        <w:autoSpaceDE/>
        <w:autoSpaceDN/>
        <w:bidi w:val="0"/>
        <w:adjustRightInd/>
        <w:snapToGrid/>
        <w:spacing w:line="288" w:lineRule="auto"/>
        <w:ind w:right="-76" w:rightChars="-38"/>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二十一、需要补充的合同条款</w:t>
      </w:r>
    </w:p>
    <w:p w14:paraId="116F8EF9">
      <w:pPr>
        <w:keepNext w:val="0"/>
        <w:keepLines w:val="0"/>
        <w:pageBreakBefore w:val="0"/>
        <w:kinsoku/>
        <w:wordWrap/>
        <w:overflowPunct/>
        <w:topLinePunct w:val="0"/>
        <w:autoSpaceDE/>
        <w:autoSpaceDN/>
        <w:bidi w:val="0"/>
        <w:adjustRightInd/>
        <w:snapToGrid/>
        <w:spacing w:line="288" w:lineRule="auto"/>
        <w:ind w:right="-76" w:rightChars="-38"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根据评标过程中或者商务谈判时商定的条款和条件在订立合同时标明。</w:t>
      </w:r>
    </w:p>
    <w:p w14:paraId="03C1C6B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二十二、适用法律</w:t>
      </w:r>
    </w:p>
    <w:p w14:paraId="06C607FF">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本合同按照中华人民共和国的现行法律进行解释。</w:t>
      </w:r>
    </w:p>
    <w:p w14:paraId="6727100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二十三、合同生效</w:t>
      </w:r>
    </w:p>
    <w:p w14:paraId="292BF16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23.1 本合同在供需双方法定代表人或其授权代理人签字并加盖公章并且采购方收到供方提交的履约保证金后生效。 </w:t>
      </w:r>
    </w:p>
    <w:p w14:paraId="6B82265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二十四、合同附件</w:t>
      </w:r>
    </w:p>
    <w:p w14:paraId="39377C0C">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24.1下列文件构成本合同不可分割的组成部分，与本合同具有同等法律效力：</w:t>
      </w:r>
    </w:p>
    <w:p w14:paraId="2101BADF">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1、招标文件及澄清、补充文件；</w:t>
      </w:r>
    </w:p>
    <w:p w14:paraId="73278EA9">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2、供方的投标文件、在投标期间的书面承诺文件和售后服务承诺书；        </w:t>
      </w:r>
    </w:p>
    <w:p w14:paraId="151D7592">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3、产品样本、说明书、图纸（与合同配置不符之处，以合同为准）；</w:t>
      </w:r>
    </w:p>
    <w:p w14:paraId="30502ACC">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4、中标通知书；</w:t>
      </w:r>
    </w:p>
    <w:p w14:paraId="12F7C349">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5、政府采购验收报告单；</w:t>
      </w:r>
    </w:p>
    <w:p w14:paraId="31AD9619">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6、合同的其他附件：</w:t>
      </w:r>
    </w:p>
    <w:p w14:paraId="526D6316">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上述合同附件如果有不一致之处，以日期在后的和对需方有利的为准。</w:t>
      </w:r>
    </w:p>
    <w:p w14:paraId="0B40F912">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二十五、合同修改</w:t>
      </w:r>
    </w:p>
    <w:p w14:paraId="73815C0C">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25.1除供需双方和采购方签署书面修改、补充协议，并成为本合同不可分割的一部分之外，本合同条件不得有任何变化或修改。</w:t>
      </w:r>
    </w:p>
    <w:p w14:paraId="5EA4266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二十六、合同备案</w:t>
      </w:r>
    </w:p>
    <w:p w14:paraId="48AF431A">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26.1自本合同订立之日起七个工作日内，向本级政府采购监督管理部门备案。</w:t>
      </w:r>
    </w:p>
    <w:p w14:paraId="2FCD466D">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二十七、政府采购法对政府采购合同变更终止的规定：</w:t>
      </w:r>
      <w:r>
        <w:rPr>
          <w:rFonts w:hint="eastAsia" w:ascii="宋体" w:hAnsi="宋体" w:eastAsia="宋体" w:cs="宋体"/>
          <w:color w:val="auto"/>
          <w:sz w:val="24"/>
          <w:szCs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20D8A314">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                                  供方：</w:t>
      </w:r>
    </w:p>
    <w:p w14:paraId="52C21E33">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3A54A7E4">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                           法定代表人 :              </w:t>
      </w:r>
    </w:p>
    <w:p w14:paraId="6D4C01C0">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或授权委托人：                          或授权代理人：</w:t>
      </w:r>
    </w:p>
    <w:p w14:paraId="7D3AFD35">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                              签字日期：</w:t>
      </w:r>
    </w:p>
    <w:p w14:paraId="150315A1">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14:paraId="4D370BBC">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6426CF72">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43E7BDAB">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联系人：</w:t>
      </w:r>
    </w:p>
    <w:p w14:paraId="465147CB">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32694568">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帐户名称:                               帐户名称：</w:t>
      </w:r>
    </w:p>
    <w:p w14:paraId="7344D90A">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b/>
          <w:color w:val="auto"/>
          <w:kern w:val="44"/>
          <w:sz w:val="24"/>
          <w:szCs w:val="24"/>
          <w:highlight w:val="none"/>
        </w:rPr>
      </w:pPr>
      <w:r>
        <w:rPr>
          <w:rFonts w:hint="eastAsia" w:ascii="宋体" w:hAnsi="宋体" w:eastAsia="宋体" w:cs="宋体"/>
          <w:color w:val="auto"/>
          <w:sz w:val="24"/>
          <w:szCs w:val="24"/>
          <w:highlight w:val="none"/>
        </w:rPr>
        <w:t>帐号：                                  帐号：</w:t>
      </w:r>
    </w:p>
    <w:p w14:paraId="6220158C">
      <w:pPr>
        <w:rPr>
          <w:rFonts w:hint="eastAsia" w:ascii="宋体" w:hAnsi="宋体" w:eastAsia="宋体" w:cs="宋体"/>
          <w:b/>
          <w:color w:val="auto"/>
          <w:kern w:val="44"/>
          <w:sz w:val="24"/>
          <w:szCs w:val="24"/>
          <w:highlight w:val="none"/>
          <w:lang w:eastAsia="zh-CN"/>
        </w:rPr>
      </w:pPr>
    </w:p>
    <w:p w14:paraId="696EAE3F">
      <w:pPr>
        <w:rPr>
          <w:rFonts w:hint="eastAsia" w:ascii="宋体" w:hAnsi="宋体" w:eastAsia="宋体" w:cs="宋体"/>
          <w:b/>
          <w:color w:val="auto"/>
          <w:kern w:val="44"/>
          <w:sz w:val="24"/>
          <w:szCs w:val="24"/>
          <w:highlight w:val="none"/>
          <w:lang w:eastAsia="zh-CN"/>
        </w:rPr>
      </w:pPr>
    </w:p>
    <w:p w14:paraId="52A2302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kern w:val="44"/>
          <w:sz w:val="24"/>
          <w:szCs w:val="24"/>
          <w:highlight w:val="none"/>
          <w:lang w:eastAsia="zh-CN"/>
        </w:rPr>
      </w:pPr>
      <w:r>
        <w:rPr>
          <w:rFonts w:hint="eastAsia" w:ascii="宋体" w:hAnsi="宋体" w:eastAsia="宋体" w:cs="宋体"/>
          <w:b/>
          <w:color w:val="auto"/>
          <w:kern w:val="44"/>
          <w:sz w:val="24"/>
          <w:szCs w:val="24"/>
          <w:highlight w:val="none"/>
          <w:lang w:eastAsia="zh-CN"/>
        </w:rPr>
        <w:t>注：此合同为参考模板，具体以双方实际签订为准。</w:t>
      </w:r>
    </w:p>
    <w:p w14:paraId="749AD113">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p>
    <w:p w14:paraId="26251F40">
      <w:pPr>
        <w:pStyle w:val="2"/>
        <w:keepNext/>
        <w:keepLines/>
        <w:pageBreakBefore w:val="0"/>
        <w:widowControl/>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36"/>
          <w:szCs w:val="36"/>
          <w:highlight w:val="none"/>
        </w:rPr>
      </w:pPr>
    </w:p>
    <w:p w14:paraId="4C63F7A5">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p>
    <w:p w14:paraId="1C06116B">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43" w:name="_Toc19534"/>
      <w:r>
        <w:rPr>
          <w:rFonts w:hint="eastAsia" w:ascii="宋体" w:hAnsi="宋体" w:eastAsia="宋体" w:cs="宋体"/>
          <w:color w:val="auto"/>
          <w:sz w:val="36"/>
          <w:szCs w:val="36"/>
          <w:highlight w:val="none"/>
        </w:rPr>
        <w:t xml:space="preserve">第六部分  </w:t>
      </w:r>
      <w:bookmarkEnd w:id="13"/>
      <w:r>
        <w:rPr>
          <w:rFonts w:hint="eastAsia" w:ascii="宋体" w:hAnsi="宋体" w:eastAsia="宋体" w:cs="宋体"/>
          <w:color w:val="auto"/>
          <w:sz w:val="36"/>
          <w:szCs w:val="36"/>
          <w:highlight w:val="none"/>
        </w:rPr>
        <w:t>投标文件格式</w:t>
      </w:r>
      <w:bookmarkEnd w:id="43"/>
    </w:p>
    <w:p w14:paraId="69E4FF45">
      <w:pPr>
        <w:spacing w:line="440" w:lineRule="exact"/>
        <w:rPr>
          <w:rFonts w:hint="eastAsia" w:ascii="宋体" w:hAnsi="宋体" w:eastAsia="宋体" w:cs="宋体"/>
          <w:color w:val="auto"/>
          <w:highlight w:val="none"/>
        </w:rPr>
      </w:pPr>
    </w:p>
    <w:p w14:paraId="342EC09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91742EA">
      <w:pPr>
        <w:pStyle w:val="63"/>
        <w:rPr>
          <w:rFonts w:hint="eastAsia" w:ascii="宋体" w:hAnsi="宋体" w:eastAsia="宋体" w:cs="宋体"/>
          <w:color w:val="auto"/>
          <w:highlight w:val="none"/>
        </w:rPr>
      </w:pPr>
    </w:p>
    <w:p w14:paraId="35DF48C0">
      <w:pPr>
        <w:spacing w:line="440" w:lineRule="exact"/>
        <w:rPr>
          <w:rFonts w:hint="eastAsia" w:ascii="宋体" w:hAnsi="宋体" w:eastAsia="宋体" w:cs="宋体"/>
          <w:color w:val="auto"/>
          <w:highlight w:val="none"/>
        </w:rPr>
      </w:pPr>
    </w:p>
    <w:p w14:paraId="3C0551C7">
      <w:pPr>
        <w:pStyle w:val="63"/>
        <w:jc w:val="righ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正</w:t>
      </w:r>
      <w:r>
        <w:rPr>
          <w:rFonts w:hint="eastAsia" w:ascii="宋体" w:hAnsi="宋体" w:eastAsia="宋体" w:cs="宋体"/>
          <w:b/>
          <w:bCs/>
          <w:color w:val="auto"/>
          <w:sz w:val="36"/>
          <w:szCs w:val="36"/>
          <w:highlight w:val="none"/>
          <w:lang w:val="en-US" w:eastAsia="zh-CN"/>
        </w:rPr>
        <w:t>/副本</w:t>
      </w:r>
    </w:p>
    <w:p w14:paraId="7C8D4624">
      <w:pPr>
        <w:pStyle w:val="63"/>
        <w:rPr>
          <w:rFonts w:hint="eastAsia" w:ascii="宋体" w:hAnsi="宋体" w:eastAsia="宋体" w:cs="宋体"/>
          <w:color w:val="auto"/>
          <w:highlight w:val="none"/>
        </w:rPr>
      </w:pPr>
    </w:p>
    <w:p w14:paraId="68AA29CD">
      <w:pPr>
        <w:pStyle w:val="63"/>
        <w:rPr>
          <w:rFonts w:hint="eastAsia" w:ascii="宋体" w:hAnsi="宋体" w:eastAsia="宋体" w:cs="宋体"/>
          <w:color w:val="auto"/>
          <w:highlight w:val="none"/>
        </w:rPr>
      </w:pPr>
    </w:p>
    <w:p w14:paraId="3058F79C">
      <w:pPr>
        <w:spacing w:line="440" w:lineRule="exact"/>
        <w:rPr>
          <w:rFonts w:hint="eastAsia" w:ascii="宋体" w:hAnsi="宋体" w:eastAsia="宋体" w:cs="宋体"/>
          <w:color w:val="auto"/>
          <w:highlight w:val="none"/>
        </w:rPr>
      </w:pPr>
    </w:p>
    <w:p w14:paraId="78E01AC2">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（项目名称）</w:t>
      </w:r>
    </w:p>
    <w:p w14:paraId="66F78573">
      <w:pPr>
        <w:jc w:val="center"/>
        <w:rPr>
          <w:rFonts w:hint="eastAsia" w:ascii="宋体" w:hAnsi="宋体" w:eastAsia="宋体" w:cs="宋体"/>
          <w:color w:val="auto"/>
          <w:highlight w:val="none"/>
        </w:rPr>
      </w:pPr>
    </w:p>
    <w:p w14:paraId="3FEE8C50">
      <w:pPr>
        <w:rPr>
          <w:rFonts w:hint="eastAsia" w:ascii="宋体" w:hAnsi="宋体" w:eastAsia="宋体" w:cs="宋体"/>
          <w:color w:val="auto"/>
          <w:highlight w:val="none"/>
        </w:rPr>
      </w:pPr>
    </w:p>
    <w:p w14:paraId="4BB61008">
      <w:pPr>
        <w:pStyle w:val="63"/>
        <w:rPr>
          <w:rFonts w:hint="eastAsia" w:ascii="宋体" w:hAnsi="宋体" w:eastAsia="宋体" w:cs="宋体"/>
          <w:color w:val="auto"/>
          <w:highlight w:val="none"/>
        </w:rPr>
      </w:pPr>
    </w:p>
    <w:p w14:paraId="606AD570">
      <w:pPr>
        <w:jc w:val="center"/>
        <w:rPr>
          <w:rFonts w:hint="eastAsia" w:ascii="宋体" w:hAnsi="宋体" w:eastAsia="宋体" w:cs="宋体"/>
          <w:color w:val="auto"/>
          <w:sz w:val="144"/>
          <w:szCs w:val="144"/>
          <w:highlight w:val="none"/>
        </w:rPr>
      </w:pPr>
      <w:r>
        <w:rPr>
          <w:rFonts w:hint="eastAsia" w:ascii="宋体" w:hAnsi="宋体" w:eastAsia="宋体" w:cs="宋体"/>
          <w:color w:val="auto"/>
          <w:sz w:val="144"/>
          <w:szCs w:val="144"/>
          <w:highlight w:val="none"/>
        </w:rPr>
        <w:t>投标文件</w:t>
      </w:r>
    </w:p>
    <w:p w14:paraId="7807E0FF">
      <w:pPr>
        <w:jc w:val="center"/>
        <w:rPr>
          <w:rFonts w:hint="eastAsia" w:ascii="宋体" w:hAnsi="宋体" w:eastAsia="宋体" w:cs="宋体"/>
          <w:color w:val="auto"/>
          <w:sz w:val="28"/>
          <w:szCs w:val="28"/>
          <w:highlight w:val="none"/>
        </w:rPr>
      </w:pPr>
    </w:p>
    <w:p w14:paraId="64FC925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编号：</w:t>
      </w:r>
    </w:p>
    <w:p w14:paraId="0E75D375">
      <w:pPr>
        <w:rPr>
          <w:rFonts w:hint="eastAsia" w:ascii="宋体" w:hAnsi="宋体" w:eastAsia="宋体" w:cs="宋体"/>
          <w:color w:val="auto"/>
          <w:sz w:val="28"/>
          <w:szCs w:val="28"/>
          <w:highlight w:val="none"/>
        </w:rPr>
      </w:pPr>
    </w:p>
    <w:p w14:paraId="3B289EEC">
      <w:pPr>
        <w:rPr>
          <w:rFonts w:hint="eastAsia" w:ascii="宋体" w:hAnsi="宋体" w:eastAsia="宋体" w:cs="宋体"/>
          <w:color w:val="auto"/>
          <w:sz w:val="28"/>
          <w:szCs w:val="28"/>
          <w:highlight w:val="none"/>
        </w:rPr>
      </w:pPr>
    </w:p>
    <w:p w14:paraId="386EE105">
      <w:pPr>
        <w:rPr>
          <w:rFonts w:hint="eastAsia" w:ascii="宋体" w:hAnsi="宋体" w:eastAsia="宋体" w:cs="宋体"/>
          <w:color w:val="auto"/>
          <w:sz w:val="28"/>
          <w:szCs w:val="28"/>
          <w:highlight w:val="none"/>
        </w:rPr>
      </w:pPr>
    </w:p>
    <w:p w14:paraId="38FA22B0">
      <w:pPr>
        <w:rPr>
          <w:rFonts w:hint="eastAsia" w:ascii="宋体" w:hAnsi="宋体" w:eastAsia="宋体" w:cs="宋体"/>
          <w:color w:val="auto"/>
          <w:sz w:val="28"/>
          <w:szCs w:val="28"/>
          <w:highlight w:val="none"/>
        </w:rPr>
      </w:pPr>
    </w:p>
    <w:p w14:paraId="58DBD5F9">
      <w:pPr>
        <w:rPr>
          <w:rFonts w:hint="eastAsia" w:ascii="宋体" w:hAnsi="宋体" w:eastAsia="宋体" w:cs="宋体"/>
          <w:color w:val="auto"/>
          <w:sz w:val="28"/>
          <w:szCs w:val="28"/>
          <w:highlight w:val="none"/>
        </w:rPr>
      </w:pPr>
    </w:p>
    <w:p w14:paraId="0EA3A429">
      <w:pPr>
        <w:rPr>
          <w:rFonts w:hint="eastAsia" w:ascii="宋体" w:hAnsi="宋体" w:eastAsia="宋体" w:cs="宋体"/>
          <w:color w:val="auto"/>
          <w:sz w:val="28"/>
          <w:szCs w:val="28"/>
          <w:highlight w:val="none"/>
        </w:rPr>
      </w:pPr>
    </w:p>
    <w:p w14:paraId="5C7F1141">
      <w:pPr>
        <w:rPr>
          <w:rFonts w:hint="eastAsia" w:ascii="宋体" w:hAnsi="宋体" w:eastAsia="宋体" w:cs="宋体"/>
          <w:color w:val="auto"/>
          <w:sz w:val="28"/>
          <w:szCs w:val="28"/>
          <w:highlight w:val="none"/>
        </w:rPr>
      </w:pPr>
    </w:p>
    <w:p w14:paraId="57D0299A">
      <w:pPr>
        <w:rPr>
          <w:rFonts w:hint="eastAsia" w:ascii="宋体" w:hAnsi="宋体" w:eastAsia="宋体" w:cs="宋体"/>
          <w:color w:val="auto"/>
          <w:sz w:val="28"/>
          <w:szCs w:val="28"/>
          <w:highlight w:val="none"/>
        </w:rPr>
      </w:pPr>
    </w:p>
    <w:p w14:paraId="75D32970">
      <w:pPr>
        <w:rPr>
          <w:rFonts w:hint="eastAsia" w:ascii="宋体" w:hAnsi="宋体" w:eastAsia="宋体" w:cs="宋体"/>
          <w:color w:val="auto"/>
          <w:sz w:val="28"/>
          <w:szCs w:val="28"/>
          <w:highlight w:val="none"/>
        </w:rPr>
      </w:pPr>
    </w:p>
    <w:p w14:paraId="1E18B18A">
      <w:pPr>
        <w:rPr>
          <w:rFonts w:hint="eastAsia" w:ascii="宋体" w:hAnsi="宋体" w:eastAsia="宋体" w:cs="宋体"/>
          <w:color w:val="auto"/>
          <w:sz w:val="28"/>
          <w:szCs w:val="28"/>
          <w:highlight w:val="none"/>
        </w:rPr>
      </w:pPr>
    </w:p>
    <w:p w14:paraId="41B7AACC">
      <w:pPr>
        <w:spacing w:line="360" w:lineRule="auto"/>
        <w:rPr>
          <w:rFonts w:hint="eastAsia" w:ascii="宋体" w:hAnsi="宋体" w:eastAsia="宋体" w:cs="宋体"/>
          <w:color w:val="auto"/>
          <w:sz w:val="28"/>
          <w:szCs w:val="28"/>
          <w:highlight w:val="none"/>
        </w:rPr>
      </w:pPr>
    </w:p>
    <w:p w14:paraId="5A7FCB3F">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50569257">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1FB22317">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none"/>
          <w:lang w:eastAsia="zh-CN"/>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315EB76">
      <w:pPr>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p>
    <w:bookmarkEnd w:id="14"/>
    <w:p w14:paraId="59C89B33">
      <w:pPr>
        <w:spacing w:line="360" w:lineRule="auto"/>
        <w:jc w:val="center"/>
        <w:rPr>
          <w:rFonts w:hint="eastAsia" w:ascii="宋体" w:hAnsi="宋体" w:eastAsia="宋体" w:cs="宋体"/>
          <w:b/>
          <w:color w:val="auto"/>
          <w:sz w:val="36"/>
          <w:szCs w:val="36"/>
          <w:highlight w:val="none"/>
        </w:rPr>
      </w:pPr>
    </w:p>
    <w:p w14:paraId="032FFB1E">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目  录</w:t>
      </w:r>
    </w:p>
    <w:p w14:paraId="0E7653A5">
      <w:pPr>
        <w:spacing w:line="360" w:lineRule="auto"/>
        <w:ind w:firstLine="480" w:firstLineChars="200"/>
        <w:jc w:val="both"/>
        <w:rPr>
          <w:rFonts w:hint="eastAsia" w:ascii="宋体" w:hAnsi="宋体" w:eastAsia="宋体" w:cs="宋体"/>
          <w:color w:val="auto"/>
          <w:sz w:val="24"/>
          <w:highlight w:val="none"/>
        </w:rPr>
      </w:pPr>
    </w:p>
    <w:p w14:paraId="3B4B7560">
      <w:pPr>
        <w:pStyle w:val="94"/>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14:paraId="323F5BA3">
      <w:pPr>
        <w:pStyle w:val="94"/>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76" w:firstLineChars="17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投标明细报价表</w:t>
      </w:r>
    </w:p>
    <w:p w14:paraId="68DD5595">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301D04F8">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法定代表人身份证明书</w:t>
      </w:r>
    </w:p>
    <w:p w14:paraId="2856FFC2">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14:paraId="17740806">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供应商基本情况说明</w:t>
      </w:r>
    </w:p>
    <w:p w14:paraId="31D811BA">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w:t>
      </w:r>
    </w:p>
    <w:p w14:paraId="01AA59AD">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商务偏离表</w:t>
      </w:r>
    </w:p>
    <w:p w14:paraId="720BA120">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企业业绩表</w:t>
      </w:r>
    </w:p>
    <w:p w14:paraId="1734CD27">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资格声明</w:t>
      </w:r>
    </w:p>
    <w:p w14:paraId="2F22143D">
      <w:pPr>
        <w:pStyle w:val="94"/>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技术参数偏离表</w:t>
      </w:r>
    </w:p>
    <w:p w14:paraId="69159AE6">
      <w:pPr>
        <w:pStyle w:val="94"/>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技术参数承诺书</w:t>
      </w:r>
    </w:p>
    <w:p w14:paraId="46770740">
      <w:pPr>
        <w:pStyle w:val="94"/>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528"/>
        <w:textAlignment w:val="auto"/>
        <w:rPr>
          <w:rFonts w:hint="eastAsia" w:ascii="宋体" w:hAnsi="宋体" w:eastAsia="宋体" w:cs="宋体"/>
          <w:color w:val="auto"/>
          <w:sz w:val="24"/>
          <w:szCs w:val="24"/>
          <w:highlight w:val="none"/>
        </w:rPr>
      </w:pPr>
      <w:r>
        <w:rPr>
          <w:rStyle w:val="47"/>
          <w:rFonts w:hint="eastAsia" w:ascii="宋体" w:hAnsi="宋体" w:eastAsia="宋体" w:cs="宋体"/>
          <w:b w:val="0"/>
          <w:color w:val="auto"/>
          <w:spacing w:val="12"/>
          <w:sz w:val="24"/>
          <w:szCs w:val="24"/>
          <w:highlight w:val="none"/>
        </w:rPr>
        <w:t>投标货物详细说明</w:t>
      </w:r>
    </w:p>
    <w:p w14:paraId="7F2D6E94">
      <w:pPr>
        <w:pStyle w:val="94"/>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具备履行合同所必需设备和专业技术能力承诺书</w:t>
      </w:r>
    </w:p>
    <w:p w14:paraId="68EF5AD2">
      <w:pPr>
        <w:pStyle w:val="94"/>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项目实施方案</w:t>
      </w:r>
      <w:r>
        <w:rPr>
          <w:rFonts w:hint="eastAsia" w:ascii="宋体" w:hAnsi="宋体" w:eastAsia="宋体" w:cs="宋体"/>
          <w:color w:val="auto"/>
          <w:sz w:val="24"/>
          <w:szCs w:val="24"/>
          <w:highlight w:val="none"/>
        </w:rPr>
        <w:t>（供应商自行编写）</w:t>
      </w:r>
    </w:p>
    <w:p w14:paraId="04D63368">
      <w:pPr>
        <w:pStyle w:val="94"/>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投标保证金汇入情况说明</w:t>
      </w:r>
    </w:p>
    <w:p w14:paraId="028C3F45">
      <w:pPr>
        <w:pStyle w:val="94"/>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供应商认为有必要提供的其他材料</w:t>
      </w:r>
    </w:p>
    <w:p w14:paraId="0FBA0B10">
      <w:pPr>
        <w:spacing w:line="360" w:lineRule="auto"/>
        <w:rPr>
          <w:rFonts w:hint="eastAsia" w:ascii="宋体" w:hAnsi="宋体" w:eastAsia="宋体" w:cs="宋体"/>
          <w:color w:val="auto"/>
          <w:szCs w:val="21"/>
          <w:highlight w:val="none"/>
        </w:rPr>
      </w:pPr>
    </w:p>
    <w:p w14:paraId="18B5B65D">
      <w:pP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p>
    <w:p w14:paraId="2FCEF7FC">
      <w:pPr>
        <w:spacing w:line="360" w:lineRule="auto"/>
        <w:jc w:val="center"/>
        <w:rPr>
          <w:rFonts w:hint="eastAsia" w:ascii="宋体" w:hAnsi="宋体" w:eastAsia="宋体" w:cs="宋体"/>
          <w:b/>
          <w:color w:val="auto"/>
          <w:sz w:val="36"/>
          <w:szCs w:val="36"/>
          <w:highlight w:val="none"/>
          <w:lang w:val="zh-CN"/>
        </w:rPr>
      </w:pPr>
    </w:p>
    <w:p w14:paraId="02367EE5">
      <w:pPr>
        <w:spacing w:line="360" w:lineRule="auto"/>
        <w:jc w:val="center"/>
        <w:rPr>
          <w:rFonts w:hint="eastAsia" w:ascii="宋体" w:hAnsi="宋体" w:eastAsia="宋体" w:cs="宋体"/>
          <w:b/>
          <w:color w:val="auto"/>
          <w:sz w:val="36"/>
          <w:szCs w:val="36"/>
          <w:highlight w:val="none"/>
          <w:lang w:val="zh-CN"/>
        </w:rPr>
      </w:pPr>
      <w:r>
        <w:rPr>
          <w:rFonts w:hint="eastAsia" w:ascii="宋体" w:hAnsi="宋体" w:eastAsia="宋体" w:cs="宋体"/>
          <w:b/>
          <w:color w:val="auto"/>
          <w:sz w:val="36"/>
          <w:szCs w:val="36"/>
          <w:highlight w:val="none"/>
          <w:lang w:val="zh-CN"/>
        </w:rPr>
        <w:t>一、</w:t>
      </w:r>
      <w:r>
        <w:rPr>
          <w:rFonts w:hint="eastAsia" w:ascii="宋体" w:hAnsi="宋体" w:eastAsia="宋体" w:cs="宋体"/>
          <w:b/>
          <w:color w:val="auto"/>
          <w:sz w:val="36"/>
          <w:szCs w:val="36"/>
          <w:highlight w:val="none"/>
        </w:rPr>
        <w:t>开 标 一 览 表</w:t>
      </w:r>
    </w:p>
    <w:p w14:paraId="17848D6F">
      <w:pPr>
        <w:rPr>
          <w:rFonts w:hint="eastAsia" w:ascii="宋体" w:hAnsi="宋体" w:eastAsia="宋体" w:cs="宋体"/>
          <w:color w:val="auto"/>
          <w:szCs w:val="21"/>
          <w:highlight w:val="none"/>
        </w:rPr>
      </w:pPr>
    </w:p>
    <w:p w14:paraId="554D2AAF">
      <w:pPr>
        <w:ind w:left="152" w:leftChars="-109" w:hanging="370" w:hangingChars="185"/>
        <w:rPr>
          <w:rFonts w:hint="eastAsia" w:ascii="宋体" w:hAnsi="宋体" w:eastAsia="宋体" w:cs="宋体"/>
          <w:color w:val="auto"/>
          <w:szCs w:val="21"/>
          <w:highlight w:val="none"/>
        </w:rPr>
      </w:pPr>
    </w:p>
    <w:p w14:paraId="6C5BAF2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项目名称：     </w:t>
      </w:r>
    </w:p>
    <w:p w14:paraId="77A9595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                                                开标时间：</w:t>
      </w:r>
    </w:p>
    <w:tbl>
      <w:tblPr>
        <w:tblStyle w:val="44"/>
        <w:tblW w:w="9180" w:type="dxa"/>
        <w:tblInd w:w="80" w:type="dxa"/>
        <w:tblLayout w:type="fixed"/>
        <w:tblCellMar>
          <w:top w:w="0" w:type="dxa"/>
          <w:left w:w="108" w:type="dxa"/>
          <w:bottom w:w="0" w:type="dxa"/>
          <w:right w:w="108" w:type="dxa"/>
        </w:tblCellMar>
      </w:tblPr>
      <w:tblGrid>
        <w:gridCol w:w="1731"/>
        <w:gridCol w:w="1488"/>
        <w:gridCol w:w="1416"/>
        <w:gridCol w:w="1506"/>
        <w:gridCol w:w="1254"/>
        <w:gridCol w:w="1785"/>
      </w:tblGrid>
      <w:tr w14:paraId="41034005">
        <w:tblPrEx>
          <w:tblCellMar>
            <w:top w:w="0" w:type="dxa"/>
            <w:left w:w="108" w:type="dxa"/>
            <w:bottom w:w="0" w:type="dxa"/>
            <w:right w:w="108" w:type="dxa"/>
          </w:tblCellMar>
        </w:tblPrEx>
        <w:trPr>
          <w:trHeight w:val="724" w:hRule="atLeast"/>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5CD25A1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B8C586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总</w:t>
            </w:r>
            <w:r>
              <w:rPr>
                <w:rFonts w:hint="eastAsia" w:ascii="宋体" w:hAnsi="宋体" w:eastAsia="宋体" w:cs="宋体"/>
                <w:color w:val="auto"/>
                <w:sz w:val="24"/>
                <w:szCs w:val="24"/>
                <w:highlight w:val="none"/>
              </w:rPr>
              <w:t>投标报价</w:t>
            </w:r>
          </w:p>
          <w:p w14:paraId="4D20A9C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416" w:type="dxa"/>
            <w:tcBorders>
              <w:top w:val="single" w:color="auto" w:sz="4" w:space="0"/>
              <w:left w:val="nil"/>
              <w:bottom w:val="single" w:color="auto" w:sz="4" w:space="0"/>
              <w:right w:val="single" w:color="auto" w:sz="4" w:space="0"/>
            </w:tcBorders>
            <w:shd w:val="clear" w:color="auto" w:fill="auto"/>
            <w:vAlign w:val="center"/>
          </w:tcPr>
          <w:p w14:paraId="32F8A8C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1506" w:type="dxa"/>
            <w:tcBorders>
              <w:top w:val="single" w:color="auto" w:sz="4" w:space="0"/>
              <w:left w:val="nil"/>
              <w:bottom w:val="single" w:color="auto" w:sz="4" w:space="0"/>
              <w:right w:val="single" w:color="auto" w:sz="4" w:space="0"/>
            </w:tcBorders>
            <w:shd w:val="clear" w:color="auto" w:fill="auto"/>
            <w:vAlign w:val="center"/>
          </w:tcPr>
          <w:p w14:paraId="70253FA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供货期</w:t>
            </w:r>
          </w:p>
        </w:tc>
        <w:tc>
          <w:tcPr>
            <w:tcW w:w="1254" w:type="dxa"/>
            <w:tcBorders>
              <w:top w:val="single" w:color="auto" w:sz="4" w:space="0"/>
              <w:left w:val="nil"/>
              <w:bottom w:val="single" w:color="auto" w:sz="4" w:space="0"/>
              <w:right w:val="single" w:color="auto" w:sz="4" w:space="0"/>
            </w:tcBorders>
            <w:shd w:val="clear" w:color="auto" w:fill="auto"/>
            <w:vAlign w:val="center"/>
          </w:tcPr>
          <w:p w14:paraId="0920CE6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质量标准</w:t>
            </w:r>
          </w:p>
        </w:tc>
        <w:tc>
          <w:tcPr>
            <w:tcW w:w="1785" w:type="dxa"/>
            <w:tcBorders>
              <w:top w:val="single" w:color="auto" w:sz="4" w:space="0"/>
              <w:left w:val="nil"/>
              <w:bottom w:val="single" w:color="auto" w:sz="4" w:space="0"/>
              <w:right w:val="single" w:color="auto" w:sz="4" w:space="0"/>
            </w:tcBorders>
            <w:shd w:val="clear" w:color="auto" w:fill="auto"/>
            <w:vAlign w:val="center"/>
          </w:tcPr>
          <w:p w14:paraId="42451F3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备注</w:t>
            </w:r>
          </w:p>
        </w:tc>
      </w:tr>
      <w:tr w14:paraId="5776DBBB">
        <w:tblPrEx>
          <w:tblCellMar>
            <w:top w:w="0" w:type="dxa"/>
            <w:left w:w="108" w:type="dxa"/>
            <w:bottom w:w="0" w:type="dxa"/>
            <w:right w:w="108" w:type="dxa"/>
          </w:tblCellMar>
        </w:tblPrEx>
        <w:trPr>
          <w:trHeight w:val="1003" w:hRule="atLeast"/>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36B7AB3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6A0329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416" w:type="dxa"/>
            <w:tcBorders>
              <w:top w:val="single" w:color="auto" w:sz="4" w:space="0"/>
              <w:left w:val="nil"/>
              <w:bottom w:val="single" w:color="auto" w:sz="4" w:space="0"/>
              <w:right w:val="single" w:color="auto" w:sz="4" w:space="0"/>
            </w:tcBorders>
            <w:shd w:val="clear" w:color="auto" w:fill="auto"/>
            <w:vAlign w:val="center"/>
          </w:tcPr>
          <w:p w14:paraId="6F58585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（有/无）</w:t>
            </w:r>
          </w:p>
        </w:tc>
        <w:tc>
          <w:tcPr>
            <w:tcW w:w="1506" w:type="dxa"/>
            <w:tcBorders>
              <w:top w:val="single" w:color="auto" w:sz="4" w:space="0"/>
              <w:left w:val="nil"/>
              <w:bottom w:val="single" w:color="auto" w:sz="4" w:space="0"/>
              <w:right w:val="single" w:color="auto" w:sz="4" w:space="0"/>
            </w:tcBorders>
            <w:shd w:val="clear" w:color="auto" w:fill="auto"/>
            <w:noWrap/>
            <w:vAlign w:val="center"/>
          </w:tcPr>
          <w:p w14:paraId="21B5C21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254" w:type="dxa"/>
            <w:tcBorders>
              <w:top w:val="single" w:color="auto" w:sz="4" w:space="0"/>
              <w:left w:val="nil"/>
              <w:bottom w:val="single" w:color="auto" w:sz="4" w:space="0"/>
              <w:right w:val="single" w:color="auto" w:sz="4" w:space="0"/>
            </w:tcBorders>
            <w:shd w:val="clear" w:color="auto" w:fill="auto"/>
            <w:vAlign w:val="center"/>
          </w:tcPr>
          <w:p w14:paraId="4713C88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785" w:type="dxa"/>
            <w:tcBorders>
              <w:top w:val="single" w:color="auto" w:sz="4" w:space="0"/>
              <w:left w:val="nil"/>
              <w:bottom w:val="single" w:color="auto" w:sz="4" w:space="0"/>
              <w:right w:val="single" w:color="auto" w:sz="4" w:space="0"/>
            </w:tcBorders>
            <w:shd w:val="clear" w:color="auto" w:fill="auto"/>
            <w:vAlign w:val="center"/>
          </w:tcPr>
          <w:p w14:paraId="2881138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r>
    </w:tbl>
    <w:p w14:paraId="00B37BB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注：1、本表只作唱标用，但本表的一切内容均具有法律效力，不得更改；</w:t>
      </w:r>
    </w:p>
    <w:p w14:paraId="21CF2AF4">
      <w:pPr>
        <w:keepNext w:val="0"/>
        <w:keepLines w:val="0"/>
        <w:pageBreakBefore w:val="0"/>
        <w:widowControl/>
        <w:kinsoku/>
        <w:wordWrap/>
        <w:overflowPunct/>
        <w:topLinePunct w:val="0"/>
        <w:autoSpaceDE/>
        <w:autoSpaceDN/>
        <w:bidi w:val="0"/>
        <w:adjustRightInd/>
        <w:snapToGrid/>
        <w:spacing w:line="288" w:lineRule="auto"/>
        <w:ind w:firstLine="408"/>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2、投标报价</w:t>
      </w:r>
      <w:r>
        <w:rPr>
          <w:rFonts w:hint="eastAsia" w:ascii="宋体" w:hAnsi="宋体" w:eastAsia="宋体" w:cs="宋体"/>
          <w:b/>
          <w:color w:val="auto"/>
          <w:sz w:val="24"/>
          <w:szCs w:val="24"/>
          <w:highlight w:val="none"/>
        </w:rPr>
        <w:t>不超过</w:t>
      </w:r>
      <w:r>
        <w:rPr>
          <w:rFonts w:hint="eastAsia" w:ascii="宋体" w:hAnsi="宋体" w:eastAsia="宋体" w:cs="宋体"/>
          <w:b/>
          <w:color w:val="auto"/>
          <w:sz w:val="24"/>
          <w:szCs w:val="24"/>
          <w:highlight w:val="none"/>
          <w:lang w:val="zh-CN"/>
        </w:rPr>
        <w:t>预算金额</w:t>
      </w:r>
      <w:r>
        <w:rPr>
          <w:rFonts w:hint="eastAsia" w:ascii="宋体" w:hAnsi="宋体" w:eastAsia="宋体" w:cs="宋体"/>
          <w:b/>
          <w:color w:val="auto"/>
          <w:sz w:val="24"/>
          <w:szCs w:val="24"/>
          <w:highlight w:val="none"/>
        </w:rPr>
        <w:t>，超过为无效报价。</w:t>
      </w:r>
      <w:r>
        <w:rPr>
          <w:rFonts w:hint="eastAsia" w:ascii="宋体" w:hAnsi="宋体" w:eastAsia="宋体" w:cs="宋体"/>
          <w:b/>
          <w:bCs/>
          <w:color w:val="auto"/>
          <w:sz w:val="24"/>
          <w:szCs w:val="24"/>
          <w:highlight w:val="none"/>
        </w:rPr>
        <w:t>本表中填写的投标报价应与投标函中填写的投标报价相一致，如果不一致</w:t>
      </w:r>
      <w:r>
        <w:rPr>
          <w:rFonts w:hint="eastAsia" w:ascii="宋体" w:hAnsi="宋体" w:cs="宋体"/>
          <w:b/>
          <w:bCs/>
          <w:color w:val="auto"/>
          <w:sz w:val="24"/>
          <w:szCs w:val="24"/>
          <w:highlight w:val="none"/>
          <w:lang w:eastAsia="zh-CN"/>
        </w:rPr>
        <w:t>以本表为准</w:t>
      </w:r>
      <w:r>
        <w:rPr>
          <w:rFonts w:hint="eastAsia" w:ascii="宋体" w:hAnsi="宋体" w:eastAsia="宋体" w:cs="宋体"/>
          <w:b/>
          <w:bCs/>
          <w:color w:val="auto"/>
          <w:sz w:val="24"/>
          <w:szCs w:val="24"/>
          <w:highlight w:val="none"/>
        </w:rPr>
        <w:t>；</w:t>
      </w:r>
    </w:p>
    <w:p w14:paraId="336438B6">
      <w:pPr>
        <w:keepNext w:val="0"/>
        <w:keepLines w:val="0"/>
        <w:pageBreakBefore w:val="0"/>
        <w:widowControl/>
        <w:kinsoku/>
        <w:wordWrap/>
        <w:overflowPunct/>
        <w:topLinePunct w:val="0"/>
        <w:autoSpaceDE/>
        <w:autoSpaceDN/>
        <w:bidi w:val="0"/>
        <w:adjustRightInd/>
        <w:snapToGrid/>
        <w:spacing w:line="288" w:lineRule="auto"/>
        <w:ind w:firstLine="408"/>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3、本开表一览表须装订在投标文件内</w:t>
      </w:r>
      <w:bookmarkStart w:id="53" w:name="_GoBack"/>
      <w:bookmarkEnd w:id="53"/>
      <w:r>
        <w:rPr>
          <w:rFonts w:hint="eastAsia" w:ascii="宋体" w:hAnsi="宋体" w:eastAsia="宋体" w:cs="宋体"/>
          <w:b/>
          <w:bCs/>
          <w:color w:val="auto"/>
          <w:sz w:val="24"/>
          <w:szCs w:val="24"/>
          <w:highlight w:val="none"/>
          <w:lang w:eastAsia="zh-CN"/>
        </w:rPr>
        <w:t>；</w:t>
      </w:r>
    </w:p>
    <w:p w14:paraId="7ABD5068">
      <w:pPr>
        <w:keepNext w:val="0"/>
        <w:keepLines w:val="0"/>
        <w:pageBreakBefore w:val="0"/>
        <w:widowControl/>
        <w:kinsoku/>
        <w:wordWrap/>
        <w:overflowPunct/>
        <w:topLinePunct w:val="0"/>
        <w:autoSpaceDE/>
        <w:autoSpaceDN/>
        <w:bidi w:val="0"/>
        <w:adjustRightInd/>
        <w:snapToGrid/>
        <w:spacing w:line="288" w:lineRule="auto"/>
        <w:ind w:firstLine="408"/>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投标报价保留至小数点后</w:t>
      </w:r>
      <w:r>
        <w:rPr>
          <w:rFonts w:hint="eastAsia" w:ascii="宋体" w:hAnsi="宋体" w:cs="宋体"/>
          <w:b/>
          <w:bCs/>
          <w:color w:val="auto"/>
          <w:sz w:val="24"/>
          <w:szCs w:val="24"/>
          <w:highlight w:val="none"/>
          <w:lang w:val="en-US" w:eastAsia="zh-CN"/>
        </w:rPr>
        <w:t>两</w:t>
      </w:r>
      <w:r>
        <w:rPr>
          <w:rFonts w:hint="eastAsia" w:ascii="宋体" w:hAnsi="宋体" w:eastAsia="宋体" w:cs="宋体"/>
          <w:b/>
          <w:bCs/>
          <w:color w:val="auto"/>
          <w:sz w:val="24"/>
          <w:szCs w:val="24"/>
          <w:highlight w:val="none"/>
          <w:lang w:eastAsia="zh-CN"/>
        </w:rPr>
        <w:t>位。</w:t>
      </w:r>
    </w:p>
    <w:p w14:paraId="407B6E4F">
      <w:pPr>
        <w:pStyle w:val="63"/>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53D2B931">
      <w:pPr>
        <w:keepNext w:val="0"/>
        <w:keepLines w:val="0"/>
        <w:pageBreakBefore w:val="0"/>
        <w:widowControl/>
        <w:kinsoku/>
        <w:wordWrap/>
        <w:overflowPunct/>
        <w:topLinePunct w:val="0"/>
        <w:autoSpaceDE/>
        <w:autoSpaceDN/>
        <w:bidi w:val="0"/>
        <w:adjustRightInd/>
        <w:snapToGrid/>
        <w:spacing w:line="288"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0BC6E23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p>
    <w:p w14:paraId="3F8ADB52">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（公章）                    </w:t>
      </w:r>
    </w:p>
    <w:p w14:paraId="6A0B80F4">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05548BD0">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盖章）</w:t>
      </w:r>
    </w:p>
    <w:p w14:paraId="27620375">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4C30AD2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            （签字）  </w:t>
      </w:r>
    </w:p>
    <w:p w14:paraId="3E1951B1">
      <w:pPr>
        <w:keepNext w:val="0"/>
        <w:keepLines w:val="0"/>
        <w:pageBreakBefore w:val="0"/>
        <w:widowControl/>
        <w:kinsoku/>
        <w:wordWrap/>
        <w:overflowPunct/>
        <w:topLinePunct w:val="0"/>
        <w:autoSpaceDE/>
        <w:autoSpaceDN/>
        <w:bidi w:val="0"/>
        <w:adjustRightInd/>
        <w:snapToGrid/>
        <w:spacing w:line="288" w:lineRule="auto"/>
        <w:ind w:firstLine="4560" w:firstLineChars="1900"/>
        <w:textAlignment w:val="auto"/>
        <w:rPr>
          <w:rFonts w:hint="eastAsia" w:ascii="宋体" w:hAnsi="宋体" w:eastAsia="宋体" w:cs="宋体"/>
          <w:color w:val="auto"/>
          <w:sz w:val="24"/>
          <w:szCs w:val="24"/>
          <w:highlight w:val="none"/>
        </w:rPr>
      </w:pPr>
    </w:p>
    <w:p w14:paraId="2A43894F">
      <w:pPr>
        <w:keepNext w:val="0"/>
        <w:keepLines w:val="0"/>
        <w:pageBreakBefore w:val="0"/>
        <w:widowControl/>
        <w:kinsoku/>
        <w:wordWrap/>
        <w:overflowPunct/>
        <w:topLinePunct w:val="0"/>
        <w:autoSpaceDE/>
        <w:autoSpaceDN/>
        <w:bidi w:val="0"/>
        <w:adjustRightInd/>
        <w:snapToGrid/>
        <w:spacing w:line="288" w:lineRule="auto"/>
        <w:ind w:firstLine="6480" w:firstLineChars="27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日　　期：</w:t>
      </w:r>
    </w:p>
    <w:p w14:paraId="36ADAFC8">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53070E07">
      <w:pPr>
        <w:spacing w:line="360" w:lineRule="auto"/>
        <w:jc w:val="center"/>
        <w:rPr>
          <w:rFonts w:hint="eastAsia" w:ascii="宋体" w:hAnsi="宋体" w:eastAsia="宋体" w:cs="宋体"/>
          <w:b/>
          <w:color w:val="auto"/>
          <w:sz w:val="36"/>
          <w:szCs w:val="36"/>
          <w:highlight w:val="none"/>
        </w:rPr>
      </w:pPr>
    </w:p>
    <w:p w14:paraId="46B4459E">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二、投标明细报价表</w:t>
      </w:r>
    </w:p>
    <w:tbl>
      <w:tblPr>
        <w:tblStyle w:val="44"/>
        <w:tblW w:w="927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1075"/>
        <w:gridCol w:w="1180"/>
        <w:gridCol w:w="1623"/>
        <w:gridCol w:w="2249"/>
      </w:tblGrid>
      <w:tr w14:paraId="5129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76" w:type="dxa"/>
            <w:gridSpan w:val="6"/>
            <w:vAlign w:val="center"/>
          </w:tcPr>
          <w:p w14:paraId="4B677AC9">
            <w:pPr>
              <w:keepNext w:val="0"/>
              <w:keepLines w:val="0"/>
              <w:pageBreakBefore w:val="0"/>
              <w:kinsoku/>
              <w:wordWrap/>
              <w:topLinePunct w:val="0"/>
              <w:bidi w:val="0"/>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14:paraId="5F59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76" w:type="dxa"/>
            <w:gridSpan w:val="6"/>
            <w:vAlign w:val="center"/>
          </w:tcPr>
          <w:p w14:paraId="4CFF96BA">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货物明细表：（单位：元）</w:t>
            </w:r>
          </w:p>
        </w:tc>
      </w:tr>
      <w:tr w14:paraId="6455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4B73AB3">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81" w:type="dxa"/>
            <w:vAlign w:val="center"/>
          </w:tcPr>
          <w:p w14:paraId="1887F504">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075" w:type="dxa"/>
            <w:vAlign w:val="center"/>
          </w:tcPr>
          <w:p w14:paraId="515374F1">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w:t>
            </w:r>
          </w:p>
        </w:tc>
        <w:tc>
          <w:tcPr>
            <w:tcW w:w="1180" w:type="dxa"/>
            <w:vAlign w:val="center"/>
          </w:tcPr>
          <w:p w14:paraId="3E609776">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23" w:type="dxa"/>
            <w:vAlign w:val="center"/>
          </w:tcPr>
          <w:p w14:paraId="09C08CA1">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2249" w:type="dxa"/>
            <w:vAlign w:val="center"/>
          </w:tcPr>
          <w:p w14:paraId="288FB295">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分项总价</w:t>
            </w:r>
          </w:p>
        </w:tc>
      </w:tr>
      <w:tr w14:paraId="2F08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5EF161D">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81" w:type="dxa"/>
            <w:vAlign w:val="center"/>
          </w:tcPr>
          <w:p w14:paraId="054841B0">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075" w:type="dxa"/>
            <w:vAlign w:val="center"/>
          </w:tcPr>
          <w:p w14:paraId="675BD5CD">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180" w:type="dxa"/>
            <w:vAlign w:val="center"/>
          </w:tcPr>
          <w:p w14:paraId="6704C89A">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623" w:type="dxa"/>
            <w:vAlign w:val="center"/>
          </w:tcPr>
          <w:p w14:paraId="37D3C776">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49" w:type="dxa"/>
            <w:vAlign w:val="center"/>
          </w:tcPr>
          <w:p w14:paraId="6B9F09BA">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r>
      <w:tr w14:paraId="77CA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3EB2CB36">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281" w:type="dxa"/>
            <w:vAlign w:val="center"/>
          </w:tcPr>
          <w:p w14:paraId="51F29316">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075" w:type="dxa"/>
            <w:vAlign w:val="center"/>
          </w:tcPr>
          <w:p w14:paraId="5B477C15">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180" w:type="dxa"/>
            <w:vAlign w:val="center"/>
          </w:tcPr>
          <w:p w14:paraId="5EB0DBF4">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623" w:type="dxa"/>
            <w:vAlign w:val="center"/>
          </w:tcPr>
          <w:p w14:paraId="22AF5FFA">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49" w:type="dxa"/>
            <w:vAlign w:val="center"/>
          </w:tcPr>
          <w:p w14:paraId="0A3FECCB">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r>
      <w:tr w14:paraId="54EC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20FF126A">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81" w:type="dxa"/>
            <w:vAlign w:val="center"/>
          </w:tcPr>
          <w:p w14:paraId="23551CE5">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75" w:type="dxa"/>
            <w:vAlign w:val="center"/>
          </w:tcPr>
          <w:p w14:paraId="792A5056">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180" w:type="dxa"/>
            <w:vAlign w:val="center"/>
          </w:tcPr>
          <w:p w14:paraId="34EC4F0B">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623" w:type="dxa"/>
            <w:vAlign w:val="center"/>
          </w:tcPr>
          <w:p w14:paraId="60D4950C">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49" w:type="dxa"/>
            <w:vAlign w:val="center"/>
          </w:tcPr>
          <w:p w14:paraId="685D9935">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r>
      <w:tr w14:paraId="6DE5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6" w:type="dxa"/>
            <w:gridSpan w:val="6"/>
            <w:vAlign w:val="center"/>
          </w:tcPr>
          <w:p w14:paraId="5B580038">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其他费用明细表：</w:t>
            </w:r>
          </w:p>
        </w:tc>
      </w:tr>
      <w:tr w14:paraId="4719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14:paraId="44911EF3">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81" w:type="dxa"/>
            <w:vAlign w:val="center"/>
          </w:tcPr>
          <w:p w14:paraId="7E196667">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255" w:type="dxa"/>
            <w:gridSpan w:val="2"/>
            <w:vAlign w:val="center"/>
          </w:tcPr>
          <w:p w14:paraId="1043DEB9">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内容和标准</w:t>
            </w:r>
          </w:p>
        </w:tc>
        <w:tc>
          <w:tcPr>
            <w:tcW w:w="1623" w:type="dxa"/>
            <w:vAlign w:val="center"/>
          </w:tcPr>
          <w:p w14:paraId="4BC62D63">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2249" w:type="dxa"/>
            <w:vAlign w:val="center"/>
          </w:tcPr>
          <w:p w14:paraId="013D564A">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B79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14:paraId="2B3C7F38">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81" w:type="dxa"/>
            <w:vAlign w:val="center"/>
          </w:tcPr>
          <w:p w14:paraId="3E57A24C">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55" w:type="dxa"/>
            <w:gridSpan w:val="2"/>
            <w:vAlign w:val="center"/>
          </w:tcPr>
          <w:p w14:paraId="443A1541">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623" w:type="dxa"/>
            <w:vAlign w:val="center"/>
          </w:tcPr>
          <w:p w14:paraId="018162C0">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49" w:type="dxa"/>
            <w:vAlign w:val="center"/>
          </w:tcPr>
          <w:p w14:paraId="6FF18A3E">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r>
      <w:tr w14:paraId="335C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202BD9DF">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281" w:type="dxa"/>
            <w:vAlign w:val="center"/>
          </w:tcPr>
          <w:p w14:paraId="0F57E0D5">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55" w:type="dxa"/>
            <w:gridSpan w:val="2"/>
            <w:vAlign w:val="center"/>
          </w:tcPr>
          <w:p w14:paraId="1738A50A">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623" w:type="dxa"/>
            <w:vAlign w:val="center"/>
          </w:tcPr>
          <w:p w14:paraId="78A6C017">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49" w:type="dxa"/>
            <w:vAlign w:val="center"/>
          </w:tcPr>
          <w:p w14:paraId="5D3ECB22">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r>
      <w:tr w14:paraId="3FCB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276" w:type="dxa"/>
            <w:gridSpan w:val="6"/>
            <w:vAlign w:val="center"/>
          </w:tcPr>
          <w:p w14:paraId="60067F98">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明细报价汇总表：</w:t>
            </w:r>
          </w:p>
        </w:tc>
      </w:tr>
      <w:tr w14:paraId="4448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4"/>
            <w:vAlign w:val="center"/>
          </w:tcPr>
          <w:p w14:paraId="589FDA97">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报价总计（货物报价合计+其他费用合计）</w:t>
            </w:r>
          </w:p>
        </w:tc>
        <w:tc>
          <w:tcPr>
            <w:tcW w:w="3872" w:type="dxa"/>
            <w:gridSpan w:val="2"/>
            <w:vAlign w:val="center"/>
          </w:tcPr>
          <w:p w14:paraId="2E338074">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元</w:t>
            </w:r>
          </w:p>
          <w:p w14:paraId="3368CCA2">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小写：￥ </w:t>
            </w:r>
            <w:r>
              <w:rPr>
                <w:rFonts w:hint="eastAsia" w:ascii="宋体" w:hAnsi="宋体" w:eastAsia="宋体" w:cs="宋体"/>
                <w:color w:val="auto"/>
                <w:sz w:val="24"/>
                <w:szCs w:val="24"/>
                <w:highlight w:val="none"/>
                <w:u w:val="single"/>
              </w:rPr>
              <w:t xml:space="preserve">             元</w:t>
            </w:r>
          </w:p>
        </w:tc>
      </w:tr>
    </w:tbl>
    <w:p w14:paraId="029C7A11">
      <w:pPr>
        <w:keepNext w:val="0"/>
        <w:keepLines w:val="0"/>
        <w:pageBreakBefore w:val="0"/>
        <w:kinsoku/>
        <w:wordWrap/>
        <w:topLinePunct w:val="0"/>
        <w:bidi w:val="0"/>
        <w:snapToGrid/>
        <w:spacing w:before="240" w:beforeLines="10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14:paraId="282A7EE9">
      <w:pPr>
        <w:pStyle w:val="94"/>
        <w:keepNext w:val="0"/>
        <w:keepLines w:val="0"/>
        <w:pageBreakBefore w:val="0"/>
        <w:numPr>
          <w:ilvl w:val="0"/>
          <w:numId w:val="7"/>
        </w:numPr>
        <w:kinsoku/>
        <w:wordWrap/>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此表为报价总表的明细表。</w:t>
      </w:r>
    </w:p>
    <w:p w14:paraId="1F5B3880">
      <w:pPr>
        <w:pStyle w:val="94"/>
        <w:keepNext w:val="0"/>
        <w:keepLines w:val="0"/>
        <w:pageBreakBefore w:val="0"/>
        <w:numPr>
          <w:ilvl w:val="0"/>
          <w:numId w:val="7"/>
        </w:numPr>
        <w:kinsoku/>
        <w:wordWrap/>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如果单价和总价不符时，以单价为准，修正总价。</w:t>
      </w:r>
    </w:p>
    <w:p w14:paraId="0C762EFA">
      <w:pPr>
        <w:pStyle w:val="94"/>
        <w:keepNext w:val="0"/>
        <w:keepLines w:val="0"/>
        <w:pageBreakBefore w:val="0"/>
        <w:numPr>
          <w:ilvl w:val="0"/>
          <w:numId w:val="7"/>
        </w:numPr>
        <w:kinsoku/>
        <w:wordWrap/>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供应商应列明按“采购需求”所要求提供的所有报价项的价格明细。</w:t>
      </w:r>
    </w:p>
    <w:p w14:paraId="66A34AAD">
      <w:pPr>
        <w:pStyle w:val="94"/>
        <w:keepNext w:val="0"/>
        <w:keepLines w:val="0"/>
        <w:pageBreakBefore w:val="0"/>
        <w:numPr>
          <w:ilvl w:val="0"/>
          <w:numId w:val="7"/>
        </w:numPr>
        <w:kinsoku/>
        <w:wordWrap/>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货物名称与产品注册证登记名称保持一致。</w:t>
      </w:r>
    </w:p>
    <w:p w14:paraId="60F4196C">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p>
    <w:tbl>
      <w:tblPr>
        <w:tblStyle w:val="44"/>
        <w:tblW w:w="9345" w:type="dxa"/>
        <w:tblInd w:w="0" w:type="dxa"/>
        <w:tblLayout w:type="fixed"/>
        <w:tblCellMar>
          <w:top w:w="0" w:type="dxa"/>
          <w:left w:w="108" w:type="dxa"/>
          <w:bottom w:w="0" w:type="dxa"/>
          <w:right w:w="108" w:type="dxa"/>
        </w:tblCellMar>
      </w:tblPr>
      <w:tblGrid>
        <w:gridCol w:w="5353"/>
        <w:gridCol w:w="3992"/>
      </w:tblGrid>
      <w:tr w14:paraId="1FE33474">
        <w:tblPrEx>
          <w:tblCellMar>
            <w:top w:w="0" w:type="dxa"/>
            <w:left w:w="108" w:type="dxa"/>
            <w:bottom w:w="0" w:type="dxa"/>
            <w:right w:w="108" w:type="dxa"/>
          </w:tblCellMar>
        </w:tblPrEx>
        <w:tc>
          <w:tcPr>
            <w:tcW w:w="5353" w:type="dxa"/>
            <w:shd w:val="clear" w:color="auto" w:fill="auto"/>
          </w:tcPr>
          <w:p w14:paraId="63766285">
            <w:pPr>
              <w:keepNext w:val="0"/>
              <w:keepLines w:val="0"/>
              <w:pageBreakBefore w:val="0"/>
              <w:kinsoku/>
              <w:wordWrap/>
              <w:overflowPunct w:val="0"/>
              <w:topLinePunct w:val="0"/>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992" w:type="dxa"/>
            <w:shd w:val="clear" w:color="auto" w:fill="auto"/>
          </w:tcPr>
          <w:p w14:paraId="7B5F6DF7">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p>
        </w:tc>
      </w:tr>
      <w:tr w14:paraId="18C5A915">
        <w:tblPrEx>
          <w:tblCellMar>
            <w:top w:w="0" w:type="dxa"/>
            <w:left w:w="108" w:type="dxa"/>
            <w:bottom w:w="0" w:type="dxa"/>
            <w:right w:w="108" w:type="dxa"/>
          </w:tblCellMar>
        </w:tblPrEx>
        <w:tc>
          <w:tcPr>
            <w:tcW w:w="5353" w:type="dxa"/>
            <w:shd w:val="clear" w:color="auto" w:fill="auto"/>
          </w:tcPr>
          <w:p w14:paraId="6173BB1D">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p>
          <w:p w14:paraId="224D6376">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992" w:type="dxa"/>
            <w:shd w:val="clear" w:color="auto" w:fill="auto"/>
          </w:tcPr>
          <w:p w14:paraId="10A2B826">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p>
        </w:tc>
      </w:tr>
    </w:tbl>
    <w:p w14:paraId="3BDC8105">
      <w:pPr>
        <w:keepNext w:val="0"/>
        <w:keepLines w:val="0"/>
        <w:pageBreakBefore w:val="0"/>
        <w:kinsoku/>
        <w:wordWrap/>
        <w:topLinePunct w:val="0"/>
        <w:autoSpaceDE w:val="0"/>
        <w:autoSpaceDN w:val="0"/>
        <w:bidi w:val="0"/>
        <w:adjustRightInd w:val="0"/>
        <w:snapToGrid/>
        <w:spacing w:before="120" w:beforeLines="50" w:after="120" w:afterLines="50" w:line="288" w:lineRule="auto"/>
        <w:jc w:val="center"/>
        <w:textAlignment w:val="auto"/>
        <w:rPr>
          <w:rFonts w:hint="eastAsia" w:ascii="宋体" w:hAnsi="宋体" w:eastAsia="宋体" w:cs="宋体"/>
          <w:b/>
          <w:color w:val="auto"/>
          <w:sz w:val="24"/>
          <w:szCs w:val="24"/>
          <w:highlight w:val="none"/>
        </w:rPr>
      </w:pPr>
    </w:p>
    <w:p w14:paraId="38284F83">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449689A">
      <w:pPr>
        <w:spacing w:line="360" w:lineRule="auto"/>
        <w:jc w:val="center"/>
        <w:rPr>
          <w:rFonts w:hint="eastAsia" w:ascii="宋体" w:hAnsi="宋体" w:eastAsia="宋体" w:cs="宋体"/>
          <w:b/>
          <w:color w:val="auto"/>
          <w:sz w:val="36"/>
          <w:szCs w:val="36"/>
          <w:highlight w:val="none"/>
        </w:rPr>
      </w:pPr>
    </w:p>
    <w:p w14:paraId="4ACEEE3E">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三、投标函</w:t>
      </w:r>
    </w:p>
    <w:p w14:paraId="59A0A398">
      <w:pPr>
        <w:keepNext w:val="0"/>
        <w:keepLines w:val="0"/>
        <w:pageBreakBefore w:val="0"/>
        <w:kinsoku/>
        <w:wordWrap/>
        <w:overflowPunct/>
        <w:topLinePunct w:val="0"/>
        <w:bidi w:val="0"/>
        <w:snapToGrid/>
        <w:spacing w:before="120" w:beforeLines="5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14:paraId="6808B117">
      <w:pPr>
        <w:keepNext w:val="0"/>
        <w:keepLines w:val="0"/>
        <w:pageBreakBefore w:val="0"/>
        <w:kinsoku/>
        <w:wordWrap/>
        <w:overflowPunct/>
        <w:topLinePunct w:val="0"/>
        <w:autoSpaceDE w:val="0"/>
        <w:autoSpaceDN w:val="0"/>
        <w:bidi w:val="0"/>
        <w:adjustRightInd w:val="0"/>
        <w:snapToGrid/>
        <w:spacing w:line="288" w:lineRule="auto"/>
        <w:ind w:right="26"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依据贵方</w:t>
      </w:r>
      <w:r>
        <w:rPr>
          <w:rFonts w:hint="eastAsia" w:ascii="宋体" w:hAnsi="宋体" w:eastAsia="宋体" w:cs="宋体"/>
          <w:b/>
          <w:bCs/>
          <w:color w:val="auto"/>
          <w:sz w:val="24"/>
          <w:szCs w:val="24"/>
          <w:highlight w:val="none"/>
          <w:u w:val="single"/>
        </w:rPr>
        <w:t>项目名称</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w:t>
      </w:r>
      <w:r>
        <w:rPr>
          <w:rFonts w:hint="eastAsia" w:ascii="宋体" w:hAnsi="宋体" w:eastAsia="宋体" w:cs="宋体"/>
          <w:b/>
          <w:bCs/>
          <w:color w:val="auto"/>
          <w:sz w:val="24"/>
          <w:szCs w:val="24"/>
          <w:highlight w:val="none"/>
          <w:u w:val="single"/>
        </w:rPr>
        <w:t>项目编号：</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招标货物及服务的投标，我方代表</w:t>
      </w:r>
      <w:r>
        <w:rPr>
          <w:rFonts w:hint="eastAsia" w:ascii="宋体" w:hAnsi="宋体" w:eastAsia="宋体" w:cs="宋体"/>
          <w:b/>
          <w:bCs/>
          <w:color w:val="auto"/>
          <w:sz w:val="24"/>
          <w:szCs w:val="24"/>
          <w:highlight w:val="none"/>
          <w:u w:val="single"/>
        </w:rPr>
        <w:t>（姓名、职务）</w:t>
      </w:r>
      <w:r>
        <w:rPr>
          <w:rFonts w:hint="eastAsia" w:ascii="宋体" w:hAnsi="宋体" w:eastAsia="宋体" w:cs="宋体"/>
          <w:bCs/>
          <w:color w:val="auto"/>
          <w:sz w:val="24"/>
          <w:szCs w:val="24"/>
          <w:highlight w:val="none"/>
        </w:rPr>
        <w:t>经正式授权并代表</w:t>
      </w:r>
      <w:r>
        <w:rPr>
          <w:rFonts w:hint="eastAsia" w:ascii="宋体" w:hAnsi="宋体" w:eastAsia="宋体" w:cs="宋体"/>
          <w:b/>
          <w:bCs/>
          <w:color w:val="auto"/>
          <w:sz w:val="24"/>
          <w:szCs w:val="24"/>
          <w:highlight w:val="none"/>
          <w:u w:val="single"/>
        </w:rPr>
        <w:t>（供应商名称）</w:t>
      </w:r>
      <w:r>
        <w:rPr>
          <w:rFonts w:hint="eastAsia" w:ascii="宋体" w:hAnsi="宋体" w:eastAsia="宋体" w:cs="宋体"/>
          <w:bCs/>
          <w:color w:val="auto"/>
          <w:sz w:val="24"/>
          <w:szCs w:val="24"/>
          <w:highlight w:val="none"/>
        </w:rPr>
        <w:t>提交开标一览表、投标文件。</w:t>
      </w:r>
    </w:p>
    <w:p w14:paraId="7910463D">
      <w:pPr>
        <w:keepNext w:val="0"/>
        <w:keepLines w:val="0"/>
        <w:pageBreakBefore w:val="0"/>
        <w:kinsoku/>
        <w:wordWrap/>
        <w:overflowPunct/>
        <w:topLinePunct w:val="0"/>
        <w:autoSpaceDE w:val="0"/>
        <w:autoSpaceDN w:val="0"/>
        <w:bidi w:val="0"/>
        <w:adjustRightInd w:val="0"/>
        <w:snapToGrid/>
        <w:spacing w:line="288" w:lineRule="auto"/>
        <w:ind w:right="2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在此，我方声明如下：</w:t>
      </w:r>
    </w:p>
    <w:p w14:paraId="2733DAFB">
      <w:pPr>
        <w:keepNext w:val="0"/>
        <w:keepLines w:val="0"/>
        <w:pageBreakBefore w:val="0"/>
        <w:kinsoku/>
        <w:wordWrap/>
        <w:overflowPunct/>
        <w:topLinePunct w:val="0"/>
        <w:autoSpaceDE w:val="0"/>
        <w:autoSpaceDN w:val="0"/>
        <w:bidi w:val="0"/>
        <w:adjustRightInd w:val="0"/>
        <w:snapToGrid/>
        <w:spacing w:line="288" w:lineRule="auto"/>
        <w:ind w:right="246"/>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投标报价：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元；供货期：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p>
    <w:p w14:paraId="4CF47AAF">
      <w:pPr>
        <w:pStyle w:val="94"/>
        <w:keepNext w:val="0"/>
        <w:keepLines w:val="0"/>
        <w:pageBreakBefore w:val="0"/>
        <w:numPr>
          <w:ilvl w:val="0"/>
          <w:numId w:val="8"/>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同意并接受招标文件的各项要求，遵守招标文件中的各项规定，按招标文件的要求提供报价</w:t>
      </w:r>
      <w:r>
        <w:rPr>
          <w:rFonts w:hint="eastAsia" w:ascii="宋体" w:hAnsi="宋体" w:eastAsia="宋体" w:cs="宋体"/>
          <w:color w:val="auto"/>
          <w:sz w:val="24"/>
          <w:szCs w:val="24"/>
          <w:highlight w:val="none"/>
        </w:rPr>
        <w:t>。</w:t>
      </w:r>
    </w:p>
    <w:p w14:paraId="7E1C2AC8">
      <w:pPr>
        <w:pStyle w:val="94"/>
        <w:keepNext w:val="0"/>
        <w:keepLines w:val="0"/>
        <w:pageBreakBefore w:val="0"/>
        <w:numPr>
          <w:ilvl w:val="0"/>
          <w:numId w:val="8"/>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投标有效期为递交投标文件截止日后90天，中标人投标有效期延至合同验收之日。</w:t>
      </w:r>
    </w:p>
    <w:p w14:paraId="60879F95">
      <w:pPr>
        <w:pStyle w:val="94"/>
        <w:keepNext w:val="0"/>
        <w:keepLines w:val="0"/>
        <w:pageBreakBefore w:val="0"/>
        <w:numPr>
          <w:ilvl w:val="0"/>
          <w:numId w:val="8"/>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我方已经详细地阅读了全部招标文件及其附件，包括澄清及参考文件(如果有的话)。我方已完全清晰理解招标文件的要求，不存在任何含糊不清和误解之处，同意放弃对这些文件所提出的异议和质疑的权利。</w:t>
      </w:r>
    </w:p>
    <w:p w14:paraId="6AAC0D95">
      <w:pPr>
        <w:pStyle w:val="94"/>
        <w:keepNext w:val="0"/>
        <w:keepLines w:val="0"/>
        <w:pageBreakBefore w:val="0"/>
        <w:numPr>
          <w:ilvl w:val="0"/>
          <w:numId w:val="8"/>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我方已毫无保留地向贵方提供一切所需的证明材料。</w:t>
      </w:r>
    </w:p>
    <w:p w14:paraId="77E69D9A">
      <w:pPr>
        <w:pStyle w:val="94"/>
        <w:keepNext w:val="0"/>
        <w:keepLines w:val="0"/>
        <w:pageBreakBefore w:val="0"/>
        <w:numPr>
          <w:ilvl w:val="0"/>
          <w:numId w:val="8"/>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我方承诺在本次投标文件中提供的一切文件，无论是原件还是复印件均为真实和准确的，绝无任何虚假、伪造和夸大的成份，否则，愿承担相应的后果和法律责任。</w:t>
      </w:r>
    </w:p>
    <w:p w14:paraId="71A939DF">
      <w:pPr>
        <w:pStyle w:val="94"/>
        <w:keepNext w:val="0"/>
        <w:keepLines w:val="0"/>
        <w:pageBreakBefore w:val="0"/>
        <w:numPr>
          <w:ilvl w:val="0"/>
          <w:numId w:val="8"/>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我方完全服从和尊重评委会所作的评定结果，同时清楚理解到报价最低并非意味着必定获得中标资格。</w:t>
      </w:r>
    </w:p>
    <w:p w14:paraId="0118125B">
      <w:pPr>
        <w:pStyle w:val="94"/>
        <w:keepNext w:val="0"/>
        <w:keepLines w:val="0"/>
        <w:pageBreakBefore w:val="0"/>
        <w:numPr>
          <w:ilvl w:val="0"/>
          <w:numId w:val="8"/>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我方同意按招标文件规定向采购代理机构缴纳中标服务费。</w:t>
      </w:r>
    </w:p>
    <w:p w14:paraId="7764A8BB">
      <w:pPr>
        <w:pStyle w:val="94"/>
        <w:keepNext w:val="0"/>
        <w:keepLines w:val="0"/>
        <w:pageBreakBefore w:val="0"/>
        <w:kinsoku/>
        <w:wordWrap/>
        <w:overflowPunct/>
        <w:topLinePunct w:val="0"/>
        <w:bidi w:val="0"/>
        <w:snapToGrid/>
        <w:spacing w:line="288" w:lineRule="auto"/>
        <w:ind w:left="420" w:firstLine="0" w:firstLineChars="0"/>
        <w:textAlignment w:val="auto"/>
        <w:rPr>
          <w:rFonts w:hint="eastAsia" w:ascii="宋体" w:hAnsi="宋体" w:eastAsia="宋体" w:cs="宋体"/>
          <w:color w:val="auto"/>
          <w:sz w:val="24"/>
          <w:szCs w:val="24"/>
          <w:highlight w:val="none"/>
        </w:rPr>
      </w:pPr>
    </w:p>
    <w:tbl>
      <w:tblPr>
        <w:tblStyle w:val="44"/>
        <w:tblW w:w="8528" w:type="dxa"/>
        <w:jc w:val="center"/>
        <w:tblLayout w:type="fixed"/>
        <w:tblCellMar>
          <w:top w:w="0" w:type="dxa"/>
          <w:left w:w="108" w:type="dxa"/>
          <w:bottom w:w="0" w:type="dxa"/>
          <w:right w:w="108" w:type="dxa"/>
        </w:tblCellMar>
      </w:tblPr>
      <w:tblGrid>
        <w:gridCol w:w="4264"/>
        <w:gridCol w:w="4264"/>
      </w:tblGrid>
      <w:tr w14:paraId="282BF5B5">
        <w:tblPrEx>
          <w:tblCellMar>
            <w:top w:w="0" w:type="dxa"/>
            <w:left w:w="108" w:type="dxa"/>
            <w:bottom w:w="0" w:type="dxa"/>
            <w:right w:w="108" w:type="dxa"/>
          </w:tblCellMar>
        </w:tblPrEx>
        <w:trPr>
          <w:jc w:val="center"/>
        </w:trPr>
        <w:tc>
          <w:tcPr>
            <w:tcW w:w="4264" w:type="dxa"/>
            <w:shd w:val="clear" w:color="auto" w:fill="auto"/>
          </w:tcPr>
          <w:p w14:paraId="0E65A1E7">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tc>
        <w:tc>
          <w:tcPr>
            <w:tcW w:w="4264" w:type="dxa"/>
            <w:shd w:val="clear" w:color="auto" w:fill="auto"/>
          </w:tcPr>
          <w:p w14:paraId="115A130F">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61C56410">
        <w:tblPrEx>
          <w:tblCellMar>
            <w:top w:w="0" w:type="dxa"/>
            <w:left w:w="108" w:type="dxa"/>
            <w:bottom w:w="0" w:type="dxa"/>
            <w:right w:w="108" w:type="dxa"/>
          </w:tblCellMar>
        </w:tblPrEx>
        <w:trPr>
          <w:jc w:val="center"/>
        </w:trPr>
        <w:tc>
          <w:tcPr>
            <w:tcW w:w="4264" w:type="dxa"/>
            <w:shd w:val="clear" w:color="auto" w:fill="auto"/>
          </w:tcPr>
          <w:p w14:paraId="2FD1175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4264" w:type="dxa"/>
            <w:shd w:val="clear" w:color="auto" w:fill="auto"/>
          </w:tcPr>
          <w:p w14:paraId="72877471">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14:paraId="5EEF9A4E">
        <w:tblPrEx>
          <w:tblCellMar>
            <w:top w:w="0" w:type="dxa"/>
            <w:left w:w="108" w:type="dxa"/>
            <w:bottom w:w="0" w:type="dxa"/>
            <w:right w:w="108" w:type="dxa"/>
          </w:tblCellMar>
        </w:tblPrEx>
        <w:trPr>
          <w:jc w:val="center"/>
        </w:trPr>
        <w:tc>
          <w:tcPr>
            <w:tcW w:w="4264" w:type="dxa"/>
            <w:shd w:val="clear" w:color="auto" w:fill="auto"/>
          </w:tcPr>
          <w:p w14:paraId="2BEFB9B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p>
        </w:tc>
        <w:tc>
          <w:tcPr>
            <w:tcW w:w="4264" w:type="dxa"/>
            <w:shd w:val="clear" w:color="auto" w:fill="auto"/>
          </w:tcPr>
          <w:p w14:paraId="65787E4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r>
      <w:tr w14:paraId="4F839893">
        <w:tblPrEx>
          <w:tblCellMar>
            <w:top w:w="0" w:type="dxa"/>
            <w:left w:w="108" w:type="dxa"/>
            <w:bottom w:w="0" w:type="dxa"/>
            <w:right w:w="108" w:type="dxa"/>
          </w:tblCellMar>
        </w:tblPrEx>
        <w:trPr>
          <w:jc w:val="center"/>
        </w:trPr>
        <w:tc>
          <w:tcPr>
            <w:tcW w:w="8528" w:type="dxa"/>
            <w:gridSpan w:val="2"/>
            <w:shd w:val="clear" w:color="auto" w:fill="auto"/>
          </w:tcPr>
          <w:p w14:paraId="7AC1E642">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64065D6D">
        <w:tblPrEx>
          <w:tblCellMar>
            <w:top w:w="0" w:type="dxa"/>
            <w:left w:w="108" w:type="dxa"/>
            <w:bottom w:w="0" w:type="dxa"/>
            <w:right w:w="108" w:type="dxa"/>
          </w:tblCellMar>
        </w:tblPrEx>
        <w:trPr>
          <w:jc w:val="center"/>
        </w:trPr>
        <w:tc>
          <w:tcPr>
            <w:tcW w:w="8528" w:type="dxa"/>
            <w:gridSpan w:val="2"/>
            <w:shd w:val="clear" w:color="auto" w:fill="auto"/>
          </w:tcPr>
          <w:p w14:paraId="3EFA635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供应商法定代表人或被授权人（签名或盖章）：</w:t>
            </w:r>
          </w:p>
        </w:tc>
      </w:tr>
      <w:tr w14:paraId="054423FB">
        <w:tblPrEx>
          <w:tblCellMar>
            <w:top w:w="0" w:type="dxa"/>
            <w:left w:w="108" w:type="dxa"/>
            <w:bottom w:w="0" w:type="dxa"/>
            <w:right w:w="108" w:type="dxa"/>
          </w:tblCellMar>
        </w:tblPrEx>
        <w:trPr>
          <w:jc w:val="center"/>
        </w:trPr>
        <w:tc>
          <w:tcPr>
            <w:tcW w:w="8528" w:type="dxa"/>
            <w:gridSpan w:val="2"/>
            <w:shd w:val="clear" w:color="auto" w:fill="auto"/>
          </w:tcPr>
          <w:p w14:paraId="2CF969E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0AD7D644">
      <w:pPr>
        <w:spacing w:before="120" w:beforeLines="50" w:after="120" w:afterLines="50" w:line="360" w:lineRule="auto"/>
        <w:jc w:val="center"/>
        <w:rPr>
          <w:rFonts w:hint="eastAsia" w:ascii="宋体" w:hAnsi="宋体" w:eastAsia="宋体" w:cs="宋体"/>
          <w:b/>
          <w:color w:val="auto"/>
          <w:spacing w:val="20"/>
          <w:sz w:val="30"/>
          <w:szCs w:val="30"/>
          <w:highlight w:val="none"/>
        </w:rPr>
      </w:pPr>
    </w:p>
    <w:p w14:paraId="322F8034">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1FA2C520">
      <w:pPr>
        <w:spacing w:line="360" w:lineRule="auto"/>
        <w:jc w:val="center"/>
        <w:rPr>
          <w:rFonts w:hint="eastAsia" w:ascii="宋体" w:hAnsi="宋体" w:eastAsia="宋体" w:cs="宋体"/>
          <w:b/>
          <w:color w:val="auto"/>
          <w:sz w:val="36"/>
          <w:szCs w:val="36"/>
          <w:highlight w:val="none"/>
        </w:rPr>
      </w:pPr>
    </w:p>
    <w:p w14:paraId="3BBE545B">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四、法定代表人身份证明书</w:t>
      </w:r>
    </w:p>
    <w:p w14:paraId="4820CD6F">
      <w:pPr>
        <w:keepNext w:val="0"/>
        <w:keepLines w:val="0"/>
        <w:pageBreakBefore w:val="0"/>
        <w:kinsoku/>
        <w:wordWrap/>
        <w:overflowPunct/>
        <w:topLinePunct w:val="0"/>
        <w:autoSpaceDE/>
        <w:autoSpaceDN/>
        <w:bidi w:val="0"/>
        <w:adjustRightInd/>
        <w:snapToGrid/>
        <w:spacing w:before="240" w:beforeLines="10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tbl>
      <w:tblPr>
        <w:tblStyle w:val="44"/>
        <w:tblW w:w="8528" w:type="dxa"/>
        <w:jc w:val="center"/>
        <w:tblLayout w:type="fixed"/>
        <w:tblCellMar>
          <w:top w:w="0" w:type="dxa"/>
          <w:left w:w="108" w:type="dxa"/>
          <w:bottom w:w="0" w:type="dxa"/>
          <w:right w:w="108" w:type="dxa"/>
        </w:tblCellMar>
      </w:tblPr>
      <w:tblGrid>
        <w:gridCol w:w="2802"/>
        <w:gridCol w:w="1462"/>
        <w:gridCol w:w="4264"/>
      </w:tblGrid>
      <w:tr w14:paraId="5B19D6E4">
        <w:tblPrEx>
          <w:tblCellMar>
            <w:top w:w="0" w:type="dxa"/>
            <w:left w:w="108" w:type="dxa"/>
            <w:bottom w:w="0" w:type="dxa"/>
            <w:right w:w="108" w:type="dxa"/>
          </w:tblCellMar>
        </w:tblPrEx>
        <w:trPr>
          <w:jc w:val="center"/>
        </w:trPr>
        <w:tc>
          <w:tcPr>
            <w:tcW w:w="8528" w:type="dxa"/>
            <w:gridSpan w:val="3"/>
            <w:shd w:val="clear" w:color="auto" w:fill="auto"/>
          </w:tcPr>
          <w:p w14:paraId="7AB07A2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同志，现任我单位职务，为法定代表人，特此证明。</w:t>
            </w:r>
          </w:p>
        </w:tc>
      </w:tr>
      <w:tr w14:paraId="3E90C9FF">
        <w:tblPrEx>
          <w:tblCellMar>
            <w:top w:w="0" w:type="dxa"/>
            <w:left w:w="108" w:type="dxa"/>
            <w:bottom w:w="0" w:type="dxa"/>
            <w:right w:w="108" w:type="dxa"/>
          </w:tblCellMar>
        </w:tblPrEx>
        <w:trPr>
          <w:jc w:val="center"/>
        </w:trPr>
        <w:tc>
          <w:tcPr>
            <w:tcW w:w="8528" w:type="dxa"/>
            <w:gridSpan w:val="3"/>
            <w:shd w:val="clear" w:color="auto" w:fill="auto"/>
          </w:tcPr>
          <w:p w14:paraId="30BE671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r>
      <w:tr w14:paraId="7A8221E9">
        <w:tblPrEx>
          <w:tblCellMar>
            <w:top w:w="0" w:type="dxa"/>
            <w:left w:w="108" w:type="dxa"/>
            <w:bottom w:w="0" w:type="dxa"/>
            <w:right w:w="108" w:type="dxa"/>
          </w:tblCellMar>
        </w:tblPrEx>
        <w:trPr>
          <w:jc w:val="center"/>
        </w:trPr>
        <w:tc>
          <w:tcPr>
            <w:tcW w:w="8528" w:type="dxa"/>
            <w:gridSpan w:val="3"/>
            <w:shd w:val="clear" w:color="auto" w:fill="auto"/>
          </w:tcPr>
          <w:p w14:paraId="57645452">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5D642440">
        <w:tblPrEx>
          <w:tblCellMar>
            <w:top w:w="0" w:type="dxa"/>
            <w:left w:w="108" w:type="dxa"/>
            <w:bottom w:w="0" w:type="dxa"/>
            <w:right w:w="108" w:type="dxa"/>
          </w:tblCellMar>
        </w:tblPrEx>
        <w:trPr>
          <w:jc w:val="center"/>
        </w:trPr>
        <w:tc>
          <w:tcPr>
            <w:tcW w:w="4264" w:type="dxa"/>
            <w:gridSpan w:val="2"/>
            <w:shd w:val="clear" w:color="auto" w:fill="auto"/>
          </w:tcPr>
          <w:p w14:paraId="5400AAB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代表人姓名：</w:t>
            </w:r>
          </w:p>
        </w:tc>
        <w:tc>
          <w:tcPr>
            <w:tcW w:w="4264" w:type="dxa"/>
            <w:shd w:val="clear" w:color="auto" w:fill="auto"/>
          </w:tcPr>
          <w:p w14:paraId="2BE668AE">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代表人联系电话：</w:t>
            </w:r>
          </w:p>
        </w:tc>
      </w:tr>
      <w:tr w14:paraId="122F1301">
        <w:tblPrEx>
          <w:tblCellMar>
            <w:top w:w="0" w:type="dxa"/>
            <w:left w:w="108" w:type="dxa"/>
            <w:bottom w:w="0" w:type="dxa"/>
            <w:right w:w="108" w:type="dxa"/>
          </w:tblCellMar>
        </w:tblPrEx>
        <w:trPr>
          <w:jc w:val="center"/>
        </w:trPr>
        <w:tc>
          <w:tcPr>
            <w:tcW w:w="4264" w:type="dxa"/>
            <w:gridSpan w:val="2"/>
            <w:shd w:val="clear" w:color="auto" w:fill="auto"/>
          </w:tcPr>
          <w:p w14:paraId="1BB9F9E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代表人性别：</w:t>
            </w:r>
          </w:p>
        </w:tc>
        <w:tc>
          <w:tcPr>
            <w:tcW w:w="4264" w:type="dxa"/>
            <w:shd w:val="clear" w:color="auto" w:fill="auto"/>
          </w:tcPr>
          <w:p w14:paraId="71391C8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代表人年龄：</w:t>
            </w:r>
          </w:p>
        </w:tc>
      </w:tr>
      <w:tr w14:paraId="77A80680">
        <w:tblPrEx>
          <w:tblCellMar>
            <w:top w:w="0" w:type="dxa"/>
            <w:left w:w="108" w:type="dxa"/>
            <w:bottom w:w="0" w:type="dxa"/>
            <w:right w:w="108" w:type="dxa"/>
          </w:tblCellMar>
        </w:tblPrEx>
        <w:trPr>
          <w:jc w:val="center"/>
        </w:trPr>
        <w:tc>
          <w:tcPr>
            <w:tcW w:w="4264" w:type="dxa"/>
            <w:gridSpan w:val="2"/>
            <w:shd w:val="clear" w:color="auto" w:fill="auto"/>
          </w:tcPr>
          <w:p w14:paraId="6B88038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代表人身份证号码：</w:t>
            </w:r>
          </w:p>
        </w:tc>
        <w:tc>
          <w:tcPr>
            <w:tcW w:w="4264" w:type="dxa"/>
            <w:shd w:val="clear" w:color="auto" w:fill="auto"/>
          </w:tcPr>
          <w:p w14:paraId="4A132EC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营业执照或事业单位法人证书号码：</w:t>
            </w:r>
          </w:p>
        </w:tc>
      </w:tr>
      <w:tr w14:paraId="6B672351">
        <w:tblPrEx>
          <w:tblCellMar>
            <w:top w:w="0" w:type="dxa"/>
            <w:left w:w="108" w:type="dxa"/>
            <w:bottom w:w="0" w:type="dxa"/>
            <w:right w:w="108" w:type="dxa"/>
          </w:tblCellMar>
        </w:tblPrEx>
        <w:trPr>
          <w:jc w:val="center"/>
        </w:trPr>
        <w:tc>
          <w:tcPr>
            <w:tcW w:w="4264" w:type="dxa"/>
            <w:gridSpan w:val="2"/>
            <w:shd w:val="clear" w:color="auto" w:fill="auto"/>
          </w:tcPr>
          <w:p w14:paraId="10C2649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4264" w:type="dxa"/>
            <w:shd w:val="clear" w:color="auto" w:fill="auto"/>
          </w:tcPr>
          <w:p w14:paraId="60A12C3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tc>
      </w:tr>
      <w:tr w14:paraId="1C21952C">
        <w:tblPrEx>
          <w:tblCellMar>
            <w:top w:w="0" w:type="dxa"/>
            <w:left w:w="108" w:type="dxa"/>
            <w:bottom w:w="0" w:type="dxa"/>
            <w:right w:w="108" w:type="dxa"/>
          </w:tblCellMar>
        </w:tblPrEx>
        <w:trPr>
          <w:jc w:val="center"/>
        </w:trPr>
        <w:tc>
          <w:tcPr>
            <w:tcW w:w="8528" w:type="dxa"/>
            <w:gridSpan w:val="3"/>
            <w:shd w:val="clear" w:color="auto" w:fill="auto"/>
          </w:tcPr>
          <w:p w14:paraId="7AF22B5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主营（产）：</w:t>
            </w:r>
          </w:p>
        </w:tc>
      </w:tr>
      <w:tr w14:paraId="0FCC369D">
        <w:tblPrEx>
          <w:tblCellMar>
            <w:top w:w="0" w:type="dxa"/>
            <w:left w:w="108" w:type="dxa"/>
            <w:bottom w:w="0" w:type="dxa"/>
            <w:right w:w="108" w:type="dxa"/>
          </w:tblCellMar>
        </w:tblPrEx>
        <w:trPr>
          <w:jc w:val="center"/>
        </w:trPr>
        <w:tc>
          <w:tcPr>
            <w:tcW w:w="8528" w:type="dxa"/>
            <w:gridSpan w:val="3"/>
            <w:shd w:val="clear" w:color="auto" w:fill="auto"/>
          </w:tcPr>
          <w:p w14:paraId="164FE0E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兼营（产）：</w:t>
            </w:r>
          </w:p>
        </w:tc>
      </w:tr>
      <w:tr w14:paraId="26626D5C">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14:paraId="10FD276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tc>
      </w:tr>
      <w:tr w14:paraId="29E2C0E6">
        <w:tblPrEx>
          <w:tblCellMar>
            <w:top w:w="0" w:type="dxa"/>
            <w:left w:w="108" w:type="dxa"/>
            <w:bottom w:w="0" w:type="dxa"/>
            <w:right w:w="108" w:type="dxa"/>
          </w:tblCellMar>
        </w:tblPrEx>
        <w:trPr>
          <w:jc w:val="center"/>
        </w:trPr>
        <w:tc>
          <w:tcPr>
            <w:tcW w:w="2802" w:type="dxa"/>
            <w:shd w:val="clear" w:color="auto" w:fill="auto"/>
          </w:tcPr>
          <w:p w14:paraId="1E2D31F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75500532">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178E5C27">
        <w:tblPrEx>
          <w:tblCellMar>
            <w:top w:w="0" w:type="dxa"/>
            <w:left w:w="108" w:type="dxa"/>
            <w:bottom w:w="0" w:type="dxa"/>
            <w:right w:w="108" w:type="dxa"/>
          </w:tblCellMar>
        </w:tblPrEx>
        <w:trPr>
          <w:jc w:val="center"/>
        </w:trPr>
        <w:tc>
          <w:tcPr>
            <w:tcW w:w="2802" w:type="dxa"/>
            <w:shd w:val="clear" w:color="auto" w:fill="auto"/>
          </w:tcPr>
          <w:p w14:paraId="3DC9C04E">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15C18CC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14:paraId="7ADE0B3C">
        <w:tblPrEx>
          <w:tblCellMar>
            <w:top w:w="0" w:type="dxa"/>
            <w:left w:w="108" w:type="dxa"/>
            <w:bottom w:w="0" w:type="dxa"/>
            <w:right w:w="108" w:type="dxa"/>
          </w:tblCellMar>
        </w:tblPrEx>
        <w:trPr>
          <w:jc w:val="center"/>
        </w:trPr>
        <w:tc>
          <w:tcPr>
            <w:tcW w:w="2802" w:type="dxa"/>
            <w:shd w:val="clear" w:color="auto" w:fill="auto"/>
          </w:tcPr>
          <w:p w14:paraId="116BC13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4A5DD0D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235AA62A">
      <w:pPr>
        <w:keepNext w:val="0"/>
        <w:keepLines w:val="0"/>
        <w:pageBreakBefore w:val="0"/>
        <w:kinsoku/>
        <w:wordWrap/>
        <w:overflowPunct/>
        <w:topLinePunct w:val="0"/>
        <w:autoSpaceDE/>
        <w:autoSpaceDN/>
        <w:bidi w:val="0"/>
        <w:adjustRightInd/>
        <w:snapToGrid/>
        <w:spacing w:before="120" w:beforeLines="50" w:after="72" w:afterLines="3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须附：法定代表人有效期内身份证复印件</w:t>
      </w:r>
    </w:p>
    <w:tbl>
      <w:tblPr>
        <w:tblStyle w:val="44"/>
        <w:tblW w:w="894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77"/>
        <w:gridCol w:w="4264"/>
      </w:tblGrid>
      <w:tr w14:paraId="465A368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4677" w:type="dxa"/>
            <w:vAlign w:val="center"/>
          </w:tcPr>
          <w:p w14:paraId="60BD7164">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14:paraId="0FE6F327">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4611E408">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14:paraId="764C575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24"/>
          <w:szCs w:val="24"/>
          <w:highlight w:val="none"/>
        </w:rPr>
        <w:br w:type="page"/>
      </w:r>
    </w:p>
    <w:p w14:paraId="2A43BAD7">
      <w:pPr>
        <w:spacing w:line="360" w:lineRule="auto"/>
        <w:jc w:val="center"/>
        <w:rPr>
          <w:rFonts w:hint="eastAsia" w:ascii="宋体" w:hAnsi="宋体" w:eastAsia="宋体" w:cs="宋体"/>
          <w:b/>
          <w:color w:val="auto"/>
          <w:sz w:val="36"/>
          <w:szCs w:val="36"/>
          <w:highlight w:val="none"/>
        </w:rPr>
      </w:pPr>
    </w:p>
    <w:p w14:paraId="0658185C">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五、法定代表人授权委托书</w:t>
      </w:r>
    </w:p>
    <w:p w14:paraId="6B20C395">
      <w:pPr>
        <w:keepNext w:val="0"/>
        <w:keepLines w:val="0"/>
        <w:pageBreakBefore w:val="0"/>
        <w:kinsoku/>
        <w:wordWrap/>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14:paraId="24DFDE23">
      <w:pPr>
        <w:pStyle w:val="135"/>
        <w:keepNext w:val="0"/>
        <w:keepLines w:val="0"/>
        <w:pageBreakBefore w:val="0"/>
        <w:kinsoku/>
        <w:wordWrap/>
        <w:overflowPunct/>
        <w:topLinePunct w:val="0"/>
        <w:autoSpaceDE/>
        <w:autoSpaceDN/>
        <w:bidi w:val="0"/>
        <w:adjustRightInd/>
        <w:snapToGrid/>
        <w:spacing w:line="288" w:lineRule="auto"/>
        <w:ind w:firstLine="45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为我方合法代理人。代理人根据授权，以我方名义签署、澄清、说明、补正、递交、撤回、修改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 xml:space="preserve">名称）      </w:t>
      </w:r>
      <w:r>
        <w:rPr>
          <w:rFonts w:hint="eastAsia" w:ascii="宋体" w:hAnsi="宋体" w:eastAsia="宋体" w:cs="宋体"/>
          <w:color w:val="auto"/>
          <w:sz w:val="24"/>
          <w:szCs w:val="24"/>
          <w:highlight w:val="none"/>
        </w:rPr>
        <w:t>（</w:t>
      </w:r>
      <w:r>
        <w:rPr>
          <w:rFonts w:hint="eastAsia" w:asci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）投标文件、签订合同和处理有关事宜，其法律后果由我方承担。</w:t>
      </w:r>
    </w:p>
    <w:p w14:paraId="3FF266A4">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本委托书于</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日签字生效，特此证明。</w:t>
      </w:r>
    </w:p>
    <w:p w14:paraId="6F3143EB">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w:t>
      </w:r>
    </w:p>
    <w:p w14:paraId="032BC079">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7650DD3E">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tbl>
      <w:tblPr>
        <w:tblStyle w:val="44"/>
        <w:tblW w:w="5726" w:type="dxa"/>
        <w:tblInd w:w="0" w:type="dxa"/>
        <w:tblLayout w:type="fixed"/>
        <w:tblCellMar>
          <w:top w:w="0" w:type="dxa"/>
          <w:left w:w="108" w:type="dxa"/>
          <w:bottom w:w="0" w:type="dxa"/>
          <w:right w:w="108" w:type="dxa"/>
        </w:tblCellMar>
      </w:tblPr>
      <w:tblGrid>
        <w:gridCol w:w="5726"/>
      </w:tblGrid>
      <w:tr w14:paraId="48A1126E">
        <w:tblPrEx>
          <w:tblCellMar>
            <w:top w:w="0" w:type="dxa"/>
            <w:left w:w="108" w:type="dxa"/>
            <w:bottom w:w="0" w:type="dxa"/>
            <w:right w:w="108" w:type="dxa"/>
          </w:tblCellMar>
        </w:tblPrEx>
        <w:tc>
          <w:tcPr>
            <w:tcW w:w="5726" w:type="dxa"/>
            <w:shd w:val="clear" w:color="auto" w:fill="auto"/>
          </w:tcPr>
          <w:p w14:paraId="5D8A0F9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5B5EFA79">
        <w:tblPrEx>
          <w:tblCellMar>
            <w:top w:w="0" w:type="dxa"/>
            <w:left w:w="108" w:type="dxa"/>
            <w:bottom w:w="0" w:type="dxa"/>
            <w:right w:w="108" w:type="dxa"/>
          </w:tblCellMar>
        </w:tblPrEx>
        <w:tc>
          <w:tcPr>
            <w:tcW w:w="5726" w:type="dxa"/>
            <w:shd w:val="clear" w:color="auto" w:fill="auto"/>
          </w:tcPr>
          <w:p w14:paraId="4D585F3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14:paraId="08115B40">
        <w:tblPrEx>
          <w:tblCellMar>
            <w:top w:w="0" w:type="dxa"/>
            <w:left w:w="108" w:type="dxa"/>
            <w:bottom w:w="0" w:type="dxa"/>
            <w:right w:w="108" w:type="dxa"/>
          </w:tblCellMar>
        </w:tblPrEx>
        <w:tc>
          <w:tcPr>
            <w:tcW w:w="5726" w:type="dxa"/>
            <w:shd w:val="clear" w:color="auto" w:fill="auto"/>
          </w:tcPr>
          <w:p w14:paraId="62D0DCA2">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14:paraId="6DD8EE62">
        <w:tblPrEx>
          <w:tblCellMar>
            <w:top w:w="0" w:type="dxa"/>
            <w:left w:w="108" w:type="dxa"/>
            <w:bottom w:w="0" w:type="dxa"/>
            <w:right w:w="108" w:type="dxa"/>
          </w:tblCellMar>
        </w:tblPrEx>
        <w:tc>
          <w:tcPr>
            <w:tcW w:w="5726" w:type="dxa"/>
            <w:shd w:val="clear" w:color="auto" w:fill="auto"/>
          </w:tcPr>
          <w:p w14:paraId="230AAC7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被授权人（签名或盖章）：</w:t>
            </w:r>
          </w:p>
        </w:tc>
      </w:tr>
      <w:tr w14:paraId="3C5FC450">
        <w:tblPrEx>
          <w:tblCellMar>
            <w:top w:w="0" w:type="dxa"/>
            <w:left w:w="108" w:type="dxa"/>
            <w:bottom w:w="0" w:type="dxa"/>
            <w:right w:w="108" w:type="dxa"/>
          </w:tblCellMar>
        </w:tblPrEx>
        <w:tc>
          <w:tcPr>
            <w:tcW w:w="5726" w:type="dxa"/>
            <w:shd w:val="clear" w:color="auto" w:fill="auto"/>
          </w:tcPr>
          <w:p w14:paraId="5FA3158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14:paraId="56A429DD">
        <w:tblPrEx>
          <w:tblCellMar>
            <w:top w:w="0" w:type="dxa"/>
            <w:left w:w="108" w:type="dxa"/>
            <w:bottom w:w="0" w:type="dxa"/>
            <w:right w:w="108" w:type="dxa"/>
          </w:tblCellMar>
        </w:tblPrEx>
        <w:tc>
          <w:tcPr>
            <w:tcW w:w="5726" w:type="dxa"/>
            <w:shd w:val="clear" w:color="auto" w:fill="auto"/>
          </w:tcPr>
          <w:p w14:paraId="59BBD5D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tc>
      </w:tr>
    </w:tbl>
    <w:p w14:paraId="1C500E26">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3A77EDA8">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5D406946">
      <w:pPr>
        <w:keepNext w:val="0"/>
        <w:keepLines w:val="0"/>
        <w:pageBreakBefore w:val="0"/>
        <w:kinsoku/>
        <w:wordWrap/>
        <w:overflowPunct/>
        <w:topLinePunct w:val="0"/>
        <w:autoSpaceDE/>
        <w:autoSpaceDN/>
        <w:bidi w:val="0"/>
        <w:adjustRightInd/>
        <w:snapToGrid/>
        <w:spacing w:after="120" w:after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须附：被授权人有效期内身份证复印件</w:t>
      </w:r>
    </w:p>
    <w:tbl>
      <w:tblPr>
        <w:tblStyle w:val="44"/>
        <w:tblW w:w="879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5"/>
        <w:gridCol w:w="4264"/>
      </w:tblGrid>
      <w:tr w14:paraId="6C41F71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4535" w:type="dxa"/>
            <w:vAlign w:val="center"/>
          </w:tcPr>
          <w:p w14:paraId="5CEA84F0">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14:paraId="17433DDD">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2F8BA37F">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14:paraId="40929505">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6FA7E5A9">
      <w:pPr>
        <w:spacing w:line="360" w:lineRule="auto"/>
        <w:jc w:val="center"/>
        <w:rPr>
          <w:rFonts w:hint="eastAsia" w:ascii="宋体" w:hAnsi="宋体" w:eastAsia="宋体" w:cs="宋体"/>
          <w:b/>
          <w:color w:val="auto"/>
          <w:sz w:val="36"/>
          <w:szCs w:val="36"/>
          <w:highlight w:val="none"/>
        </w:rPr>
      </w:pPr>
    </w:p>
    <w:p w14:paraId="76228558">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六、供应商基本情况说明</w:t>
      </w:r>
    </w:p>
    <w:p w14:paraId="2FE53E15">
      <w:pPr>
        <w:pStyle w:val="94"/>
        <w:keepNext w:val="0"/>
        <w:keepLines w:val="0"/>
        <w:pageBreakBefore w:val="0"/>
        <w:numPr>
          <w:ilvl w:val="0"/>
          <w:numId w:val="9"/>
        </w:numPr>
        <w:kinsoku/>
        <w:wordWrap/>
        <w:topLinePunct w:val="0"/>
        <w:autoSpaceDE/>
        <w:autoSpaceDN/>
        <w:bidi w:val="0"/>
        <w:snapToGrid/>
        <w:spacing w:after="120" w:afterLines="50"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公司基本情况</w:t>
      </w:r>
    </w:p>
    <w:tbl>
      <w:tblPr>
        <w:tblStyle w:val="44"/>
        <w:tblW w:w="9096" w:type="dxa"/>
        <w:jc w:val="center"/>
        <w:tblLayout w:type="fixed"/>
        <w:tblCellMar>
          <w:top w:w="0" w:type="dxa"/>
          <w:left w:w="108" w:type="dxa"/>
          <w:bottom w:w="0" w:type="dxa"/>
          <w:right w:w="108" w:type="dxa"/>
        </w:tblCellMar>
      </w:tblPr>
      <w:tblGrid>
        <w:gridCol w:w="2114"/>
        <w:gridCol w:w="2372"/>
        <w:gridCol w:w="1039"/>
        <w:gridCol w:w="1371"/>
        <w:gridCol w:w="2200"/>
      </w:tblGrid>
      <w:tr w14:paraId="1C133EAA">
        <w:tblPrEx>
          <w:tblCellMar>
            <w:top w:w="0" w:type="dxa"/>
            <w:left w:w="108" w:type="dxa"/>
            <w:bottom w:w="0" w:type="dxa"/>
            <w:right w:w="108" w:type="dxa"/>
          </w:tblCellMar>
        </w:tblPrEx>
        <w:trPr>
          <w:jc w:val="center"/>
        </w:trPr>
        <w:tc>
          <w:tcPr>
            <w:tcW w:w="5525" w:type="dxa"/>
            <w:gridSpan w:val="3"/>
            <w:shd w:val="clear" w:color="auto" w:fill="auto"/>
          </w:tcPr>
          <w:p w14:paraId="1D6FF7A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w:t>
            </w:r>
          </w:p>
        </w:tc>
        <w:tc>
          <w:tcPr>
            <w:tcW w:w="3571" w:type="dxa"/>
            <w:gridSpan w:val="2"/>
            <w:shd w:val="clear" w:color="auto" w:fill="auto"/>
          </w:tcPr>
          <w:p w14:paraId="3595E58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公司固话：</w:t>
            </w:r>
          </w:p>
        </w:tc>
      </w:tr>
      <w:tr w14:paraId="1729798D">
        <w:tblPrEx>
          <w:tblCellMar>
            <w:top w:w="0" w:type="dxa"/>
            <w:left w:w="108" w:type="dxa"/>
            <w:bottom w:w="0" w:type="dxa"/>
            <w:right w:w="108" w:type="dxa"/>
          </w:tblCellMar>
        </w:tblPrEx>
        <w:trPr>
          <w:jc w:val="center"/>
        </w:trPr>
        <w:tc>
          <w:tcPr>
            <w:tcW w:w="5525" w:type="dxa"/>
            <w:gridSpan w:val="3"/>
            <w:shd w:val="clear" w:color="auto" w:fill="auto"/>
          </w:tcPr>
          <w:p w14:paraId="37C0DE2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3571" w:type="dxa"/>
            <w:gridSpan w:val="2"/>
            <w:shd w:val="clear" w:color="auto" w:fill="auto"/>
          </w:tcPr>
          <w:p w14:paraId="622B7CB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公司传真：</w:t>
            </w:r>
          </w:p>
        </w:tc>
      </w:tr>
      <w:tr w14:paraId="4F73E9F3">
        <w:tblPrEx>
          <w:tblCellMar>
            <w:top w:w="0" w:type="dxa"/>
            <w:left w:w="108" w:type="dxa"/>
            <w:bottom w:w="0" w:type="dxa"/>
            <w:right w:w="108" w:type="dxa"/>
          </w:tblCellMar>
        </w:tblPrEx>
        <w:trPr>
          <w:jc w:val="center"/>
        </w:trPr>
        <w:tc>
          <w:tcPr>
            <w:tcW w:w="5525" w:type="dxa"/>
            <w:gridSpan w:val="3"/>
            <w:shd w:val="clear" w:color="auto" w:fill="auto"/>
          </w:tcPr>
          <w:p w14:paraId="6854B68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3571" w:type="dxa"/>
            <w:gridSpan w:val="2"/>
            <w:shd w:val="clear" w:color="auto" w:fill="auto"/>
          </w:tcPr>
          <w:p w14:paraId="70D5B2C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r>
      <w:tr w14:paraId="18037DAE">
        <w:tblPrEx>
          <w:tblCellMar>
            <w:top w:w="0" w:type="dxa"/>
            <w:left w:w="108" w:type="dxa"/>
            <w:bottom w:w="0" w:type="dxa"/>
            <w:right w:w="108" w:type="dxa"/>
          </w:tblCellMar>
        </w:tblPrEx>
        <w:trPr>
          <w:jc w:val="center"/>
        </w:trPr>
        <w:tc>
          <w:tcPr>
            <w:tcW w:w="5525" w:type="dxa"/>
            <w:gridSpan w:val="3"/>
            <w:shd w:val="clear" w:color="auto" w:fill="auto"/>
          </w:tcPr>
          <w:p w14:paraId="2EBAC71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公司开户银行名称：</w:t>
            </w:r>
          </w:p>
        </w:tc>
        <w:tc>
          <w:tcPr>
            <w:tcW w:w="3571" w:type="dxa"/>
            <w:gridSpan w:val="2"/>
            <w:shd w:val="clear" w:color="auto" w:fill="auto"/>
          </w:tcPr>
          <w:p w14:paraId="63E31FD5">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p>
        </w:tc>
      </w:tr>
      <w:tr w14:paraId="7E2D7AF7">
        <w:tblPrEx>
          <w:tblCellMar>
            <w:top w:w="0" w:type="dxa"/>
            <w:left w:w="108" w:type="dxa"/>
            <w:bottom w:w="0" w:type="dxa"/>
            <w:right w:w="108" w:type="dxa"/>
          </w:tblCellMar>
        </w:tblPrEx>
        <w:trPr>
          <w:jc w:val="center"/>
        </w:trPr>
        <w:tc>
          <w:tcPr>
            <w:tcW w:w="9096" w:type="dxa"/>
            <w:gridSpan w:val="5"/>
            <w:shd w:val="clear" w:color="auto" w:fill="auto"/>
          </w:tcPr>
          <w:p w14:paraId="5F086795">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营业注册执照或事业单位法人证书号：</w:t>
            </w:r>
          </w:p>
        </w:tc>
      </w:tr>
      <w:tr w14:paraId="37E074E0">
        <w:tblPrEx>
          <w:tblCellMar>
            <w:top w:w="0" w:type="dxa"/>
            <w:left w:w="108" w:type="dxa"/>
            <w:bottom w:w="0" w:type="dxa"/>
            <w:right w:w="108" w:type="dxa"/>
          </w:tblCellMar>
        </w:tblPrEx>
        <w:trPr>
          <w:trHeight w:val="583" w:hRule="atLeast"/>
          <w:jc w:val="center"/>
        </w:trPr>
        <w:tc>
          <w:tcPr>
            <w:tcW w:w="9096" w:type="dxa"/>
            <w:gridSpan w:val="5"/>
            <w:shd w:val="clear" w:color="auto" w:fill="auto"/>
          </w:tcPr>
          <w:p w14:paraId="729BC1E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公司财务状况：（如需）                            【价格单位：（人民币）元】</w:t>
            </w:r>
          </w:p>
        </w:tc>
      </w:tr>
      <w:tr w14:paraId="3AC8182F">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vAlign w:val="center"/>
          </w:tcPr>
          <w:p w14:paraId="37B7ED0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14:paraId="1B268C5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4440EE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年营业额（元）</w:t>
            </w:r>
          </w:p>
        </w:tc>
        <w:tc>
          <w:tcPr>
            <w:tcW w:w="2200" w:type="dxa"/>
            <w:tcBorders>
              <w:top w:val="single" w:color="auto" w:sz="6" w:space="0"/>
              <w:left w:val="single" w:color="auto" w:sz="6" w:space="0"/>
              <w:bottom w:val="single" w:color="auto" w:sz="6" w:space="0"/>
              <w:right w:val="single" w:color="auto" w:sz="6" w:space="0"/>
            </w:tcBorders>
            <w:shd w:val="clear" w:color="auto" w:fill="auto"/>
            <w:vAlign w:val="center"/>
          </w:tcPr>
          <w:p w14:paraId="6145C1A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年净利润（元）</w:t>
            </w:r>
          </w:p>
        </w:tc>
      </w:tr>
      <w:tr w14:paraId="4DDAED51">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21D736D8">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43B2D7DB">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3D3C44C8">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6E793F3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7EA6A09E">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768EDAA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56577C85">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43891F7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67E10DB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6DC14706">
      <w:pPr>
        <w:keepNext w:val="0"/>
        <w:keepLines w:val="0"/>
        <w:pageBreakBefore w:val="0"/>
        <w:kinsoku/>
        <w:wordWrap/>
        <w:topLinePunct w:val="0"/>
        <w:autoSpaceDE/>
        <w:autoSpaceDN/>
        <w:bidi w:val="0"/>
        <w:snapToGrid/>
        <w:spacing w:before="120" w:beforeLines="50" w:after="120" w:afterLines="50"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备注：需提供证明资料内容详见</w:t>
      </w:r>
      <w:r>
        <w:rPr>
          <w:rFonts w:hint="eastAsia" w:ascii="宋体" w:hAnsi="宋体" w:eastAsia="宋体" w:cs="宋体"/>
          <w:color w:val="auto"/>
          <w:sz w:val="24"/>
          <w:szCs w:val="24"/>
          <w:highlight w:val="none"/>
          <w:u w:val="single"/>
        </w:rPr>
        <w:t>（评标方法）</w:t>
      </w:r>
      <w:r>
        <w:rPr>
          <w:rFonts w:hint="eastAsia" w:ascii="宋体" w:hAnsi="宋体" w:eastAsia="宋体" w:cs="宋体"/>
          <w:color w:val="auto"/>
          <w:sz w:val="24"/>
          <w:szCs w:val="24"/>
          <w:highlight w:val="none"/>
        </w:rPr>
        <w:t>。</w:t>
      </w:r>
    </w:p>
    <w:p w14:paraId="02B15C4D">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p>
    <w:p w14:paraId="1062535C">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兹证明上述声明是真实、正确的，并提供了全部能提供的资料和数据，我方同意遵照贵方要求出示有关证明文件。</w:t>
      </w:r>
    </w:p>
    <w:tbl>
      <w:tblPr>
        <w:tblStyle w:val="44"/>
        <w:tblW w:w="8528" w:type="dxa"/>
        <w:tblInd w:w="0" w:type="dxa"/>
        <w:tblLayout w:type="fixed"/>
        <w:tblCellMar>
          <w:top w:w="0" w:type="dxa"/>
          <w:left w:w="108" w:type="dxa"/>
          <w:bottom w:w="0" w:type="dxa"/>
          <w:right w:w="108" w:type="dxa"/>
        </w:tblCellMar>
      </w:tblPr>
      <w:tblGrid>
        <w:gridCol w:w="5353"/>
        <w:gridCol w:w="3175"/>
      </w:tblGrid>
      <w:tr w14:paraId="7C7820CF">
        <w:tblPrEx>
          <w:tblCellMar>
            <w:top w:w="0" w:type="dxa"/>
            <w:left w:w="108" w:type="dxa"/>
            <w:bottom w:w="0" w:type="dxa"/>
            <w:right w:w="108" w:type="dxa"/>
          </w:tblCellMar>
        </w:tblPrEx>
        <w:tc>
          <w:tcPr>
            <w:tcW w:w="5353" w:type="dxa"/>
            <w:shd w:val="clear" w:color="auto" w:fill="auto"/>
          </w:tcPr>
          <w:p w14:paraId="1FE96078">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7263A94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3B249353">
        <w:tblPrEx>
          <w:tblCellMar>
            <w:top w:w="0" w:type="dxa"/>
            <w:left w:w="108" w:type="dxa"/>
            <w:bottom w:w="0" w:type="dxa"/>
            <w:right w:w="108" w:type="dxa"/>
          </w:tblCellMar>
        </w:tblPrEx>
        <w:tc>
          <w:tcPr>
            <w:tcW w:w="5353" w:type="dxa"/>
            <w:shd w:val="clear" w:color="auto" w:fill="auto"/>
          </w:tcPr>
          <w:p w14:paraId="0D75B08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40CA3ED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4E8BFBB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09679C3B">
      <w:pP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br w:type="page"/>
      </w:r>
    </w:p>
    <w:p w14:paraId="0F11291C">
      <w:pPr>
        <w:spacing w:line="360" w:lineRule="auto"/>
        <w:jc w:val="center"/>
        <w:rPr>
          <w:rFonts w:hint="eastAsia" w:ascii="宋体" w:hAnsi="宋体" w:eastAsia="宋体" w:cs="宋体"/>
          <w:b/>
          <w:color w:val="auto"/>
          <w:sz w:val="36"/>
          <w:szCs w:val="36"/>
          <w:highlight w:val="none"/>
        </w:rPr>
      </w:pPr>
    </w:p>
    <w:p w14:paraId="1BB669EC">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七、承诺书</w:t>
      </w:r>
    </w:p>
    <w:p w14:paraId="59AA6F47">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hAnsi="宋体" w:eastAsia="宋体" w:cs="宋体"/>
          <w:color w:val="auto"/>
          <w:spacing w:val="2"/>
          <w:sz w:val="24"/>
          <w:szCs w:val="24"/>
          <w:highlight w:val="none"/>
        </w:rPr>
      </w:pPr>
      <w:bookmarkStart w:id="44" w:name="_Toc313537922"/>
      <w:r>
        <w:rPr>
          <w:rFonts w:hint="eastAsia" w:ascii="宋体" w:hAnsi="宋体" w:eastAsia="宋体" w:cs="宋体"/>
          <w:color w:val="auto"/>
          <w:spacing w:val="2"/>
          <w:sz w:val="24"/>
          <w:szCs w:val="24"/>
          <w:highlight w:val="none"/>
        </w:rPr>
        <w:t>我方已完整阅读了</w:t>
      </w:r>
      <w:r>
        <w:rPr>
          <w:rFonts w:hint="eastAsia" w:ascii="宋体" w:hAnsi="宋体" w:eastAsia="宋体" w:cs="宋体"/>
          <w:color w:val="auto"/>
          <w:spacing w:val="2"/>
          <w:sz w:val="24"/>
          <w:szCs w:val="24"/>
          <w:highlight w:val="none"/>
          <w:u w:val="single"/>
        </w:rPr>
        <w:t>（</w:t>
      </w:r>
      <w:r>
        <w:rPr>
          <w:rFonts w:hint="eastAsia" w:ascii="宋体" w:hAnsi="宋体" w:eastAsia="宋体" w:cs="宋体"/>
          <w:b/>
          <w:color w:val="auto"/>
          <w:spacing w:val="2"/>
          <w:sz w:val="24"/>
          <w:szCs w:val="24"/>
          <w:highlight w:val="none"/>
          <w:u w:val="single"/>
        </w:rPr>
        <w:t>项目名称</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（项目编号：</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）招标文件的所有内容（包括澄清，以及所有已提供的参考资料和有关附件），并完全理解上述文件所表达的意思，该项目递交投标文件时间截止后，我方承诺不再对上述文件内容进行询问或质疑。</w:t>
      </w:r>
      <w:bookmarkEnd w:id="44"/>
      <w:r>
        <w:rPr>
          <w:rFonts w:hint="eastAsia" w:ascii="宋体" w:hAnsi="宋体" w:eastAsia="宋体" w:cs="宋体"/>
          <w:color w:val="auto"/>
          <w:spacing w:val="2"/>
          <w:sz w:val="24"/>
          <w:szCs w:val="24"/>
          <w:highlight w:val="none"/>
        </w:rPr>
        <w:cr/>
      </w:r>
    </w:p>
    <w:p w14:paraId="09B474AA">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pacing w:val="2"/>
          <w:sz w:val="24"/>
          <w:szCs w:val="24"/>
          <w:highlight w:val="none"/>
        </w:rPr>
      </w:pPr>
    </w:p>
    <w:p w14:paraId="5455A2B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2802"/>
        <w:gridCol w:w="5726"/>
      </w:tblGrid>
      <w:tr w14:paraId="7F3F9D40">
        <w:tblPrEx>
          <w:tblCellMar>
            <w:top w:w="0" w:type="dxa"/>
            <w:left w:w="108" w:type="dxa"/>
            <w:bottom w:w="0" w:type="dxa"/>
            <w:right w:w="108" w:type="dxa"/>
          </w:tblCellMar>
        </w:tblPrEx>
        <w:tc>
          <w:tcPr>
            <w:tcW w:w="2802" w:type="dxa"/>
            <w:shd w:val="clear" w:color="auto" w:fill="auto"/>
          </w:tcPr>
          <w:p w14:paraId="25FAF30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2D59AF42">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294C04C7">
        <w:tblPrEx>
          <w:tblCellMar>
            <w:top w:w="0" w:type="dxa"/>
            <w:left w:w="108" w:type="dxa"/>
            <w:bottom w:w="0" w:type="dxa"/>
            <w:right w:w="108" w:type="dxa"/>
          </w:tblCellMar>
        </w:tblPrEx>
        <w:tc>
          <w:tcPr>
            <w:tcW w:w="2802" w:type="dxa"/>
            <w:shd w:val="clear" w:color="auto" w:fill="auto"/>
          </w:tcPr>
          <w:p w14:paraId="50722D7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C346E2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48391DE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法定代表人或被授权人（签名或盖章）：</w:t>
            </w:r>
          </w:p>
        </w:tc>
      </w:tr>
      <w:tr w14:paraId="6F108ECA">
        <w:tblPrEx>
          <w:tblCellMar>
            <w:top w:w="0" w:type="dxa"/>
            <w:left w:w="108" w:type="dxa"/>
            <w:bottom w:w="0" w:type="dxa"/>
            <w:right w:w="108" w:type="dxa"/>
          </w:tblCellMar>
        </w:tblPrEx>
        <w:tc>
          <w:tcPr>
            <w:tcW w:w="2802" w:type="dxa"/>
            <w:shd w:val="clear" w:color="auto" w:fill="auto"/>
          </w:tcPr>
          <w:p w14:paraId="24216E7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78F3602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32EF8C5B">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0D5473E1">
      <w:pPr>
        <w:spacing w:line="360" w:lineRule="auto"/>
        <w:rPr>
          <w:rFonts w:hint="eastAsia" w:ascii="宋体" w:hAnsi="宋体" w:eastAsia="宋体" w:cs="宋体"/>
          <w:color w:val="auto"/>
          <w:szCs w:val="21"/>
          <w:highlight w:val="none"/>
        </w:rPr>
      </w:pPr>
    </w:p>
    <w:p w14:paraId="677178D4">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224251C9">
      <w:pPr>
        <w:spacing w:line="360" w:lineRule="auto"/>
        <w:jc w:val="center"/>
        <w:rPr>
          <w:rFonts w:hint="eastAsia" w:ascii="宋体" w:hAnsi="宋体" w:eastAsia="宋体" w:cs="宋体"/>
          <w:b/>
          <w:color w:val="auto"/>
          <w:sz w:val="36"/>
          <w:szCs w:val="36"/>
          <w:highlight w:val="none"/>
        </w:rPr>
      </w:pPr>
    </w:p>
    <w:p w14:paraId="2CFA3980">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八、商务偏离表</w:t>
      </w:r>
    </w:p>
    <w:tbl>
      <w:tblPr>
        <w:tblStyle w:val="44"/>
        <w:tblW w:w="926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67"/>
        <w:gridCol w:w="2700"/>
        <w:gridCol w:w="1409"/>
        <w:gridCol w:w="1858"/>
      </w:tblGrid>
      <w:tr w14:paraId="35CA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62" w:type="dxa"/>
            <w:gridSpan w:val="5"/>
            <w:vAlign w:val="center"/>
          </w:tcPr>
          <w:p w14:paraId="39E20CD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14:paraId="3AD8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14:paraId="7C6CA89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67" w:type="dxa"/>
            <w:vAlign w:val="center"/>
          </w:tcPr>
          <w:p w14:paraId="31CCC16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招标文件要求</w:t>
            </w:r>
          </w:p>
        </w:tc>
        <w:tc>
          <w:tcPr>
            <w:tcW w:w="2700" w:type="dxa"/>
            <w:vAlign w:val="center"/>
          </w:tcPr>
          <w:p w14:paraId="69F3400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投标文件响应内容</w:t>
            </w:r>
          </w:p>
        </w:tc>
        <w:tc>
          <w:tcPr>
            <w:tcW w:w="1409" w:type="dxa"/>
            <w:vAlign w:val="center"/>
          </w:tcPr>
          <w:p w14:paraId="7288F92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偏离情况</w:t>
            </w:r>
          </w:p>
        </w:tc>
        <w:tc>
          <w:tcPr>
            <w:tcW w:w="1858" w:type="dxa"/>
            <w:vAlign w:val="center"/>
          </w:tcPr>
          <w:p w14:paraId="4088BAA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14:paraId="27A3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Align w:val="center"/>
          </w:tcPr>
          <w:p w14:paraId="02ACFCC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2A2BAF6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6EB6D812">
            <w:pPr>
              <w:pStyle w:val="29"/>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08CA1F5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165ACA8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0815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8" w:type="dxa"/>
            <w:vAlign w:val="center"/>
          </w:tcPr>
          <w:p w14:paraId="06E217E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156AD71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29E27AF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686F319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7E9CE8C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5217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8" w:type="dxa"/>
            <w:vAlign w:val="center"/>
          </w:tcPr>
          <w:p w14:paraId="0F04A8C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433C42F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07C9120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5A58E6A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7EC2A5D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7031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8" w:type="dxa"/>
            <w:vAlign w:val="center"/>
          </w:tcPr>
          <w:p w14:paraId="45DA15E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5B2B841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4BC36F9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4798058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1597422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45C0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8" w:type="dxa"/>
            <w:vAlign w:val="center"/>
          </w:tcPr>
          <w:p w14:paraId="55E1009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777A68A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4F77D6C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37FCBCC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12A81F5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3A13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8" w:type="dxa"/>
            <w:vAlign w:val="center"/>
          </w:tcPr>
          <w:p w14:paraId="645F0C8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78192C9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77F1A1A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57C2C80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1024D5A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14:paraId="627812B2">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14:paraId="4A22D551">
      <w:pPr>
        <w:pStyle w:val="94"/>
        <w:keepNext w:val="0"/>
        <w:keepLines w:val="0"/>
        <w:pageBreakBefore w:val="0"/>
        <w:numPr>
          <w:ilvl w:val="0"/>
          <w:numId w:val="10"/>
        </w:numPr>
        <w:kinsoku/>
        <w:wordWrap/>
        <w:topLinePunct w:val="0"/>
        <w:autoSpaceDE/>
        <w:autoSpaceDN/>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偏离情况项填写“正”、“负”或“无”，说明项中填写原因。</w:t>
      </w:r>
    </w:p>
    <w:p w14:paraId="4FB5F845">
      <w:pPr>
        <w:pStyle w:val="94"/>
        <w:keepNext w:val="0"/>
        <w:keepLines w:val="0"/>
        <w:pageBreakBefore w:val="0"/>
        <w:numPr>
          <w:ilvl w:val="0"/>
          <w:numId w:val="10"/>
        </w:numPr>
        <w:kinsoku/>
        <w:wordWrap/>
        <w:topLinePunct w:val="0"/>
        <w:autoSpaceDE/>
        <w:autoSpaceDN/>
        <w:bidi w:val="0"/>
        <w:snapToGrid/>
        <w:spacing w:line="288" w:lineRule="auto"/>
        <w:ind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供应商应按照招标文件要求，对响应有偏离的，则说明偏离的内容，若有要求提供相关证明资料的，须按要求提供，否则视为负偏离。</w:t>
      </w:r>
    </w:p>
    <w:p w14:paraId="6B1EE77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132DC736">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732503CB">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73301FC6">
        <w:tblPrEx>
          <w:tblCellMar>
            <w:top w:w="0" w:type="dxa"/>
            <w:left w:w="108" w:type="dxa"/>
            <w:bottom w:w="0" w:type="dxa"/>
            <w:right w:w="108" w:type="dxa"/>
          </w:tblCellMar>
        </w:tblPrEx>
        <w:tc>
          <w:tcPr>
            <w:tcW w:w="5353" w:type="dxa"/>
            <w:shd w:val="clear" w:color="auto" w:fill="auto"/>
          </w:tcPr>
          <w:p w14:paraId="609DAF72">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1D5A0706">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4ED84231">
        <w:tblPrEx>
          <w:tblCellMar>
            <w:top w:w="0" w:type="dxa"/>
            <w:left w:w="108" w:type="dxa"/>
            <w:bottom w:w="0" w:type="dxa"/>
            <w:right w:w="108" w:type="dxa"/>
          </w:tblCellMar>
        </w:tblPrEx>
        <w:tc>
          <w:tcPr>
            <w:tcW w:w="5353" w:type="dxa"/>
            <w:shd w:val="clear" w:color="auto" w:fill="auto"/>
          </w:tcPr>
          <w:p w14:paraId="66A5E2B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547DCD8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2F14747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12CA9AF8">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26EDCA90">
      <w:pPr>
        <w:spacing w:line="360" w:lineRule="auto"/>
        <w:rPr>
          <w:rFonts w:hint="eastAsia" w:ascii="宋体" w:hAnsi="宋体" w:eastAsia="宋体" w:cs="宋体"/>
          <w:color w:val="auto"/>
          <w:sz w:val="21"/>
          <w:szCs w:val="21"/>
          <w:highlight w:val="none"/>
        </w:rPr>
      </w:pPr>
    </w:p>
    <w:p w14:paraId="2BE294EA">
      <w:pPr>
        <w:rPr>
          <w:rFonts w:hint="eastAsia" w:ascii="宋体" w:hAnsi="宋体" w:eastAsia="宋体" w:cs="宋体"/>
          <w:b/>
          <w:color w:val="auto"/>
          <w:sz w:val="36"/>
          <w:szCs w:val="36"/>
          <w:highlight w:val="none"/>
        </w:rPr>
      </w:pPr>
      <w:r>
        <w:rPr>
          <w:rFonts w:hint="eastAsia" w:ascii="宋体" w:hAnsi="宋体" w:eastAsia="宋体" w:cs="宋体"/>
          <w:b/>
          <w:color w:val="auto"/>
          <w:spacing w:val="20"/>
          <w:sz w:val="30"/>
          <w:szCs w:val="30"/>
          <w:highlight w:val="none"/>
        </w:rPr>
        <w:br w:type="page"/>
      </w:r>
    </w:p>
    <w:p w14:paraId="31D466BD">
      <w:pPr>
        <w:pStyle w:val="16"/>
        <w:spacing w:after="0" w:line="360" w:lineRule="auto"/>
        <w:ind w:firstLine="723" w:firstLineChars="400"/>
        <w:rPr>
          <w:rFonts w:hint="eastAsia" w:ascii="宋体" w:hAnsi="宋体"/>
          <w:b/>
          <w:bCs/>
          <w:color w:val="auto"/>
          <w:sz w:val="18"/>
          <w:highlight w:val="none"/>
        </w:rPr>
      </w:pPr>
    </w:p>
    <w:p w14:paraId="715D4B1C">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九</w:t>
      </w:r>
      <w:r>
        <w:rPr>
          <w:rFonts w:hint="eastAsia" w:ascii="宋体" w:hAnsi="宋体" w:eastAsia="宋体" w:cs="宋体"/>
          <w:b/>
          <w:color w:val="auto"/>
          <w:sz w:val="36"/>
          <w:szCs w:val="36"/>
          <w:highlight w:val="none"/>
        </w:rPr>
        <w:t>、近三年（</w:t>
      </w:r>
      <w:r>
        <w:rPr>
          <w:rFonts w:hint="eastAsia" w:ascii="宋体" w:hAnsi="宋体" w:eastAsia="宋体" w:cs="宋体"/>
          <w:b/>
          <w:color w:val="auto"/>
          <w:sz w:val="36"/>
          <w:szCs w:val="36"/>
          <w:highlight w:val="none"/>
          <w:lang w:val="en-US" w:eastAsia="zh-CN"/>
        </w:rPr>
        <w:t>202</w:t>
      </w:r>
      <w:r>
        <w:rPr>
          <w:rFonts w:hint="eastAsia" w:ascii="宋体" w:hAnsi="宋体" w:cs="宋体"/>
          <w:b/>
          <w:color w:val="auto"/>
          <w:sz w:val="36"/>
          <w:szCs w:val="36"/>
          <w:highlight w:val="none"/>
          <w:lang w:val="en-US" w:eastAsia="zh-CN"/>
        </w:rPr>
        <w:t>1</w:t>
      </w:r>
      <w:r>
        <w:rPr>
          <w:rFonts w:hint="eastAsia" w:ascii="宋体" w:hAnsi="宋体" w:eastAsia="宋体" w:cs="宋体"/>
          <w:b/>
          <w:color w:val="auto"/>
          <w:sz w:val="36"/>
          <w:szCs w:val="36"/>
          <w:highlight w:val="none"/>
        </w:rPr>
        <w:t>-至今）企业业绩表</w:t>
      </w:r>
    </w:p>
    <w:tbl>
      <w:tblPr>
        <w:tblStyle w:val="44"/>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094"/>
        <w:gridCol w:w="1562"/>
        <w:gridCol w:w="1557"/>
        <w:gridCol w:w="1842"/>
        <w:gridCol w:w="1288"/>
      </w:tblGrid>
      <w:tr w14:paraId="42CE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71" w:type="dxa"/>
            <w:gridSpan w:val="6"/>
            <w:vAlign w:val="center"/>
          </w:tcPr>
          <w:p w14:paraId="31853382">
            <w:pPr>
              <w:keepNext w:val="0"/>
              <w:keepLines w:val="0"/>
              <w:pageBreakBefore w:val="0"/>
              <w:widowControl/>
              <w:kinsoku/>
              <w:wordWrap/>
              <w:topLinePunct w:val="0"/>
              <w:autoSpaceDE/>
              <w:autoSpaceDN/>
              <w:bidi w:val="0"/>
              <w:snapToGrid/>
              <w:spacing w:before="156" w:after="156"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14:paraId="7185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8" w:type="dxa"/>
            <w:vAlign w:val="center"/>
          </w:tcPr>
          <w:p w14:paraId="038AE8E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94" w:type="dxa"/>
            <w:vAlign w:val="center"/>
          </w:tcPr>
          <w:p w14:paraId="3412FD8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562" w:type="dxa"/>
            <w:vAlign w:val="center"/>
          </w:tcPr>
          <w:p w14:paraId="30241FB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tc>
        <w:tc>
          <w:tcPr>
            <w:tcW w:w="1557" w:type="dxa"/>
            <w:vAlign w:val="center"/>
          </w:tcPr>
          <w:p w14:paraId="150F0F5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签约时间</w:t>
            </w:r>
          </w:p>
        </w:tc>
        <w:tc>
          <w:tcPr>
            <w:tcW w:w="1842" w:type="dxa"/>
            <w:vAlign w:val="center"/>
          </w:tcPr>
          <w:p w14:paraId="5C1ED3B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完成情况</w:t>
            </w:r>
          </w:p>
        </w:tc>
        <w:tc>
          <w:tcPr>
            <w:tcW w:w="1288" w:type="dxa"/>
            <w:vAlign w:val="center"/>
          </w:tcPr>
          <w:p w14:paraId="286D923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39A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43D8C9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523C5FB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33A7EC41">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11198D1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0964ABB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128F187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69AF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CB51F5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6FCD1BC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7108B58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1E3A350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397BE35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7D45EB9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5537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FD2956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451C1D5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16CF976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0BA9192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19F1A54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63A14DA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6BD9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559453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78ACB15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65AA555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7400E3B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4EF6CD8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46F0FB4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4C62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00AD1A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7B941D2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77F9DC6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4980ED5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3026D6A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6AAB498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1611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4F94D06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608A1B6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68B806A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3C346CF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66A476D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68CBCD1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20F4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C86115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5756B0B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5B7FFCC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788A2BF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4805CAD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1048238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78EF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FE1ACF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67991F5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59AA11F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75FEA5C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55B1914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47010B1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7BA2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294E251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01418E8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293746F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5105177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51D1A98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3779386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bl>
    <w:p w14:paraId="0B030F6E">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备注：需提供证明资料内容详见</w:t>
      </w:r>
      <w:r>
        <w:rPr>
          <w:rFonts w:hint="eastAsia" w:ascii="宋体" w:hAnsi="宋体" w:eastAsia="宋体" w:cs="宋体"/>
          <w:color w:val="auto"/>
          <w:sz w:val="24"/>
          <w:szCs w:val="24"/>
          <w:highlight w:val="none"/>
          <w:u w:val="single"/>
        </w:rPr>
        <w:t>评标方法</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如有时</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14:paraId="46858F5C">
      <w:pPr>
        <w:pStyle w:val="3"/>
        <w:rPr>
          <w:rFonts w:hint="eastAsia"/>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5F1EC833">
        <w:tblPrEx>
          <w:tblCellMar>
            <w:top w:w="0" w:type="dxa"/>
            <w:left w:w="108" w:type="dxa"/>
            <w:bottom w:w="0" w:type="dxa"/>
            <w:right w:w="108" w:type="dxa"/>
          </w:tblCellMar>
        </w:tblPrEx>
        <w:tc>
          <w:tcPr>
            <w:tcW w:w="5353" w:type="dxa"/>
            <w:shd w:val="clear" w:color="auto" w:fill="auto"/>
          </w:tcPr>
          <w:p w14:paraId="195EC6F4">
            <w:pPr>
              <w:keepNext w:val="0"/>
              <w:keepLines w:val="0"/>
              <w:pageBreakBefore w:val="0"/>
              <w:widowControl/>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2C8A2F1F">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6EAF9BA5">
        <w:tc>
          <w:tcPr>
            <w:tcW w:w="5353" w:type="dxa"/>
            <w:shd w:val="clear" w:color="auto" w:fill="auto"/>
          </w:tcPr>
          <w:p w14:paraId="27C94254">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20D4231E">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11968B5E">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421E1352">
      <w:pPr>
        <w:spacing w:line="360" w:lineRule="auto"/>
        <w:rPr>
          <w:rFonts w:hint="eastAsia" w:ascii="宋体" w:hAnsi="宋体" w:eastAsia="宋体" w:cs="宋体"/>
          <w:color w:val="auto"/>
          <w:szCs w:val="21"/>
          <w:highlight w:val="none"/>
        </w:rPr>
      </w:pPr>
    </w:p>
    <w:p w14:paraId="6F4493E3">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705BDF3D">
      <w:pPr>
        <w:spacing w:line="360" w:lineRule="auto"/>
        <w:jc w:val="center"/>
        <w:rPr>
          <w:rFonts w:hint="eastAsia" w:ascii="宋体" w:hAnsi="宋体" w:eastAsia="宋体" w:cs="宋体"/>
          <w:b/>
          <w:color w:val="auto"/>
          <w:sz w:val="36"/>
          <w:szCs w:val="36"/>
          <w:highlight w:val="none"/>
        </w:rPr>
      </w:pPr>
    </w:p>
    <w:p w14:paraId="70ED4A03">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十、资格声明</w:t>
      </w:r>
    </w:p>
    <w:p w14:paraId="1BFA2950">
      <w:pPr>
        <w:keepNext w:val="0"/>
        <w:keepLines w:val="0"/>
        <w:pageBreakBefore w:val="0"/>
        <w:kinsoku/>
        <w:wordWrap/>
        <w:overflowPunct/>
        <w:topLinePunct w:val="0"/>
        <w:autoSpaceDE/>
        <w:autoSpaceDN/>
        <w:bidi w:val="0"/>
        <w:adjustRightInd w:val="0"/>
        <w:snapToGrid w:val="0"/>
        <w:spacing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（采购代理机构）</w:t>
      </w:r>
      <w:r>
        <w:rPr>
          <w:rFonts w:hint="eastAsia" w:ascii="宋体" w:hAnsi="宋体" w:eastAsia="宋体" w:cs="宋体"/>
          <w:b/>
          <w:color w:val="auto"/>
          <w:sz w:val="24"/>
          <w:szCs w:val="24"/>
          <w:highlight w:val="none"/>
        </w:rPr>
        <w:t>：</w:t>
      </w:r>
    </w:p>
    <w:p w14:paraId="44920922">
      <w:pPr>
        <w:keepNext w:val="0"/>
        <w:keepLines w:val="0"/>
        <w:pageBreakBefore w:val="0"/>
        <w:kinsoku/>
        <w:wordWrap/>
        <w:overflowPunct/>
        <w:topLinePunct w:val="0"/>
        <w:autoSpaceDE/>
        <w:autoSpaceDN/>
        <w:bidi w:val="0"/>
        <w:adjustRightInd w:val="0"/>
        <w:snapToGrid w:val="0"/>
        <w:spacing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我方愿响应贵方关于</w:t>
      </w:r>
      <w:r>
        <w:rPr>
          <w:rFonts w:hint="eastAsia" w:ascii="宋体" w:hAnsi="宋体" w:eastAsia="宋体" w:cs="宋体"/>
          <w:b/>
          <w:bCs/>
          <w:color w:val="auto"/>
          <w:sz w:val="24"/>
          <w:szCs w:val="24"/>
          <w:highlight w:val="none"/>
          <w:u w:val="single"/>
        </w:rPr>
        <w:t xml:space="preserve">    （项目名称）    </w:t>
      </w:r>
      <w:r>
        <w:rPr>
          <w:rFonts w:hint="eastAsia" w:ascii="宋体" w:hAnsi="宋体" w:eastAsia="宋体" w:cs="宋体"/>
          <w:b/>
          <w:bCs/>
          <w:color w:val="auto"/>
          <w:sz w:val="24"/>
          <w:szCs w:val="24"/>
          <w:highlight w:val="none"/>
        </w:rPr>
        <w:t>（项目编号：</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）的投标，参与投标，提供用户需求书中规定的货物及相关服务，并按招标文件要求提交所附资格文件且声明和保证如下：</w:t>
      </w:r>
    </w:p>
    <w:p w14:paraId="411C7832">
      <w:pPr>
        <w:keepNext w:val="0"/>
        <w:keepLines w:val="0"/>
        <w:pageBreakBefore w:val="0"/>
        <w:kinsoku/>
        <w:wordWrap/>
        <w:overflowPunct/>
        <w:topLinePunct w:val="0"/>
        <w:autoSpaceDE/>
        <w:autoSpaceDN/>
        <w:bidi w:val="0"/>
        <w:adjustRightInd w:val="0"/>
        <w:snapToGrid w:val="0"/>
        <w:spacing w:line="288" w:lineRule="auto"/>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本公司（企业）</w:t>
      </w:r>
      <w:r>
        <w:rPr>
          <w:rFonts w:hint="eastAsia" w:ascii="宋体" w:hAnsi="宋体" w:eastAsia="宋体" w:cs="宋体"/>
          <w:bCs/>
          <w:color w:val="auto"/>
          <w:sz w:val="24"/>
          <w:szCs w:val="24"/>
          <w:highlight w:val="none"/>
        </w:rPr>
        <w:t>具备招标文件中资格要求。</w:t>
      </w:r>
    </w:p>
    <w:p w14:paraId="7024F8B8">
      <w:pPr>
        <w:pStyle w:val="94"/>
        <w:keepNext w:val="0"/>
        <w:keepLines w:val="0"/>
        <w:pageBreakBefore w:val="0"/>
        <w:numPr>
          <w:ilvl w:val="0"/>
          <w:numId w:val="11"/>
        </w:numPr>
        <w:kinsoku/>
        <w:wordWrap/>
        <w:overflowPunct/>
        <w:topLinePunct w:val="0"/>
        <w:autoSpaceDE/>
        <w:autoSpaceDN/>
        <w:bidi w:val="0"/>
        <w:adjustRightInd w:val="0"/>
        <w:snapToGrid w:val="0"/>
        <w:spacing w:line="288" w:lineRule="auto"/>
        <w:ind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根据《中华人民共和国政府采购法实施条例》的规定，本公司（企业）如为招标项目提供整体设计、规范编制或者项目管理、监理、检测等服务的供应商，不再参加该招标项目的其他招标活动。</w:t>
      </w:r>
    </w:p>
    <w:p w14:paraId="0E686923">
      <w:pPr>
        <w:pStyle w:val="94"/>
        <w:keepNext w:val="0"/>
        <w:keepLines w:val="0"/>
        <w:pageBreakBefore w:val="0"/>
        <w:numPr>
          <w:ilvl w:val="0"/>
          <w:numId w:val="11"/>
        </w:numPr>
        <w:kinsoku/>
        <w:wordWrap/>
        <w:overflowPunct/>
        <w:topLinePunct w:val="0"/>
        <w:autoSpaceDE/>
        <w:autoSpaceDN/>
        <w:bidi w:val="0"/>
        <w:adjustRightInd w:val="0"/>
        <w:snapToGrid w:val="0"/>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我方承诺单位负责人为同一人或者存在直接控股、管理关系的不同供应商，不得参加同一合同项下的政府采购活动。</w:t>
      </w:r>
    </w:p>
    <w:p w14:paraId="3A8C61E1">
      <w:pPr>
        <w:keepNext w:val="0"/>
        <w:keepLines w:val="0"/>
        <w:pageBreakBefore w:val="0"/>
        <w:kinsoku/>
        <w:wordWrap/>
        <w:overflowPunct/>
        <w:topLinePunct w:val="0"/>
        <w:autoSpaceDE/>
        <w:autoSpaceDN/>
        <w:bidi w:val="0"/>
        <w:adjustRightInd w:val="0"/>
        <w:snapToGrid w:val="0"/>
        <w:spacing w:line="288"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本公司（企业）承诺在本次招标招标活动中，如有违法、违规、弄虚作假行为，所造成的损失、不良后果及法律责任，一律由我公司（企业）承担。</w:t>
      </w:r>
    </w:p>
    <w:p w14:paraId="07366631">
      <w:pPr>
        <w:keepNext w:val="0"/>
        <w:keepLines w:val="0"/>
        <w:pageBreakBefore w:val="0"/>
        <w:kinsoku/>
        <w:wordWrap/>
        <w:overflowPunct/>
        <w:topLinePunct w:val="0"/>
        <w:autoSpaceDE/>
        <w:autoSpaceDN/>
        <w:bidi w:val="0"/>
        <w:adjustRightInd w:val="0"/>
        <w:snapToGrid w:val="0"/>
        <w:spacing w:line="288"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3F1BFD7">
      <w:pPr>
        <w:keepNext w:val="0"/>
        <w:keepLines w:val="0"/>
        <w:pageBreakBefore w:val="0"/>
        <w:kinsoku/>
        <w:wordWrap/>
        <w:overflowPunct/>
        <w:topLinePunct w:val="0"/>
        <w:autoSpaceDE/>
        <w:autoSpaceDN/>
        <w:bidi w:val="0"/>
        <w:adjustRightInd w:val="0"/>
        <w:snapToGrid w:val="0"/>
        <w:spacing w:before="240" w:beforeLines="100" w:line="288" w:lineRule="auto"/>
        <w:ind w:firstLine="4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备注：1.本声明函必须提供且内容不得擅自删改，否则视为无效投标。</w:t>
      </w:r>
    </w:p>
    <w:p w14:paraId="1BDE2542">
      <w:pPr>
        <w:keepNext w:val="0"/>
        <w:keepLines w:val="0"/>
        <w:pageBreakBefore w:val="0"/>
        <w:kinsoku/>
        <w:wordWrap/>
        <w:overflowPunct/>
        <w:topLinePunct w:val="0"/>
        <w:autoSpaceDE/>
        <w:autoSpaceDN/>
        <w:bidi w:val="0"/>
        <w:adjustRightInd w:val="0"/>
        <w:snapToGrid w:val="0"/>
        <w:spacing w:line="288" w:lineRule="auto"/>
        <w:ind w:firstLine="1301" w:firstLineChars="54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2.本声明函如有虚假或与事实不符的，作无效投标处理。</w:t>
      </w:r>
    </w:p>
    <w:p w14:paraId="553C8C92">
      <w:pPr>
        <w:keepNext w:val="0"/>
        <w:keepLines w:val="0"/>
        <w:pageBreakBefore w:val="0"/>
        <w:kinsoku/>
        <w:wordWrap/>
        <w:overflowPunct/>
        <w:topLinePunct w:val="0"/>
        <w:autoSpaceDE/>
        <w:autoSpaceDN/>
        <w:bidi w:val="0"/>
        <w:adjustRightInd w:val="0"/>
        <w:snapToGrid w:val="0"/>
        <w:spacing w:after="120" w:afterLines="50" w:line="288" w:lineRule="auto"/>
        <w:textAlignment w:val="auto"/>
        <w:rPr>
          <w:rFonts w:hint="eastAsia" w:ascii="宋体" w:hAnsi="宋体" w:eastAsia="宋体" w:cs="宋体"/>
          <w:b/>
          <w:color w:val="auto"/>
          <w:sz w:val="24"/>
          <w:szCs w:val="24"/>
          <w:highlight w:val="none"/>
        </w:rPr>
      </w:pPr>
    </w:p>
    <w:p w14:paraId="257ECACF">
      <w:pPr>
        <w:keepNext w:val="0"/>
        <w:keepLines w:val="0"/>
        <w:pageBreakBefore w:val="0"/>
        <w:kinsoku/>
        <w:wordWrap/>
        <w:overflowPunct/>
        <w:topLinePunct w:val="0"/>
        <w:autoSpaceDE/>
        <w:autoSpaceDN/>
        <w:bidi w:val="0"/>
        <w:adjustRightInd w:val="0"/>
        <w:snapToGrid w:val="0"/>
        <w:spacing w:after="120" w:afterLines="50" w:line="288" w:lineRule="auto"/>
        <w:textAlignment w:val="auto"/>
        <w:rPr>
          <w:rFonts w:hint="eastAsia" w:ascii="宋体" w:hAnsi="宋体" w:eastAsia="宋体" w:cs="宋体"/>
          <w:b/>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01A1AA8B">
        <w:tblPrEx>
          <w:tblCellMar>
            <w:top w:w="0" w:type="dxa"/>
            <w:left w:w="108" w:type="dxa"/>
            <w:bottom w:w="0" w:type="dxa"/>
            <w:right w:w="108" w:type="dxa"/>
          </w:tblCellMar>
        </w:tblPrEx>
        <w:tc>
          <w:tcPr>
            <w:tcW w:w="5353" w:type="dxa"/>
            <w:shd w:val="clear" w:color="auto" w:fill="auto"/>
          </w:tcPr>
          <w:p w14:paraId="3275A894">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4547ABF2">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p>
        </w:tc>
      </w:tr>
      <w:tr w14:paraId="4413ECB0">
        <w:tblPrEx>
          <w:tblCellMar>
            <w:top w:w="0" w:type="dxa"/>
            <w:left w:w="108" w:type="dxa"/>
            <w:bottom w:w="0" w:type="dxa"/>
            <w:right w:w="108" w:type="dxa"/>
          </w:tblCellMar>
        </w:tblPrEx>
        <w:tc>
          <w:tcPr>
            <w:tcW w:w="5353" w:type="dxa"/>
            <w:shd w:val="clear" w:color="auto" w:fill="auto"/>
          </w:tcPr>
          <w:p w14:paraId="28F50A82">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法定代表人（签字）：</w:t>
            </w:r>
          </w:p>
        </w:tc>
        <w:tc>
          <w:tcPr>
            <w:tcW w:w="3175" w:type="dxa"/>
            <w:shd w:val="clear" w:color="auto" w:fill="auto"/>
          </w:tcPr>
          <w:p w14:paraId="73CA261F">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p>
        </w:tc>
      </w:tr>
      <w:tr w14:paraId="70FE0C7A">
        <w:tblPrEx>
          <w:tblCellMar>
            <w:top w:w="0" w:type="dxa"/>
            <w:left w:w="108" w:type="dxa"/>
            <w:bottom w:w="0" w:type="dxa"/>
            <w:right w:w="108" w:type="dxa"/>
          </w:tblCellMar>
        </w:tblPrEx>
        <w:tc>
          <w:tcPr>
            <w:tcW w:w="5353" w:type="dxa"/>
            <w:shd w:val="clear" w:color="auto" w:fill="auto"/>
          </w:tcPr>
          <w:p w14:paraId="4D54A1EC">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p>
          <w:p w14:paraId="2BA066B0">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p>
          <w:p w14:paraId="79C91841">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1E548A47">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p>
        </w:tc>
      </w:tr>
    </w:tbl>
    <w:p w14:paraId="62F27564">
      <w:pPr>
        <w:keepNext w:val="0"/>
        <w:keepLines w:val="0"/>
        <w:pageBreakBefore w:val="0"/>
        <w:kinsoku/>
        <w:wordWrap/>
        <w:overflowPunct/>
        <w:topLinePunct w:val="0"/>
        <w:autoSpaceDE/>
        <w:autoSpaceDN/>
        <w:bidi w:val="0"/>
        <w:spacing w:before="480" w:beforeLines="200" w:after="360" w:afterLines="150" w:line="288" w:lineRule="auto"/>
        <w:jc w:val="center"/>
        <w:textAlignment w:val="auto"/>
        <w:rPr>
          <w:rFonts w:hint="eastAsia" w:ascii="宋体" w:hAnsi="宋体" w:eastAsia="宋体" w:cs="宋体"/>
          <w:b/>
          <w:color w:val="auto"/>
          <w:spacing w:val="20"/>
          <w:sz w:val="24"/>
          <w:szCs w:val="24"/>
          <w:highlight w:val="none"/>
        </w:rPr>
      </w:pPr>
    </w:p>
    <w:p w14:paraId="0D6553C0">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01574E9E">
      <w:pPr>
        <w:spacing w:line="360" w:lineRule="auto"/>
        <w:jc w:val="center"/>
        <w:rPr>
          <w:rFonts w:hint="eastAsia" w:ascii="宋体" w:hAnsi="宋体" w:eastAsia="宋体" w:cs="宋体"/>
          <w:b/>
          <w:color w:val="auto"/>
          <w:sz w:val="36"/>
          <w:szCs w:val="36"/>
          <w:highlight w:val="none"/>
        </w:rPr>
      </w:pPr>
    </w:p>
    <w:p w14:paraId="6866AD2D">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一</w:t>
      </w:r>
      <w:r>
        <w:rPr>
          <w:rFonts w:hint="eastAsia" w:ascii="宋体" w:hAnsi="宋体" w:eastAsia="宋体" w:cs="宋体"/>
          <w:b/>
          <w:color w:val="auto"/>
          <w:sz w:val="36"/>
          <w:szCs w:val="36"/>
          <w:highlight w:val="none"/>
        </w:rPr>
        <w:t>、技术参数偏离表</w:t>
      </w:r>
    </w:p>
    <w:tbl>
      <w:tblPr>
        <w:tblStyle w:val="44"/>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379"/>
        <w:gridCol w:w="1500"/>
        <w:gridCol w:w="2056"/>
      </w:tblGrid>
      <w:tr w14:paraId="3F00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14:paraId="35BD808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14:paraId="04A1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76335DB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52" w:type="dxa"/>
            <w:vAlign w:val="center"/>
          </w:tcPr>
          <w:p w14:paraId="69B9DEC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招标文件要求</w:t>
            </w:r>
          </w:p>
        </w:tc>
        <w:tc>
          <w:tcPr>
            <w:tcW w:w="2379" w:type="dxa"/>
            <w:vAlign w:val="center"/>
          </w:tcPr>
          <w:p w14:paraId="7FD4752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投标文件响应内容</w:t>
            </w:r>
          </w:p>
        </w:tc>
        <w:tc>
          <w:tcPr>
            <w:tcW w:w="1500" w:type="dxa"/>
            <w:vAlign w:val="center"/>
          </w:tcPr>
          <w:p w14:paraId="63A2F3DA">
            <w:pPr>
              <w:keepNext w:val="0"/>
              <w:keepLines w:val="0"/>
              <w:pageBreakBefore w:val="0"/>
              <w:kinsoku/>
              <w:wordWrap/>
              <w:topLinePunct w:val="0"/>
              <w:autoSpaceDE/>
              <w:autoSpaceDN/>
              <w:bidi w:val="0"/>
              <w:snapToGrid/>
              <w:spacing w:line="288" w:lineRule="auto"/>
              <w:ind w:left="293" w:hanging="335" w:hangingChars="139"/>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偏离情况</w:t>
            </w:r>
          </w:p>
        </w:tc>
        <w:tc>
          <w:tcPr>
            <w:tcW w:w="2056" w:type="dxa"/>
            <w:vAlign w:val="center"/>
          </w:tcPr>
          <w:p w14:paraId="14D7CA0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22B0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2CA19F0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0DD5D57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4FEE7B4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6D7CBB1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2896170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0435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4F324D2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6144DA0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33957BA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478AB42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0DBAB29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03D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731F1F6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29EC313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0097411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4966AAB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0DF9D0A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19E1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364FDFD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7EEF570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4ECDC5D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47C2BD0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1FCE57A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3EAC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7463C41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43FEE1C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047C58C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61226A1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716018B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14:paraId="5B48CFF0">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14:paraId="292F4524">
      <w:pPr>
        <w:pStyle w:val="94"/>
        <w:keepNext w:val="0"/>
        <w:keepLines w:val="0"/>
        <w:pageBreakBefore w:val="0"/>
        <w:numPr>
          <w:ilvl w:val="0"/>
          <w:numId w:val="12"/>
        </w:numPr>
        <w:kinsoku/>
        <w:wordWrap/>
        <w:topLinePunct w:val="0"/>
        <w:autoSpaceDE/>
        <w:autoSpaceDN/>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偏离情况项填写“正”、“负”或“无”，说明项中填写原因。</w:t>
      </w:r>
    </w:p>
    <w:p w14:paraId="5E972883">
      <w:pPr>
        <w:pStyle w:val="94"/>
        <w:keepNext w:val="0"/>
        <w:keepLines w:val="0"/>
        <w:pageBreakBefore w:val="0"/>
        <w:numPr>
          <w:ilvl w:val="0"/>
          <w:numId w:val="12"/>
        </w:numPr>
        <w:kinsoku/>
        <w:wordWrap/>
        <w:topLinePunct w:val="0"/>
        <w:autoSpaceDE/>
        <w:autoSpaceDN/>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供应商应按照招标文件要求作出全面响应。对响应有偏离的，则说明偏离的内容。若有要求提供相关证明资料的，须按要求提供，否则视为负偏离。</w:t>
      </w:r>
    </w:p>
    <w:p w14:paraId="0B71493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5D93494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0A3FC6B5">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3140A7FE">
        <w:tblPrEx>
          <w:tblCellMar>
            <w:top w:w="0" w:type="dxa"/>
            <w:left w:w="108" w:type="dxa"/>
            <w:bottom w:w="0" w:type="dxa"/>
            <w:right w:w="108" w:type="dxa"/>
          </w:tblCellMar>
        </w:tblPrEx>
        <w:tc>
          <w:tcPr>
            <w:tcW w:w="5353" w:type="dxa"/>
            <w:shd w:val="clear" w:color="auto" w:fill="auto"/>
          </w:tcPr>
          <w:p w14:paraId="7378226E">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00EB174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3C3CCF19">
        <w:tblPrEx>
          <w:tblCellMar>
            <w:top w:w="0" w:type="dxa"/>
            <w:left w:w="108" w:type="dxa"/>
            <w:bottom w:w="0" w:type="dxa"/>
            <w:right w:w="108" w:type="dxa"/>
          </w:tblCellMar>
        </w:tblPrEx>
        <w:tc>
          <w:tcPr>
            <w:tcW w:w="5353" w:type="dxa"/>
            <w:shd w:val="clear" w:color="auto" w:fill="auto"/>
          </w:tcPr>
          <w:p w14:paraId="4065245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1AAE9AE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3CE3E2E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30DC1BD8">
      <w:pPr>
        <w:spacing w:line="360" w:lineRule="auto"/>
        <w:rPr>
          <w:rFonts w:hint="eastAsia" w:ascii="宋体" w:hAnsi="宋体" w:eastAsia="宋体" w:cs="宋体"/>
          <w:color w:val="auto"/>
          <w:szCs w:val="21"/>
          <w:highlight w:val="none"/>
        </w:rPr>
      </w:pPr>
    </w:p>
    <w:p w14:paraId="448E64AC">
      <w:pPr>
        <w:spacing w:line="360" w:lineRule="auto"/>
        <w:rPr>
          <w:rFonts w:hint="eastAsia" w:ascii="宋体" w:hAnsi="宋体" w:eastAsia="宋体" w:cs="宋体"/>
          <w:color w:val="auto"/>
          <w:szCs w:val="21"/>
          <w:highlight w:val="none"/>
        </w:rPr>
      </w:pPr>
    </w:p>
    <w:p w14:paraId="59C37C7E">
      <w:pPr>
        <w:rPr>
          <w:rStyle w:val="47"/>
          <w:rFonts w:hint="eastAsia" w:ascii="宋体" w:hAnsi="宋体" w:eastAsia="宋体" w:cs="宋体"/>
          <w:bCs w:val="0"/>
          <w:color w:val="auto"/>
          <w:spacing w:val="12"/>
          <w:highlight w:val="none"/>
        </w:rPr>
      </w:pPr>
      <w:bookmarkStart w:id="45" w:name="_Toc494567328"/>
      <w:bookmarkStart w:id="46" w:name="_Toc3236439"/>
      <w:bookmarkStart w:id="47" w:name="_Toc405313974"/>
      <w:bookmarkStart w:id="48" w:name="_Toc391627770"/>
      <w:r>
        <w:rPr>
          <w:rStyle w:val="47"/>
          <w:rFonts w:hint="eastAsia" w:ascii="宋体" w:hAnsi="宋体" w:eastAsia="宋体" w:cs="宋体"/>
          <w:color w:val="auto"/>
          <w:spacing w:val="12"/>
          <w:highlight w:val="none"/>
        </w:rPr>
        <w:br w:type="page"/>
      </w:r>
    </w:p>
    <w:p w14:paraId="258D19AE">
      <w:pPr>
        <w:spacing w:line="360" w:lineRule="auto"/>
        <w:jc w:val="center"/>
        <w:rPr>
          <w:rFonts w:hint="eastAsia" w:ascii="宋体" w:hAnsi="宋体" w:eastAsia="宋体" w:cs="宋体"/>
          <w:b/>
          <w:color w:val="auto"/>
          <w:sz w:val="36"/>
          <w:szCs w:val="36"/>
          <w:highlight w:val="none"/>
        </w:rPr>
      </w:pPr>
    </w:p>
    <w:p w14:paraId="60B00FB5">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二</w:t>
      </w:r>
      <w:r>
        <w:rPr>
          <w:rFonts w:hint="eastAsia" w:ascii="宋体" w:hAnsi="宋体" w:eastAsia="宋体" w:cs="宋体"/>
          <w:b/>
          <w:color w:val="auto"/>
          <w:sz w:val="36"/>
          <w:szCs w:val="36"/>
          <w:highlight w:val="none"/>
        </w:rPr>
        <w:t>、技术参数承诺书</w:t>
      </w:r>
    </w:p>
    <w:p w14:paraId="6562144B">
      <w:pPr>
        <w:rPr>
          <w:rStyle w:val="47"/>
          <w:rFonts w:hint="eastAsia" w:ascii="宋体" w:hAnsi="宋体" w:eastAsia="宋体" w:cs="宋体"/>
          <w:color w:val="auto"/>
          <w:spacing w:val="12"/>
          <w:highlight w:val="none"/>
        </w:rPr>
      </w:pPr>
    </w:p>
    <w:p w14:paraId="7D99A9DF">
      <w:pPr>
        <w:pageBreakBefore w:val="0"/>
        <w:widowControl/>
        <w:kinsoku/>
        <w:overflowPunct/>
        <w:topLinePunct w:val="0"/>
        <w:autoSpaceDE/>
        <w:autoSpaceDN/>
        <w:bidi w:val="0"/>
        <w:adjustRightInd/>
        <w:snapToGrid/>
        <w:spacing w:line="288" w:lineRule="auto"/>
        <w:textAlignment w:val="auto"/>
        <w:rPr>
          <w:rStyle w:val="47"/>
          <w:rFonts w:hint="eastAsia" w:ascii="宋体" w:hAnsi="宋体" w:eastAsia="宋体" w:cs="宋体"/>
          <w:b w:val="0"/>
          <w:color w:val="auto"/>
          <w:spacing w:val="12"/>
          <w:sz w:val="24"/>
          <w:szCs w:val="24"/>
          <w:highlight w:val="none"/>
        </w:rPr>
      </w:pPr>
      <w:r>
        <w:rPr>
          <w:rStyle w:val="47"/>
          <w:rFonts w:hint="eastAsia" w:ascii="宋体" w:hAnsi="宋体" w:eastAsia="宋体" w:cs="宋体"/>
          <w:color w:val="auto"/>
          <w:spacing w:val="12"/>
          <w:sz w:val="24"/>
          <w:szCs w:val="24"/>
          <w:highlight w:val="none"/>
        </w:rPr>
        <w:t>致：（采购人名称）</w:t>
      </w:r>
    </w:p>
    <w:p w14:paraId="3D53EF62">
      <w:pPr>
        <w:pStyle w:val="3"/>
        <w:pageBreakBefore w:val="0"/>
        <w:widowControl/>
        <w:kinsoku/>
        <w:overflowPunct/>
        <w:topLinePunct w:val="0"/>
        <w:autoSpaceDE/>
        <w:autoSpaceDN/>
        <w:bidi w:val="0"/>
        <w:adjustRightInd/>
        <w:snapToGrid/>
        <w:spacing w:line="288" w:lineRule="auto"/>
        <w:textAlignment w:val="auto"/>
        <w:rPr>
          <w:rStyle w:val="47"/>
          <w:rFonts w:hint="eastAsia" w:ascii="宋体" w:hAnsi="宋体" w:eastAsia="宋体" w:cs="宋体"/>
          <w:b w:val="0"/>
          <w:bCs w:val="0"/>
          <w:color w:val="auto"/>
          <w:spacing w:val="12"/>
          <w:sz w:val="24"/>
          <w:szCs w:val="24"/>
          <w:highlight w:val="none"/>
        </w:rPr>
      </w:pPr>
      <w:r>
        <w:rPr>
          <w:rStyle w:val="47"/>
          <w:rFonts w:hint="eastAsia" w:ascii="宋体" w:hAnsi="宋体" w:eastAsia="宋体" w:cs="宋体"/>
          <w:b w:val="0"/>
          <w:bCs w:val="0"/>
          <w:color w:val="auto"/>
          <w:spacing w:val="12"/>
          <w:sz w:val="24"/>
          <w:szCs w:val="24"/>
          <w:highlight w:val="none"/>
        </w:rPr>
        <w:t xml:space="preserve">    我公司承诺：如我公司在参与</w:t>
      </w:r>
      <w:r>
        <w:rPr>
          <w:rStyle w:val="47"/>
          <w:rFonts w:hint="eastAsia" w:ascii="宋体" w:hAnsi="宋体" w:eastAsia="宋体" w:cs="宋体"/>
          <w:b w:val="0"/>
          <w:bCs w:val="0"/>
          <w:color w:val="auto"/>
          <w:spacing w:val="12"/>
          <w:sz w:val="24"/>
          <w:szCs w:val="24"/>
          <w:highlight w:val="none"/>
          <w:u w:val="single"/>
        </w:rPr>
        <w:t xml:space="preserve">   （项目名称）    </w:t>
      </w:r>
      <w:r>
        <w:rPr>
          <w:rStyle w:val="47"/>
          <w:rFonts w:hint="eastAsia" w:ascii="宋体" w:hAnsi="宋体" w:eastAsia="宋体" w:cs="宋体"/>
          <w:b w:val="0"/>
          <w:bCs w:val="0"/>
          <w:color w:val="auto"/>
          <w:spacing w:val="12"/>
          <w:sz w:val="24"/>
          <w:szCs w:val="24"/>
          <w:highlight w:val="none"/>
        </w:rPr>
        <w:t>中标后，所投货物经采购人验收后若与技术参数偏离表上偏离情况不符合，出现的所有后果由我公司自行承担。</w:t>
      </w:r>
    </w:p>
    <w:p w14:paraId="338BC3BD">
      <w:pPr>
        <w:pageBreakBefore w:val="0"/>
        <w:widowControl/>
        <w:kinsoku/>
        <w:overflowPunct/>
        <w:topLinePunct w:val="0"/>
        <w:autoSpaceDE/>
        <w:autoSpaceDN/>
        <w:bidi w:val="0"/>
        <w:adjustRightInd/>
        <w:snapToGrid/>
        <w:spacing w:line="288" w:lineRule="auto"/>
        <w:textAlignment w:val="auto"/>
        <w:rPr>
          <w:rStyle w:val="47"/>
          <w:rFonts w:hint="eastAsia" w:ascii="宋体" w:hAnsi="宋体" w:eastAsia="宋体" w:cs="宋体"/>
          <w:b w:val="0"/>
          <w:color w:val="auto"/>
          <w:spacing w:val="12"/>
          <w:sz w:val="24"/>
          <w:szCs w:val="24"/>
          <w:highlight w:val="none"/>
        </w:rPr>
      </w:pPr>
    </w:p>
    <w:p w14:paraId="05284752">
      <w:pPr>
        <w:pStyle w:val="3"/>
        <w:pageBreakBefore w:val="0"/>
        <w:widowControl/>
        <w:kinsoku/>
        <w:overflowPunct/>
        <w:topLinePunct w:val="0"/>
        <w:autoSpaceDE/>
        <w:autoSpaceDN/>
        <w:bidi w:val="0"/>
        <w:adjustRightInd/>
        <w:snapToGrid/>
        <w:spacing w:line="288" w:lineRule="auto"/>
        <w:textAlignment w:val="auto"/>
        <w:rPr>
          <w:rStyle w:val="47"/>
          <w:rFonts w:hint="eastAsia" w:ascii="宋体" w:hAnsi="宋体" w:eastAsia="宋体" w:cs="宋体"/>
          <w:b w:val="0"/>
          <w:bCs w:val="0"/>
          <w:color w:val="auto"/>
          <w:spacing w:val="12"/>
          <w:sz w:val="24"/>
          <w:szCs w:val="24"/>
          <w:highlight w:val="none"/>
        </w:rPr>
      </w:pPr>
    </w:p>
    <w:p w14:paraId="452B368B">
      <w:pPr>
        <w:pageBreakBefore w:val="0"/>
        <w:widowControl/>
        <w:kinsoku/>
        <w:wordWrap w:val="0"/>
        <w:overflowPunct/>
        <w:topLinePunct w:val="0"/>
        <w:autoSpaceDE/>
        <w:autoSpaceDN/>
        <w:bidi w:val="0"/>
        <w:adjustRightInd/>
        <w:snapToGrid/>
        <w:spacing w:line="288" w:lineRule="auto"/>
        <w:jc w:val="right"/>
        <w:textAlignment w:val="auto"/>
        <w:rPr>
          <w:rStyle w:val="47"/>
          <w:rFonts w:hint="eastAsia" w:ascii="宋体" w:hAnsi="宋体" w:eastAsia="宋体" w:cs="宋体"/>
          <w:b w:val="0"/>
          <w:color w:val="auto"/>
          <w:spacing w:val="12"/>
          <w:sz w:val="24"/>
          <w:szCs w:val="24"/>
          <w:highlight w:val="none"/>
          <w:u w:val="single"/>
        </w:rPr>
      </w:pPr>
      <w:r>
        <w:rPr>
          <w:rStyle w:val="47"/>
          <w:rFonts w:hint="eastAsia" w:ascii="宋体" w:hAnsi="宋体" w:eastAsia="宋体" w:cs="宋体"/>
          <w:b w:val="0"/>
          <w:color w:val="auto"/>
          <w:spacing w:val="12"/>
          <w:sz w:val="24"/>
          <w:szCs w:val="24"/>
          <w:highlight w:val="none"/>
        </w:rPr>
        <w:t>供应商名称：       （盖单位章）</w:t>
      </w:r>
    </w:p>
    <w:p w14:paraId="1E8E37BE">
      <w:pPr>
        <w:pStyle w:val="3"/>
        <w:pageBreakBefore w:val="0"/>
        <w:widowControl/>
        <w:kinsoku/>
        <w:wordWrap w:val="0"/>
        <w:overflowPunct/>
        <w:topLinePunct w:val="0"/>
        <w:autoSpaceDE/>
        <w:autoSpaceDN/>
        <w:bidi w:val="0"/>
        <w:adjustRightInd/>
        <w:snapToGrid/>
        <w:spacing w:line="288" w:lineRule="auto"/>
        <w:ind w:right="-1" w:firstLine="264" w:firstLineChars="100"/>
        <w:jc w:val="right"/>
        <w:textAlignment w:val="auto"/>
        <w:rPr>
          <w:rFonts w:hint="eastAsia" w:ascii="宋体" w:hAnsi="宋体" w:eastAsia="宋体" w:cs="宋体"/>
          <w:b w:val="0"/>
          <w:color w:val="auto"/>
          <w:sz w:val="24"/>
          <w:szCs w:val="24"/>
          <w:highlight w:val="none"/>
        </w:rPr>
      </w:pPr>
      <w:r>
        <w:rPr>
          <w:rStyle w:val="47"/>
          <w:rFonts w:hint="eastAsia" w:ascii="宋体" w:hAnsi="宋体" w:eastAsia="宋体" w:cs="宋体"/>
          <w:b w:val="0"/>
          <w:bCs w:val="0"/>
          <w:color w:val="auto"/>
          <w:spacing w:val="12"/>
          <w:sz w:val="24"/>
          <w:szCs w:val="24"/>
          <w:highlight w:val="none"/>
        </w:rPr>
        <w:t>日     期：     年   月   日</w:t>
      </w:r>
    </w:p>
    <w:bookmarkEnd w:id="45"/>
    <w:bookmarkEnd w:id="46"/>
    <w:p w14:paraId="15BACFFA">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4FAC957">
      <w:pPr>
        <w:spacing w:line="360" w:lineRule="auto"/>
        <w:jc w:val="center"/>
        <w:rPr>
          <w:rFonts w:hint="eastAsia" w:ascii="宋体" w:hAnsi="宋体" w:eastAsia="宋体" w:cs="宋体"/>
          <w:b/>
          <w:color w:val="auto"/>
          <w:sz w:val="36"/>
          <w:szCs w:val="36"/>
          <w:highlight w:val="none"/>
        </w:rPr>
      </w:pPr>
    </w:p>
    <w:p w14:paraId="1D341511">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三</w:t>
      </w:r>
      <w:r>
        <w:rPr>
          <w:rFonts w:hint="eastAsia" w:ascii="宋体" w:hAnsi="宋体" w:eastAsia="宋体" w:cs="宋体"/>
          <w:b/>
          <w:color w:val="auto"/>
          <w:sz w:val="36"/>
          <w:szCs w:val="36"/>
          <w:highlight w:val="none"/>
        </w:rPr>
        <w:t>、投标货物详细说明</w:t>
      </w:r>
    </w:p>
    <w:tbl>
      <w:tblPr>
        <w:tblStyle w:val="44"/>
        <w:tblW w:w="911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01"/>
        <w:gridCol w:w="993"/>
        <w:gridCol w:w="1417"/>
        <w:gridCol w:w="2408"/>
        <w:gridCol w:w="1871"/>
      </w:tblGrid>
      <w:tr w14:paraId="0E39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13" w:type="dxa"/>
            <w:gridSpan w:val="6"/>
            <w:vAlign w:val="center"/>
          </w:tcPr>
          <w:p w14:paraId="3741D53A">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14:paraId="43D7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3" w:type="dxa"/>
            <w:vAlign w:val="center"/>
          </w:tcPr>
          <w:p w14:paraId="66D1533E">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01" w:type="dxa"/>
            <w:vAlign w:val="center"/>
          </w:tcPr>
          <w:p w14:paraId="69C5E8C8">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993" w:type="dxa"/>
            <w:vAlign w:val="center"/>
          </w:tcPr>
          <w:p w14:paraId="21FFC12D">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17" w:type="dxa"/>
            <w:vAlign w:val="center"/>
          </w:tcPr>
          <w:p w14:paraId="42B3D0E8">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w:t>
            </w:r>
          </w:p>
        </w:tc>
        <w:tc>
          <w:tcPr>
            <w:tcW w:w="2408" w:type="dxa"/>
            <w:vAlign w:val="center"/>
          </w:tcPr>
          <w:p w14:paraId="47A7F192">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性能及技术参数</w:t>
            </w:r>
          </w:p>
        </w:tc>
        <w:tc>
          <w:tcPr>
            <w:tcW w:w="1871" w:type="dxa"/>
            <w:vAlign w:val="center"/>
          </w:tcPr>
          <w:p w14:paraId="4D59EEB4">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45E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1B75DC07">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14:paraId="73483A15">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14:paraId="73CC15ED">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14:paraId="7BE5074C">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14:paraId="3AEA6481">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14:paraId="2371ABF3">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5B09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3C125F40">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14:paraId="08896654">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14:paraId="482D21E8">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14:paraId="094579B8">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14:paraId="10C5D45F">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14:paraId="7F7EDD2D">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668D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18C399F6">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14:paraId="728BEEC7">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14:paraId="4CB0E39C">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14:paraId="41CA7706">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14:paraId="2F01A2BB">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14:paraId="211773AA">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4177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74178492">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14:paraId="2A1FC404">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14:paraId="09810D61">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14:paraId="661CAC3E">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14:paraId="355EF9F4">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14:paraId="2B41BE21">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58BC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2EC9191D">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14:paraId="78A62C03">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14:paraId="18A60B63">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14:paraId="026B24F8">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14:paraId="5EC70052">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14:paraId="3364F41B">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6A88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1F58210E">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14:paraId="05EC22A3">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14:paraId="6B7F17C5">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14:paraId="2A198653">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14:paraId="50C35337">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14:paraId="5D3BF294">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3C28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616CC62C">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14:paraId="781E0074">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14:paraId="3D3C616F">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14:paraId="7E4D771E">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14:paraId="78409946">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14:paraId="38C150F5">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36D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325D0440">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14:paraId="7CEE4F8F">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14:paraId="4B9C678F">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14:paraId="041F9B02">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14:paraId="76A861D0">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14:paraId="7B579D69">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14:paraId="6655603C">
      <w:pPr>
        <w:pStyle w:val="16"/>
        <w:keepNext w:val="0"/>
        <w:keepLines w:val="0"/>
        <w:pageBreakBefore w:val="0"/>
        <w:widowControl/>
        <w:kinsoku/>
        <w:wordWrap/>
        <w:overflowPunct w:val="0"/>
        <w:topLinePunct w:val="0"/>
        <w:autoSpaceDE/>
        <w:autoSpaceDN/>
        <w:bidi w:val="0"/>
        <w:snapToGrid/>
        <w:spacing w:before="120" w:beforeLines="50" w:after="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注明：供应商应按招标文件要求，根据“采购需求”详细列出产品的各项技术要求、技术措施或处理（须提供“采购需求”中要求提交的证明资料）</w:t>
      </w:r>
    </w:p>
    <w:p w14:paraId="6AB05F44">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499C8944">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475DF461">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5353" w:type="dxa"/>
        <w:tblInd w:w="0" w:type="dxa"/>
        <w:tblLayout w:type="fixed"/>
        <w:tblCellMar>
          <w:top w:w="0" w:type="dxa"/>
          <w:left w:w="108" w:type="dxa"/>
          <w:bottom w:w="0" w:type="dxa"/>
          <w:right w:w="108" w:type="dxa"/>
        </w:tblCellMar>
      </w:tblPr>
      <w:tblGrid>
        <w:gridCol w:w="5353"/>
      </w:tblGrid>
      <w:tr w14:paraId="5F91A130">
        <w:tblPrEx>
          <w:tblCellMar>
            <w:top w:w="0" w:type="dxa"/>
            <w:left w:w="108" w:type="dxa"/>
            <w:bottom w:w="0" w:type="dxa"/>
            <w:right w:w="108" w:type="dxa"/>
          </w:tblCellMar>
        </w:tblPrEx>
        <w:tc>
          <w:tcPr>
            <w:tcW w:w="5353" w:type="dxa"/>
            <w:shd w:val="clear" w:color="auto" w:fill="auto"/>
          </w:tcPr>
          <w:p w14:paraId="37624950">
            <w:pPr>
              <w:keepNext w:val="0"/>
              <w:keepLines w:val="0"/>
              <w:pageBreakBefore w:val="0"/>
              <w:widowControl/>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092C00E8">
        <w:tblPrEx>
          <w:tblCellMar>
            <w:top w:w="0" w:type="dxa"/>
            <w:left w:w="108" w:type="dxa"/>
            <w:bottom w:w="0" w:type="dxa"/>
            <w:right w:w="108" w:type="dxa"/>
          </w:tblCellMar>
        </w:tblPrEx>
        <w:tc>
          <w:tcPr>
            <w:tcW w:w="5353" w:type="dxa"/>
            <w:shd w:val="clear" w:color="auto" w:fill="auto"/>
          </w:tcPr>
          <w:p w14:paraId="6ABDE705">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7F50B3CD">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r>
    </w:tbl>
    <w:p w14:paraId="59549E4F">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bookmarkEnd w:id="47"/>
    <w:bookmarkEnd w:id="48"/>
    <w:p w14:paraId="63490831">
      <w:pP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p>
    <w:p w14:paraId="08EB1BC8">
      <w:pPr>
        <w:spacing w:line="360" w:lineRule="auto"/>
        <w:jc w:val="center"/>
        <w:rPr>
          <w:rFonts w:hint="eastAsia" w:ascii="宋体" w:hAnsi="宋体" w:eastAsia="宋体" w:cs="宋体"/>
          <w:b/>
          <w:color w:val="auto"/>
          <w:sz w:val="36"/>
          <w:szCs w:val="36"/>
          <w:highlight w:val="none"/>
        </w:rPr>
      </w:pPr>
    </w:p>
    <w:p w14:paraId="7E9CDACB">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四</w:t>
      </w:r>
      <w:r>
        <w:rPr>
          <w:rFonts w:hint="eastAsia" w:ascii="宋体" w:hAnsi="宋体" w:eastAsia="宋体" w:cs="宋体"/>
          <w:b/>
          <w:color w:val="auto"/>
          <w:sz w:val="36"/>
          <w:szCs w:val="36"/>
          <w:highlight w:val="none"/>
        </w:rPr>
        <w:t>、具备履行合同所必需设备和专业技术能力承诺书</w:t>
      </w:r>
    </w:p>
    <w:p w14:paraId="12927743">
      <w:pPr>
        <w:keepNext w:val="0"/>
        <w:keepLines w:val="0"/>
        <w:pageBreakBefore w:val="0"/>
        <w:widowControl/>
        <w:kinsoku/>
        <w:wordWrap/>
        <w:topLinePunct w:val="0"/>
        <w:autoSpaceDE w:val="0"/>
        <w:autoSpaceDN w:val="0"/>
        <w:bidi w:val="0"/>
        <w:adjustRightInd w:val="0"/>
        <w:snapToGrid/>
        <w:spacing w:before="120" w:beforeLines="50" w:after="120" w:afterLines="50" w:line="288" w:lineRule="auto"/>
        <w:jc w:val="center"/>
        <w:textAlignment w:val="auto"/>
        <w:rPr>
          <w:rFonts w:hint="eastAsia" w:ascii="宋体" w:hAnsi="宋体" w:eastAsia="宋体" w:cs="宋体"/>
          <w:b/>
          <w:color w:val="auto"/>
          <w:sz w:val="24"/>
          <w:szCs w:val="24"/>
          <w:highlight w:val="none"/>
        </w:rPr>
      </w:pPr>
    </w:p>
    <w:p w14:paraId="7D52A1BE">
      <w:pPr>
        <w:pStyle w:val="16"/>
        <w:keepNext w:val="0"/>
        <w:keepLines w:val="0"/>
        <w:pageBreakBefore w:val="0"/>
        <w:widowControl/>
        <w:kinsoku/>
        <w:wordWrap/>
        <w:overflowPunct w:val="0"/>
        <w:topLinePunct w:val="0"/>
        <w:bidi w:val="0"/>
        <w:snapToGrid/>
        <w:spacing w:before="120" w:beforeLines="50" w:after="0" w:line="288" w:lineRule="auto"/>
        <w:textAlignment w:val="auto"/>
        <w:rPr>
          <w:rFonts w:hint="eastAsia" w:ascii="宋体" w:hAnsi="宋体" w:eastAsia="宋体" w:cs="宋体"/>
          <w:b/>
          <w:color w:val="auto"/>
          <w:spacing w:val="10"/>
          <w:sz w:val="24"/>
          <w:szCs w:val="24"/>
          <w:highlight w:val="none"/>
        </w:rPr>
      </w:pPr>
    </w:p>
    <w:p w14:paraId="35B2BEE6">
      <w:pPr>
        <w:pStyle w:val="16"/>
        <w:keepNext w:val="0"/>
        <w:keepLines w:val="0"/>
        <w:pageBreakBefore w:val="0"/>
        <w:widowControl/>
        <w:kinsoku/>
        <w:wordWrap/>
        <w:overflowPunct w:val="0"/>
        <w:topLinePunct w:val="0"/>
        <w:bidi w:val="0"/>
        <w:snapToGrid/>
        <w:spacing w:before="120" w:beforeLines="50" w:after="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pacing w:val="10"/>
          <w:sz w:val="24"/>
          <w:szCs w:val="24"/>
          <w:highlight w:val="none"/>
        </w:rPr>
        <w:t>供应商需提供承诺书，格式自拟。</w:t>
      </w:r>
    </w:p>
    <w:p w14:paraId="65551D6A">
      <w:pPr>
        <w:pStyle w:val="16"/>
        <w:keepNext w:val="0"/>
        <w:keepLines w:val="0"/>
        <w:pageBreakBefore w:val="0"/>
        <w:widowControl/>
        <w:kinsoku/>
        <w:wordWrap/>
        <w:overflowPunct w:val="0"/>
        <w:topLinePunct w:val="0"/>
        <w:bidi w:val="0"/>
        <w:snapToGrid/>
        <w:spacing w:before="120" w:beforeLines="50" w:after="0" w:line="288" w:lineRule="auto"/>
        <w:textAlignment w:val="auto"/>
        <w:rPr>
          <w:rFonts w:hint="eastAsia" w:ascii="宋体" w:hAnsi="宋体" w:eastAsia="宋体" w:cs="宋体"/>
          <w:color w:val="auto"/>
          <w:sz w:val="24"/>
          <w:szCs w:val="24"/>
          <w:highlight w:val="none"/>
        </w:rPr>
      </w:pPr>
    </w:p>
    <w:p w14:paraId="12464986">
      <w:pPr>
        <w:pStyle w:val="16"/>
        <w:keepNext w:val="0"/>
        <w:keepLines w:val="0"/>
        <w:pageBreakBefore w:val="0"/>
        <w:widowControl/>
        <w:kinsoku/>
        <w:wordWrap/>
        <w:overflowPunct w:val="0"/>
        <w:topLinePunct w:val="0"/>
        <w:bidi w:val="0"/>
        <w:snapToGrid/>
        <w:spacing w:before="120" w:beforeLines="50" w:after="0" w:line="288" w:lineRule="auto"/>
        <w:textAlignment w:val="auto"/>
        <w:rPr>
          <w:rFonts w:hint="eastAsia" w:ascii="宋体" w:hAnsi="宋体" w:eastAsia="宋体" w:cs="宋体"/>
          <w:color w:val="auto"/>
          <w:sz w:val="24"/>
          <w:szCs w:val="24"/>
          <w:highlight w:val="none"/>
        </w:rPr>
      </w:pPr>
    </w:p>
    <w:p w14:paraId="1D8DD3D5">
      <w:pPr>
        <w:keepNext w:val="0"/>
        <w:keepLines w:val="0"/>
        <w:pageBreakBefore w:val="0"/>
        <w:widowControl/>
        <w:kinsoku/>
        <w:wordWrap/>
        <w:topLinePunct w:val="0"/>
        <w:bidi w:val="0"/>
        <w:snapToGrid/>
        <w:spacing w:line="288" w:lineRule="auto"/>
        <w:textAlignment w:val="auto"/>
        <w:rPr>
          <w:rFonts w:hint="eastAsia" w:ascii="宋体" w:hAnsi="宋体" w:eastAsia="宋体" w:cs="宋体"/>
          <w:color w:val="auto"/>
          <w:sz w:val="24"/>
          <w:szCs w:val="24"/>
          <w:highlight w:val="none"/>
        </w:rPr>
      </w:pPr>
    </w:p>
    <w:p w14:paraId="1C7DF2F7">
      <w:pPr>
        <w:keepNext w:val="0"/>
        <w:keepLines w:val="0"/>
        <w:pageBreakBefore w:val="0"/>
        <w:widowControl/>
        <w:kinsoku/>
        <w:wordWrap/>
        <w:topLinePunct w:val="0"/>
        <w:bidi w:val="0"/>
        <w:snapToGrid/>
        <w:spacing w:line="288" w:lineRule="auto"/>
        <w:textAlignment w:val="auto"/>
        <w:rPr>
          <w:rFonts w:hint="eastAsia" w:ascii="宋体" w:hAnsi="宋体" w:eastAsia="宋体" w:cs="宋体"/>
          <w:color w:val="auto"/>
          <w:sz w:val="24"/>
          <w:szCs w:val="24"/>
          <w:highlight w:val="none"/>
        </w:rPr>
      </w:pPr>
    </w:p>
    <w:p w14:paraId="257D8BF3">
      <w:pPr>
        <w:keepNext w:val="0"/>
        <w:keepLines w:val="0"/>
        <w:pageBreakBefore w:val="0"/>
        <w:widowControl/>
        <w:kinsoku/>
        <w:wordWrap/>
        <w:topLinePunct w:val="0"/>
        <w:bidi w:val="0"/>
        <w:snapToGrid/>
        <w:spacing w:line="288" w:lineRule="auto"/>
        <w:textAlignment w:val="auto"/>
        <w:rPr>
          <w:rFonts w:hint="eastAsia" w:ascii="宋体" w:hAnsi="宋体" w:eastAsia="宋体" w:cs="宋体"/>
          <w:color w:val="auto"/>
          <w:sz w:val="24"/>
          <w:szCs w:val="24"/>
          <w:highlight w:val="none"/>
        </w:rPr>
      </w:pPr>
    </w:p>
    <w:p w14:paraId="04E99CBA">
      <w:pPr>
        <w:keepNext w:val="0"/>
        <w:keepLines w:val="0"/>
        <w:pageBreakBefore w:val="0"/>
        <w:widowControl/>
        <w:kinsoku/>
        <w:wordWrap/>
        <w:topLinePunct w:val="0"/>
        <w:bidi w:val="0"/>
        <w:snapToGrid/>
        <w:spacing w:line="288" w:lineRule="auto"/>
        <w:textAlignment w:val="auto"/>
        <w:rPr>
          <w:rFonts w:hint="eastAsia" w:ascii="宋体" w:hAnsi="宋体" w:eastAsia="宋体" w:cs="宋体"/>
          <w:color w:val="auto"/>
          <w:sz w:val="24"/>
          <w:szCs w:val="24"/>
          <w:highlight w:val="none"/>
        </w:rPr>
      </w:pPr>
    </w:p>
    <w:p w14:paraId="466AA459">
      <w:pPr>
        <w:spacing w:line="360" w:lineRule="auto"/>
        <w:rPr>
          <w:rFonts w:hint="eastAsia" w:ascii="宋体" w:hAnsi="宋体" w:eastAsia="宋体" w:cs="宋体"/>
          <w:color w:val="auto"/>
          <w:szCs w:val="21"/>
          <w:highlight w:val="none"/>
        </w:rPr>
      </w:pPr>
    </w:p>
    <w:tbl>
      <w:tblPr>
        <w:tblStyle w:val="44"/>
        <w:tblW w:w="5738" w:type="dxa"/>
        <w:tblInd w:w="0" w:type="dxa"/>
        <w:tblLayout w:type="fixed"/>
        <w:tblCellMar>
          <w:top w:w="0" w:type="dxa"/>
          <w:left w:w="108" w:type="dxa"/>
          <w:bottom w:w="0" w:type="dxa"/>
          <w:right w:w="108" w:type="dxa"/>
        </w:tblCellMar>
      </w:tblPr>
      <w:tblGrid>
        <w:gridCol w:w="5738"/>
      </w:tblGrid>
      <w:tr w14:paraId="15342BE3">
        <w:tblPrEx>
          <w:tblCellMar>
            <w:top w:w="0" w:type="dxa"/>
            <w:left w:w="108" w:type="dxa"/>
            <w:bottom w:w="0" w:type="dxa"/>
            <w:right w:w="108" w:type="dxa"/>
          </w:tblCellMar>
        </w:tblPrEx>
        <w:tc>
          <w:tcPr>
            <w:tcW w:w="5738" w:type="dxa"/>
            <w:shd w:val="clear" w:color="auto" w:fill="auto"/>
          </w:tcPr>
          <w:p w14:paraId="1C1A67AE">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5F57AC98">
        <w:tblPrEx>
          <w:tblCellMar>
            <w:top w:w="0" w:type="dxa"/>
            <w:left w:w="108" w:type="dxa"/>
            <w:bottom w:w="0" w:type="dxa"/>
            <w:right w:w="108" w:type="dxa"/>
          </w:tblCellMar>
        </w:tblPrEx>
        <w:tc>
          <w:tcPr>
            <w:tcW w:w="5738" w:type="dxa"/>
            <w:shd w:val="clear" w:color="auto" w:fill="auto"/>
          </w:tcPr>
          <w:p w14:paraId="5AEB0D0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186EC14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法定代表人或被授权人（签名或盖章）：</w:t>
            </w:r>
          </w:p>
        </w:tc>
      </w:tr>
      <w:tr w14:paraId="256E34C8">
        <w:tblPrEx>
          <w:tblCellMar>
            <w:top w:w="0" w:type="dxa"/>
            <w:left w:w="108" w:type="dxa"/>
            <w:bottom w:w="0" w:type="dxa"/>
            <w:right w:w="108" w:type="dxa"/>
          </w:tblCellMar>
        </w:tblPrEx>
        <w:tc>
          <w:tcPr>
            <w:tcW w:w="5738" w:type="dxa"/>
            <w:shd w:val="clear" w:color="auto" w:fill="auto"/>
          </w:tcPr>
          <w:p w14:paraId="5FABE89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3377DD3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737B7008">
      <w:pPr>
        <w:spacing w:line="360" w:lineRule="auto"/>
        <w:rPr>
          <w:rFonts w:hint="eastAsia" w:ascii="宋体" w:hAnsi="宋体" w:eastAsia="宋体" w:cs="宋体"/>
          <w:color w:val="auto"/>
          <w:szCs w:val="21"/>
          <w:highlight w:val="none"/>
        </w:rPr>
      </w:pPr>
    </w:p>
    <w:p w14:paraId="163EF76C">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E08C583">
      <w:pPr>
        <w:spacing w:line="360" w:lineRule="auto"/>
        <w:jc w:val="center"/>
        <w:rPr>
          <w:rFonts w:hint="eastAsia" w:ascii="宋体" w:hAnsi="宋体" w:eastAsia="宋体" w:cs="宋体"/>
          <w:b/>
          <w:color w:val="auto"/>
          <w:sz w:val="36"/>
          <w:szCs w:val="36"/>
          <w:highlight w:val="none"/>
        </w:rPr>
      </w:pPr>
    </w:p>
    <w:p w14:paraId="402B3746">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五</w:t>
      </w:r>
      <w:r>
        <w:rPr>
          <w:rFonts w:hint="eastAsia" w:ascii="宋体" w:hAnsi="宋体" w:eastAsia="宋体" w:cs="宋体"/>
          <w:b/>
          <w:color w:val="auto"/>
          <w:sz w:val="36"/>
          <w:szCs w:val="36"/>
          <w:highlight w:val="none"/>
        </w:rPr>
        <w:t>、项目实施方案</w:t>
      </w:r>
    </w:p>
    <w:p w14:paraId="06CAFE2A">
      <w:pPr>
        <w:rPr>
          <w:rFonts w:hint="eastAsia" w:ascii="宋体" w:hAnsi="宋体" w:eastAsia="宋体" w:cs="宋体"/>
          <w:color w:val="auto"/>
          <w:sz w:val="32"/>
          <w:szCs w:val="32"/>
          <w:highlight w:val="none"/>
        </w:rPr>
      </w:pPr>
    </w:p>
    <w:p w14:paraId="2609CA60">
      <w:pPr>
        <w:keepNext w:val="0"/>
        <w:keepLines w:val="0"/>
        <w:pageBreakBefore w:val="0"/>
        <w:widowControl/>
        <w:tabs>
          <w:tab w:val="left" w:pos="378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供应商根据“评标办法”自行编写</w:t>
      </w:r>
    </w:p>
    <w:p w14:paraId="15798269">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1D6FD552">
      <w:pPr>
        <w:spacing w:line="360" w:lineRule="auto"/>
        <w:jc w:val="center"/>
        <w:rPr>
          <w:rFonts w:hint="eastAsia" w:ascii="宋体" w:hAnsi="宋体" w:eastAsia="宋体" w:cs="宋体"/>
          <w:b/>
          <w:color w:val="auto"/>
          <w:sz w:val="36"/>
          <w:szCs w:val="36"/>
          <w:highlight w:val="none"/>
        </w:rPr>
      </w:pPr>
    </w:p>
    <w:p w14:paraId="5D28B386">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六</w:t>
      </w:r>
      <w:r>
        <w:rPr>
          <w:rFonts w:hint="eastAsia" w:ascii="宋体" w:hAnsi="宋体" w:eastAsia="宋体" w:cs="宋体"/>
          <w:b/>
          <w:color w:val="auto"/>
          <w:sz w:val="36"/>
          <w:szCs w:val="36"/>
          <w:highlight w:val="none"/>
        </w:rPr>
        <w:t>、投标保证金汇入情况说明</w:t>
      </w:r>
    </w:p>
    <w:p w14:paraId="6D99CA67">
      <w:pPr>
        <w:keepNext w:val="0"/>
        <w:keepLines w:val="0"/>
        <w:pageBreakBefore w:val="0"/>
        <w:widowControl/>
        <w:kinsoku/>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致：采购代理机构名称</w:t>
      </w:r>
    </w:p>
    <w:p w14:paraId="506341B6">
      <w:pPr>
        <w:keepNext w:val="0"/>
        <w:keepLines w:val="0"/>
        <w:pageBreakBefore w:val="0"/>
        <w:widowControl/>
        <w:kinsoku/>
        <w:overflowPunct/>
        <w:topLinePunct w:val="0"/>
        <w:autoSpaceDE/>
        <w:autoSpaceDN/>
        <w:bidi w:val="0"/>
        <w:adjustRightInd/>
        <w:snapToGrid/>
        <w:spacing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本单位已按</w:t>
      </w:r>
      <w:r>
        <w:rPr>
          <w:rFonts w:hint="eastAsia" w:ascii="宋体" w:hAnsi="宋体" w:eastAsia="宋体" w:cs="宋体"/>
          <w:b/>
          <w:bCs/>
          <w:color w:val="auto"/>
          <w:sz w:val="24"/>
          <w:szCs w:val="24"/>
          <w:highlight w:val="none"/>
          <w:u w:val="single"/>
        </w:rPr>
        <w:t xml:space="preserve">     （项目名称）</w:t>
      </w:r>
      <w:r>
        <w:rPr>
          <w:rFonts w:hint="eastAsia" w:ascii="宋体" w:hAnsi="宋体" w:eastAsia="宋体" w:cs="宋体"/>
          <w:b/>
          <w:bCs/>
          <w:color w:val="auto"/>
          <w:sz w:val="24"/>
          <w:szCs w:val="24"/>
          <w:highlight w:val="none"/>
        </w:rPr>
        <w:t>（项目编号：）的招标文件要求，于  年  月  日前以（付款形式）方式汇入指定帐户（帐户名称：，帐号：，开户银行：）。</w:t>
      </w:r>
    </w:p>
    <w:p w14:paraId="0BF833BD">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本单位投标保证金的汇款情况：（详见附件－投标保证金汇款凭证）</w:t>
      </w:r>
    </w:p>
    <w:p w14:paraId="5B0634D4">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汇出时间：年月日；</w:t>
      </w:r>
    </w:p>
    <w:p w14:paraId="3B0B7496">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汇款金额：（大写）人民币元（小写：￥元），</w:t>
      </w:r>
    </w:p>
    <w:p w14:paraId="790F9CAC">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汇款帐户名称：</w:t>
      </w:r>
      <w:r>
        <w:rPr>
          <w:rFonts w:hint="eastAsia" w:ascii="宋体" w:hAnsi="宋体" w:eastAsia="宋体" w:cs="宋体"/>
          <w:color w:val="auto"/>
          <w:sz w:val="24"/>
          <w:szCs w:val="24"/>
          <w:highlight w:val="none"/>
          <w:u w:val="single"/>
        </w:rPr>
        <w:t xml:space="preserve">         （必须是投标时使用的帐户名          </w:t>
      </w:r>
    </w:p>
    <w:p w14:paraId="22756144">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r>
        <w:rPr>
          <w:rFonts w:hint="eastAsia" w:ascii="宋体" w:hAnsi="宋体" w:eastAsia="宋体" w:cs="宋体"/>
          <w:color w:val="auto"/>
          <w:sz w:val="24"/>
          <w:szCs w:val="24"/>
          <w:highlight w:val="none"/>
          <w:u w:val="single"/>
        </w:rPr>
        <w:t xml:space="preserve">        （必须是投标时使用的帐号）                   </w:t>
      </w:r>
    </w:p>
    <w:p w14:paraId="39C79BFE">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014CA2E1">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本单位谨承诺上述资料是正确、真实的，如因上述证明与事实不符导致的一切损失，本单位保证承担赔偿等一切法律责任。</w:t>
      </w:r>
    </w:p>
    <w:p w14:paraId="14ACF494">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投标保证金退回时，请按上述资料退回。</w:t>
      </w:r>
    </w:p>
    <w:p w14:paraId="2ECBF9B0">
      <w:pPr>
        <w:keepNext w:val="0"/>
        <w:keepLines w:val="0"/>
        <w:pageBreakBefore w:val="0"/>
        <w:widowControl/>
        <w:kinsoku/>
        <w:overflowPunct/>
        <w:topLinePunct w:val="0"/>
        <w:autoSpaceDE/>
        <w:autoSpaceDN/>
        <w:bidi w:val="0"/>
        <w:adjustRightInd/>
        <w:snapToGrid/>
        <w:spacing w:line="288" w:lineRule="auto"/>
        <w:ind w:right="804" w:rightChars="40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（单位公章）</w:t>
      </w:r>
    </w:p>
    <w:p w14:paraId="04ED467F">
      <w:pPr>
        <w:keepNext w:val="0"/>
        <w:keepLines w:val="0"/>
        <w:pageBreakBefore w:val="0"/>
        <w:widowControl/>
        <w:kinsoku/>
        <w:wordWrap w:val="0"/>
        <w:overflowPunct/>
        <w:topLinePunct w:val="0"/>
        <w:autoSpaceDE/>
        <w:autoSpaceDN/>
        <w:bidi w:val="0"/>
        <w:adjustRightInd/>
        <w:snapToGrid/>
        <w:spacing w:line="288" w:lineRule="auto"/>
        <w:ind w:right="598" w:rightChars="299"/>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D244870">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p>
    <w:p w14:paraId="1BFBA48C">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14:paraId="6CEFCC37">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i/>
          <w:color w:val="auto"/>
          <w:sz w:val="24"/>
          <w:szCs w:val="24"/>
          <w:highlight w:val="none"/>
          <w:u w:val="single"/>
        </w:rPr>
        <w:t>（投标单位财务）</w:t>
      </w:r>
    </w:p>
    <w:p w14:paraId="4B84B6CD">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单位电话：      联系人手机：</w:t>
      </w:r>
    </w:p>
    <w:tbl>
      <w:tblPr>
        <w:tblStyle w:val="44"/>
        <w:tblW w:w="914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45"/>
      </w:tblGrid>
      <w:tr w14:paraId="050F6F2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310" w:hRule="atLeast"/>
          <w:jc w:val="center"/>
        </w:trPr>
        <w:tc>
          <w:tcPr>
            <w:tcW w:w="9145" w:type="dxa"/>
            <w:vAlign w:val="center"/>
          </w:tcPr>
          <w:p w14:paraId="12165A2F">
            <w:pPr>
              <w:keepNext w:val="0"/>
              <w:keepLines w:val="0"/>
              <w:pageBreakBefore w:val="0"/>
              <w:widowControl/>
              <w:kinsoku/>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附件一：我方投标保证金汇款凭证（复印件加盖供应商公章）</w:t>
            </w:r>
          </w:p>
        </w:tc>
      </w:tr>
    </w:tbl>
    <w:p w14:paraId="7F00CD8C">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注：本情况说明手写无效。</w:t>
      </w:r>
    </w:p>
    <w:p w14:paraId="1AEFE773">
      <w:pPr>
        <w:autoSpaceDE w:val="0"/>
        <w:autoSpaceDN w:val="0"/>
        <w:adjustRightInd w:val="0"/>
        <w:spacing w:before="120" w:beforeLines="50" w:after="120" w:afterLines="50"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29023944">
      <w:pPr>
        <w:spacing w:line="360" w:lineRule="auto"/>
        <w:jc w:val="center"/>
        <w:rPr>
          <w:rFonts w:hint="eastAsia" w:ascii="宋体" w:hAnsi="宋体" w:eastAsia="宋体" w:cs="宋体"/>
          <w:b/>
          <w:color w:val="auto"/>
          <w:sz w:val="36"/>
          <w:szCs w:val="36"/>
          <w:highlight w:val="none"/>
        </w:rPr>
      </w:pPr>
    </w:p>
    <w:p w14:paraId="46AB210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七</w:t>
      </w:r>
      <w:r>
        <w:rPr>
          <w:rFonts w:hint="eastAsia" w:ascii="宋体" w:hAnsi="宋体" w:eastAsia="宋体" w:cs="宋体"/>
          <w:b/>
          <w:color w:val="auto"/>
          <w:sz w:val="36"/>
          <w:szCs w:val="36"/>
          <w:highlight w:val="none"/>
        </w:rPr>
        <w:t>、供应商认为有必要提供的其他材料</w:t>
      </w:r>
    </w:p>
    <w:p w14:paraId="530B6305">
      <w:pPr>
        <w:rPr>
          <w:rFonts w:hint="eastAsia" w:ascii="宋体" w:hAnsi="宋体" w:eastAsia="宋体" w:cs="宋体"/>
          <w:b/>
          <w:color w:val="auto"/>
          <w:szCs w:val="21"/>
          <w:highlight w:val="none"/>
        </w:rPr>
      </w:pPr>
    </w:p>
    <w:p w14:paraId="22351E4D">
      <w:pPr>
        <w:jc w:val="center"/>
        <w:rPr>
          <w:rFonts w:hint="eastAsia" w:ascii="宋体" w:hAnsi="宋体" w:eastAsia="宋体" w:cs="宋体"/>
          <w:b/>
          <w:color w:val="auto"/>
          <w:szCs w:val="21"/>
          <w:highlight w:val="none"/>
        </w:rPr>
      </w:pPr>
    </w:p>
    <w:p w14:paraId="74A61AA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供应商按招标文件要求自行填写，不作统一格式要求。</w:t>
      </w:r>
      <w:r>
        <w:rPr>
          <w:rFonts w:hint="eastAsia" w:ascii="宋体" w:hAnsi="宋体" w:eastAsia="宋体" w:cs="宋体"/>
          <w:b/>
          <w:color w:val="auto"/>
          <w:sz w:val="24"/>
          <w:szCs w:val="24"/>
          <w:highlight w:val="none"/>
        </w:rPr>
        <w:br w:type="page"/>
      </w:r>
    </w:p>
    <w:p w14:paraId="5ADA64F2">
      <w:pPr>
        <w:spacing w:line="360" w:lineRule="auto"/>
        <w:jc w:val="center"/>
        <w:rPr>
          <w:rFonts w:hint="eastAsia" w:ascii="宋体" w:hAnsi="宋体" w:eastAsia="宋体" w:cs="宋体"/>
          <w:b/>
          <w:color w:val="auto"/>
          <w:sz w:val="36"/>
          <w:szCs w:val="36"/>
          <w:highlight w:val="none"/>
        </w:rPr>
      </w:pPr>
    </w:p>
    <w:p w14:paraId="062C3FAC">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评标办法目录索引表</w:t>
      </w:r>
    </w:p>
    <w:p w14:paraId="42154DC7">
      <w:pPr>
        <w:rPr>
          <w:rFonts w:hint="eastAsia" w:ascii="宋体" w:hAnsi="宋体" w:eastAsia="宋体" w:cs="宋体"/>
          <w:color w:val="auto"/>
          <w:highlight w:val="none"/>
        </w:rPr>
      </w:pPr>
    </w:p>
    <w:p w14:paraId="58383ECA">
      <w:pPr>
        <w:rPr>
          <w:rFonts w:hint="eastAsia" w:ascii="宋体" w:hAnsi="宋体" w:eastAsia="宋体" w:cs="宋体"/>
          <w:color w:val="auto"/>
          <w:highlight w:val="none"/>
        </w:rPr>
      </w:pPr>
    </w:p>
    <w:p w14:paraId="009CE18F">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按招标文件中评标方法、步骤、标准相对应条款填写</w:t>
      </w:r>
      <w:r>
        <w:rPr>
          <w:rFonts w:hint="eastAsia" w:ascii="宋体" w:hAnsi="宋体" w:eastAsia="宋体" w:cs="宋体"/>
          <w:b/>
          <w:bCs/>
          <w:color w:val="auto"/>
          <w:sz w:val="24"/>
          <w:szCs w:val="24"/>
          <w:highlight w:val="none"/>
        </w:rPr>
        <w:t>（此表格必须放置在目录处）</w:t>
      </w:r>
    </w:p>
    <w:p w14:paraId="48B5BA3C">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04390C24">
      <w:pPr>
        <w:jc w:val="center"/>
        <w:rPr>
          <w:rFonts w:hint="eastAsia"/>
          <w:b/>
          <w:bCs/>
          <w:color w:val="auto"/>
          <w:sz w:val="44"/>
          <w:szCs w:val="44"/>
        </w:rPr>
      </w:pPr>
      <w:r>
        <w:rPr>
          <w:rFonts w:hint="eastAsia"/>
          <w:b/>
          <w:bCs/>
          <w:color w:val="auto"/>
          <w:sz w:val="44"/>
          <w:szCs w:val="44"/>
        </w:rPr>
        <w:t>中小企业声明函（货物）</w:t>
      </w:r>
    </w:p>
    <w:p w14:paraId="37D74C40">
      <w:pPr>
        <w:ind w:firstLine="640" w:firstLineChars="200"/>
        <w:rPr>
          <w:rFonts w:hint="eastAsia"/>
          <w:color w:val="auto"/>
          <w:sz w:val="32"/>
          <w:szCs w:val="32"/>
        </w:rPr>
      </w:pPr>
    </w:p>
    <w:p w14:paraId="326C93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i w:val="0"/>
          <w:iCs w:val="0"/>
          <w:color w:val="auto"/>
          <w:sz w:val="32"/>
          <w:szCs w:val="32"/>
        </w:rPr>
      </w:pPr>
      <w:r>
        <w:rPr>
          <w:rFonts w:hint="eastAsia"/>
          <w:i w:val="0"/>
          <w:iCs w:val="0"/>
          <w:color w:val="auto"/>
          <w:sz w:val="32"/>
          <w:szCs w:val="32"/>
        </w:rPr>
        <w:t>本公司郑重声明，根据《政府采购促进中小企业发展管理办法》（财库﹝2020﹞46 号）的规定，本公司参加</w:t>
      </w:r>
      <w:r>
        <w:rPr>
          <w:rFonts w:hint="eastAsia" w:eastAsia="宋体"/>
          <w:i w:val="0"/>
          <w:iCs w:val="0"/>
          <w:color w:val="auto"/>
          <w:sz w:val="32"/>
          <w:szCs w:val="32"/>
          <w:u w:val="words"/>
        </w:rPr>
        <w:t>（单位名称）</w:t>
      </w:r>
      <w:r>
        <w:rPr>
          <w:rFonts w:hint="eastAsia"/>
          <w:i w:val="0"/>
          <w:iCs w:val="0"/>
          <w:color w:val="auto"/>
          <w:sz w:val="32"/>
          <w:szCs w:val="32"/>
        </w:rPr>
        <w:t>的</w:t>
      </w:r>
      <w:r>
        <w:rPr>
          <w:rFonts w:hint="eastAsia" w:eastAsia="宋体"/>
          <w:i w:val="0"/>
          <w:iCs w:val="0"/>
          <w:color w:val="auto"/>
          <w:sz w:val="32"/>
          <w:szCs w:val="32"/>
          <w:u w:val="words"/>
        </w:rPr>
        <w:t>（项目名称）</w:t>
      </w:r>
      <w:r>
        <w:rPr>
          <w:rFonts w:hint="eastAsia"/>
          <w:i w:val="0"/>
          <w:iCs w:val="0"/>
          <w:color w:val="auto"/>
          <w:sz w:val="32"/>
          <w:szCs w:val="32"/>
        </w:rPr>
        <w:t>采购活动，提供的货物全部由符合政策要求的中小企业制造。相关企业的具体情况如下：</w:t>
      </w:r>
    </w:p>
    <w:p w14:paraId="48A27D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i w:val="0"/>
          <w:iCs w:val="0"/>
          <w:color w:val="auto"/>
          <w:sz w:val="32"/>
          <w:szCs w:val="32"/>
        </w:rPr>
      </w:pPr>
      <w:r>
        <w:rPr>
          <w:rFonts w:hint="eastAsia"/>
          <w:i w:val="0"/>
          <w:iCs w:val="0"/>
          <w:color w:val="auto"/>
          <w:sz w:val="32"/>
          <w:szCs w:val="32"/>
        </w:rPr>
        <w:t xml:space="preserve">1. </w:t>
      </w:r>
      <w:r>
        <w:rPr>
          <w:rFonts w:hint="eastAsia" w:eastAsia="宋体"/>
          <w:i w:val="0"/>
          <w:iCs w:val="0"/>
          <w:color w:val="auto"/>
          <w:sz w:val="32"/>
          <w:szCs w:val="32"/>
          <w:u w:val="words"/>
        </w:rPr>
        <w:t>（标的名称）</w:t>
      </w:r>
      <w:r>
        <w:rPr>
          <w:rFonts w:hint="eastAsia"/>
          <w:i w:val="0"/>
          <w:iCs w:val="0"/>
          <w:color w:val="auto"/>
          <w:sz w:val="32"/>
          <w:szCs w:val="32"/>
        </w:rPr>
        <w:t>，属于</w:t>
      </w:r>
      <w:r>
        <w:rPr>
          <w:rFonts w:hint="eastAsia" w:eastAsia="宋体"/>
          <w:i w:val="0"/>
          <w:iCs w:val="0"/>
          <w:color w:val="auto"/>
          <w:sz w:val="32"/>
          <w:szCs w:val="32"/>
          <w:u w:val="words"/>
        </w:rPr>
        <w:t>（</w:t>
      </w:r>
      <w:r>
        <w:rPr>
          <w:rFonts w:hint="eastAsia"/>
          <w:i w:val="0"/>
          <w:iCs w:val="0"/>
          <w:color w:val="auto"/>
          <w:sz w:val="32"/>
          <w:szCs w:val="32"/>
          <w:u w:val="single"/>
          <w:lang w:val="en-US" w:eastAsia="zh-CN"/>
        </w:rPr>
        <w:t xml:space="preserve">     </w:t>
      </w:r>
      <w:r>
        <w:rPr>
          <w:rFonts w:hint="eastAsia" w:eastAsia="宋体"/>
          <w:i w:val="0"/>
          <w:iCs w:val="0"/>
          <w:color w:val="auto"/>
          <w:sz w:val="32"/>
          <w:szCs w:val="32"/>
          <w:u w:val="words"/>
        </w:rPr>
        <w:t>）行业</w:t>
      </w:r>
      <w:r>
        <w:rPr>
          <w:rFonts w:hint="eastAsia"/>
          <w:i w:val="0"/>
          <w:iCs w:val="0"/>
          <w:color w:val="auto"/>
          <w:sz w:val="32"/>
          <w:szCs w:val="32"/>
        </w:rPr>
        <w:t>；制造商为</w:t>
      </w:r>
      <w:r>
        <w:rPr>
          <w:rFonts w:hint="eastAsia" w:eastAsia="宋体"/>
          <w:i w:val="0"/>
          <w:iCs w:val="0"/>
          <w:color w:val="auto"/>
          <w:sz w:val="32"/>
          <w:szCs w:val="32"/>
          <w:u w:val="words"/>
        </w:rPr>
        <w:t>（企业名称）</w:t>
      </w:r>
      <w:r>
        <w:rPr>
          <w:rFonts w:hint="eastAsia"/>
          <w:i w:val="0"/>
          <w:iCs w:val="0"/>
          <w:color w:val="auto"/>
          <w:sz w:val="32"/>
          <w:szCs w:val="32"/>
        </w:rPr>
        <w:t>，从业人员</w:t>
      </w:r>
      <w:r>
        <w:rPr>
          <w:rFonts w:hint="eastAsia" w:eastAsia="宋体"/>
          <w:i w:val="0"/>
          <w:iCs w:val="0"/>
          <w:color w:val="auto"/>
          <w:sz w:val="32"/>
          <w:szCs w:val="32"/>
          <w:u w:val="single"/>
        </w:rPr>
        <w:t xml:space="preserve"> </w:t>
      </w:r>
      <w:r>
        <w:rPr>
          <w:rFonts w:hint="eastAsia" w:eastAsia="宋体"/>
          <w:i w:val="0"/>
          <w:iCs w:val="0"/>
          <w:color w:val="auto"/>
          <w:sz w:val="32"/>
          <w:szCs w:val="32"/>
          <w:u w:val="single"/>
          <w:lang w:val="en-US" w:eastAsia="zh-CN"/>
        </w:rPr>
        <w:t xml:space="preserve">    </w:t>
      </w:r>
      <w:r>
        <w:rPr>
          <w:rFonts w:hint="eastAsia"/>
          <w:i w:val="0"/>
          <w:iCs w:val="0"/>
          <w:color w:val="auto"/>
          <w:sz w:val="32"/>
          <w:szCs w:val="32"/>
        </w:rPr>
        <w:t>人，营业收入为</w:t>
      </w:r>
      <w:r>
        <w:rPr>
          <w:rFonts w:hint="eastAsia" w:eastAsia="宋体"/>
          <w:i w:val="0"/>
          <w:iCs w:val="0"/>
          <w:color w:val="auto"/>
          <w:sz w:val="32"/>
          <w:szCs w:val="32"/>
          <w:u w:val="single"/>
          <w:lang w:val="en-US" w:eastAsia="zh-CN"/>
        </w:rPr>
        <w:t xml:space="preserve">      </w:t>
      </w:r>
      <w:r>
        <w:rPr>
          <w:rFonts w:hint="eastAsia"/>
          <w:i w:val="0"/>
          <w:iCs w:val="0"/>
          <w:color w:val="auto"/>
          <w:sz w:val="32"/>
          <w:szCs w:val="32"/>
        </w:rPr>
        <w:t>万元，资产总额为</w:t>
      </w:r>
      <w:r>
        <w:rPr>
          <w:rFonts w:hint="eastAsia" w:eastAsia="宋体"/>
          <w:i w:val="0"/>
          <w:iCs w:val="0"/>
          <w:color w:val="auto"/>
          <w:sz w:val="32"/>
          <w:szCs w:val="32"/>
          <w:u w:val="single"/>
          <w:lang w:val="en-US" w:eastAsia="zh-CN"/>
        </w:rPr>
        <w:t xml:space="preserve">      </w:t>
      </w:r>
      <w:r>
        <w:rPr>
          <w:rFonts w:hint="eastAsia"/>
          <w:i w:val="0"/>
          <w:iCs w:val="0"/>
          <w:color w:val="auto"/>
          <w:sz w:val="32"/>
          <w:szCs w:val="32"/>
        </w:rPr>
        <w:t>万元，属于</w:t>
      </w:r>
      <w:r>
        <w:rPr>
          <w:rFonts w:hint="eastAsia" w:eastAsia="宋体"/>
          <w:i w:val="0"/>
          <w:iCs w:val="0"/>
          <w:color w:val="auto"/>
          <w:sz w:val="32"/>
          <w:szCs w:val="32"/>
          <w:u w:val="words"/>
        </w:rPr>
        <w:t>（中型企业、小型企业、微型企业）</w:t>
      </w:r>
      <w:r>
        <w:rPr>
          <w:rFonts w:hint="eastAsia"/>
          <w:i w:val="0"/>
          <w:iCs w:val="0"/>
          <w:color w:val="auto"/>
          <w:sz w:val="32"/>
          <w:szCs w:val="32"/>
        </w:rPr>
        <w:t>；</w:t>
      </w:r>
    </w:p>
    <w:p w14:paraId="2971C3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i w:val="0"/>
          <w:iCs w:val="0"/>
          <w:color w:val="auto"/>
          <w:sz w:val="32"/>
          <w:szCs w:val="32"/>
        </w:rPr>
      </w:pPr>
      <w:r>
        <w:rPr>
          <w:rFonts w:hint="eastAsia"/>
          <w:i w:val="0"/>
          <w:iCs w:val="0"/>
          <w:color w:val="auto"/>
          <w:sz w:val="32"/>
          <w:szCs w:val="32"/>
        </w:rPr>
        <w:t xml:space="preserve">2. </w:t>
      </w:r>
      <w:r>
        <w:rPr>
          <w:rFonts w:hint="eastAsia" w:eastAsia="宋体"/>
          <w:i w:val="0"/>
          <w:iCs w:val="0"/>
          <w:color w:val="auto"/>
          <w:sz w:val="32"/>
          <w:szCs w:val="32"/>
          <w:u w:val="words"/>
        </w:rPr>
        <w:t>（标的名称）</w:t>
      </w:r>
      <w:r>
        <w:rPr>
          <w:rFonts w:hint="eastAsia"/>
          <w:i w:val="0"/>
          <w:iCs w:val="0"/>
          <w:color w:val="auto"/>
          <w:sz w:val="32"/>
          <w:szCs w:val="32"/>
        </w:rPr>
        <w:t>，属于</w:t>
      </w:r>
      <w:r>
        <w:rPr>
          <w:rFonts w:hint="eastAsia" w:eastAsia="宋体"/>
          <w:i w:val="0"/>
          <w:iCs w:val="0"/>
          <w:color w:val="auto"/>
          <w:sz w:val="32"/>
          <w:szCs w:val="32"/>
          <w:u w:val="words"/>
        </w:rPr>
        <w:t>（</w:t>
      </w:r>
      <w:r>
        <w:rPr>
          <w:rFonts w:hint="eastAsia"/>
          <w:i w:val="0"/>
          <w:iCs w:val="0"/>
          <w:color w:val="auto"/>
          <w:sz w:val="32"/>
          <w:szCs w:val="32"/>
          <w:u w:val="single"/>
          <w:lang w:val="en-US" w:eastAsia="zh-CN"/>
        </w:rPr>
        <w:t xml:space="preserve">    </w:t>
      </w:r>
      <w:r>
        <w:rPr>
          <w:rFonts w:hint="eastAsia" w:eastAsia="宋体"/>
          <w:i w:val="0"/>
          <w:iCs w:val="0"/>
          <w:color w:val="auto"/>
          <w:sz w:val="32"/>
          <w:szCs w:val="32"/>
          <w:u w:val="words"/>
        </w:rPr>
        <w:t>）行业</w:t>
      </w:r>
      <w:r>
        <w:rPr>
          <w:rFonts w:hint="eastAsia"/>
          <w:i w:val="0"/>
          <w:iCs w:val="0"/>
          <w:color w:val="auto"/>
          <w:sz w:val="32"/>
          <w:szCs w:val="32"/>
        </w:rPr>
        <w:t>；制造商为</w:t>
      </w:r>
      <w:r>
        <w:rPr>
          <w:rFonts w:hint="eastAsia" w:eastAsia="宋体"/>
          <w:i w:val="0"/>
          <w:iCs w:val="0"/>
          <w:color w:val="auto"/>
          <w:sz w:val="32"/>
          <w:szCs w:val="32"/>
          <w:u w:val="words"/>
        </w:rPr>
        <w:t>（企业名称）</w:t>
      </w:r>
      <w:r>
        <w:rPr>
          <w:rFonts w:hint="eastAsia"/>
          <w:i w:val="0"/>
          <w:iCs w:val="0"/>
          <w:color w:val="auto"/>
          <w:sz w:val="32"/>
          <w:szCs w:val="32"/>
        </w:rPr>
        <w:t>，从业人员</w:t>
      </w:r>
      <w:r>
        <w:rPr>
          <w:rFonts w:hint="eastAsia" w:eastAsia="宋体"/>
          <w:i w:val="0"/>
          <w:iCs w:val="0"/>
          <w:color w:val="auto"/>
          <w:sz w:val="32"/>
          <w:szCs w:val="32"/>
          <w:u w:val="single"/>
        </w:rPr>
        <w:t xml:space="preserve"> </w:t>
      </w:r>
      <w:r>
        <w:rPr>
          <w:rFonts w:hint="eastAsia" w:eastAsia="宋体"/>
          <w:i w:val="0"/>
          <w:iCs w:val="0"/>
          <w:color w:val="auto"/>
          <w:sz w:val="32"/>
          <w:szCs w:val="32"/>
          <w:u w:val="single"/>
          <w:lang w:val="en-US" w:eastAsia="zh-CN"/>
        </w:rPr>
        <w:t xml:space="preserve">    </w:t>
      </w:r>
      <w:r>
        <w:rPr>
          <w:rFonts w:hint="eastAsia"/>
          <w:i w:val="0"/>
          <w:iCs w:val="0"/>
          <w:color w:val="auto"/>
          <w:sz w:val="32"/>
          <w:szCs w:val="32"/>
        </w:rPr>
        <w:t>人，营业收入为</w:t>
      </w:r>
      <w:r>
        <w:rPr>
          <w:rFonts w:hint="eastAsia" w:eastAsia="宋体"/>
          <w:i w:val="0"/>
          <w:iCs w:val="0"/>
          <w:color w:val="auto"/>
          <w:sz w:val="32"/>
          <w:szCs w:val="32"/>
          <w:u w:val="single"/>
          <w:lang w:val="en-US" w:eastAsia="zh-CN"/>
        </w:rPr>
        <w:t xml:space="preserve">      </w:t>
      </w:r>
      <w:r>
        <w:rPr>
          <w:rFonts w:hint="eastAsia"/>
          <w:i w:val="0"/>
          <w:iCs w:val="0"/>
          <w:color w:val="auto"/>
          <w:sz w:val="32"/>
          <w:szCs w:val="32"/>
        </w:rPr>
        <w:t>万元，资产总额为</w:t>
      </w:r>
      <w:r>
        <w:rPr>
          <w:rFonts w:hint="eastAsia" w:eastAsia="宋体"/>
          <w:i w:val="0"/>
          <w:iCs w:val="0"/>
          <w:color w:val="auto"/>
          <w:sz w:val="32"/>
          <w:szCs w:val="32"/>
          <w:u w:val="single"/>
          <w:lang w:val="en-US" w:eastAsia="zh-CN"/>
        </w:rPr>
        <w:t xml:space="preserve">      </w:t>
      </w:r>
      <w:r>
        <w:rPr>
          <w:rFonts w:hint="eastAsia"/>
          <w:i w:val="0"/>
          <w:iCs w:val="0"/>
          <w:color w:val="auto"/>
          <w:sz w:val="32"/>
          <w:szCs w:val="32"/>
        </w:rPr>
        <w:t>万元，属于</w:t>
      </w:r>
      <w:r>
        <w:rPr>
          <w:rFonts w:hint="eastAsia" w:eastAsia="宋体"/>
          <w:i w:val="0"/>
          <w:iCs w:val="0"/>
          <w:color w:val="auto"/>
          <w:sz w:val="32"/>
          <w:szCs w:val="32"/>
          <w:u w:val="words"/>
        </w:rPr>
        <w:t>（中型企业、小型企业、微型企业）</w:t>
      </w:r>
      <w:r>
        <w:rPr>
          <w:rFonts w:hint="eastAsia"/>
          <w:i w:val="0"/>
          <w:iCs w:val="0"/>
          <w:color w:val="auto"/>
          <w:sz w:val="32"/>
          <w:szCs w:val="32"/>
        </w:rPr>
        <w:t>；</w:t>
      </w:r>
    </w:p>
    <w:p w14:paraId="509D95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i w:val="0"/>
          <w:iCs w:val="0"/>
          <w:color w:val="auto"/>
          <w:sz w:val="32"/>
          <w:szCs w:val="32"/>
        </w:rPr>
      </w:pPr>
      <w:r>
        <w:rPr>
          <w:rFonts w:hint="eastAsia"/>
          <w:i w:val="0"/>
          <w:iCs w:val="0"/>
          <w:color w:val="auto"/>
          <w:sz w:val="32"/>
          <w:szCs w:val="32"/>
        </w:rPr>
        <w:t>……</w:t>
      </w:r>
    </w:p>
    <w:p w14:paraId="593538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i w:val="0"/>
          <w:iCs w:val="0"/>
          <w:color w:val="auto"/>
          <w:sz w:val="32"/>
          <w:szCs w:val="32"/>
        </w:rPr>
      </w:pPr>
      <w:r>
        <w:rPr>
          <w:rFonts w:hint="eastAsia"/>
          <w:i w:val="0"/>
          <w:iCs w:val="0"/>
          <w:color w:val="auto"/>
          <w:sz w:val="32"/>
          <w:szCs w:val="32"/>
        </w:rPr>
        <w:t>以上企业，不属于大企业的分支机构，不存在控股股东为大企业的情形，也不存在与大企业的负责人为同一人的情形。</w:t>
      </w:r>
    </w:p>
    <w:p w14:paraId="059E94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i w:val="0"/>
          <w:iCs w:val="0"/>
          <w:color w:val="auto"/>
          <w:sz w:val="32"/>
          <w:szCs w:val="32"/>
        </w:rPr>
      </w:pPr>
      <w:r>
        <w:rPr>
          <w:rFonts w:hint="eastAsia"/>
          <w:i w:val="0"/>
          <w:iCs w:val="0"/>
          <w:color w:val="auto"/>
          <w:sz w:val="32"/>
          <w:szCs w:val="32"/>
        </w:rPr>
        <w:t>本企业对上述声明内容的真实性负责。如有虚假，将依法承担相应责任。</w:t>
      </w:r>
    </w:p>
    <w:p w14:paraId="50B24DB7">
      <w:pPr>
        <w:ind w:firstLine="4160" w:firstLineChars="1300"/>
        <w:rPr>
          <w:rFonts w:hint="eastAsia"/>
          <w:i w:val="0"/>
          <w:iCs w:val="0"/>
          <w:color w:val="auto"/>
          <w:sz w:val="32"/>
          <w:szCs w:val="32"/>
        </w:rPr>
      </w:pPr>
      <w:r>
        <w:rPr>
          <w:rFonts w:hint="eastAsia"/>
          <w:i w:val="0"/>
          <w:iCs w:val="0"/>
          <w:color w:val="auto"/>
          <w:sz w:val="32"/>
          <w:szCs w:val="32"/>
        </w:rPr>
        <w:t>企业名称（盖章）：</w:t>
      </w:r>
    </w:p>
    <w:p w14:paraId="2CA5DF44">
      <w:pPr>
        <w:ind w:firstLine="4160" w:firstLineChars="1300"/>
        <w:rPr>
          <w:rFonts w:hint="eastAsia"/>
          <w:i w:val="0"/>
          <w:iCs w:val="0"/>
          <w:color w:val="auto"/>
          <w:sz w:val="32"/>
          <w:szCs w:val="32"/>
        </w:rPr>
      </w:pPr>
      <w:r>
        <w:rPr>
          <w:rFonts w:hint="eastAsia"/>
          <w:i w:val="0"/>
          <w:iCs w:val="0"/>
          <w:color w:val="auto"/>
          <w:sz w:val="32"/>
          <w:szCs w:val="32"/>
        </w:rPr>
        <w:t>日 期：</w:t>
      </w:r>
    </w:p>
    <w:p w14:paraId="13D9281E">
      <w:pPr>
        <w:rPr>
          <w:rFonts w:hint="eastAsia"/>
          <w:b/>
          <w:bCs/>
          <w:i w:val="0"/>
          <w:iCs w:val="0"/>
          <w:color w:val="auto"/>
          <w:sz w:val="21"/>
          <w:szCs w:val="21"/>
          <w:lang w:eastAsia="zh-CN"/>
        </w:rPr>
      </w:pPr>
      <w:r>
        <w:rPr>
          <w:rFonts w:hint="eastAsia"/>
          <w:b/>
          <w:bCs/>
          <w:i w:val="0"/>
          <w:iCs w:val="0"/>
          <w:color w:val="auto"/>
          <w:sz w:val="21"/>
          <w:szCs w:val="21"/>
          <w:lang w:eastAsia="zh-CN"/>
        </w:rPr>
        <w:t>备注：</w:t>
      </w:r>
    </w:p>
    <w:p w14:paraId="71233A20">
      <w:pPr>
        <w:rPr>
          <w:rFonts w:hint="default"/>
          <w:b/>
          <w:bCs/>
          <w:i w:val="0"/>
          <w:iCs w:val="0"/>
          <w:color w:val="auto"/>
          <w:sz w:val="21"/>
          <w:szCs w:val="21"/>
          <w:lang w:val="en-US" w:eastAsia="zh-CN"/>
        </w:rPr>
      </w:pPr>
      <w:r>
        <w:rPr>
          <w:rFonts w:hint="eastAsia"/>
          <w:b/>
          <w:bCs/>
          <w:i w:val="0"/>
          <w:iCs w:val="0"/>
          <w:color w:val="auto"/>
          <w:sz w:val="21"/>
          <w:szCs w:val="21"/>
          <w:lang w:val="en-US" w:eastAsia="zh-CN"/>
        </w:rPr>
        <w:t>1、</w:t>
      </w:r>
      <w:r>
        <w:rPr>
          <w:rFonts w:hint="eastAsia" w:ascii="新宋体" w:hAnsi="新宋体" w:eastAsia="新宋体"/>
          <w:b/>
          <w:i w:val="0"/>
          <w:iCs w:val="0"/>
          <w:color w:val="auto"/>
          <w:sz w:val="21"/>
          <w:szCs w:val="21"/>
          <w:highlight w:val="none"/>
        </w:rPr>
        <w:t>如</w:t>
      </w:r>
      <w:r>
        <w:rPr>
          <w:rFonts w:hint="eastAsia" w:ascii="新宋体" w:hAnsi="新宋体" w:eastAsia="新宋体"/>
          <w:b/>
          <w:i w:val="0"/>
          <w:iCs w:val="0"/>
          <w:color w:val="auto"/>
          <w:sz w:val="21"/>
          <w:szCs w:val="21"/>
          <w:highlight w:val="none"/>
          <w:lang w:eastAsia="zh-CN"/>
        </w:rPr>
        <w:t>货物制造商</w:t>
      </w:r>
      <w:r>
        <w:rPr>
          <w:rFonts w:hint="eastAsia" w:ascii="新宋体" w:hAnsi="新宋体" w:eastAsia="新宋体"/>
          <w:b/>
          <w:i w:val="0"/>
          <w:iCs w:val="0"/>
          <w:color w:val="auto"/>
          <w:sz w:val="21"/>
          <w:szCs w:val="21"/>
          <w:highlight w:val="none"/>
        </w:rPr>
        <w:t>非小微企业，本声明函无需填写。</w:t>
      </w:r>
    </w:p>
    <w:p w14:paraId="1F776573">
      <w:pPr>
        <w:numPr>
          <w:ilvl w:val="0"/>
          <w:numId w:val="0"/>
        </w:numPr>
        <w:rPr>
          <w:rFonts w:hint="eastAsia"/>
          <w:b/>
          <w:bCs/>
          <w:i w:val="0"/>
          <w:iCs w:val="0"/>
          <w:color w:val="auto"/>
          <w:sz w:val="21"/>
          <w:szCs w:val="21"/>
          <w:lang w:eastAsia="zh-CN"/>
        </w:rPr>
      </w:pPr>
      <w:r>
        <w:rPr>
          <w:rFonts w:hint="eastAsia"/>
          <w:b/>
          <w:bCs/>
          <w:i w:val="0"/>
          <w:iCs w:val="0"/>
          <w:color w:val="auto"/>
          <w:sz w:val="21"/>
          <w:szCs w:val="21"/>
          <w:lang w:val="en-US" w:eastAsia="zh-CN"/>
        </w:rPr>
        <w:t>2、</w:t>
      </w:r>
      <w:r>
        <w:rPr>
          <w:rFonts w:hint="eastAsia"/>
          <w:b/>
          <w:bCs/>
          <w:i w:val="0"/>
          <w:iCs w:val="0"/>
          <w:color w:val="auto"/>
          <w:sz w:val="21"/>
          <w:szCs w:val="21"/>
        </w:rPr>
        <w:t>从业人员、营业收入、资产总额填报上一年度数据，无上一年度数据的新成立企业可不填报</w:t>
      </w:r>
      <w:r>
        <w:rPr>
          <w:rFonts w:hint="eastAsia"/>
          <w:b/>
          <w:bCs/>
          <w:i w:val="0"/>
          <w:iCs w:val="0"/>
          <w:color w:val="auto"/>
          <w:sz w:val="21"/>
          <w:szCs w:val="21"/>
          <w:lang w:eastAsia="zh-CN"/>
        </w:rPr>
        <w:t>。</w:t>
      </w:r>
    </w:p>
    <w:p w14:paraId="7F771D33">
      <w:pPr>
        <w:jc w:val="center"/>
        <w:rPr>
          <w:color w:val="auto"/>
          <w:sz w:val="36"/>
          <w:szCs w:val="36"/>
          <w:highlight w:val="none"/>
        </w:rPr>
      </w:pPr>
      <w:bookmarkStart w:id="49" w:name="OLE_LINK13"/>
      <w:bookmarkStart w:id="50" w:name="OLE_LINK14"/>
      <w:r>
        <w:rPr>
          <w:rFonts w:hint="eastAsia"/>
          <w:i w:val="0"/>
          <w:iCs w:val="0"/>
          <w:color w:val="auto"/>
          <w:sz w:val="36"/>
          <w:szCs w:val="36"/>
          <w:highlight w:val="none"/>
        </w:rPr>
        <w:br w:type="page"/>
      </w:r>
      <w:r>
        <w:rPr>
          <w:rFonts w:hint="eastAsia"/>
          <w:color w:val="auto"/>
          <w:sz w:val="36"/>
          <w:szCs w:val="36"/>
          <w:highlight w:val="none"/>
        </w:rPr>
        <w:t>残疾人福利性单位声明函</w:t>
      </w:r>
    </w:p>
    <w:bookmarkEnd w:id="49"/>
    <w:bookmarkEnd w:id="50"/>
    <w:p w14:paraId="551C833B">
      <w:pPr>
        <w:spacing w:line="588" w:lineRule="exact"/>
        <w:rPr>
          <w:rFonts w:ascii="仿宋_GB2312" w:eastAsia="仿宋_GB2312"/>
          <w:b/>
          <w:color w:val="auto"/>
          <w:spacing w:val="6"/>
          <w:sz w:val="30"/>
          <w:szCs w:val="30"/>
          <w:highlight w:val="none"/>
        </w:rPr>
      </w:pPr>
    </w:p>
    <w:p w14:paraId="3AEBD935">
      <w:pPr>
        <w:spacing w:line="588" w:lineRule="exact"/>
        <w:ind w:firstLine="640" w:firstLineChars="200"/>
        <w:rPr>
          <w:color w:val="auto"/>
          <w:sz w:val="32"/>
          <w:szCs w:val="32"/>
          <w:highlight w:val="none"/>
        </w:rPr>
      </w:pPr>
      <w:r>
        <w:rPr>
          <w:rFonts w:hint="eastAsia"/>
          <w:color w:val="auto"/>
          <w:sz w:val="32"/>
          <w:szCs w:val="32"/>
          <w:highlight w:val="none"/>
        </w:rPr>
        <w:t>本单位郑重声明，根据《财政部</w:t>
      </w:r>
      <w:r>
        <w:rPr>
          <w:color w:val="auto"/>
          <w:sz w:val="32"/>
          <w:szCs w:val="32"/>
          <w:highlight w:val="none"/>
        </w:rPr>
        <w:t xml:space="preserve"> </w:t>
      </w:r>
      <w:r>
        <w:rPr>
          <w:rFonts w:hint="eastAsia"/>
          <w:color w:val="auto"/>
          <w:sz w:val="32"/>
          <w:szCs w:val="32"/>
          <w:highlight w:val="none"/>
        </w:rPr>
        <w:t>民政部</w:t>
      </w:r>
      <w:r>
        <w:rPr>
          <w:color w:val="auto"/>
          <w:sz w:val="32"/>
          <w:szCs w:val="32"/>
          <w:highlight w:val="none"/>
        </w:rPr>
        <w:t xml:space="preserve"> </w:t>
      </w:r>
      <w:r>
        <w:rPr>
          <w:rFonts w:hint="eastAsia"/>
          <w:color w:val="auto"/>
          <w:sz w:val="32"/>
          <w:szCs w:val="32"/>
          <w:highlight w:val="none"/>
        </w:rPr>
        <w:t>中国残疾人联合会关于促进残疾人就业政府采购政策的通知》（财库〔</w:t>
      </w:r>
      <w:r>
        <w:rPr>
          <w:color w:val="auto"/>
          <w:sz w:val="32"/>
          <w:szCs w:val="32"/>
          <w:highlight w:val="none"/>
        </w:rPr>
        <w:t>2017</w:t>
      </w:r>
      <w:r>
        <w:rPr>
          <w:rFonts w:hint="eastAsia"/>
          <w:color w:val="auto"/>
          <w:sz w:val="32"/>
          <w:szCs w:val="32"/>
          <w:highlight w:val="none"/>
        </w:rPr>
        <w:t>〕</w:t>
      </w:r>
      <w:r>
        <w:rPr>
          <w:color w:val="auto"/>
          <w:sz w:val="32"/>
          <w:szCs w:val="32"/>
          <w:highlight w:val="none"/>
        </w:rPr>
        <w:t xml:space="preserve"> 141</w:t>
      </w:r>
      <w:r>
        <w:rPr>
          <w:rFonts w:hint="eastAsia"/>
          <w:color w:val="auto"/>
          <w:sz w:val="32"/>
          <w:szCs w:val="32"/>
          <w:highlight w:val="none"/>
        </w:rPr>
        <w:t>号）的规定，本单位为符合条件的残疾人福利性单位，且本单位参加</w:t>
      </w:r>
      <w:r>
        <w:rPr>
          <w:color w:val="auto"/>
          <w:sz w:val="32"/>
          <w:szCs w:val="32"/>
          <w:highlight w:val="none"/>
        </w:rPr>
        <w:t>______</w:t>
      </w:r>
      <w:r>
        <w:rPr>
          <w:rFonts w:hint="eastAsia"/>
          <w:color w:val="auto"/>
          <w:sz w:val="32"/>
          <w:szCs w:val="32"/>
          <w:highlight w:val="none"/>
        </w:rPr>
        <w:t>单位的</w:t>
      </w:r>
      <w:r>
        <w:rPr>
          <w:color w:val="auto"/>
          <w:sz w:val="32"/>
          <w:szCs w:val="32"/>
          <w:highlight w:val="none"/>
        </w:rPr>
        <w:t>______</w:t>
      </w:r>
      <w:r>
        <w:rPr>
          <w:rFonts w:hint="eastAsia"/>
          <w:color w:val="auto"/>
          <w:sz w:val="32"/>
          <w:szCs w:val="32"/>
          <w:highlight w:val="none"/>
        </w:rPr>
        <w:t>项目采购活动提供本单位制造的货物（由本单位承担工程</w:t>
      </w:r>
      <w:r>
        <w:rPr>
          <w:color w:val="auto"/>
          <w:sz w:val="32"/>
          <w:szCs w:val="32"/>
          <w:highlight w:val="none"/>
        </w:rPr>
        <w:t>/</w:t>
      </w:r>
      <w:r>
        <w:rPr>
          <w:rFonts w:hint="eastAsia"/>
          <w:color w:val="auto"/>
          <w:sz w:val="32"/>
          <w:szCs w:val="32"/>
          <w:highlight w:val="none"/>
        </w:rPr>
        <w:t>提供服务），或者提供其他残疾人福利性单位制造的货物（不包括使用非残疾人福利性单位注册商标的货物）。</w:t>
      </w:r>
    </w:p>
    <w:p w14:paraId="79B3359F">
      <w:pPr>
        <w:spacing w:line="588" w:lineRule="exact"/>
        <w:ind w:firstLine="640" w:firstLineChars="200"/>
        <w:rPr>
          <w:color w:val="auto"/>
          <w:sz w:val="32"/>
          <w:szCs w:val="32"/>
          <w:highlight w:val="none"/>
        </w:rPr>
      </w:pPr>
      <w:r>
        <w:rPr>
          <w:rFonts w:hint="eastAsia"/>
          <w:color w:val="auto"/>
          <w:sz w:val="32"/>
          <w:szCs w:val="32"/>
          <w:highlight w:val="none"/>
        </w:rPr>
        <w:t>本单位对上述声明的真实性负责。如有虚假，将依法承担相应责任。</w:t>
      </w:r>
    </w:p>
    <w:p w14:paraId="78B0651F">
      <w:pPr>
        <w:spacing w:line="588" w:lineRule="exact"/>
        <w:ind w:firstLine="640" w:firstLineChars="200"/>
        <w:rPr>
          <w:color w:val="auto"/>
          <w:sz w:val="32"/>
          <w:szCs w:val="32"/>
          <w:highlight w:val="none"/>
        </w:rPr>
      </w:pPr>
    </w:p>
    <w:p w14:paraId="3AB40C95">
      <w:pPr>
        <w:spacing w:line="588" w:lineRule="exact"/>
        <w:ind w:firstLine="640" w:firstLineChars="200"/>
        <w:rPr>
          <w:color w:val="auto"/>
          <w:sz w:val="32"/>
          <w:szCs w:val="32"/>
          <w:highlight w:val="none"/>
        </w:rPr>
      </w:pPr>
    </w:p>
    <w:p w14:paraId="559E97D1">
      <w:pPr>
        <w:tabs>
          <w:tab w:val="left" w:pos="4860"/>
        </w:tabs>
        <w:spacing w:line="588" w:lineRule="exact"/>
        <w:ind w:right="1560" w:firstLine="640" w:firstLineChars="200"/>
        <w:jc w:val="center"/>
        <w:rPr>
          <w:rFonts w:hint="eastAsia"/>
          <w:color w:val="auto"/>
          <w:sz w:val="32"/>
          <w:szCs w:val="32"/>
          <w:highlight w:val="none"/>
        </w:rPr>
      </w:pPr>
      <w:r>
        <w:rPr>
          <w:color w:val="auto"/>
          <w:sz w:val="32"/>
          <w:szCs w:val="32"/>
          <w:highlight w:val="none"/>
        </w:rPr>
        <w:t xml:space="preserve">              </w:t>
      </w:r>
    </w:p>
    <w:p w14:paraId="19982054">
      <w:pPr>
        <w:tabs>
          <w:tab w:val="left" w:pos="4860"/>
        </w:tabs>
        <w:spacing w:line="588" w:lineRule="exact"/>
        <w:ind w:right="1560" w:firstLine="640" w:firstLineChars="200"/>
        <w:jc w:val="center"/>
        <w:rPr>
          <w:rFonts w:hint="eastAsia"/>
          <w:color w:val="auto"/>
          <w:sz w:val="32"/>
          <w:szCs w:val="32"/>
          <w:highlight w:val="none"/>
        </w:rPr>
      </w:pPr>
    </w:p>
    <w:p w14:paraId="4C529E8C">
      <w:pPr>
        <w:tabs>
          <w:tab w:val="left" w:pos="4860"/>
        </w:tabs>
        <w:spacing w:line="588" w:lineRule="exact"/>
        <w:ind w:right="1560" w:firstLine="640" w:firstLineChars="200"/>
        <w:jc w:val="center"/>
        <w:rPr>
          <w:rFonts w:hint="eastAsia"/>
          <w:color w:val="auto"/>
          <w:sz w:val="32"/>
          <w:szCs w:val="32"/>
          <w:highlight w:val="none"/>
        </w:rPr>
      </w:pPr>
    </w:p>
    <w:p w14:paraId="60A30312">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单位名称（盖章）：</w:t>
      </w:r>
    </w:p>
    <w:p w14:paraId="69209C02">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日</w:t>
      </w:r>
      <w:r>
        <w:rPr>
          <w:color w:val="auto"/>
          <w:sz w:val="32"/>
          <w:szCs w:val="32"/>
          <w:highlight w:val="none"/>
        </w:rPr>
        <w:t xml:space="preserve">  </w:t>
      </w:r>
      <w:r>
        <w:rPr>
          <w:rFonts w:hint="eastAsia"/>
          <w:color w:val="auto"/>
          <w:sz w:val="32"/>
          <w:szCs w:val="32"/>
          <w:highlight w:val="none"/>
        </w:rPr>
        <w:t>期：</w:t>
      </w:r>
    </w:p>
    <w:p w14:paraId="30D89643">
      <w:pPr>
        <w:rPr>
          <w:rFonts w:hint="eastAsia"/>
          <w:b/>
          <w:color w:val="auto"/>
          <w:sz w:val="32"/>
          <w:szCs w:val="32"/>
          <w:highlight w:val="none"/>
        </w:rPr>
      </w:pPr>
    </w:p>
    <w:p w14:paraId="4BC70E6F">
      <w:pPr>
        <w:rPr>
          <w:rFonts w:hint="eastAsia"/>
          <w:b/>
          <w:color w:val="auto"/>
          <w:sz w:val="32"/>
          <w:szCs w:val="32"/>
          <w:highlight w:val="none"/>
        </w:rPr>
      </w:pPr>
    </w:p>
    <w:p w14:paraId="3A2B9674">
      <w:pPr>
        <w:rPr>
          <w:rFonts w:hint="eastAsia"/>
          <w:b/>
          <w:color w:val="auto"/>
          <w:sz w:val="32"/>
          <w:szCs w:val="32"/>
          <w:highlight w:val="none"/>
        </w:rPr>
      </w:pPr>
    </w:p>
    <w:p w14:paraId="33DC0F30">
      <w:pPr>
        <w:rPr>
          <w:rFonts w:hint="eastAsia"/>
          <w:b/>
          <w:color w:val="auto"/>
          <w:sz w:val="32"/>
          <w:szCs w:val="32"/>
          <w:highlight w:val="none"/>
        </w:rPr>
      </w:pPr>
    </w:p>
    <w:p w14:paraId="45256D2D">
      <w:pPr>
        <w:rPr>
          <w:rFonts w:hint="eastAsia"/>
          <w:b/>
          <w:color w:val="auto"/>
          <w:sz w:val="32"/>
          <w:szCs w:val="32"/>
          <w:highlight w:val="none"/>
        </w:rPr>
      </w:pPr>
    </w:p>
    <w:p w14:paraId="2CB22200">
      <w:pPr>
        <w:rPr>
          <w:rFonts w:hint="eastAsia"/>
          <w:b/>
          <w:color w:val="auto"/>
          <w:sz w:val="32"/>
          <w:szCs w:val="32"/>
          <w:highlight w:val="none"/>
        </w:rPr>
      </w:pPr>
      <w:r>
        <w:rPr>
          <w:rFonts w:hint="eastAsia"/>
          <w:b/>
          <w:color w:val="auto"/>
          <w:sz w:val="32"/>
          <w:szCs w:val="32"/>
          <w:highlight w:val="none"/>
        </w:rPr>
        <w:t>注：如非残疾人福利性单位，本声明函无需填写。</w:t>
      </w:r>
    </w:p>
    <w:p w14:paraId="7C152DF9">
      <w:pPr>
        <w:jc w:val="center"/>
        <w:rPr>
          <w:rFonts w:hint="eastAsia"/>
          <w:color w:val="auto"/>
          <w:sz w:val="36"/>
          <w:szCs w:val="36"/>
          <w:highlight w:val="none"/>
        </w:rPr>
      </w:pPr>
    </w:p>
    <w:p w14:paraId="3FC94238">
      <w:pPr>
        <w:jc w:val="center"/>
        <w:rPr>
          <w:rFonts w:hint="eastAsia"/>
          <w:color w:val="auto"/>
          <w:sz w:val="36"/>
          <w:szCs w:val="36"/>
          <w:highlight w:val="none"/>
        </w:rPr>
      </w:pPr>
    </w:p>
    <w:p w14:paraId="51180B9C">
      <w:pPr>
        <w:jc w:val="center"/>
        <w:rPr>
          <w:rFonts w:hint="eastAsia"/>
          <w:color w:val="auto"/>
          <w:sz w:val="36"/>
          <w:szCs w:val="36"/>
          <w:highlight w:val="none"/>
        </w:rPr>
      </w:pPr>
    </w:p>
    <w:p w14:paraId="62709319">
      <w:pPr>
        <w:jc w:val="center"/>
        <w:rPr>
          <w:rFonts w:hint="eastAsia"/>
          <w:color w:val="auto"/>
          <w:sz w:val="36"/>
          <w:szCs w:val="36"/>
          <w:highlight w:val="none"/>
        </w:rPr>
      </w:pPr>
    </w:p>
    <w:p w14:paraId="3A56B56D">
      <w:pPr>
        <w:jc w:val="center"/>
        <w:rPr>
          <w:rFonts w:hint="eastAsia"/>
          <w:color w:val="auto"/>
          <w:sz w:val="36"/>
          <w:szCs w:val="36"/>
          <w:highlight w:val="none"/>
        </w:rPr>
      </w:pPr>
    </w:p>
    <w:p w14:paraId="5384436D">
      <w:pPr>
        <w:jc w:val="center"/>
        <w:rPr>
          <w:rFonts w:hint="eastAsia"/>
          <w:color w:val="auto"/>
          <w:sz w:val="36"/>
          <w:szCs w:val="36"/>
          <w:highlight w:val="none"/>
        </w:rPr>
      </w:pPr>
      <w:r>
        <w:rPr>
          <w:rFonts w:hint="eastAsia"/>
          <w:color w:val="auto"/>
          <w:sz w:val="36"/>
          <w:szCs w:val="36"/>
          <w:highlight w:val="none"/>
        </w:rPr>
        <w:t>监狱企业证明文件</w:t>
      </w:r>
    </w:p>
    <w:p w14:paraId="6CE41B41">
      <w:pPr>
        <w:jc w:val="center"/>
        <w:rPr>
          <w:rFonts w:hint="eastAsia"/>
          <w:color w:val="auto"/>
          <w:sz w:val="32"/>
          <w:szCs w:val="32"/>
          <w:highlight w:val="none"/>
        </w:rPr>
      </w:pPr>
    </w:p>
    <w:p w14:paraId="28070C21">
      <w:pPr>
        <w:spacing w:line="360" w:lineRule="auto"/>
        <w:jc w:val="center"/>
        <w:rPr>
          <w:rFonts w:hint="eastAsia" w:ascii="新宋体" w:hAnsi="新宋体" w:eastAsia="新宋体"/>
          <w:color w:val="auto"/>
          <w:sz w:val="32"/>
          <w:szCs w:val="32"/>
          <w:highlight w:val="none"/>
        </w:rPr>
      </w:pPr>
      <w:r>
        <w:rPr>
          <w:rFonts w:hint="eastAsia" w:ascii="新宋体" w:hAnsi="新宋体" w:eastAsia="新宋体"/>
          <w:color w:val="auto"/>
          <w:sz w:val="32"/>
          <w:szCs w:val="32"/>
          <w:highlight w:val="none"/>
        </w:rPr>
        <w:t>提供由省级以上监狱管理局、戒毒管理局（含新疆生产建设兵团）出具的属于监狱企业的证明文件。</w:t>
      </w:r>
    </w:p>
    <w:p w14:paraId="6DF76DAC">
      <w:pPr>
        <w:spacing w:line="360" w:lineRule="auto"/>
        <w:jc w:val="center"/>
        <w:rPr>
          <w:rFonts w:hint="eastAsia" w:ascii="新宋体" w:hAnsi="新宋体" w:eastAsia="新宋体"/>
          <w:color w:val="auto"/>
          <w:sz w:val="32"/>
          <w:szCs w:val="32"/>
          <w:highlight w:val="none"/>
        </w:rPr>
      </w:pPr>
    </w:p>
    <w:p w14:paraId="51F1E209">
      <w:pPr>
        <w:spacing w:line="360" w:lineRule="auto"/>
        <w:jc w:val="center"/>
        <w:rPr>
          <w:rFonts w:hint="eastAsia" w:ascii="新宋体" w:hAnsi="新宋体" w:eastAsia="新宋体"/>
          <w:color w:val="auto"/>
          <w:sz w:val="32"/>
          <w:szCs w:val="32"/>
          <w:highlight w:val="none"/>
        </w:rPr>
      </w:pPr>
    </w:p>
    <w:p w14:paraId="5FA51774">
      <w:pPr>
        <w:spacing w:line="360" w:lineRule="auto"/>
        <w:jc w:val="center"/>
        <w:rPr>
          <w:rFonts w:hint="eastAsia" w:ascii="新宋体" w:hAnsi="新宋体" w:eastAsia="新宋体"/>
          <w:color w:val="auto"/>
          <w:sz w:val="32"/>
          <w:szCs w:val="32"/>
          <w:highlight w:val="none"/>
        </w:rPr>
      </w:pPr>
    </w:p>
    <w:p w14:paraId="229FEDBF">
      <w:pPr>
        <w:spacing w:line="360" w:lineRule="auto"/>
        <w:jc w:val="center"/>
        <w:rPr>
          <w:rFonts w:hint="eastAsia" w:ascii="新宋体" w:hAnsi="新宋体" w:eastAsia="新宋体"/>
          <w:color w:val="auto"/>
          <w:sz w:val="32"/>
          <w:szCs w:val="32"/>
          <w:highlight w:val="none"/>
        </w:rPr>
      </w:pPr>
    </w:p>
    <w:p w14:paraId="145D2482">
      <w:pPr>
        <w:spacing w:line="360" w:lineRule="auto"/>
        <w:jc w:val="center"/>
        <w:rPr>
          <w:rFonts w:hint="eastAsia" w:ascii="新宋体" w:hAnsi="新宋体" w:eastAsia="新宋体"/>
          <w:color w:val="auto"/>
          <w:sz w:val="32"/>
          <w:szCs w:val="32"/>
          <w:highlight w:val="none"/>
        </w:rPr>
      </w:pPr>
    </w:p>
    <w:p w14:paraId="5A4CF9D3">
      <w:pPr>
        <w:pStyle w:val="29"/>
        <w:rPr>
          <w:rFonts w:hint="eastAsia" w:ascii="新宋体" w:hAnsi="新宋体" w:eastAsia="新宋体"/>
          <w:color w:val="auto"/>
          <w:sz w:val="32"/>
          <w:szCs w:val="32"/>
          <w:highlight w:val="none"/>
        </w:rPr>
      </w:pPr>
    </w:p>
    <w:p w14:paraId="5F18A6EF">
      <w:pPr>
        <w:rPr>
          <w:rFonts w:hint="eastAsia" w:ascii="新宋体" w:hAnsi="新宋体" w:eastAsia="新宋体"/>
          <w:color w:val="auto"/>
          <w:sz w:val="32"/>
          <w:szCs w:val="32"/>
          <w:highlight w:val="none"/>
        </w:rPr>
      </w:pPr>
    </w:p>
    <w:p w14:paraId="1D36A79B">
      <w:pPr>
        <w:pStyle w:val="29"/>
        <w:rPr>
          <w:rFonts w:hint="eastAsia" w:ascii="新宋体" w:hAnsi="新宋体" w:eastAsia="新宋体"/>
          <w:color w:val="auto"/>
          <w:sz w:val="32"/>
          <w:szCs w:val="32"/>
          <w:highlight w:val="none"/>
        </w:rPr>
      </w:pPr>
    </w:p>
    <w:p w14:paraId="11CAF999">
      <w:pPr>
        <w:rPr>
          <w:rFonts w:hint="eastAsia" w:ascii="新宋体" w:hAnsi="新宋体" w:eastAsia="新宋体"/>
          <w:color w:val="auto"/>
          <w:sz w:val="32"/>
          <w:szCs w:val="32"/>
          <w:highlight w:val="none"/>
        </w:rPr>
      </w:pPr>
    </w:p>
    <w:p w14:paraId="2E493DE4">
      <w:pPr>
        <w:pStyle w:val="29"/>
        <w:rPr>
          <w:rFonts w:hint="eastAsia" w:ascii="新宋体" w:hAnsi="新宋体" w:eastAsia="新宋体"/>
          <w:color w:val="auto"/>
          <w:sz w:val="32"/>
          <w:szCs w:val="32"/>
          <w:highlight w:val="none"/>
        </w:rPr>
      </w:pPr>
    </w:p>
    <w:p w14:paraId="5CA9AE2B">
      <w:pPr>
        <w:rPr>
          <w:rFonts w:hint="eastAsia" w:ascii="新宋体" w:hAnsi="新宋体" w:eastAsia="新宋体"/>
          <w:color w:val="auto"/>
          <w:sz w:val="32"/>
          <w:szCs w:val="32"/>
          <w:highlight w:val="none"/>
        </w:rPr>
      </w:pPr>
    </w:p>
    <w:p w14:paraId="72DE1CE8">
      <w:pPr>
        <w:pStyle w:val="29"/>
        <w:rPr>
          <w:rFonts w:hint="eastAsia" w:ascii="新宋体" w:hAnsi="新宋体" w:eastAsia="新宋体"/>
          <w:color w:val="auto"/>
          <w:sz w:val="32"/>
          <w:szCs w:val="32"/>
          <w:highlight w:val="none"/>
        </w:rPr>
      </w:pPr>
    </w:p>
    <w:p w14:paraId="1DDF43F6">
      <w:pPr>
        <w:rPr>
          <w:rFonts w:hint="eastAsia" w:ascii="新宋体" w:hAnsi="新宋体" w:eastAsia="新宋体"/>
          <w:color w:val="auto"/>
          <w:sz w:val="32"/>
          <w:szCs w:val="32"/>
          <w:highlight w:val="none"/>
        </w:rPr>
      </w:pPr>
    </w:p>
    <w:p w14:paraId="3E5F9B28">
      <w:pPr>
        <w:pStyle w:val="29"/>
        <w:rPr>
          <w:rFonts w:hint="eastAsia" w:ascii="新宋体" w:hAnsi="新宋体" w:eastAsia="新宋体"/>
          <w:color w:val="auto"/>
          <w:sz w:val="32"/>
          <w:szCs w:val="32"/>
          <w:highlight w:val="none"/>
        </w:rPr>
      </w:pPr>
    </w:p>
    <w:p w14:paraId="5991C729">
      <w:pPr>
        <w:rPr>
          <w:rFonts w:hint="eastAsia" w:ascii="新宋体" w:hAnsi="新宋体" w:eastAsia="新宋体"/>
          <w:color w:val="auto"/>
          <w:sz w:val="32"/>
          <w:szCs w:val="32"/>
          <w:highlight w:val="none"/>
        </w:rPr>
      </w:pPr>
    </w:p>
    <w:p w14:paraId="0378B8D5">
      <w:pPr>
        <w:pStyle w:val="29"/>
        <w:rPr>
          <w:rFonts w:hint="eastAsia"/>
        </w:rPr>
      </w:pPr>
    </w:p>
    <w:p w14:paraId="170E2EB0">
      <w:pPr>
        <w:spacing w:line="360" w:lineRule="auto"/>
        <w:jc w:val="center"/>
        <w:rPr>
          <w:rFonts w:hint="eastAsia" w:ascii="新宋体" w:hAnsi="新宋体" w:eastAsia="新宋体"/>
          <w:color w:val="auto"/>
          <w:sz w:val="32"/>
          <w:szCs w:val="32"/>
          <w:highlight w:val="none"/>
        </w:rPr>
      </w:pPr>
    </w:p>
    <w:p w14:paraId="28E6F769">
      <w:pPr>
        <w:spacing w:line="360" w:lineRule="auto"/>
        <w:jc w:val="center"/>
        <w:rPr>
          <w:rFonts w:hint="eastAsia" w:ascii="新宋体" w:hAnsi="新宋体" w:eastAsia="新宋体"/>
          <w:color w:val="auto"/>
          <w:sz w:val="32"/>
          <w:szCs w:val="32"/>
          <w:highlight w:val="none"/>
        </w:rPr>
      </w:pPr>
    </w:p>
    <w:p w14:paraId="35FB3894">
      <w:pPr>
        <w:spacing w:line="360" w:lineRule="auto"/>
        <w:jc w:val="center"/>
        <w:rPr>
          <w:rFonts w:hint="eastAsia" w:ascii="新宋体" w:hAnsi="新宋体" w:eastAsia="新宋体"/>
          <w:color w:val="auto"/>
          <w:sz w:val="32"/>
          <w:szCs w:val="32"/>
          <w:highlight w:val="none"/>
        </w:rPr>
      </w:pPr>
    </w:p>
    <w:p w14:paraId="610E0F30">
      <w:pPr>
        <w:spacing w:line="360" w:lineRule="auto"/>
        <w:jc w:val="center"/>
        <w:rPr>
          <w:rFonts w:hint="eastAsia" w:ascii="新宋体" w:hAnsi="新宋体" w:eastAsia="新宋体"/>
          <w:color w:val="auto"/>
          <w:sz w:val="32"/>
          <w:szCs w:val="32"/>
          <w:highlight w:val="none"/>
        </w:rPr>
      </w:pPr>
    </w:p>
    <w:p w14:paraId="66265B4E">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政府采购促进中小企业发展管理办法</w:t>
      </w:r>
    </w:p>
    <w:p w14:paraId="734D001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财库〔2020〕46号</w:t>
      </w:r>
    </w:p>
    <w:p w14:paraId="306CCB2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7"/>
          <w:rFonts w:hint="eastAsia" w:ascii="宋体" w:hAnsi="宋体" w:eastAsia="宋体" w:cs="宋体"/>
          <w:bCs w:val="0"/>
          <w:color w:val="auto"/>
          <w:kern w:val="0"/>
          <w:sz w:val="24"/>
          <w:szCs w:val="24"/>
          <w:highlight w:val="none"/>
          <w:lang w:val="en-US" w:eastAsia="zh-CN" w:bidi="ar"/>
        </w:rPr>
        <w:t>第一条</w:t>
      </w:r>
      <w:r>
        <w:rPr>
          <w:rFonts w:hint="eastAsia" w:ascii="宋体" w:hAnsi="宋体" w:eastAsia="宋体" w:cs="宋体"/>
          <w:b w:val="0"/>
          <w:bCs w:val="0"/>
          <w:color w:val="auto"/>
          <w:kern w:val="0"/>
          <w:sz w:val="24"/>
          <w:szCs w:val="24"/>
          <w:highlight w:val="none"/>
          <w:lang w:val="en-US" w:eastAsia="zh-CN" w:bidi="ar"/>
        </w:rPr>
        <w:t xml:space="preserve">  为了发挥政府采购的政策功能，促进中小企业健康发展，根据《中华人民共和国政府采购法》、《中华人民共和国中小企业促进法》等有关法律法规，制定本办法。</w:t>
      </w:r>
    </w:p>
    <w:p w14:paraId="7122DA7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第二条</w:t>
      </w:r>
      <w:r>
        <w:rPr>
          <w:rFonts w:hint="eastAsia" w:ascii="宋体" w:hAnsi="宋体" w:eastAsia="宋体" w:cs="宋体"/>
          <w:b w:val="0"/>
          <w:bCs w:val="0"/>
          <w:color w:val="auto"/>
          <w:kern w:val="0"/>
          <w:sz w:val="24"/>
          <w:szCs w:val="24"/>
          <w:highlight w:val="none"/>
          <w:lang w:val="en-US" w:eastAsia="zh-CN"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09D4F8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符合中小企业划分标准的个体工商户，在政府采购活动中视同中小企业。</w:t>
      </w:r>
    </w:p>
    <w:p w14:paraId="0AAD253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7"/>
          <w:rFonts w:hint="eastAsia" w:ascii="宋体" w:hAnsi="宋体" w:eastAsia="宋体" w:cs="宋体"/>
          <w:bCs w:val="0"/>
          <w:color w:val="auto"/>
          <w:kern w:val="0"/>
          <w:sz w:val="24"/>
          <w:szCs w:val="24"/>
          <w:highlight w:val="none"/>
          <w:lang w:val="en-US" w:eastAsia="zh-CN" w:bidi="ar"/>
        </w:rPr>
        <w:t xml:space="preserve"> 第三条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采购人在政府采购活动中应当通过加强采购需求管理，落实预留采购份额、价格评审优惠、优先采购等措施，提高中小企业在政府采购中的份额，支持中小企业发展。</w:t>
      </w:r>
    </w:p>
    <w:p w14:paraId="1FE4121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第四条</w:t>
      </w:r>
      <w:r>
        <w:rPr>
          <w:rFonts w:hint="eastAsia" w:ascii="宋体" w:hAnsi="宋体" w:eastAsia="宋体" w:cs="宋体"/>
          <w:b w:val="0"/>
          <w:bCs w:val="0"/>
          <w:color w:val="auto"/>
          <w:kern w:val="0"/>
          <w:sz w:val="24"/>
          <w:szCs w:val="24"/>
          <w:highlight w:val="none"/>
          <w:lang w:val="en-US" w:eastAsia="zh-CN" w:bidi="ar"/>
        </w:rPr>
        <w:t xml:space="preserve">  在政府采购活动中，供应商提供的货物、工程或者服务符合下列情形的，享受本办法规定的中小企业扶持政策：</w:t>
      </w:r>
    </w:p>
    <w:p w14:paraId="0280EAC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（一）在货物采购项目中，货物由中小企业制造，即货物由中小企业生产且使用该中小企业商号或者注册商标；</w:t>
      </w:r>
    </w:p>
    <w:p w14:paraId="451A177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（二）在工程采购项目中，工程由中小企业承建，即工程施工单位为中小企业；</w:t>
      </w:r>
    </w:p>
    <w:p w14:paraId="7F94952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（三）在服务采购项目中，服务由中小企业承接，即提供服务的人员为中小企业依照《中华人民共和国劳动合同法》订立劳动合同的从业人员。</w:t>
      </w:r>
    </w:p>
    <w:p w14:paraId="4565428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在货物采购项目中，供应商提供的货物既有中小企业制造货物，也有大型企业制造货物的，不享受本办法规定的中小企业扶持政策。</w:t>
      </w:r>
    </w:p>
    <w:p w14:paraId="33E42A3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以联合体形式参加政府采购活动，联合体各方均为中小企业的，联合体视同中小企业。其中，联合体各方均为小微企业的，联合体视同小微企业。</w:t>
      </w:r>
    </w:p>
    <w:p w14:paraId="2868501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第五条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031AAD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第六条</w:t>
      </w:r>
      <w:r>
        <w:rPr>
          <w:rFonts w:hint="eastAsia" w:ascii="宋体" w:hAnsi="宋体" w:eastAsia="宋体" w:cs="宋体"/>
          <w:b w:val="0"/>
          <w:bCs w:val="0"/>
          <w:color w:val="auto"/>
          <w:kern w:val="0"/>
          <w:sz w:val="24"/>
          <w:szCs w:val="24"/>
          <w:highlight w:val="none"/>
          <w:lang w:val="en-US" w:eastAsia="zh-CN"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683F47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符合下列情形之一的，可不专门面向中小企业预留采购份额：</w:t>
      </w:r>
    </w:p>
    <w:p w14:paraId="0B17F62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（一）法律法规和国家有关政策明确规定优先或者应当面向事业单位、社会组织等非企业主体采购的；</w:t>
      </w:r>
    </w:p>
    <w:p w14:paraId="7AEE811B">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（二）因确需使用不可替代的专利、专有技术，基础设施限制，或者提供特定公共服务等原因，只能从中小企业之外的供应商处采购的；</w:t>
      </w:r>
    </w:p>
    <w:p w14:paraId="7AE5CAD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（三）按照本办法规定预留采购份额无法确保充分供应、充分竞争，或者存在可能影响政府采购目标实现的情形；</w:t>
      </w:r>
    </w:p>
    <w:p w14:paraId="79C58B7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（四）框架协议采购项目；</w:t>
      </w:r>
    </w:p>
    <w:p w14:paraId="29DC369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（五）省级以上人民政府财政部门规定的其他情形。</w:t>
      </w:r>
    </w:p>
    <w:p w14:paraId="2F2D53AB">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除上述情形外，其他均为适宜由中小企业提供的情形。</w:t>
      </w:r>
    </w:p>
    <w:p w14:paraId="260B3D6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第七条</w:t>
      </w:r>
      <w:r>
        <w:rPr>
          <w:rFonts w:hint="eastAsia" w:ascii="宋体" w:hAnsi="宋体" w:eastAsia="宋体" w:cs="宋体"/>
          <w:b w:val="0"/>
          <w:bCs w:val="0"/>
          <w:color w:val="auto"/>
          <w:kern w:val="0"/>
          <w:sz w:val="24"/>
          <w:szCs w:val="24"/>
          <w:highlight w:val="none"/>
          <w:lang w:val="en-US" w:eastAsia="zh-CN" w:bidi="ar"/>
        </w:rPr>
        <w:t xml:space="preserve">  采购限额标准以上，200 万元以下的货物和服务采购项目、400 万元以下的工程采购项目，适宜由中小企业提供的，采购人应当专门面向中小企业采购。</w:t>
      </w:r>
    </w:p>
    <w:p w14:paraId="0CE8934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第八条</w:t>
      </w:r>
      <w:r>
        <w:rPr>
          <w:rFonts w:hint="eastAsia" w:ascii="宋体" w:hAnsi="宋体" w:eastAsia="宋体" w:cs="宋体"/>
          <w:b w:val="0"/>
          <w:bCs w:val="0"/>
          <w:color w:val="auto"/>
          <w:kern w:val="0"/>
          <w:sz w:val="24"/>
          <w:szCs w:val="24"/>
          <w:highlight w:val="none"/>
          <w:lang w:val="en-US" w:eastAsia="zh-CN" w:bidi="ar"/>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575F477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（一）将采购项目整体或者设置采购包专门面向中小企业采购；</w:t>
      </w:r>
    </w:p>
    <w:p w14:paraId="2F4DBBB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（二）要求供应商以联合体形式参加采购活动，且联合体中中小企业承担的部分达到一定比例；</w:t>
      </w:r>
    </w:p>
    <w:p w14:paraId="25F365B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（三）要求获得采购合同的供应商将采购项目中的一定比例分包给一家或者多家中小企业。</w:t>
      </w:r>
    </w:p>
    <w:p w14:paraId="2750FA5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组成联合体或者接受分包合同的中小企业与联合体内其他企业、分包企业之间不得存在直接控股、管理关系。</w:t>
      </w:r>
    </w:p>
    <w:p w14:paraId="35496B0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第九条</w:t>
      </w:r>
      <w:r>
        <w:rPr>
          <w:rFonts w:hint="eastAsia" w:ascii="宋体" w:hAnsi="宋体" w:eastAsia="宋体" w:cs="宋体"/>
          <w:b w:val="0"/>
          <w:bCs w:val="0"/>
          <w:color w:val="auto"/>
          <w:kern w:val="0"/>
          <w:sz w:val="24"/>
          <w:szCs w:val="24"/>
          <w:highlight w:val="none"/>
          <w:lang w:val="en-US" w:eastAsia="zh-CN" w:bidi="ar"/>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68EA390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1367E78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958FBC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第十条</w:t>
      </w:r>
      <w:r>
        <w:rPr>
          <w:rFonts w:hint="eastAsia" w:ascii="宋体" w:hAnsi="宋体" w:eastAsia="宋体" w:cs="宋体"/>
          <w:b w:val="0"/>
          <w:bCs w:val="0"/>
          <w:color w:val="auto"/>
          <w:kern w:val="0"/>
          <w:sz w:val="24"/>
          <w:szCs w:val="24"/>
          <w:highlight w:val="none"/>
          <w:lang w:val="en-US" w:eastAsia="zh-CN"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5975CC3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第十一条</w:t>
      </w:r>
      <w:r>
        <w:rPr>
          <w:rFonts w:hint="eastAsia" w:ascii="宋体" w:hAnsi="宋体" w:eastAsia="宋体" w:cs="宋体"/>
          <w:b w:val="0"/>
          <w:bCs w:val="0"/>
          <w:color w:val="auto"/>
          <w:kern w:val="0"/>
          <w:sz w:val="24"/>
          <w:szCs w:val="24"/>
          <w:highlight w:val="none"/>
          <w:lang w:val="en-US" w:eastAsia="zh-CN" w:bidi="ar"/>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1513DDE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第十二条</w:t>
      </w:r>
      <w:r>
        <w:rPr>
          <w:rFonts w:hint="eastAsia" w:ascii="宋体" w:hAnsi="宋体" w:eastAsia="宋体" w:cs="宋体"/>
          <w:b w:val="0"/>
          <w:bCs w:val="0"/>
          <w:color w:val="auto"/>
          <w:kern w:val="0"/>
          <w:sz w:val="24"/>
          <w:szCs w:val="24"/>
          <w:highlight w:val="none"/>
          <w:lang w:val="en-US" w:eastAsia="zh-CN" w:bidi="ar"/>
        </w:rPr>
        <w:t xml:space="preserve">  采购项目涉及中小企业采购的，采购文件应当明确以下内容：</w:t>
      </w:r>
    </w:p>
    <w:p w14:paraId="70D99C5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（一）预留份额的采购项目或者采购包，明确该项目或相关采购包专门面向中小企业采购，以及相关标的及预算金额；</w:t>
      </w:r>
    </w:p>
    <w:p w14:paraId="7ED78F0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（二）要求以联合体形式参加或者合同分包的，明确联合协议或者分包意向协议中中小企业合同金额应当达到的比例，并作为供应商资格条件；</w:t>
      </w:r>
    </w:p>
    <w:p w14:paraId="705236C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（三）非预留份额的采购项目或者采购包，明确有关价格扣除比例或者价格分加分比例；</w:t>
      </w:r>
    </w:p>
    <w:p w14:paraId="1D71E8DB">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（四）规定依据本办法规定享受扶持政策获得政府采购合同的，小微企业不得将合同分包给大中型企业，中型企业不得将合同分包给大型企业；</w:t>
      </w:r>
    </w:p>
    <w:p w14:paraId="4972CE3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（五）采购人认为具备相关条件的，明确对中小企业在资金支付期限、预付款比例等方面的优惠措施；</w:t>
      </w:r>
    </w:p>
    <w:p w14:paraId="0A31B5B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（六）明确采购标的对应的中小企业划分标准所属行业；</w:t>
      </w:r>
    </w:p>
    <w:p w14:paraId="13158BA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（七）法律法规和省级以上人民政府财政部门规定的其他事项。</w:t>
      </w:r>
    </w:p>
    <w:p w14:paraId="423FE8C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第十三条</w:t>
      </w:r>
      <w:r>
        <w:rPr>
          <w:rFonts w:hint="eastAsia" w:ascii="宋体" w:hAnsi="宋体" w:eastAsia="宋体" w:cs="宋体"/>
          <w:b w:val="0"/>
          <w:bCs w:val="0"/>
          <w:color w:val="auto"/>
          <w:kern w:val="0"/>
          <w:sz w:val="24"/>
          <w:szCs w:val="24"/>
          <w:highlight w:val="none"/>
          <w:lang w:val="en-US" w:eastAsia="zh-CN" w:bidi="ar"/>
        </w:rPr>
        <w:t xml:space="preserve">  中标、成交供应商享受本办法规定的中小企业扶持政策的，采购人、采购代理机构应当随中标、成交结果公开中标、成交供应商的《中小企业声明函》。</w:t>
      </w:r>
    </w:p>
    <w:p w14:paraId="08269E0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适用招标投标法的政府采购工程建设项目，应当在公示中标候选人时公开中标候选人的《中小企业声明函》。</w:t>
      </w:r>
    </w:p>
    <w:p w14:paraId="6ABEEFA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第十四条</w:t>
      </w:r>
      <w:r>
        <w:rPr>
          <w:rFonts w:hint="eastAsia" w:ascii="宋体" w:hAnsi="宋体" w:eastAsia="宋体" w:cs="宋体"/>
          <w:b w:val="0"/>
          <w:bCs w:val="0"/>
          <w:color w:val="auto"/>
          <w:kern w:val="0"/>
          <w:sz w:val="24"/>
          <w:szCs w:val="24"/>
          <w:highlight w:val="none"/>
          <w:lang w:val="en-US" w:eastAsia="zh-CN"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11569A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第十五条</w:t>
      </w:r>
      <w:r>
        <w:rPr>
          <w:rFonts w:hint="eastAsia" w:ascii="宋体" w:hAnsi="宋体" w:eastAsia="宋体" w:cs="宋体"/>
          <w:b w:val="0"/>
          <w:bCs w:val="0"/>
          <w:color w:val="auto"/>
          <w:kern w:val="0"/>
          <w:sz w:val="24"/>
          <w:szCs w:val="24"/>
          <w:highlight w:val="none"/>
          <w:lang w:val="en-US" w:eastAsia="zh-CN" w:bidi="ar"/>
        </w:rPr>
        <w:t xml:space="preserve">  鼓励各地区、各部门在采购活动中允许中小企业引入信用担保手段，为中小企业在投标（响应）保证、履约保证等方面提供专业化服务。鼓励中小企业依法合规通过政府采购合同融资。</w:t>
      </w:r>
    </w:p>
    <w:p w14:paraId="79E4604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第十六条</w:t>
      </w:r>
      <w:r>
        <w:rPr>
          <w:rFonts w:hint="eastAsia" w:ascii="宋体" w:hAnsi="宋体" w:eastAsia="宋体" w:cs="宋体"/>
          <w:b w:val="0"/>
          <w:bCs w:val="0"/>
          <w:color w:val="auto"/>
          <w:kern w:val="0"/>
          <w:sz w:val="24"/>
          <w:szCs w:val="24"/>
          <w:highlight w:val="none"/>
          <w:lang w:val="en-US" w:eastAsia="zh-CN" w:bidi="ar"/>
        </w:rPr>
        <w:t xml:space="preserve">  政府采购监督检查、投诉处理及政府采购行政处罚中对中小企业的认定，由货物制造商或者工程、服务供应商注册登记所在地的县级以上人民政府中小企业主管部门负责。</w:t>
      </w:r>
    </w:p>
    <w:p w14:paraId="34780C5B">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中小企业主管部门应当在收到财政部门或者有关招标投标行政监督部门关于协助开展中小企业认定函后 10 个工作日内做出书面答复。</w:t>
      </w:r>
    </w:p>
    <w:p w14:paraId="54A3766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第十七条</w:t>
      </w:r>
      <w:r>
        <w:rPr>
          <w:rFonts w:hint="eastAsia" w:ascii="宋体" w:hAnsi="宋体" w:eastAsia="宋体" w:cs="宋体"/>
          <w:b w:val="0"/>
          <w:bCs w:val="0"/>
          <w:color w:val="auto"/>
          <w:kern w:val="0"/>
          <w:sz w:val="24"/>
          <w:szCs w:val="24"/>
          <w:highlight w:val="none"/>
          <w:lang w:val="en-US" w:eastAsia="zh-CN"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251E21E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第十八条</w:t>
      </w:r>
      <w:r>
        <w:rPr>
          <w:rFonts w:hint="eastAsia" w:ascii="宋体" w:hAnsi="宋体" w:eastAsia="宋体" w:cs="宋体"/>
          <w:b w:val="0"/>
          <w:bCs w:val="0"/>
          <w:color w:val="auto"/>
          <w:kern w:val="0"/>
          <w:sz w:val="24"/>
          <w:szCs w:val="24"/>
          <w:highlight w:val="none"/>
          <w:lang w:val="en-US" w:eastAsia="zh-CN" w:bidi="ar"/>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6B22CAD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第十九条</w:t>
      </w:r>
      <w:r>
        <w:rPr>
          <w:rFonts w:hint="eastAsia" w:ascii="宋体" w:hAnsi="宋体" w:eastAsia="宋体" w:cs="宋体"/>
          <w:b w:val="0"/>
          <w:bCs w:val="0"/>
          <w:color w:val="auto"/>
          <w:kern w:val="0"/>
          <w:sz w:val="24"/>
          <w:szCs w:val="24"/>
          <w:highlight w:val="none"/>
          <w:lang w:val="en-US" w:eastAsia="zh-CN"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6F49E1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第二十条</w:t>
      </w:r>
      <w:r>
        <w:rPr>
          <w:rFonts w:hint="eastAsia" w:ascii="宋体" w:hAnsi="宋体" w:eastAsia="宋体" w:cs="宋体"/>
          <w:b w:val="0"/>
          <w:bCs w:val="0"/>
          <w:color w:val="auto"/>
          <w:kern w:val="0"/>
          <w:sz w:val="24"/>
          <w:szCs w:val="24"/>
          <w:highlight w:val="none"/>
          <w:lang w:val="en-US" w:eastAsia="zh-CN" w:bidi="ar"/>
        </w:rPr>
        <w:t xml:space="preserve">  供应商按照本办法规定提供声明函内容不实的，属于提供虚假材料谋取中标、成交，依照《中华人民共和国政府采购法》等国家有关规定追究相应责任。</w:t>
      </w:r>
    </w:p>
    <w:p w14:paraId="2073DC1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w:t>
      </w:r>
      <w:r>
        <w:rPr>
          <w:rFonts w:hint="eastAsia" w:ascii="宋体" w:hAnsi="宋体" w:cs="宋体"/>
          <w:b w:val="0"/>
          <w:bCs w:val="0"/>
          <w:color w:val="auto"/>
          <w:kern w:val="0"/>
          <w:sz w:val="24"/>
          <w:szCs w:val="24"/>
          <w:highlight w:val="none"/>
          <w:lang w:val="en-US" w:eastAsia="zh-CN" w:bidi="ar"/>
        </w:rPr>
        <w:t>供应商</w:t>
      </w:r>
      <w:r>
        <w:rPr>
          <w:rFonts w:hint="eastAsia" w:ascii="宋体" w:hAnsi="宋体" w:eastAsia="宋体" w:cs="宋体"/>
          <w:b w:val="0"/>
          <w:bCs w:val="0"/>
          <w:color w:val="auto"/>
          <w:kern w:val="0"/>
          <w:sz w:val="24"/>
          <w:szCs w:val="24"/>
          <w:highlight w:val="none"/>
          <w:lang w:val="en-US" w:eastAsia="zh-CN" w:bidi="ar"/>
        </w:rPr>
        <w:t>按照本办法规定提供声明函内容不实的，属于弄虚作假骗取中标，依照《中华人民共和国招标投标法》等国家有关规定追究相应责任。</w:t>
      </w:r>
    </w:p>
    <w:p w14:paraId="3EA8F33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第二十一条</w:t>
      </w:r>
      <w:r>
        <w:rPr>
          <w:rFonts w:hint="eastAsia" w:ascii="宋体" w:hAnsi="宋体" w:eastAsia="宋体" w:cs="宋体"/>
          <w:b w:val="0"/>
          <w:bCs w:val="0"/>
          <w:color w:val="auto"/>
          <w:kern w:val="0"/>
          <w:sz w:val="24"/>
          <w:szCs w:val="24"/>
          <w:highlight w:val="none"/>
          <w:lang w:val="en-US" w:eastAsia="zh-CN"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051C44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第二十二条</w:t>
      </w:r>
      <w:r>
        <w:rPr>
          <w:rFonts w:hint="eastAsia" w:ascii="宋体" w:hAnsi="宋体" w:eastAsia="宋体" w:cs="宋体"/>
          <w:b w:val="0"/>
          <w:bCs w:val="0"/>
          <w:color w:val="auto"/>
          <w:kern w:val="0"/>
          <w:sz w:val="24"/>
          <w:szCs w:val="24"/>
          <w:highlight w:val="none"/>
          <w:lang w:val="en-US" w:eastAsia="zh-CN" w:bidi="ar"/>
        </w:rPr>
        <w:t xml:space="preserve">  对外援助项目、国家相关资格或者资质管理制度另有规定的项目，不适用本办法。</w:t>
      </w:r>
    </w:p>
    <w:p w14:paraId="45A9D64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第二十三条</w:t>
      </w:r>
      <w:r>
        <w:rPr>
          <w:rFonts w:hint="eastAsia" w:ascii="宋体" w:hAnsi="宋体" w:eastAsia="宋体" w:cs="宋体"/>
          <w:b w:val="0"/>
          <w:bCs w:val="0"/>
          <w:color w:val="auto"/>
          <w:kern w:val="0"/>
          <w:sz w:val="24"/>
          <w:szCs w:val="24"/>
          <w:highlight w:val="none"/>
          <w:lang w:val="en-US" w:eastAsia="zh-CN" w:bidi="ar"/>
        </w:rPr>
        <w:t xml:space="preserve">  关于视同中小企业的其他主体的政府采购扶持政策，由财政部会同有关部门另行规定。</w:t>
      </w:r>
    </w:p>
    <w:p w14:paraId="327697F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第二十四条</w:t>
      </w:r>
      <w:r>
        <w:rPr>
          <w:rFonts w:hint="eastAsia" w:ascii="宋体" w:hAnsi="宋体" w:eastAsia="宋体" w:cs="宋体"/>
          <w:b w:val="0"/>
          <w:bCs w:val="0"/>
          <w:color w:val="auto"/>
          <w:kern w:val="0"/>
          <w:sz w:val="24"/>
          <w:szCs w:val="24"/>
          <w:highlight w:val="none"/>
          <w:lang w:val="en-US" w:eastAsia="zh-CN" w:bidi="ar"/>
        </w:rPr>
        <w:t xml:space="preserve">  省级财政部门可以会同中小企业主管部门根据本办法的规定制定具体实施办法。</w:t>
      </w:r>
    </w:p>
    <w:p w14:paraId="5AFD4FA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第二十五条</w:t>
      </w:r>
      <w:r>
        <w:rPr>
          <w:rFonts w:hint="eastAsia" w:ascii="宋体" w:hAnsi="宋体" w:eastAsia="宋体" w:cs="宋体"/>
          <w:b w:val="0"/>
          <w:bCs w:val="0"/>
          <w:color w:val="auto"/>
          <w:kern w:val="0"/>
          <w:sz w:val="24"/>
          <w:szCs w:val="24"/>
          <w:highlight w:val="none"/>
          <w:lang w:val="en-US" w:eastAsia="zh-CN" w:bidi="ar"/>
        </w:rPr>
        <w:t xml:space="preserve">  本办法自 2021 年 1 月 1 日起施行。 财政部 工业和信息化部关于印发〈政府采购促进中小企业发展暂行办法〉的通知》（财库﹝2011﹞181 号）同时废止。</w:t>
      </w:r>
    </w:p>
    <w:p w14:paraId="76F5AE6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w:t>
      </w:r>
    </w:p>
    <w:p w14:paraId="15BC04EE">
      <w:pPr>
        <w:keepNext w:val="0"/>
        <w:keepLines w:val="0"/>
        <w:pageBreakBefore w:val="0"/>
        <w:widowControl/>
        <w:suppressLineNumbers w:val="0"/>
        <w:shd w:val="clear" w:color="auto"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center"/>
        <w:textAlignment w:val="auto"/>
        <w:rPr>
          <w:rFonts w:hint="eastAsia" w:ascii="宋体" w:hAnsi="宋体" w:eastAsia="宋体" w:cs="宋体"/>
          <w:b/>
          <w:bCs/>
          <w:i w:val="0"/>
          <w:iCs w:val="0"/>
          <w:caps w:val="0"/>
          <w:color w:val="auto"/>
          <w:spacing w:val="0"/>
          <w:sz w:val="30"/>
          <w:szCs w:val="30"/>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i w:val="0"/>
          <w:iCs w:val="0"/>
          <w:caps w:val="0"/>
          <w:color w:val="auto"/>
          <w:spacing w:val="0"/>
          <w:kern w:val="0"/>
          <w:sz w:val="30"/>
          <w:szCs w:val="30"/>
          <w:highlight w:val="none"/>
          <w:shd w:val="clear" w:color="auto" w:fill="FFFFFF"/>
          <w:lang w:val="en-US" w:eastAsia="zh-CN" w:bidi="ar"/>
        </w:rPr>
        <w:t>财政部关于进一步加大政府采购支持中小企业力度的通知</w:t>
      </w:r>
    </w:p>
    <w:p w14:paraId="3713592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right="0" w:firstLine="0"/>
        <w:jc w:val="center"/>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（财库〔2022〕19号）</w:t>
      </w:r>
    </w:p>
    <w:p w14:paraId="3ED31878">
      <w:pPr>
        <w:pStyle w:val="16"/>
        <w:spacing w:after="0" w:line="340" w:lineRule="exact"/>
        <w:ind w:firstLine="480" w:firstLineChars="200"/>
        <w:rPr>
          <w:rFonts w:hint="eastAsia" w:ascii="宋体" w:hAnsi="宋体" w:cs="宋体"/>
          <w:bCs/>
          <w:color w:val="auto"/>
          <w:sz w:val="21"/>
          <w:szCs w:val="21"/>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 </w:t>
      </w:r>
      <w:r>
        <w:rPr>
          <w:rFonts w:hint="eastAsia" w:ascii="宋体" w:hAnsi="宋体" w:cs="宋体"/>
          <w:bCs/>
          <w:color w:val="auto"/>
          <w:sz w:val="21"/>
          <w:szCs w:val="21"/>
          <w:highlight w:val="none"/>
          <w:lang w:val="en-US" w:eastAsia="zh-CN"/>
        </w:rPr>
        <w:t>各中央预算单位，各省、自治区、直辖市、计划单列市财政厅（局），新疆生产建设兵团财政局：</w:t>
      </w:r>
    </w:p>
    <w:p w14:paraId="769C55C1">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6A16672">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73EDE9C">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B32552D">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BF62B72">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四、认真做好组织实施。各地区、各部门应当加强组织领导，明确工作责任，细化执行要求，强化监督检查，确保国务院部署落实到位，对通知执行中出现的问题要及时向财政部报告。</w:t>
      </w:r>
    </w:p>
    <w:p w14:paraId="54F3780A">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本通知自2022年7月1日起执行。</w:t>
      </w:r>
    </w:p>
    <w:p w14:paraId="06EED01D">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 xml:space="preserve">                                                                        财政部</w:t>
      </w:r>
    </w:p>
    <w:p w14:paraId="1189A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宋体"/>
          <w:bCs/>
          <w:color w:val="auto"/>
          <w:sz w:val="28"/>
          <w:szCs w:val="28"/>
          <w:highlight w:val="none"/>
          <w:shd w:val="clear" w:color="auto" w:fill="FFFFFF"/>
        </w:rPr>
      </w:pPr>
      <w:r>
        <w:rPr>
          <w:rFonts w:hint="eastAsia" w:ascii="宋体" w:hAnsi="宋体" w:cs="宋体"/>
          <w:bCs/>
          <w:color w:val="auto"/>
          <w:sz w:val="21"/>
          <w:szCs w:val="21"/>
          <w:highlight w:val="none"/>
          <w:lang w:val="en-US" w:eastAsia="zh-CN"/>
        </w:rPr>
        <w:t>2022年5月30日</w:t>
      </w:r>
      <w:r>
        <w:rPr>
          <w:rFonts w:hint="eastAsia" w:ascii="宋体" w:hAnsi="宋体" w:eastAsia="宋体" w:cs="宋体"/>
          <w:b/>
          <w:bCs/>
          <w:color w:val="auto"/>
          <w:sz w:val="21"/>
          <w:szCs w:val="21"/>
          <w:highlight w:val="none"/>
        </w:rPr>
        <w:br w:type="page"/>
      </w:r>
      <w:r>
        <w:rPr>
          <w:rFonts w:hint="eastAsia" w:ascii="黑体" w:hAnsi="黑体" w:eastAsia="黑体" w:cs="宋体"/>
          <w:bCs/>
          <w:color w:val="auto"/>
          <w:sz w:val="28"/>
          <w:szCs w:val="28"/>
          <w:highlight w:val="none"/>
          <w:shd w:val="clear" w:color="auto" w:fill="FFFFFF"/>
          <w:lang w:val="en-US" w:eastAsia="zh-CN"/>
        </w:rPr>
        <w:t>关于印发《吉林省强化政府采购政策支持中小企业发展落实举措》的通知</w:t>
      </w:r>
    </w:p>
    <w:p w14:paraId="74ABB26F">
      <w:pPr>
        <w:pStyle w:val="3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0" w:right="0"/>
        <w:jc w:val="center"/>
        <w:textAlignment w:val="auto"/>
        <w:rPr>
          <w:color w:val="auto"/>
          <w:sz w:val="24"/>
          <w:szCs w:val="24"/>
          <w:highlight w:val="none"/>
        </w:rPr>
      </w:pPr>
      <w:r>
        <w:rPr>
          <w:rFonts w:ascii="宋体" w:hAnsi="宋体" w:eastAsia="宋体" w:cs="宋体"/>
          <w:color w:val="auto"/>
          <w:sz w:val="24"/>
          <w:szCs w:val="24"/>
          <w:highlight w:val="none"/>
        </w:rPr>
        <w:t>吉财采购〔2022〕478号</w:t>
      </w:r>
      <w:r>
        <w:rPr>
          <w:color w:val="auto"/>
          <w:sz w:val="24"/>
          <w:szCs w:val="24"/>
          <w:highlight w:val="none"/>
        </w:rPr>
        <w:t xml:space="preserve"> </w:t>
      </w:r>
    </w:p>
    <w:p w14:paraId="04012515">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highlight w:val="none"/>
        </w:rPr>
      </w:pPr>
      <w:r>
        <w:rPr>
          <w:rFonts w:hint="eastAsia" w:ascii="宋体" w:hAnsi="宋体" w:eastAsia="宋体" w:cs="宋体"/>
          <w:color w:val="auto"/>
          <w:sz w:val="24"/>
          <w:szCs w:val="24"/>
          <w:highlight w:val="none"/>
        </w:rPr>
        <w:t>各省级主管预算单位，各市（州）、县（市、区）财政局，长白山管委会、长春新区、中韩（长春）国际合作示范区管委会财政局，各政府采购代理机构：</w:t>
      </w:r>
      <w:r>
        <w:rPr>
          <w:color w:val="auto"/>
          <w:sz w:val="24"/>
          <w:szCs w:val="24"/>
          <w:highlight w:val="none"/>
        </w:rPr>
        <w:t xml:space="preserve"> </w:t>
      </w:r>
    </w:p>
    <w:p w14:paraId="2AB25C80">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现将《吉林省强化政府采购政策支持中小企业发展落实举措》印发给你们，请遵照执行。</w:t>
      </w:r>
      <w:r>
        <w:rPr>
          <w:color w:val="auto"/>
          <w:sz w:val="24"/>
          <w:szCs w:val="24"/>
          <w:highlight w:val="none"/>
        </w:rPr>
        <w:t xml:space="preserve"> </w:t>
      </w:r>
    </w:p>
    <w:p w14:paraId="3207BF98">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附件：吉林省强化政府采购政策支持中小企业发展落实举措</w:t>
      </w:r>
      <w:r>
        <w:rPr>
          <w:color w:val="auto"/>
          <w:sz w:val="24"/>
          <w:szCs w:val="24"/>
          <w:highlight w:val="none"/>
        </w:rPr>
        <w:t xml:space="preserve"> </w:t>
      </w:r>
    </w:p>
    <w:p w14:paraId="364BF35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hint="eastAsia" w:ascii="宋体" w:hAnsi="宋体" w:eastAsia="宋体" w:cs="宋体"/>
          <w:color w:val="auto"/>
          <w:sz w:val="24"/>
          <w:szCs w:val="24"/>
          <w:highlight w:val="none"/>
        </w:rPr>
        <w:t>吉林省财政厅</w:t>
      </w:r>
      <w:r>
        <w:rPr>
          <w:color w:val="auto"/>
          <w:sz w:val="24"/>
          <w:szCs w:val="24"/>
          <w:highlight w:val="none"/>
        </w:rPr>
        <w:t xml:space="preserve"> </w:t>
      </w:r>
    </w:p>
    <w:p w14:paraId="61AA07B3">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ascii="宋体" w:hAnsi="宋体" w:eastAsia="宋体" w:cs="宋体"/>
          <w:color w:val="auto"/>
          <w:sz w:val="24"/>
          <w:szCs w:val="24"/>
          <w:highlight w:val="none"/>
        </w:rPr>
        <w:t>2022年6月6日</w:t>
      </w:r>
      <w:r>
        <w:rPr>
          <w:color w:val="auto"/>
          <w:sz w:val="24"/>
          <w:szCs w:val="24"/>
          <w:highlight w:val="none"/>
        </w:rPr>
        <w:t xml:space="preserve"> </w:t>
      </w:r>
    </w:p>
    <w:p w14:paraId="3B14C107">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color w:val="auto"/>
          <w:sz w:val="24"/>
          <w:szCs w:val="24"/>
          <w:highlight w:val="none"/>
        </w:rPr>
      </w:pPr>
      <w:r>
        <w:rPr>
          <w:rFonts w:hint="eastAsia" w:ascii="宋体" w:hAnsi="宋体" w:eastAsia="宋体" w:cs="宋体"/>
          <w:color w:val="auto"/>
          <w:sz w:val="24"/>
          <w:szCs w:val="24"/>
          <w:highlight w:val="none"/>
        </w:rPr>
        <w:t>附件：</w:t>
      </w:r>
      <w:r>
        <w:rPr>
          <w:color w:val="auto"/>
          <w:sz w:val="24"/>
          <w:szCs w:val="24"/>
          <w:highlight w:val="none"/>
        </w:rPr>
        <w:t xml:space="preserve"> </w:t>
      </w:r>
    </w:p>
    <w:p w14:paraId="3EEA03B7">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14:paraId="4FD30B40">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8"/>
          <w:szCs w:val="28"/>
          <w:highlight w:val="none"/>
        </w:rPr>
      </w:pPr>
      <w:r>
        <w:rPr>
          <w:rFonts w:hint="eastAsia" w:ascii="宋体" w:hAnsi="宋体" w:eastAsia="宋体" w:cs="宋体"/>
          <w:color w:val="auto"/>
          <w:sz w:val="28"/>
          <w:szCs w:val="28"/>
          <w:highlight w:val="none"/>
        </w:rPr>
        <w:t>吉林省强化政府采购政策支持中小企业发展落实举措</w:t>
      </w:r>
      <w:r>
        <w:rPr>
          <w:color w:val="auto"/>
          <w:sz w:val="28"/>
          <w:szCs w:val="28"/>
          <w:highlight w:val="none"/>
        </w:rPr>
        <w:t xml:space="preserve"> </w:t>
      </w:r>
    </w:p>
    <w:p w14:paraId="3C3ED976">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14:paraId="49B13FA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color w:val="auto"/>
          <w:sz w:val="21"/>
          <w:szCs w:val="21"/>
          <w:highlight w:val="none"/>
        </w:rPr>
        <w:t xml:space="preserve"> </w:t>
      </w:r>
    </w:p>
    <w:p w14:paraId="7EC70B65">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一、强化政策落实支持中小企业发展</w:t>
      </w:r>
      <w:r>
        <w:rPr>
          <w:b/>
          <w:bCs/>
          <w:color w:val="auto"/>
          <w:sz w:val="21"/>
          <w:szCs w:val="21"/>
          <w:highlight w:val="none"/>
        </w:rPr>
        <w:t xml:space="preserve"> </w:t>
      </w:r>
    </w:p>
    <w:p w14:paraId="6CF0632B">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color w:val="auto"/>
          <w:sz w:val="21"/>
          <w:szCs w:val="21"/>
          <w:highlight w:val="none"/>
        </w:rPr>
        <w:t xml:space="preserve"> </w:t>
      </w:r>
    </w:p>
    <w:p w14:paraId="5CF6B154">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二、提高政府采购项目价格评审优惠幅度</w:t>
      </w:r>
      <w:r>
        <w:rPr>
          <w:b/>
          <w:bCs/>
          <w:color w:val="auto"/>
          <w:sz w:val="21"/>
          <w:szCs w:val="21"/>
          <w:highlight w:val="none"/>
        </w:rPr>
        <w:t xml:space="preserve"> </w:t>
      </w:r>
    </w:p>
    <w:p w14:paraId="6F4840C2">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color w:val="auto"/>
          <w:sz w:val="21"/>
          <w:szCs w:val="21"/>
          <w:highlight w:val="none"/>
        </w:rPr>
        <w:t xml:space="preserve"> </w:t>
      </w:r>
    </w:p>
    <w:p w14:paraId="063168F4">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三、提高政府采购工程项目预留份额比例</w:t>
      </w:r>
      <w:r>
        <w:rPr>
          <w:b/>
          <w:bCs/>
          <w:color w:val="auto"/>
          <w:sz w:val="21"/>
          <w:szCs w:val="21"/>
          <w:highlight w:val="none"/>
        </w:rPr>
        <w:t xml:space="preserve"> </w:t>
      </w:r>
    </w:p>
    <w:p w14:paraId="7ECB4E22">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color w:val="auto"/>
          <w:sz w:val="21"/>
          <w:szCs w:val="21"/>
          <w:highlight w:val="none"/>
        </w:rPr>
        <w:t xml:space="preserve"> </w:t>
      </w:r>
    </w:p>
    <w:p w14:paraId="38EE2509">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四、降低经营成本提高履约能力</w:t>
      </w:r>
      <w:r>
        <w:rPr>
          <w:b/>
          <w:bCs/>
          <w:color w:val="auto"/>
          <w:sz w:val="21"/>
          <w:szCs w:val="21"/>
          <w:highlight w:val="none"/>
        </w:rPr>
        <w:t xml:space="preserve"> </w:t>
      </w:r>
    </w:p>
    <w:p w14:paraId="7772BCF5">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color w:val="auto"/>
          <w:sz w:val="21"/>
          <w:szCs w:val="21"/>
          <w:highlight w:val="none"/>
        </w:rPr>
        <w:t xml:space="preserve"> </w:t>
      </w:r>
    </w:p>
    <w:p w14:paraId="7C6AA1E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五、优化政府采购程序推进全流程电子化</w:t>
      </w:r>
      <w:r>
        <w:rPr>
          <w:b/>
          <w:bCs/>
          <w:color w:val="auto"/>
          <w:sz w:val="21"/>
          <w:szCs w:val="21"/>
          <w:highlight w:val="none"/>
        </w:rPr>
        <w:t xml:space="preserve"> </w:t>
      </w:r>
    </w:p>
    <w:p w14:paraId="3A90EBF0">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color w:val="auto"/>
          <w:sz w:val="21"/>
          <w:szCs w:val="21"/>
          <w:highlight w:val="none"/>
        </w:rPr>
        <w:t xml:space="preserve"> </w:t>
      </w:r>
    </w:p>
    <w:p w14:paraId="5381AE58">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六、加强项目执行管理提升政府采购透明度</w:t>
      </w:r>
      <w:r>
        <w:rPr>
          <w:b/>
          <w:bCs/>
          <w:color w:val="auto"/>
          <w:sz w:val="21"/>
          <w:szCs w:val="21"/>
          <w:highlight w:val="none"/>
        </w:rPr>
        <w:t xml:space="preserve"> </w:t>
      </w:r>
    </w:p>
    <w:p w14:paraId="0D466E16">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color w:val="auto"/>
          <w:sz w:val="21"/>
          <w:szCs w:val="21"/>
          <w:highlight w:val="none"/>
        </w:rPr>
        <w:t xml:space="preserve"> </w:t>
      </w:r>
    </w:p>
    <w:p w14:paraId="1C36ECF2">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1F22FFB4">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0DD0AB58">
      <w:pPr>
        <w:rPr>
          <w:rFonts w:hint="eastAsia" w:ascii="宋体" w:hAnsi="宋体" w:eastAsia="宋体" w:cs="宋体"/>
          <w:b/>
          <w:bCs/>
          <w:color w:val="auto"/>
          <w:sz w:val="21"/>
          <w:szCs w:val="21"/>
          <w:highlight w:val="none"/>
        </w:rPr>
      </w:pPr>
    </w:p>
    <w:p w14:paraId="6601A1AC">
      <w:pPr>
        <w:spacing w:before="120" w:beforeLines="50" w:after="120" w:afterLines="5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财政部 司法部关于政府采购支持监狱企业发展有关问题的通知</w:t>
      </w:r>
    </w:p>
    <w:p w14:paraId="5112CDAE">
      <w:pPr>
        <w:pStyle w:val="3"/>
        <w:keepNext w:val="0"/>
        <w:keepLines w:val="0"/>
        <w:pageBreakBefore w:val="0"/>
        <w:widowControl/>
        <w:kinsoku/>
        <w:wordWrap/>
        <w:overflowPunct/>
        <w:topLinePunct w:val="0"/>
        <w:autoSpaceDE/>
        <w:autoSpaceDN/>
        <w:bidi w:val="0"/>
        <w:adjustRightInd/>
        <w:snapToGrid/>
        <w:spacing w:before="120" w:beforeLines="50" w:after="120" w:afterLines="50" w:line="288" w:lineRule="auto"/>
        <w:jc w:val="center"/>
        <w:textAlignment w:val="baseline"/>
        <w:rPr>
          <w:rFonts w:hint="eastAsia" w:ascii="宋体" w:hAnsi="宋体" w:eastAsia="宋体" w:cs="宋体"/>
          <w:b w:val="0"/>
          <w:bCs/>
          <w:color w:val="auto"/>
          <w:sz w:val="24"/>
          <w:szCs w:val="24"/>
          <w:highlight w:val="none"/>
        </w:rPr>
      </w:pPr>
      <w:bookmarkStart w:id="51" w:name="_Toc21391"/>
      <w:r>
        <w:rPr>
          <w:rFonts w:hint="eastAsia" w:ascii="宋体" w:hAnsi="宋体" w:eastAsia="宋体" w:cs="宋体"/>
          <w:b w:val="0"/>
          <w:bCs/>
          <w:color w:val="auto"/>
          <w:sz w:val="24"/>
          <w:szCs w:val="24"/>
          <w:highlight w:val="none"/>
          <w:shd w:val="clear" w:color="auto" w:fill="FFFFFF"/>
        </w:rPr>
        <w:t>财库〔2014〕68号</w:t>
      </w:r>
      <w:bookmarkEnd w:id="51"/>
    </w:p>
    <w:p w14:paraId="79186321">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163B328">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39E3B2E">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2045896">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1236F191">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72E6E69">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1BCC01D8">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EE9E131">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中华人民共和国财政部</w:t>
      </w:r>
    </w:p>
    <w:p w14:paraId="25E45D57">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中华人民共和国司法部</w:t>
      </w:r>
    </w:p>
    <w:p w14:paraId="099506DE">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2014年6月10日</w:t>
      </w:r>
    </w:p>
    <w:p w14:paraId="6F1BE619">
      <w:pPr>
        <w:spacing w:before="120" w:beforeLines="50" w:after="120" w:afterLines="5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shd w:val="clear" w:color="auto" w:fill="FFFFFF"/>
        </w:rPr>
        <w:br w:type="page"/>
      </w:r>
      <w:r>
        <w:rPr>
          <w:rFonts w:hint="eastAsia" w:ascii="宋体" w:hAnsi="宋体" w:eastAsia="宋体" w:cs="宋体"/>
          <w:b/>
          <w:color w:val="auto"/>
          <w:sz w:val="36"/>
          <w:szCs w:val="36"/>
          <w:highlight w:val="none"/>
        </w:rPr>
        <w:t>关于促进残疾人就业政府采购政策的通知</w:t>
      </w:r>
    </w:p>
    <w:p w14:paraId="02B8A374">
      <w:pPr>
        <w:pStyle w:val="38"/>
        <w:keepNext w:val="0"/>
        <w:keepLines w:val="0"/>
        <w:pageBreakBefore w:val="0"/>
        <w:widowControl/>
        <w:kinsoku/>
        <w:wordWrap/>
        <w:overflowPunct/>
        <w:topLinePunct w:val="0"/>
        <w:autoSpaceDE/>
        <w:autoSpaceDN/>
        <w:bidi w:val="0"/>
        <w:adjustRightInd/>
        <w:snapToGrid/>
        <w:spacing w:before="48" w:beforeLines="20" w:after="48" w:afterLines="20" w:line="288" w:lineRule="auto"/>
        <w:jc w:val="center"/>
        <w:textAlignment w:val="baseline"/>
        <w:rPr>
          <w:rFonts w:hint="eastAsia" w:ascii="宋体" w:hAnsi="宋体" w:eastAsia="宋体" w:cs="宋体"/>
          <w:bCs/>
          <w:color w:val="auto"/>
          <w:sz w:val="24"/>
          <w:szCs w:val="24"/>
          <w:highlight w:val="none"/>
        </w:rPr>
      </w:pPr>
      <w:r>
        <w:rPr>
          <w:rStyle w:val="47"/>
          <w:rFonts w:hint="eastAsia" w:ascii="宋体" w:hAnsi="宋体" w:eastAsia="宋体" w:cs="宋体"/>
          <w:bCs w:val="0"/>
          <w:color w:val="auto"/>
          <w:sz w:val="24"/>
          <w:szCs w:val="24"/>
          <w:highlight w:val="none"/>
          <w:shd w:val="clear" w:color="auto" w:fill="FFFFFF"/>
        </w:rPr>
        <w:t>财库〔2017〕141号</w:t>
      </w:r>
    </w:p>
    <w:p w14:paraId="5EB205E5">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bookmarkStart w:id="52" w:name="toDeptId"/>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2"/>
      <w:r>
        <w:rPr>
          <w:rFonts w:hint="eastAsia" w:ascii="宋体" w:hAnsi="宋体" w:eastAsia="宋体" w:cs="宋体"/>
          <w:color w:val="auto"/>
          <w:sz w:val="24"/>
          <w:szCs w:val="24"/>
          <w:highlight w:val="none"/>
          <w:shd w:val="clear" w:color="auto" w:fill="FFFFFF"/>
        </w:rPr>
        <w:t>：</w:t>
      </w:r>
    </w:p>
    <w:p w14:paraId="20DFDDD4">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5898CE39">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一、享受政府采购支持政策的残疾人福利性单位应当同时满足以下条件：</w:t>
      </w:r>
    </w:p>
    <w:p w14:paraId="5208A397">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（一）安置的残疾人占本单位在职职工人数的比例不低于25%（含25%），并且安置的残疾人人数不少于10人（含10人）；</w:t>
      </w:r>
    </w:p>
    <w:p w14:paraId="16CB353B">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（二）依法与安置的每位残疾人签订了一年以上（含一年）的劳动合同或服务协议；</w:t>
      </w:r>
    </w:p>
    <w:p w14:paraId="5A2A47B5">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（三）为安置的每位残疾人按月足额缴纳了基本养老保险、基本医疗保险、失业保险、工伤保险和生育保险等社会保险费；</w:t>
      </w:r>
    </w:p>
    <w:p w14:paraId="5A6FABC6">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（四）通过银行等金融机构向安置的每位残疾人，按月支付了不低于单位所在区县适用的经省级人民政府批准的月最低工资标准的工资；</w:t>
      </w:r>
    </w:p>
    <w:p w14:paraId="5AD5FE7C">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60E5FB23">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D774BBA">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A5CFEF1">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中标、成交供应商为残疾人福利性单位的，采购人或者其委托的采购代理机构应当随中标、成交结果同时公告其《残疾人福利性单位声明函》，接受社会监督。</w:t>
      </w:r>
    </w:p>
    <w:p w14:paraId="564222AB">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供应商提供的《残疾人福利性单位声明函》与事实不符的，依照《政府采购法》第七十七条第一款的规定追究法律责任。</w:t>
      </w:r>
    </w:p>
    <w:p w14:paraId="7EE19D03">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163E32E">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四、采购人采购公开招标数额标准以上的货物或者服务，因落实促进残疾人就业政策的需要，依法履行有关报批程序后，可采用公开招标以外的采购方式。</w:t>
      </w:r>
    </w:p>
    <w:p w14:paraId="5882D93C">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D2C019E">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EBAC7A4">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七、本通知自2017年10月1日起执行。</w:t>
      </w:r>
    </w:p>
    <w:p w14:paraId="33248111">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财政部 民政部 中国残疾人联合会</w:t>
      </w:r>
    </w:p>
    <w:p w14:paraId="1F6E820A">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2017年8月22日</w:t>
      </w:r>
    </w:p>
    <w:p w14:paraId="21610456">
      <w:pPr>
        <w:pStyle w:val="38"/>
        <w:spacing w:line="340" w:lineRule="exact"/>
        <w:jc w:val="center"/>
        <w:textAlignment w:val="baseline"/>
        <w:rPr>
          <w:rFonts w:hint="eastAsia" w:ascii="宋体" w:hAnsi="宋体" w:eastAsia="宋体" w:cs="宋体"/>
          <w:color w:val="auto"/>
          <w:sz w:val="21"/>
          <w:szCs w:val="21"/>
          <w:highlight w:val="none"/>
          <w:shd w:val="clear" w:color="auto" w:fill="FFFFFF"/>
        </w:rPr>
      </w:pPr>
    </w:p>
    <w:p w14:paraId="0AF6FDE5">
      <w:pPr>
        <w:pStyle w:val="38"/>
        <w:spacing w:line="340" w:lineRule="exact"/>
        <w:jc w:val="center"/>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br w:type="page"/>
      </w:r>
    </w:p>
    <w:p w14:paraId="6A963FE1">
      <w:pPr>
        <w:pStyle w:val="38"/>
        <w:spacing w:line="340" w:lineRule="exact"/>
        <w:jc w:val="center"/>
        <w:textAlignment w:val="baseline"/>
        <w:rPr>
          <w:rFonts w:hint="eastAsia" w:ascii="宋体" w:hAnsi="宋体" w:eastAsia="宋体" w:cs="宋体"/>
          <w:color w:val="auto"/>
          <w:sz w:val="21"/>
          <w:szCs w:val="21"/>
          <w:highlight w:val="none"/>
          <w:shd w:val="clear" w:color="auto" w:fill="FFFFFF"/>
        </w:rPr>
      </w:pPr>
    </w:p>
    <w:p w14:paraId="3E8C154B">
      <w:pPr>
        <w:spacing w:before="120" w:beforeLines="50" w:after="120" w:afterLines="50"/>
        <w:jc w:val="center"/>
        <w:textAlignment w:val="baseline"/>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《统计上大中小微型企业划分办法（2017）》修订说明</w:t>
      </w:r>
    </w:p>
    <w:p w14:paraId="24DEC853">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一、修订背景</w:t>
      </w:r>
    </w:p>
    <w:p w14:paraId="7EBA50EB">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7EF430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1F4BB8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二、修订主要内容</w:t>
      </w:r>
    </w:p>
    <w:p w14:paraId="06245072">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01D70F2">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将交通运输业中包括的“装卸搬运和运输代理业”修改为“多式联运和运输代理业、装卸搬运”。</w:t>
      </w:r>
    </w:p>
    <w:p w14:paraId="471AA7EA">
      <w:pPr>
        <w:keepNext w:val="0"/>
        <w:keepLines w:val="0"/>
        <w:pageBreakBefore w:val="0"/>
        <w:widowControl/>
        <w:kinsoku/>
        <w:wordWrap/>
        <w:overflowPunct/>
        <w:topLinePunct w:val="0"/>
        <w:autoSpaceDE/>
        <w:autoSpaceDN/>
        <w:bidi w:val="0"/>
        <w:adjustRightInd/>
        <w:snapToGrid/>
        <w:spacing w:line="288" w:lineRule="auto"/>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仓储业所包括的行业中类，根据《国民经济行业分类》</w:t>
      </w:r>
      <w:r>
        <w:rPr>
          <w:rFonts w:hint="eastAsia" w:ascii="宋体" w:hAnsi="宋体" w:eastAsia="宋体" w:cs="宋体"/>
          <w:color w:val="auto"/>
          <w:sz w:val="24"/>
          <w:szCs w:val="24"/>
          <w:highlight w:val="none"/>
        </w:rPr>
        <w:t>（GB/T 4754—2017）</w:t>
      </w:r>
      <w:r>
        <w:rPr>
          <w:rFonts w:hint="eastAsia" w:ascii="宋体" w:hAnsi="宋体" w:eastAsia="宋体" w:cs="宋体"/>
          <w:color w:val="auto"/>
          <w:spacing w:val="8"/>
          <w:sz w:val="24"/>
          <w:szCs w:val="24"/>
          <w:highlight w:val="none"/>
        </w:rPr>
        <w:t>调整为“通用仓储，低温仓储，危险品仓储，谷物、棉花等农产品仓储，中药材仓储和其他仓储业”。</w:t>
      </w:r>
    </w:p>
    <w:p w14:paraId="6BF5242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p>
    <w:p w14:paraId="5F141A0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统计上大中小微型企业划分标准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9C8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5CA5849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行业名称</w:t>
            </w:r>
          </w:p>
        </w:tc>
        <w:tc>
          <w:tcPr>
            <w:tcW w:w="1369" w:type="dxa"/>
            <w:vAlign w:val="center"/>
          </w:tcPr>
          <w:p w14:paraId="03A9832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指标名称</w:t>
            </w:r>
          </w:p>
        </w:tc>
        <w:tc>
          <w:tcPr>
            <w:tcW w:w="709" w:type="dxa"/>
            <w:vAlign w:val="center"/>
          </w:tcPr>
          <w:p w14:paraId="1EDC2D2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计量</w:t>
            </w:r>
          </w:p>
          <w:p w14:paraId="43442BC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125" w:type="dxa"/>
            <w:vAlign w:val="center"/>
          </w:tcPr>
          <w:p w14:paraId="673CFA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大型</w:t>
            </w:r>
          </w:p>
        </w:tc>
        <w:tc>
          <w:tcPr>
            <w:tcW w:w="1701" w:type="dxa"/>
            <w:vAlign w:val="center"/>
          </w:tcPr>
          <w:p w14:paraId="5C68701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中型</w:t>
            </w:r>
          </w:p>
        </w:tc>
        <w:tc>
          <w:tcPr>
            <w:tcW w:w="1426" w:type="dxa"/>
            <w:vAlign w:val="center"/>
          </w:tcPr>
          <w:p w14:paraId="7178653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w:t>
            </w:r>
          </w:p>
        </w:tc>
        <w:tc>
          <w:tcPr>
            <w:tcW w:w="992" w:type="dxa"/>
            <w:vAlign w:val="center"/>
          </w:tcPr>
          <w:p w14:paraId="398D820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微型</w:t>
            </w:r>
          </w:p>
        </w:tc>
      </w:tr>
      <w:tr w14:paraId="0742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309BCF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农、林、牧、渔业</w:t>
            </w:r>
          </w:p>
        </w:tc>
        <w:tc>
          <w:tcPr>
            <w:tcW w:w="1369" w:type="dxa"/>
            <w:vAlign w:val="center"/>
          </w:tcPr>
          <w:p w14:paraId="50D8871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0194AC7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27AF9C4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701" w:type="dxa"/>
            <w:vAlign w:val="center"/>
          </w:tcPr>
          <w:p w14:paraId="2D94838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500≤Y＜20000</w:t>
            </w:r>
          </w:p>
        </w:tc>
        <w:tc>
          <w:tcPr>
            <w:tcW w:w="1426" w:type="dxa"/>
            <w:vAlign w:val="center"/>
          </w:tcPr>
          <w:p w14:paraId="4A63B32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50≤Y＜500</w:t>
            </w:r>
          </w:p>
        </w:tc>
        <w:tc>
          <w:tcPr>
            <w:tcW w:w="992" w:type="dxa"/>
            <w:vAlign w:val="center"/>
          </w:tcPr>
          <w:p w14:paraId="5A4A9B7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1A84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670AA2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工业 *</w:t>
            </w:r>
          </w:p>
        </w:tc>
        <w:tc>
          <w:tcPr>
            <w:tcW w:w="1369" w:type="dxa"/>
            <w:vAlign w:val="center"/>
          </w:tcPr>
          <w:p w14:paraId="0CD76B0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14:paraId="0858009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14:paraId="284A8C2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701" w:type="dxa"/>
            <w:vAlign w:val="center"/>
          </w:tcPr>
          <w:p w14:paraId="092AA55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6" w:type="dxa"/>
            <w:vAlign w:val="center"/>
          </w:tcPr>
          <w:p w14:paraId="087BE8F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92" w:type="dxa"/>
            <w:vAlign w:val="center"/>
          </w:tcPr>
          <w:p w14:paraId="19B631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3E16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708D47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14:paraId="2A9819E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28F21BA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38C9FEF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701" w:type="dxa"/>
            <w:vAlign w:val="center"/>
          </w:tcPr>
          <w:p w14:paraId="10ADDA5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2000≤Y＜40000</w:t>
            </w:r>
          </w:p>
        </w:tc>
        <w:tc>
          <w:tcPr>
            <w:tcW w:w="1426" w:type="dxa"/>
            <w:vAlign w:val="center"/>
          </w:tcPr>
          <w:p w14:paraId="7E4A7AA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300≤Y＜2000</w:t>
            </w:r>
          </w:p>
        </w:tc>
        <w:tc>
          <w:tcPr>
            <w:tcW w:w="992" w:type="dxa"/>
            <w:vAlign w:val="center"/>
          </w:tcPr>
          <w:p w14:paraId="779AED0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7E5C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1A9AFD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建筑业</w:t>
            </w:r>
          </w:p>
        </w:tc>
        <w:tc>
          <w:tcPr>
            <w:tcW w:w="1369" w:type="dxa"/>
            <w:vAlign w:val="center"/>
          </w:tcPr>
          <w:p w14:paraId="51D2F39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741D864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27E25A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Y≥80000</w:t>
            </w:r>
          </w:p>
        </w:tc>
        <w:tc>
          <w:tcPr>
            <w:tcW w:w="1701" w:type="dxa"/>
            <w:vAlign w:val="center"/>
          </w:tcPr>
          <w:p w14:paraId="17BE994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6000≤Y＜80000</w:t>
            </w:r>
          </w:p>
        </w:tc>
        <w:tc>
          <w:tcPr>
            <w:tcW w:w="1426" w:type="dxa"/>
            <w:vAlign w:val="center"/>
          </w:tcPr>
          <w:p w14:paraId="7817492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300≤Y＜6000</w:t>
            </w:r>
          </w:p>
        </w:tc>
        <w:tc>
          <w:tcPr>
            <w:tcW w:w="992" w:type="dxa"/>
            <w:vAlign w:val="center"/>
          </w:tcPr>
          <w:p w14:paraId="30CEA9F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1667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EA1C8F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14:paraId="2BDFC37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9" w:type="dxa"/>
            <w:vAlign w:val="center"/>
          </w:tcPr>
          <w:p w14:paraId="779F0F5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298D333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Z≥80000</w:t>
            </w:r>
          </w:p>
        </w:tc>
        <w:tc>
          <w:tcPr>
            <w:tcW w:w="1701" w:type="dxa"/>
            <w:vAlign w:val="center"/>
          </w:tcPr>
          <w:p w14:paraId="4BA34E9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5000≤Z＜80000</w:t>
            </w:r>
          </w:p>
        </w:tc>
        <w:tc>
          <w:tcPr>
            <w:tcW w:w="1426" w:type="dxa"/>
            <w:vAlign w:val="center"/>
          </w:tcPr>
          <w:p w14:paraId="1074C27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300≤Z＜5000</w:t>
            </w:r>
          </w:p>
        </w:tc>
        <w:tc>
          <w:tcPr>
            <w:tcW w:w="992" w:type="dxa"/>
            <w:vAlign w:val="center"/>
          </w:tcPr>
          <w:p w14:paraId="2566FC5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Z＜300</w:t>
            </w:r>
          </w:p>
        </w:tc>
      </w:tr>
      <w:tr w14:paraId="63CC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1DABEE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批发业</w:t>
            </w:r>
          </w:p>
        </w:tc>
        <w:tc>
          <w:tcPr>
            <w:tcW w:w="1369" w:type="dxa"/>
            <w:vAlign w:val="center"/>
          </w:tcPr>
          <w:p w14:paraId="5078C98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14:paraId="719C71D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14:paraId="756988F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701" w:type="dxa"/>
            <w:vAlign w:val="center"/>
          </w:tcPr>
          <w:p w14:paraId="08260B5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20≤X＜200</w:t>
            </w:r>
          </w:p>
        </w:tc>
        <w:tc>
          <w:tcPr>
            <w:tcW w:w="1426" w:type="dxa"/>
            <w:vAlign w:val="center"/>
          </w:tcPr>
          <w:p w14:paraId="5D39591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5≤X＜20</w:t>
            </w:r>
          </w:p>
        </w:tc>
        <w:tc>
          <w:tcPr>
            <w:tcW w:w="992" w:type="dxa"/>
            <w:vAlign w:val="center"/>
          </w:tcPr>
          <w:p w14:paraId="20AB81C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X＜5</w:t>
            </w:r>
          </w:p>
        </w:tc>
      </w:tr>
      <w:tr w14:paraId="6983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39BA6B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14:paraId="7DDE3A4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1EFCE15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5F3E12A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701" w:type="dxa"/>
            <w:vAlign w:val="center"/>
          </w:tcPr>
          <w:p w14:paraId="2EBE494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5000≤Y＜40000</w:t>
            </w:r>
          </w:p>
        </w:tc>
        <w:tc>
          <w:tcPr>
            <w:tcW w:w="1426" w:type="dxa"/>
            <w:vAlign w:val="center"/>
          </w:tcPr>
          <w:p w14:paraId="436E3ABC">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1000≤Y＜5000</w:t>
            </w:r>
          </w:p>
        </w:tc>
        <w:tc>
          <w:tcPr>
            <w:tcW w:w="992" w:type="dxa"/>
            <w:vAlign w:val="center"/>
          </w:tcPr>
          <w:p w14:paraId="5CF68A3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w:t>
            </w:r>
          </w:p>
        </w:tc>
      </w:tr>
      <w:tr w14:paraId="559A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A70037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零售业</w:t>
            </w:r>
          </w:p>
        </w:tc>
        <w:tc>
          <w:tcPr>
            <w:tcW w:w="1369" w:type="dxa"/>
            <w:vAlign w:val="center"/>
          </w:tcPr>
          <w:p w14:paraId="196F9BB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14:paraId="4852EAF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14:paraId="0128C7B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701" w:type="dxa"/>
            <w:vAlign w:val="center"/>
          </w:tcPr>
          <w:p w14:paraId="727A7B8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50≤X＜300</w:t>
            </w:r>
          </w:p>
        </w:tc>
        <w:tc>
          <w:tcPr>
            <w:tcW w:w="1426" w:type="dxa"/>
            <w:vAlign w:val="center"/>
          </w:tcPr>
          <w:p w14:paraId="11C350C3">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10≤X＜50 </w:t>
            </w:r>
          </w:p>
        </w:tc>
        <w:tc>
          <w:tcPr>
            <w:tcW w:w="992" w:type="dxa"/>
            <w:vAlign w:val="center"/>
          </w:tcPr>
          <w:p w14:paraId="3A50D21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6020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C53EC6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14:paraId="213009B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7FD1E30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68F6F79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701" w:type="dxa"/>
            <w:vAlign w:val="center"/>
          </w:tcPr>
          <w:p w14:paraId="6226959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500≤Y＜20000</w:t>
            </w:r>
          </w:p>
        </w:tc>
        <w:tc>
          <w:tcPr>
            <w:tcW w:w="1426" w:type="dxa"/>
            <w:vAlign w:val="center"/>
          </w:tcPr>
          <w:p w14:paraId="0AD71589">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100≤Y＜500 </w:t>
            </w:r>
          </w:p>
        </w:tc>
        <w:tc>
          <w:tcPr>
            <w:tcW w:w="992" w:type="dxa"/>
            <w:vAlign w:val="center"/>
          </w:tcPr>
          <w:p w14:paraId="15A028B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08A3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22A9A4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交通运输业 *</w:t>
            </w:r>
          </w:p>
        </w:tc>
        <w:tc>
          <w:tcPr>
            <w:tcW w:w="1369" w:type="dxa"/>
            <w:vAlign w:val="center"/>
          </w:tcPr>
          <w:p w14:paraId="144B23E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14:paraId="3CF0CC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14:paraId="415FE3F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701" w:type="dxa"/>
            <w:vAlign w:val="center"/>
          </w:tcPr>
          <w:p w14:paraId="3D49169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6" w:type="dxa"/>
            <w:vAlign w:val="center"/>
          </w:tcPr>
          <w:p w14:paraId="582BCF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92" w:type="dxa"/>
            <w:vAlign w:val="center"/>
          </w:tcPr>
          <w:p w14:paraId="263CDF4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73CE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F9B163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14:paraId="1BCC86B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3DDC6DC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51615C3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701" w:type="dxa"/>
            <w:vAlign w:val="center"/>
          </w:tcPr>
          <w:p w14:paraId="60CED24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3000≤Y＜30000</w:t>
            </w:r>
          </w:p>
        </w:tc>
        <w:tc>
          <w:tcPr>
            <w:tcW w:w="1426" w:type="dxa"/>
            <w:vAlign w:val="center"/>
          </w:tcPr>
          <w:p w14:paraId="60FB81E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200≤Y＜3000</w:t>
            </w:r>
          </w:p>
        </w:tc>
        <w:tc>
          <w:tcPr>
            <w:tcW w:w="992" w:type="dxa"/>
            <w:vAlign w:val="center"/>
          </w:tcPr>
          <w:p w14:paraId="10CFE3E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w:t>
            </w:r>
          </w:p>
        </w:tc>
      </w:tr>
      <w:tr w14:paraId="6C21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370DB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仓储业*</w:t>
            </w:r>
          </w:p>
        </w:tc>
        <w:tc>
          <w:tcPr>
            <w:tcW w:w="1369" w:type="dxa"/>
            <w:vAlign w:val="center"/>
          </w:tcPr>
          <w:p w14:paraId="7E95D5F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14:paraId="21D180F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14:paraId="6EC05E2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701" w:type="dxa"/>
            <w:vAlign w:val="center"/>
          </w:tcPr>
          <w:p w14:paraId="60AFCC19">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w:t>
            </w:r>
          </w:p>
        </w:tc>
        <w:tc>
          <w:tcPr>
            <w:tcW w:w="1426" w:type="dxa"/>
            <w:vAlign w:val="center"/>
          </w:tcPr>
          <w:p w14:paraId="1393411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20≤X＜100</w:t>
            </w:r>
          </w:p>
        </w:tc>
        <w:tc>
          <w:tcPr>
            <w:tcW w:w="992" w:type="dxa"/>
            <w:vAlign w:val="center"/>
          </w:tcPr>
          <w:p w14:paraId="53D28CE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7369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7301D8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14:paraId="45259B3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04A4B40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2348355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701" w:type="dxa"/>
            <w:vAlign w:val="center"/>
          </w:tcPr>
          <w:p w14:paraId="223ECBD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1000≤Y＜30000</w:t>
            </w:r>
          </w:p>
        </w:tc>
        <w:tc>
          <w:tcPr>
            <w:tcW w:w="1426" w:type="dxa"/>
            <w:vAlign w:val="center"/>
          </w:tcPr>
          <w:p w14:paraId="7F72E1E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92" w:type="dxa"/>
            <w:vAlign w:val="center"/>
          </w:tcPr>
          <w:p w14:paraId="230CDCC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49AD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140C93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邮政业</w:t>
            </w:r>
          </w:p>
        </w:tc>
        <w:tc>
          <w:tcPr>
            <w:tcW w:w="1369" w:type="dxa"/>
            <w:vAlign w:val="center"/>
          </w:tcPr>
          <w:p w14:paraId="7C22CD0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14:paraId="5D38878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14:paraId="44F7CDC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701" w:type="dxa"/>
            <w:vAlign w:val="center"/>
          </w:tcPr>
          <w:p w14:paraId="3B2668B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6" w:type="dxa"/>
            <w:vAlign w:val="center"/>
          </w:tcPr>
          <w:p w14:paraId="6E03680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92" w:type="dxa"/>
            <w:vAlign w:val="center"/>
          </w:tcPr>
          <w:p w14:paraId="26B8C04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75CB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EB9BE4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14:paraId="4AB03C4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13AE6D9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4CC93B6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701" w:type="dxa"/>
            <w:vAlign w:val="center"/>
          </w:tcPr>
          <w:p w14:paraId="7793F65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2000≤Y＜30000</w:t>
            </w:r>
          </w:p>
        </w:tc>
        <w:tc>
          <w:tcPr>
            <w:tcW w:w="1426" w:type="dxa"/>
            <w:vAlign w:val="center"/>
          </w:tcPr>
          <w:p w14:paraId="2E9E9F4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92" w:type="dxa"/>
            <w:vAlign w:val="center"/>
          </w:tcPr>
          <w:p w14:paraId="2956E5F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4469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0F9BEE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住宿业</w:t>
            </w:r>
          </w:p>
        </w:tc>
        <w:tc>
          <w:tcPr>
            <w:tcW w:w="1369" w:type="dxa"/>
            <w:vAlign w:val="center"/>
          </w:tcPr>
          <w:p w14:paraId="571224B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14:paraId="29B1177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14:paraId="7B8E7DA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701" w:type="dxa"/>
            <w:vAlign w:val="center"/>
          </w:tcPr>
          <w:p w14:paraId="0C24A879">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6" w:type="dxa"/>
            <w:vAlign w:val="center"/>
          </w:tcPr>
          <w:p w14:paraId="647C575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2" w:type="dxa"/>
            <w:vAlign w:val="center"/>
          </w:tcPr>
          <w:p w14:paraId="202CD2E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4F7C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49D9B8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14:paraId="220F27F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38BA7BB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36A7CB7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701" w:type="dxa"/>
            <w:vAlign w:val="center"/>
          </w:tcPr>
          <w:p w14:paraId="596F9EE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6" w:type="dxa"/>
            <w:vAlign w:val="center"/>
          </w:tcPr>
          <w:p w14:paraId="571BCD4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92" w:type="dxa"/>
            <w:vAlign w:val="center"/>
          </w:tcPr>
          <w:p w14:paraId="430CA0A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7B38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FCE7EC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餐饮业</w:t>
            </w:r>
          </w:p>
        </w:tc>
        <w:tc>
          <w:tcPr>
            <w:tcW w:w="1369" w:type="dxa"/>
            <w:vAlign w:val="center"/>
          </w:tcPr>
          <w:p w14:paraId="743AE7D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14:paraId="3556644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14:paraId="70765F0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701" w:type="dxa"/>
            <w:vAlign w:val="center"/>
          </w:tcPr>
          <w:p w14:paraId="1A4DE4A8">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6" w:type="dxa"/>
            <w:vAlign w:val="center"/>
          </w:tcPr>
          <w:p w14:paraId="21E333F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2" w:type="dxa"/>
            <w:vAlign w:val="center"/>
          </w:tcPr>
          <w:p w14:paraId="1108F79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78FD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7E99CA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14:paraId="7866F4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2C0A611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727B3F4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701" w:type="dxa"/>
            <w:vAlign w:val="center"/>
          </w:tcPr>
          <w:p w14:paraId="579FB07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6" w:type="dxa"/>
            <w:vAlign w:val="center"/>
          </w:tcPr>
          <w:p w14:paraId="585519D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92" w:type="dxa"/>
            <w:vAlign w:val="center"/>
          </w:tcPr>
          <w:p w14:paraId="3A6B669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263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2B4C3C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信息传输业*</w:t>
            </w:r>
          </w:p>
        </w:tc>
        <w:tc>
          <w:tcPr>
            <w:tcW w:w="1369" w:type="dxa"/>
            <w:vAlign w:val="center"/>
          </w:tcPr>
          <w:p w14:paraId="712FC7A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14:paraId="46DB779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14:paraId="5BA8D2E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X≥2000</w:t>
            </w:r>
          </w:p>
        </w:tc>
        <w:tc>
          <w:tcPr>
            <w:tcW w:w="1701" w:type="dxa"/>
            <w:vAlign w:val="center"/>
          </w:tcPr>
          <w:p w14:paraId="13157B9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100≤X＜2000</w:t>
            </w:r>
          </w:p>
        </w:tc>
        <w:tc>
          <w:tcPr>
            <w:tcW w:w="1426" w:type="dxa"/>
            <w:vAlign w:val="center"/>
          </w:tcPr>
          <w:p w14:paraId="4AF8DEC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2" w:type="dxa"/>
            <w:vAlign w:val="center"/>
          </w:tcPr>
          <w:p w14:paraId="7A790D2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3B07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2CB5F0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14:paraId="3A646DA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3A33230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2A2952A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Y≥100000</w:t>
            </w:r>
          </w:p>
        </w:tc>
        <w:tc>
          <w:tcPr>
            <w:tcW w:w="1701" w:type="dxa"/>
            <w:vAlign w:val="center"/>
          </w:tcPr>
          <w:p w14:paraId="074695D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1000≤Y＜100000</w:t>
            </w:r>
          </w:p>
        </w:tc>
        <w:tc>
          <w:tcPr>
            <w:tcW w:w="1426" w:type="dxa"/>
            <w:vAlign w:val="center"/>
          </w:tcPr>
          <w:p w14:paraId="28ED8D4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92" w:type="dxa"/>
            <w:vAlign w:val="center"/>
          </w:tcPr>
          <w:p w14:paraId="501BC55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4879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C2B89C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r>
              <w:rPr>
                <w:rFonts w:hint="eastAsia" w:ascii="宋体" w:hAnsi="宋体" w:eastAsia="宋体" w:cs="宋体"/>
                <w:b/>
                <w:color w:val="auto"/>
                <w:spacing w:val="-12"/>
                <w:sz w:val="24"/>
                <w:szCs w:val="24"/>
                <w:highlight w:val="none"/>
              </w:rPr>
              <w:t>软件和信息技术服</w:t>
            </w:r>
            <w:r>
              <w:rPr>
                <w:rFonts w:hint="eastAsia" w:ascii="宋体" w:hAnsi="宋体" w:eastAsia="宋体" w:cs="宋体"/>
                <w:b/>
                <w:color w:val="auto"/>
                <w:sz w:val="24"/>
                <w:szCs w:val="24"/>
                <w:highlight w:val="none"/>
              </w:rPr>
              <w:t>务业</w:t>
            </w:r>
          </w:p>
        </w:tc>
        <w:tc>
          <w:tcPr>
            <w:tcW w:w="1369" w:type="dxa"/>
            <w:vAlign w:val="center"/>
          </w:tcPr>
          <w:p w14:paraId="479E4C1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14:paraId="0DF8856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14:paraId="604ACA3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701" w:type="dxa"/>
            <w:vAlign w:val="center"/>
          </w:tcPr>
          <w:p w14:paraId="6B03A42F">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6" w:type="dxa"/>
            <w:vAlign w:val="center"/>
          </w:tcPr>
          <w:p w14:paraId="4130EBF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2" w:type="dxa"/>
            <w:vAlign w:val="center"/>
          </w:tcPr>
          <w:p w14:paraId="24CD05B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740B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7CF1CF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p>
        </w:tc>
        <w:tc>
          <w:tcPr>
            <w:tcW w:w="1369" w:type="dxa"/>
            <w:vAlign w:val="center"/>
          </w:tcPr>
          <w:p w14:paraId="0D24668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16906CA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6DF9BB3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701" w:type="dxa"/>
            <w:vAlign w:val="center"/>
          </w:tcPr>
          <w:p w14:paraId="504CFA7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1000≤Y＜10000</w:t>
            </w:r>
          </w:p>
        </w:tc>
        <w:tc>
          <w:tcPr>
            <w:tcW w:w="1426" w:type="dxa"/>
            <w:vAlign w:val="center"/>
          </w:tcPr>
          <w:p w14:paraId="68073EF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50≤Y＜1000</w:t>
            </w:r>
          </w:p>
        </w:tc>
        <w:tc>
          <w:tcPr>
            <w:tcW w:w="992" w:type="dxa"/>
            <w:vAlign w:val="center"/>
          </w:tcPr>
          <w:p w14:paraId="75EA770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39DD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A36173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房地产开发经营</w:t>
            </w:r>
          </w:p>
        </w:tc>
        <w:tc>
          <w:tcPr>
            <w:tcW w:w="1369" w:type="dxa"/>
            <w:vAlign w:val="center"/>
          </w:tcPr>
          <w:p w14:paraId="0E9D1F4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095D542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194F12A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Y≥200000</w:t>
            </w:r>
          </w:p>
        </w:tc>
        <w:tc>
          <w:tcPr>
            <w:tcW w:w="1701" w:type="dxa"/>
            <w:vAlign w:val="center"/>
          </w:tcPr>
          <w:p w14:paraId="3AF64EF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1000≤Y＜200000</w:t>
            </w:r>
          </w:p>
        </w:tc>
        <w:tc>
          <w:tcPr>
            <w:tcW w:w="1426" w:type="dxa"/>
            <w:vAlign w:val="center"/>
          </w:tcPr>
          <w:p w14:paraId="634B36B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92" w:type="dxa"/>
            <w:vAlign w:val="center"/>
          </w:tcPr>
          <w:p w14:paraId="32271A6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352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6A376C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14:paraId="1DE059F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9" w:type="dxa"/>
            <w:vAlign w:val="center"/>
          </w:tcPr>
          <w:p w14:paraId="71C2758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5AC52B4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Z≥10000</w:t>
            </w:r>
          </w:p>
        </w:tc>
        <w:tc>
          <w:tcPr>
            <w:tcW w:w="1701" w:type="dxa"/>
            <w:vAlign w:val="center"/>
          </w:tcPr>
          <w:p w14:paraId="1B3B670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5000≤Z＜10000</w:t>
            </w:r>
          </w:p>
        </w:tc>
        <w:tc>
          <w:tcPr>
            <w:tcW w:w="1426" w:type="dxa"/>
            <w:vAlign w:val="center"/>
          </w:tcPr>
          <w:p w14:paraId="723CC77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2000≤Z＜5000   </w:t>
            </w:r>
          </w:p>
        </w:tc>
        <w:tc>
          <w:tcPr>
            <w:tcW w:w="992" w:type="dxa"/>
            <w:vAlign w:val="center"/>
          </w:tcPr>
          <w:p w14:paraId="5855321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Z＜2000</w:t>
            </w:r>
          </w:p>
        </w:tc>
      </w:tr>
      <w:tr w14:paraId="14F4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4450D1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物业管理</w:t>
            </w:r>
          </w:p>
        </w:tc>
        <w:tc>
          <w:tcPr>
            <w:tcW w:w="1369" w:type="dxa"/>
            <w:vAlign w:val="center"/>
          </w:tcPr>
          <w:p w14:paraId="69CD232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14:paraId="1F9FED0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14:paraId="06A9226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701" w:type="dxa"/>
            <w:vAlign w:val="center"/>
          </w:tcPr>
          <w:p w14:paraId="03AFC45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6" w:type="dxa"/>
            <w:vAlign w:val="center"/>
          </w:tcPr>
          <w:p w14:paraId="173714E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992" w:type="dxa"/>
            <w:vAlign w:val="center"/>
          </w:tcPr>
          <w:p w14:paraId="648F59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w:t>
            </w:r>
          </w:p>
        </w:tc>
      </w:tr>
      <w:tr w14:paraId="3FE1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C5ED91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14:paraId="3ECB7AF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14:paraId="03191E0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2159A40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Y≥5000</w:t>
            </w:r>
          </w:p>
        </w:tc>
        <w:tc>
          <w:tcPr>
            <w:tcW w:w="1701" w:type="dxa"/>
            <w:vAlign w:val="center"/>
          </w:tcPr>
          <w:p w14:paraId="5EA74356">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1000≤Y＜5000 </w:t>
            </w:r>
          </w:p>
        </w:tc>
        <w:tc>
          <w:tcPr>
            <w:tcW w:w="1426" w:type="dxa"/>
            <w:vAlign w:val="center"/>
          </w:tcPr>
          <w:p w14:paraId="104B818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500≤Y＜1000</w:t>
            </w:r>
          </w:p>
        </w:tc>
        <w:tc>
          <w:tcPr>
            <w:tcW w:w="992" w:type="dxa"/>
            <w:vAlign w:val="center"/>
          </w:tcPr>
          <w:p w14:paraId="3641528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w:t>
            </w:r>
          </w:p>
        </w:tc>
      </w:tr>
      <w:tr w14:paraId="2B6D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AF3C6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租赁和商务服务业</w:t>
            </w:r>
          </w:p>
        </w:tc>
        <w:tc>
          <w:tcPr>
            <w:tcW w:w="1369" w:type="dxa"/>
            <w:vAlign w:val="center"/>
          </w:tcPr>
          <w:p w14:paraId="4A943BD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14:paraId="38ED762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14:paraId="1C466A1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701" w:type="dxa"/>
            <w:vAlign w:val="center"/>
          </w:tcPr>
          <w:p w14:paraId="4669E2CC">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6" w:type="dxa"/>
            <w:vAlign w:val="center"/>
          </w:tcPr>
          <w:p w14:paraId="140E82A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2" w:type="dxa"/>
            <w:vAlign w:val="center"/>
          </w:tcPr>
          <w:p w14:paraId="32D1C49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00E6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C2E1D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14:paraId="63A6517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9" w:type="dxa"/>
            <w:vAlign w:val="center"/>
          </w:tcPr>
          <w:p w14:paraId="5CBD9A3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14:paraId="0E8912C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Z≥120000</w:t>
            </w:r>
          </w:p>
        </w:tc>
        <w:tc>
          <w:tcPr>
            <w:tcW w:w="1701" w:type="dxa"/>
            <w:vAlign w:val="center"/>
          </w:tcPr>
          <w:p w14:paraId="76A0913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8000≤Z＜120000</w:t>
            </w:r>
          </w:p>
        </w:tc>
        <w:tc>
          <w:tcPr>
            <w:tcW w:w="1426" w:type="dxa"/>
            <w:vAlign w:val="center"/>
          </w:tcPr>
          <w:p w14:paraId="2ACEFA3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100≤Z＜8000</w:t>
            </w:r>
          </w:p>
        </w:tc>
        <w:tc>
          <w:tcPr>
            <w:tcW w:w="992" w:type="dxa"/>
            <w:vAlign w:val="center"/>
          </w:tcPr>
          <w:p w14:paraId="31FC876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w:t>
            </w:r>
          </w:p>
        </w:tc>
      </w:tr>
      <w:tr w14:paraId="13DF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200CACF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其他未列明行业*</w:t>
            </w:r>
          </w:p>
        </w:tc>
        <w:tc>
          <w:tcPr>
            <w:tcW w:w="1369" w:type="dxa"/>
            <w:vAlign w:val="center"/>
          </w:tcPr>
          <w:p w14:paraId="4FA5903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14:paraId="77DCC02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14:paraId="6A5AB39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701" w:type="dxa"/>
            <w:vAlign w:val="center"/>
          </w:tcPr>
          <w:p w14:paraId="196F9A5F">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6" w:type="dxa"/>
            <w:vAlign w:val="center"/>
          </w:tcPr>
          <w:p w14:paraId="1D44DD1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2" w:type="dxa"/>
            <w:vAlign w:val="center"/>
          </w:tcPr>
          <w:p w14:paraId="1608CF1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bl>
    <w:p w14:paraId="35256AC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说明：</w:t>
      </w:r>
    </w:p>
    <w:p w14:paraId="0C10357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1.大型、中型和小型企业须同时满足所列指标的下限，否则下划一档；微型企业只须满足所列指标中的一项即可。</w:t>
      </w:r>
    </w:p>
    <w:p w14:paraId="60B6E071">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9704BE9">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80C04E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24"/>
          <w:szCs w:val="24"/>
          <w:highlight w:val="none"/>
        </w:rPr>
      </w:pPr>
    </w:p>
    <w:p w14:paraId="1E4B986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sectPr>
      <w:footerReference r:id="rId10" w:type="first"/>
      <w:footerReference r:id="rId9" w:type="default"/>
      <w:pgSz w:w="11906" w:h="16838"/>
      <w:pgMar w:top="1418" w:right="1247" w:bottom="1418" w:left="141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0F4AEEA-7D49-40E8-B50C-927EF496EEB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B212176-4889-4C80-BBCF-ACD6CFAE63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embedRegular r:id="rId3" w:fontKey="{B86B21AD-2531-4489-A924-568C017F36AA}"/>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4CCA8EEE-150B-4273-B9FD-79D478E1B30A}"/>
  </w:font>
  <w:font w:name="Wingdings 2">
    <w:panose1 w:val="05020102010507070707"/>
    <w:charset w:val="02"/>
    <w:family w:val="auto"/>
    <w:pitch w:val="default"/>
    <w:sig w:usb0="00000000" w:usb1="00000000" w:usb2="00000000" w:usb3="00000000" w:csb0="80000000" w:csb1="00000000"/>
    <w:embedRegular r:id="rId5" w:fontKey="{9E8AF8BF-2878-41FF-B483-2F80FA21B6A8}"/>
  </w:font>
  <w:font w:name="新宋体">
    <w:panose1 w:val="02010609030101010101"/>
    <w:charset w:val="86"/>
    <w:family w:val="modern"/>
    <w:pitch w:val="default"/>
    <w:sig w:usb0="00000203" w:usb1="288F0000" w:usb2="00000006" w:usb3="00000000" w:csb0="00040001" w:csb1="00000000"/>
    <w:embedRegular r:id="rId6" w:fontKey="{8B252AA6-0520-40D5-B417-033F8AA602A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EED98">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3A13EB06">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15362">
    <w:pPr>
      <w:pStyle w:val="27"/>
      <w:framePr w:wrap="around" w:vAnchor="text" w:hAnchor="margin" w:xAlign="center" w:y="1"/>
      <w:rPr>
        <w:rStyle w:val="48"/>
      </w:rPr>
    </w:pPr>
    <w:r>
      <w:fldChar w:fldCharType="begin"/>
    </w:r>
    <w:r>
      <w:rPr>
        <w:rStyle w:val="48"/>
      </w:rPr>
      <w:instrText xml:space="preserve">PAGE  </w:instrText>
    </w:r>
    <w:r>
      <w:fldChar w:fldCharType="end"/>
    </w:r>
  </w:p>
  <w:p w14:paraId="4509988C">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82D9A">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88B6">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9D44">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3D26BE68">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4C87">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7216">
    <w:pPr>
      <w:pStyle w:val="28"/>
      <w:pBdr>
        <w:bottom w:val="single" w:color="auto" w:sz="6" w:space="3"/>
      </w:pBdr>
      <w:jc w:val="both"/>
    </w:pPr>
    <w:r>
      <w:rPr>
        <w:rFonts w:hint="eastAsia"/>
        <w:lang w:eastAsia="zh-CN"/>
      </w:rPr>
      <w:t>吉林市新诚招标代理有限公司</w:t>
    </w:r>
    <w:r>
      <w:rPr>
        <w:rFonts w:hint="eastAsia"/>
      </w:rPr>
      <w:t xml:space="preserve">      　　                                          </w:t>
    </w:r>
    <w:r>
      <w:rPr>
        <w:rFonts w:hint="eastAsia"/>
        <w:lang w:val="en-US" w:eastAsia="zh-CN"/>
      </w:rPr>
      <w:t xml:space="preserve">     </w:t>
    </w:r>
    <w:r>
      <w:rPr>
        <w:rFonts w:hint="eastAsia"/>
      </w:rPr>
      <w:t xml:space="preserve">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9F7C9">
    <w:pPr>
      <w:pStyle w:val="28"/>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D9ADA"/>
    <w:multiLevelType w:val="singleLevel"/>
    <w:tmpl w:val="A2FD9ADA"/>
    <w:lvl w:ilvl="0" w:tentative="0">
      <w:start w:val="1"/>
      <w:numFmt w:val="decimal"/>
      <w:lvlText w:val="%1."/>
      <w:lvlJc w:val="left"/>
      <w:pPr>
        <w:tabs>
          <w:tab w:val="left" w:pos="312"/>
        </w:tabs>
      </w:pPr>
    </w:lvl>
  </w:abstractNum>
  <w:abstractNum w:abstractNumId="1">
    <w:nsid w:val="DDC4BF2D"/>
    <w:multiLevelType w:val="singleLevel"/>
    <w:tmpl w:val="DDC4BF2D"/>
    <w:lvl w:ilvl="0" w:tentative="0">
      <w:start w:val="1"/>
      <w:numFmt w:val="chineseCounting"/>
      <w:suff w:val="nothing"/>
      <w:lvlText w:val="（%1）"/>
      <w:lvlJc w:val="left"/>
      <w:rPr>
        <w:rFonts w:hint="eastAsia"/>
      </w:rPr>
    </w:lvl>
  </w:abstractNum>
  <w:abstractNum w:abstractNumId="2">
    <w:nsid w:val="130F4B7E"/>
    <w:multiLevelType w:val="multilevel"/>
    <w:tmpl w:val="130F4B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F46C8B"/>
    <w:multiLevelType w:val="singleLevel"/>
    <w:tmpl w:val="2FF46C8B"/>
    <w:lvl w:ilvl="0" w:tentative="0">
      <w:start w:val="4"/>
      <w:numFmt w:val="chineseCounting"/>
      <w:suff w:val="space"/>
      <w:lvlText w:val="第%1部分"/>
      <w:lvlJc w:val="left"/>
      <w:rPr>
        <w:rFonts w:hint="eastAsia"/>
      </w:rPr>
    </w:lvl>
  </w:abstractNum>
  <w:abstractNum w:abstractNumId="4">
    <w:nsid w:val="437F1085"/>
    <w:multiLevelType w:val="multilevel"/>
    <w:tmpl w:val="437F1085"/>
    <w:lvl w:ilvl="0" w:tentative="0">
      <w:start w:val="1"/>
      <w:numFmt w:val="chineseCountingThousand"/>
      <w:suff w:val="nothing"/>
      <w:lvlText w:val="%1、"/>
      <w:lvlJc w:val="left"/>
      <w:pPr>
        <w:ind w:left="420" w:hanging="420"/>
      </w:pPr>
      <w:rPr>
        <w:rFonts w:hint="eastAsia"/>
        <w:color w:val="auto"/>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02F0359"/>
    <w:multiLevelType w:val="singleLevel"/>
    <w:tmpl w:val="502F0359"/>
    <w:lvl w:ilvl="0" w:tentative="0">
      <w:start w:val="1"/>
      <w:numFmt w:val="chineseCounting"/>
      <w:suff w:val="nothing"/>
      <w:lvlText w:val="%1、"/>
      <w:lvlJc w:val="left"/>
      <w:rPr>
        <w:rFonts w:hint="eastAsia"/>
      </w:rPr>
    </w:lvl>
  </w:abstractNum>
  <w:abstractNum w:abstractNumId="7">
    <w:nsid w:val="506912C7"/>
    <w:multiLevelType w:val="multilevel"/>
    <w:tmpl w:val="506912C7"/>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3BC7DAF"/>
    <w:multiLevelType w:val="multilevel"/>
    <w:tmpl w:val="63BC7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C6345C4"/>
    <w:multiLevelType w:val="multilevel"/>
    <w:tmpl w:val="7C6345C4"/>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1"/>
  </w:num>
  <w:num w:numId="4">
    <w:abstractNumId w:val="3"/>
  </w:num>
  <w:num w:numId="5">
    <w:abstractNumId w:val="10"/>
  </w:num>
  <w:num w:numId="6">
    <w:abstractNumId w:val="2"/>
  </w:num>
  <w:num w:numId="7">
    <w:abstractNumId w:val="8"/>
  </w:num>
  <w:num w:numId="8">
    <w:abstractNumId w:val="7"/>
  </w:num>
  <w:num w:numId="9">
    <w:abstractNumId w:val="11"/>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NDNkY2U4MTU1YzgxMDZhYjJmMmMwNjI5OWYzNGY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7BA"/>
    <w:rsid w:val="0001631D"/>
    <w:rsid w:val="00016C0B"/>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9768E"/>
    <w:rsid w:val="000A1441"/>
    <w:rsid w:val="000A1ABB"/>
    <w:rsid w:val="000A24F2"/>
    <w:rsid w:val="000A2912"/>
    <w:rsid w:val="000A332E"/>
    <w:rsid w:val="000A396A"/>
    <w:rsid w:val="000A3F73"/>
    <w:rsid w:val="000A41A3"/>
    <w:rsid w:val="000A4632"/>
    <w:rsid w:val="000A7438"/>
    <w:rsid w:val="000A7811"/>
    <w:rsid w:val="000A7FF5"/>
    <w:rsid w:val="000B00B2"/>
    <w:rsid w:val="000B05E3"/>
    <w:rsid w:val="000B133E"/>
    <w:rsid w:val="000B198D"/>
    <w:rsid w:val="000B3407"/>
    <w:rsid w:val="000B3530"/>
    <w:rsid w:val="000B3B88"/>
    <w:rsid w:val="000B3CF8"/>
    <w:rsid w:val="000B52AD"/>
    <w:rsid w:val="000B6067"/>
    <w:rsid w:val="000B6FE7"/>
    <w:rsid w:val="000B7C82"/>
    <w:rsid w:val="000B7D24"/>
    <w:rsid w:val="000C023A"/>
    <w:rsid w:val="000C0B27"/>
    <w:rsid w:val="000C0DE6"/>
    <w:rsid w:val="000C248C"/>
    <w:rsid w:val="000C2B24"/>
    <w:rsid w:val="000C31AA"/>
    <w:rsid w:val="000C36D1"/>
    <w:rsid w:val="000C4042"/>
    <w:rsid w:val="000C5810"/>
    <w:rsid w:val="000C5D64"/>
    <w:rsid w:val="000C5F6A"/>
    <w:rsid w:val="000C77CA"/>
    <w:rsid w:val="000D06BA"/>
    <w:rsid w:val="000D0922"/>
    <w:rsid w:val="000D0C4A"/>
    <w:rsid w:val="000D130E"/>
    <w:rsid w:val="000D158E"/>
    <w:rsid w:val="000D245C"/>
    <w:rsid w:val="000D3A8E"/>
    <w:rsid w:val="000D40C2"/>
    <w:rsid w:val="000D477C"/>
    <w:rsid w:val="000D49B6"/>
    <w:rsid w:val="000D7693"/>
    <w:rsid w:val="000D7950"/>
    <w:rsid w:val="000E057A"/>
    <w:rsid w:val="000E2037"/>
    <w:rsid w:val="000E2D94"/>
    <w:rsid w:val="000E36CC"/>
    <w:rsid w:val="000E4183"/>
    <w:rsid w:val="000E4224"/>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2208"/>
    <w:rsid w:val="00102DE7"/>
    <w:rsid w:val="001035DB"/>
    <w:rsid w:val="00103640"/>
    <w:rsid w:val="0010403B"/>
    <w:rsid w:val="00104197"/>
    <w:rsid w:val="001044BD"/>
    <w:rsid w:val="001061F8"/>
    <w:rsid w:val="00110620"/>
    <w:rsid w:val="00110BBA"/>
    <w:rsid w:val="00110FFE"/>
    <w:rsid w:val="001114B9"/>
    <w:rsid w:val="001126B7"/>
    <w:rsid w:val="00112AC0"/>
    <w:rsid w:val="0011338E"/>
    <w:rsid w:val="001136AF"/>
    <w:rsid w:val="0011395F"/>
    <w:rsid w:val="00113982"/>
    <w:rsid w:val="00113BFC"/>
    <w:rsid w:val="00113E06"/>
    <w:rsid w:val="00113ED0"/>
    <w:rsid w:val="0011504E"/>
    <w:rsid w:val="0011530B"/>
    <w:rsid w:val="00115B9A"/>
    <w:rsid w:val="00116851"/>
    <w:rsid w:val="00121222"/>
    <w:rsid w:val="00121DC0"/>
    <w:rsid w:val="0012219F"/>
    <w:rsid w:val="001227E3"/>
    <w:rsid w:val="00123A74"/>
    <w:rsid w:val="001244FF"/>
    <w:rsid w:val="00124BFE"/>
    <w:rsid w:val="00124C45"/>
    <w:rsid w:val="001258F2"/>
    <w:rsid w:val="001260E7"/>
    <w:rsid w:val="001276D5"/>
    <w:rsid w:val="0013146D"/>
    <w:rsid w:val="001319A6"/>
    <w:rsid w:val="00131E40"/>
    <w:rsid w:val="00132A44"/>
    <w:rsid w:val="001373D4"/>
    <w:rsid w:val="00137702"/>
    <w:rsid w:val="001377DD"/>
    <w:rsid w:val="0014011A"/>
    <w:rsid w:val="001403D9"/>
    <w:rsid w:val="00140B10"/>
    <w:rsid w:val="00141467"/>
    <w:rsid w:val="00141E49"/>
    <w:rsid w:val="00142CBC"/>
    <w:rsid w:val="00143DD4"/>
    <w:rsid w:val="00144231"/>
    <w:rsid w:val="00144405"/>
    <w:rsid w:val="0014546C"/>
    <w:rsid w:val="00146021"/>
    <w:rsid w:val="00146C13"/>
    <w:rsid w:val="00146FFB"/>
    <w:rsid w:val="00147026"/>
    <w:rsid w:val="001473EB"/>
    <w:rsid w:val="0015116F"/>
    <w:rsid w:val="001512D5"/>
    <w:rsid w:val="0015159E"/>
    <w:rsid w:val="001521C4"/>
    <w:rsid w:val="001526E7"/>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C02"/>
    <w:rsid w:val="001853DA"/>
    <w:rsid w:val="00185A61"/>
    <w:rsid w:val="00185C2A"/>
    <w:rsid w:val="00186638"/>
    <w:rsid w:val="001867F8"/>
    <w:rsid w:val="001869A1"/>
    <w:rsid w:val="00187E2F"/>
    <w:rsid w:val="00190F1F"/>
    <w:rsid w:val="00191573"/>
    <w:rsid w:val="00192B5F"/>
    <w:rsid w:val="00193EAE"/>
    <w:rsid w:val="001941D4"/>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F54"/>
    <w:rsid w:val="001B3D89"/>
    <w:rsid w:val="001B423E"/>
    <w:rsid w:val="001B513E"/>
    <w:rsid w:val="001C0129"/>
    <w:rsid w:val="001C0229"/>
    <w:rsid w:val="001C082B"/>
    <w:rsid w:val="001C0DC9"/>
    <w:rsid w:val="001C0F0B"/>
    <w:rsid w:val="001C1539"/>
    <w:rsid w:val="001C1546"/>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E85"/>
    <w:rsid w:val="001E406D"/>
    <w:rsid w:val="001E6F8A"/>
    <w:rsid w:val="001E7903"/>
    <w:rsid w:val="001F0915"/>
    <w:rsid w:val="001F2450"/>
    <w:rsid w:val="001F3299"/>
    <w:rsid w:val="001F384C"/>
    <w:rsid w:val="001F49D3"/>
    <w:rsid w:val="001F515E"/>
    <w:rsid w:val="001F58C1"/>
    <w:rsid w:val="001F6505"/>
    <w:rsid w:val="001F7059"/>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78B"/>
    <w:rsid w:val="00221AEA"/>
    <w:rsid w:val="002221BA"/>
    <w:rsid w:val="002222A9"/>
    <w:rsid w:val="0022269B"/>
    <w:rsid w:val="002227A0"/>
    <w:rsid w:val="0022285B"/>
    <w:rsid w:val="00223A8A"/>
    <w:rsid w:val="002247B5"/>
    <w:rsid w:val="00224F3D"/>
    <w:rsid w:val="00225EF3"/>
    <w:rsid w:val="002265B7"/>
    <w:rsid w:val="0023090F"/>
    <w:rsid w:val="002312DC"/>
    <w:rsid w:val="00231322"/>
    <w:rsid w:val="00231713"/>
    <w:rsid w:val="00233135"/>
    <w:rsid w:val="0023333E"/>
    <w:rsid w:val="00235DE7"/>
    <w:rsid w:val="0023633D"/>
    <w:rsid w:val="00236F42"/>
    <w:rsid w:val="00237D56"/>
    <w:rsid w:val="00237EA1"/>
    <w:rsid w:val="00240494"/>
    <w:rsid w:val="002411C2"/>
    <w:rsid w:val="00241466"/>
    <w:rsid w:val="0024152C"/>
    <w:rsid w:val="00241E37"/>
    <w:rsid w:val="0024225C"/>
    <w:rsid w:val="002426FF"/>
    <w:rsid w:val="002434B0"/>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4FE5"/>
    <w:rsid w:val="0027597F"/>
    <w:rsid w:val="00275DC3"/>
    <w:rsid w:val="002761CF"/>
    <w:rsid w:val="00276A04"/>
    <w:rsid w:val="00277B8E"/>
    <w:rsid w:val="00280063"/>
    <w:rsid w:val="00280529"/>
    <w:rsid w:val="00280C23"/>
    <w:rsid w:val="002813DA"/>
    <w:rsid w:val="00281919"/>
    <w:rsid w:val="00281B5F"/>
    <w:rsid w:val="00282319"/>
    <w:rsid w:val="00282904"/>
    <w:rsid w:val="002835CD"/>
    <w:rsid w:val="002845D3"/>
    <w:rsid w:val="002849E2"/>
    <w:rsid w:val="00284F4A"/>
    <w:rsid w:val="00285219"/>
    <w:rsid w:val="00285834"/>
    <w:rsid w:val="0028617D"/>
    <w:rsid w:val="00286E64"/>
    <w:rsid w:val="00290413"/>
    <w:rsid w:val="00290581"/>
    <w:rsid w:val="0029124F"/>
    <w:rsid w:val="00291830"/>
    <w:rsid w:val="00291A72"/>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B13"/>
    <w:rsid w:val="002A5926"/>
    <w:rsid w:val="002A78DA"/>
    <w:rsid w:val="002B033D"/>
    <w:rsid w:val="002B104F"/>
    <w:rsid w:val="002B2AC5"/>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B5E"/>
    <w:rsid w:val="002E4BD1"/>
    <w:rsid w:val="002E7409"/>
    <w:rsid w:val="002F035C"/>
    <w:rsid w:val="002F038C"/>
    <w:rsid w:val="002F1A92"/>
    <w:rsid w:val="002F1C7E"/>
    <w:rsid w:val="002F1EE1"/>
    <w:rsid w:val="002F1F96"/>
    <w:rsid w:val="002F4E62"/>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4488"/>
    <w:rsid w:val="00314FC1"/>
    <w:rsid w:val="0031604F"/>
    <w:rsid w:val="003163D7"/>
    <w:rsid w:val="0031699C"/>
    <w:rsid w:val="003176CF"/>
    <w:rsid w:val="00320568"/>
    <w:rsid w:val="00320677"/>
    <w:rsid w:val="0032155A"/>
    <w:rsid w:val="00321A2A"/>
    <w:rsid w:val="00321BED"/>
    <w:rsid w:val="00321E74"/>
    <w:rsid w:val="00321FAD"/>
    <w:rsid w:val="00322743"/>
    <w:rsid w:val="003243DE"/>
    <w:rsid w:val="0032441D"/>
    <w:rsid w:val="00324762"/>
    <w:rsid w:val="00324906"/>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46FB4"/>
    <w:rsid w:val="003500E0"/>
    <w:rsid w:val="003502DA"/>
    <w:rsid w:val="00350537"/>
    <w:rsid w:val="00351C0F"/>
    <w:rsid w:val="00351CF4"/>
    <w:rsid w:val="00351F00"/>
    <w:rsid w:val="00352622"/>
    <w:rsid w:val="003526A9"/>
    <w:rsid w:val="00352743"/>
    <w:rsid w:val="00353C94"/>
    <w:rsid w:val="0035447F"/>
    <w:rsid w:val="0035559B"/>
    <w:rsid w:val="00355805"/>
    <w:rsid w:val="003560CF"/>
    <w:rsid w:val="00356C66"/>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1F5"/>
    <w:rsid w:val="00370326"/>
    <w:rsid w:val="0037122C"/>
    <w:rsid w:val="003717C7"/>
    <w:rsid w:val="00372158"/>
    <w:rsid w:val="0037298D"/>
    <w:rsid w:val="003732C5"/>
    <w:rsid w:val="00373D94"/>
    <w:rsid w:val="0037469C"/>
    <w:rsid w:val="00374937"/>
    <w:rsid w:val="00374AED"/>
    <w:rsid w:val="00375900"/>
    <w:rsid w:val="00375EC9"/>
    <w:rsid w:val="00376602"/>
    <w:rsid w:val="00376672"/>
    <w:rsid w:val="00377AF1"/>
    <w:rsid w:val="00380157"/>
    <w:rsid w:val="00380893"/>
    <w:rsid w:val="003808EF"/>
    <w:rsid w:val="00382FB3"/>
    <w:rsid w:val="003837BF"/>
    <w:rsid w:val="00383DB9"/>
    <w:rsid w:val="00383FD9"/>
    <w:rsid w:val="00384809"/>
    <w:rsid w:val="0038705A"/>
    <w:rsid w:val="003871A8"/>
    <w:rsid w:val="00387816"/>
    <w:rsid w:val="00387C68"/>
    <w:rsid w:val="00387DD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3079"/>
    <w:rsid w:val="003B457F"/>
    <w:rsid w:val="003B4BAF"/>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4D4"/>
    <w:rsid w:val="003D4DE2"/>
    <w:rsid w:val="003D5386"/>
    <w:rsid w:val="003D549A"/>
    <w:rsid w:val="003D6411"/>
    <w:rsid w:val="003D6AD1"/>
    <w:rsid w:val="003D6B39"/>
    <w:rsid w:val="003E0178"/>
    <w:rsid w:val="003E0296"/>
    <w:rsid w:val="003E18CF"/>
    <w:rsid w:val="003E3DDD"/>
    <w:rsid w:val="003E5B11"/>
    <w:rsid w:val="003E5FD4"/>
    <w:rsid w:val="003E6285"/>
    <w:rsid w:val="003E6501"/>
    <w:rsid w:val="003E6747"/>
    <w:rsid w:val="003E6929"/>
    <w:rsid w:val="003E7481"/>
    <w:rsid w:val="003F0E69"/>
    <w:rsid w:val="003F169E"/>
    <w:rsid w:val="003F1B16"/>
    <w:rsid w:val="003F30A5"/>
    <w:rsid w:val="003F4088"/>
    <w:rsid w:val="003F4D1D"/>
    <w:rsid w:val="003F54D8"/>
    <w:rsid w:val="003F77D9"/>
    <w:rsid w:val="003F78FB"/>
    <w:rsid w:val="003F7D61"/>
    <w:rsid w:val="003F7FD6"/>
    <w:rsid w:val="00401670"/>
    <w:rsid w:val="004030E1"/>
    <w:rsid w:val="0040451B"/>
    <w:rsid w:val="0040455C"/>
    <w:rsid w:val="00404C1C"/>
    <w:rsid w:val="004059FE"/>
    <w:rsid w:val="004067EA"/>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E36"/>
    <w:rsid w:val="0042214C"/>
    <w:rsid w:val="004234B3"/>
    <w:rsid w:val="00423E2D"/>
    <w:rsid w:val="0042414B"/>
    <w:rsid w:val="00424A87"/>
    <w:rsid w:val="00424C66"/>
    <w:rsid w:val="004254AC"/>
    <w:rsid w:val="00425777"/>
    <w:rsid w:val="00426DE2"/>
    <w:rsid w:val="004276C6"/>
    <w:rsid w:val="0043014C"/>
    <w:rsid w:val="00430511"/>
    <w:rsid w:val="00431C9D"/>
    <w:rsid w:val="0043209F"/>
    <w:rsid w:val="0043488B"/>
    <w:rsid w:val="004357D6"/>
    <w:rsid w:val="00435B26"/>
    <w:rsid w:val="00435D3A"/>
    <w:rsid w:val="00435EF6"/>
    <w:rsid w:val="00436320"/>
    <w:rsid w:val="0043680D"/>
    <w:rsid w:val="0043755C"/>
    <w:rsid w:val="00437DBF"/>
    <w:rsid w:val="00440461"/>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322"/>
    <w:rsid w:val="004524C8"/>
    <w:rsid w:val="00453064"/>
    <w:rsid w:val="004531AF"/>
    <w:rsid w:val="00453475"/>
    <w:rsid w:val="0045415D"/>
    <w:rsid w:val="00454431"/>
    <w:rsid w:val="0045497F"/>
    <w:rsid w:val="004555B7"/>
    <w:rsid w:val="00455A74"/>
    <w:rsid w:val="00455D65"/>
    <w:rsid w:val="00456AA1"/>
    <w:rsid w:val="00457946"/>
    <w:rsid w:val="004600C8"/>
    <w:rsid w:val="0046019D"/>
    <w:rsid w:val="00460C2F"/>
    <w:rsid w:val="00462B32"/>
    <w:rsid w:val="00462BBE"/>
    <w:rsid w:val="0046421E"/>
    <w:rsid w:val="00465658"/>
    <w:rsid w:val="0046589A"/>
    <w:rsid w:val="0046646B"/>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581"/>
    <w:rsid w:val="00482825"/>
    <w:rsid w:val="00482BC7"/>
    <w:rsid w:val="00482EA9"/>
    <w:rsid w:val="00483E71"/>
    <w:rsid w:val="00484F1B"/>
    <w:rsid w:val="004852D0"/>
    <w:rsid w:val="00485E1A"/>
    <w:rsid w:val="00486669"/>
    <w:rsid w:val="00486C05"/>
    <w:rsid w:val="0048781C"/>
    <w:rsid w:val="00487C42"/>
    <w:rsid w:val="004907FB"/>
    <w:rsid w:val="004916A3"/>
    <w:rsid w:val="00491A7A"/>
    <w:rsid w:val="00491CC1"/>
    <w:rsid w:val="004926D1"/>
    <w:rsid w:val="0049299C"/>
    <w:rsid w:val="0049301E"/>
    <w:rsid w:val="0049373A"/>
    <w:rsid w:val="0049399F"/>
    <w:rsid w:val="00494A7A"/>
    <w:rsid w:val="004958B1"/>
    <w:rsid w:val="00495A6D"/>
    <w:rsid w:val="00496468"/>
    <w:rsid w:val="00497120"/>
    <w:rsid w:val="00497226"/>
    <w:rsid w:val="004979FC"/>
    <w:rsid w:val="00497CAC"/>
    <w:rsid w:val="00497EFA"/>
    <w:rsid w:val="004A07B9"/>
    <w:rsid w:val="004A1800"/>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1DFF"/>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51D5"/>
    <w:rsid w:val="004F625C"/>
    <w:rsid w:val="00500909"/>
    <w:rsid w:val="005014FB"/>
    <w:rsid w:val="00501697"/>
    <w:rsid w:val="005017E8"/>
    <w:rsid w:val="00502A21"/>
    <w:rsid w:val="00505E91"/>
    <w:rsid w:val="00506987"/>
    <w:rsid w:val="00507B51"/>
    <w:rsid w:val="00510AD1"/>
    <w:rsid w:val="00511B57"/>
    <w:rsid w:val="00511CB7"/>
    <w:rsid w:val="00512150"/>
    <w:rsid w:val="005130CF"/>
    <w:rsid w:val="00513178"/>
    <w:rsid w:val="00513BBF"/>
    <w:rsid w:val="00513C6B"/>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F9A"/>
    <w:rsid w:val="00533059"/>
    <w:rsid w:val="005330C2"/>
    <w:rsid w:val="00533185"/>
    <w:rsid w:val="0053425E"/>
    <w:rsid w:val="0053470D"/>
    <w:rsid w:val="00535082"/>
    <w:rsid w:val="0053517D"/>
    <w:rsid w:val="005369E6"/>
    <w:rsid w:val="00536CC3"/>
    <w:rsid w:val="00537A0A"/>
    <w:rsid w:val="00537A91"/>
    <w:rsid w:val="00540273"/>
    <w:rsid w:val="00540434"/>
    <w:rsid w:val="005406BE"/>
    <w:rsid w:val="00542E65"/>
    <w:rsid w:val="00542EBE"/>
    <w:rsid w:val="005437C9"/>
    <w:rsid w:val="00543906"/>
    <w:rsid w:val="00543D59"/>
    <w:rsid w:val="00544802"/>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79D6"/>
    <w:rsid w:val="005600CE"/>
    <w:rsid w:val="00560BC6"/>
    <w:rsid w:val="0056186E"/>
    <w:rsid w:val="0056196B"/>
    <w:rsid w:val="00563CA8"/>
    <w:rsid w:val="005641F8"/>
    <w:rsid w:val="00564F47"/>
    <w:rsid w:val="005654B8"/>
    <w:rsid w:val="00565E58"/>
    <w:rsid w:val="00566CA2"/>
    <w:rsid w:val="0056703E"/>
    <w:rsid w:val="00567280"/>
    <w:rsid w:val="005673E6"/>
    <w:rsid w:val="005702B3"/>
    <w:rsid w:val="00570ACB"/>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77DEA"/>
    <w:rsid w:val="005807BB"/>
    <w:rsid w:val="005822E6"/>
    <w:rsid w:val="00582F4D"/>
    <w:rsid w:val="0058376D"/>
    <w:rsid w:val="00584051"/>
    <w:rsid w:val="0058427C"/>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208"/>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E49"/>
    <w:rsid w:val="005D517E"/>
    <w:rsid w:val="005D51AC"/>
    <w:rsid w:val="005D5220"/>
    <w:rsid w:val="005D5853"/>
    <w:rsid w:val="005D68F9"/>
    <w:rsid w:val="005D6E16"/>
    <w:rsid w:val="005D744E"/>
    <w:rsid w:val="005D79A4"/>
    <w:rsid w:val="005E00D6"/>
    <w:rsid w:val="005E0104"/>
    <w:rsid w:val="005E06A4"/>
    <w:rsid w:val="005E1229"/>
    <w:rsid w:val="005E152C"/>
    <w:rsid w:val="005E1ECB"/>
    <w:rsid w:val="005E21CB"/>
    <w:rsid w:val="005E297E"/>
    <w:rsid w:val="005E29B8"/>
    <w:rsid w:val="005E3D7B"/>
    <w:rsid w:val="005E45EA"/>
    <w:rsid w:val="005E5849"/>
    <w:rsid w:val="005E6809"/>
    <w:rsid w:val="005E6BF7"/>
    <w:rsid w:val="005E71AF"/>
    <w:rsid w:val="005E7944"/>
    <w:rsid w:val="005E7FD1"/>
    <w:rsid w:val="005F1C3C"/>
    <w:rsid w:val="005F3C63"/>
    <w:rsid w:val="005F3FA6"/>
    <w:rsid w:val="005F41D6"/>
    <w:rsid w:val="005F575D"/>
    <w:rsid w:val="005F6710"/>
    <w:rsid w:val="005F6F40"/>
    <w:rsid w:val="005F6F9D"/>
    <w:rsid w:val="005F7157"/>
    <w:rsid w:val="006006B1"/>
    <w:rsid w:val="00600A04"/>
    <w:rsid w:val="00601C15"/>
    <w:rsid w:val="00602842"/>
    <w:rsid w:val="00602ECA"/>
    <w:rsid w:val="006032C2"/>
    <w:rsid w:val="006056E6"/>
    <w:rsid w:val="00605F40"/>
    <w:rsid w:val="00606C51"/>
    <w:rsid w:val="00606E89"/>
    <w:rsid w:val="006100E7"/>
    <w:rsid w:val="006108D4"/>
    <w:rsid w:val="00610D1E"/>
    <w:rsid w:val="00611239"/>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111F"/>
    <w:rsid w:val="006420A9"/>
    <w:rsid w:val="00642B77"/>
    <w:rsid w:val="00642C23"/>
    <w:rsid w:val="00642E5C"/>
    <w:rsid w:val="00644D5B"/>
    <w:rsid w:val="00644DD5"/>
    <w:rsid w:val="00645900"/>
    <w:rsid w:val="006460BC"/>
    <w:rsid w:val="0064729C"/>
    <w:rsid w:val="006474F0"/>
    <w:rsid w:val="006511D1"/>
    <w:rsid w:val="0065190A"/>
    <w:rsid w:val="00651F60"/>
    <w:rsid w:val="00652A1E"/>
    <w:rsid w:val="00652FD7"/>
    <w:rsid w:val="00653546"/>
    <w:rsid w:val="00653817"/>
    <w:rsid w:val="00653892"/>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08"/>
    <w:rsid w:val="006712A4"/>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DCC"/>
    <w:rsid w:val="00691BC8"/>
    <w:rsid w:val="006923D9"/>
    <w:rsid w:val="006926DE"/>
    <w:rsid w:val="00692D89"/>
    <w:rsid w:val="00692F61"/>
    <w:rsid w:val="00693AAD"/>
    <w:rsid w:val="00693BA5"/>
    <w:rsid w:val="00694829"/>
    <w:rsid w:val="00694B06"/>
    <w:rsid w:val="0069553E"/>
    <w:rsid w:val="00695689"/>
    <w:rsid w:val="0069637C"/>
    <w:rsid w:val="00697A0A"/>
    <w:rsid w:val="006A125C"/>
    <w:rsid w:val="006A1400"/>
    <w:rsid w:val="006A141B"/>
    <w:rsid w:val="006A1D83"/>
    <w:rsid w:val="006A1FF2"/>
    <w:rsid w:val="006A277E"/>
    <w:rsid w:val="006A3840"/>
    <w:rsid w:val="006A5689"/>
    <w:rsid w:val="006A6176"/>
    <w:rsid w:val="006A61B9"/>
    <w:rsid w:val="006A6531"/>
    <w:rsid w:val="006A6745"/>
    <w:rsid w:val="006A6A3A"/>
    <w:rsid w:val="006B019D"/>
    <w:rsid w:val="006B4359"/>
    <w:rsid w:val="006B5635"/>
    <w:rsid w:val="006B6057"/>
    <w:rsid w:val="006B7334"/>
    <w:rsid w:val="006C156B"/>
    <w:rsid w:val="006C19F7"/>
    <w:rsid w:val="006C24E3"/>
    <w:rsid w:val="006C32AB"/>
    <w:rsid w:val="006C59A6"/>
    <w:rsid w:val="006C5BF8"/>
    <w:rsid w:val="006C61DD"/>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98F"/>
    <w:rsid w:val="006E11FC"/>
    <w:rsid w:val="006E171E"/>
    <w:rsid w:val="006E2165"/>
    <w:rsid w:val="006E22EB"/>
    <w:rsid w:val="006E247A"/>
    <w:rsid w:val="006E2EA4"/>
    <w:rsid w:val="006E3040"/>
    <w:rsid w:val="006E323B"/>
    <w:rsid w:val="006E3C71"/>
    <w:rsid w:val="006E478E"/>
    <w:rsid w:val="006E4CA4"/>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20DE2"/>
    <w:rsid w:val="007216D3"/>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D95"/>
    <w:rsid w:val="00771FE2"/>
    <w:rsid w:val="0077314D"/>
    <w:rsid w:val="00773644"/>
    <w:rsid w:val="00773C1C"/>
    <w:rsid w:val="00774B3E"/>
    <w:rsid w:val="0077534C"/>
    <w:rsid w:val="007753F0"/>
    <w:rsid w:val="007758F0"/>
    <w:rsid w:val="00777569"/>
    <w:rsid w:val="007813A8"/>
    <w:rsid w:val="00782BF0"/>
    <w:rsid w:val="007831EF"/>
    <w:rsid w:val="00783AEF"/>
    <w:rsid w:val="00783DA7"/>
    <w:rsid w:val="00784BEF"/>
    <w:rsid w:val="00785A4E"/>
    <w:rsid w:val="00785EA8"/>
    <w:rsid w:val="00786E41"/>
    <w:rsid w:val="00787B77"/>
    <w:rsid w:val="0079043C"/>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3B21"/>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FDD"/>
    <w:rsid w:val="007E0604"/>
    <w:rsid w:val="007E0CE2"/>
    <w:rsid w:val="007E0D8B"/>
    <w:rsid w:val="007E15AA"/>
    <w:rsid w:val="007E2018"/>
    <w:rsid w:val="007E2B8C"/>
    <w:rsid w:val="007E4843"/>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44E4"/>
    <w:rsid w:val="00804AB1"/>
    <w:rsid w:val="00805541"/>
    <w:rsid w:val="00806066"/>
    <w:rsid w:val="00806232"/>
    <w:rsid w:val="008067B3"/>
    <w:rsid w:val="00806AA5"/>
    <w:rsid w:val="008071F4"/>
    <w:rsid w:val="008101BD"/>
    <w:rsid w:val="00810EB1"/>
    <w:rsid w:val="008118A2"/>
    <w:rsid w:val="00811F09"/>
    <w:rsid w:val="0081243E"/>
    <w:rsid w:val="00812C70"/>
    <w:rsid w:val="0081367A"/>
    <w:rsid w:val="00813BFB"/>
    <w:rsid w:val="008146E3"/>
    <w:rsid w:val="00814C0C"/>
    <w:rsid w:val="00814ED7"/>
    <w:rsid w:val="00815FFC"/>
    <w:rsid w:val="008168A6"/>
    <w:rsid w:val="00816D6A"/>
    <w:rsid w:val="0081742E"/>
    <w:rsid w:val="00817535"/>
    <w:rsid w:val="008176F0"/>
    <w:rsid w:val="0082041E"/>
    <w:rsid w:val="008207D8"/>
    <w:rsid w:val="00821BFB"/>
    <w:rsid w:val="0082285B"/>
    <w:rsid w:val="008235F9"/>
    <w:rsid w:val="00823F7D"/>
    <w:rsid w:val="00824F08"/>
    <w:rsid w:val="00825ABB"/>
    <w:rsid w:val="00825D61"/>
    <w:rsid w:val="0082640F"/>
    <w:rsid w:val="0082647D"/>
    <w:rsid w:val="008275D6"/>
    <w:rsid w:val="00827781"/>
    <w:rsid w:val="00827B16"/>
    <w:rsid w:val="00827CE0"/>
    <w:rsid w:val="00830E25"/>
    <w:rsid w:val="0083228C"/>
    <w:rsid w:val="00832AF9"/>
    <w:rsid w:val="00832F37"/>
    <w:rsid w:val="008347E1"/>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602B1"/>
    <w:rsid w:val="00860476"/>
    <w:rsid w:val="00860731"/>
    <w:rsid w:val="0086097D"/>
    <w:rsid w:val="008616E7"/>
    <w:rsid w:val="00861CFE"/>
    <w:rsid w:val="0086322A"/>
    <w:rsid w:val="00863360"/>
    <w:rsid w:val="00863820"/>
    <w:rsid w:val="0086630B"/>
    <w:rsid w:val="00867BD3"/>
    <w:rsid w:val="008703C2"/>
    <w:rsid w:val="008706B6"/>
    <w:rsid w:val="00870F85"/>
    <w:rsid w:val="00871A21"/>
    <w:rsid w:val="008730B5"/>
    <w:rsid w:val="008733A3"/>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34C"/>
    <w:rsid w:val="008A3414"/>
    <w:rsid w:val="008A347C"/>
    <w:rsid w:val="008A3AED"/>
    <w:rsid w:val="008A3B00"/>
    <w:rsid w:val="008A4A9B"/>
    <w:rsid w:val="008A6931"/>
    <w:rsid w:val="008A6B77"/>
    <w:rsid w:val="008A71EF"/>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7DD"/>
    <w:rsid w:val="008C30CA"/>
    <w:rsid w:val="008C440A"/>
    <w:rsid w:val="008C51DC"/>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3950"/>
    <w:rsid w:val="00924AF4"/>
    <w:rsid w:val="00925BEE"/>
    <w:rsid w:val="009264AC"/>
    <w:rsid w:val="00927069"/>
    <w:rsid w:val="009273A8"/>
    <w:rsid w:val="009273B5"/>
    <w:rsid w:val="00930CE2"/>
    <w:rsid w:val="00932510"/>
    <w:rsid w:val="009330AE"/>
    <w:rsid w:val="009345EE"/>
    <w:rsid w:val="009346B4"/>
    <w:rsid w:val="00940C73"/>
    <w:rsid w:val="00940DB9"/>
    <w:rsid w:val="00941A59"/>
    <w:rsid w:val="00941C8F"/>
    <w:rsid w:val="0094209B"/>
    <w:rsid w:val="009423C8"/>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34D"/>
    <w:rsid w:val="009843D0"/>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2A5"/>
    <w:rsid w:val="009913C0"/>
    <w:rsid w:val="009922EC"/>
    <w:rsid w:val="009924B2"/>
    <w:rsid w:val="00992787"/>
    <w:rsid w:val="00992837"/>
    <w:rsid w:val="009929E9"/>
    <w:rsid w:val="00992BB2"/>
    <w:rsid w:val="00993418"/>
    <w:rsid w:val="00993456"/>
    <w:rsid w:val="00993796"/>
    <w:rsid w:val="00993806"/>
    <w:rsid w:val="00993D41"/>
    <w:rsid w:val="00994774"/>
    <w:rsid w:val="0099625B"/>
    <w:rsid w:val="00996D85"/>
    <w:rsid w:val="00997177"/>
    <w:rsid w:val="00997912"/>
    <w:rsid w:val="00997956"/>
    <w:rsid w:val="00997C1B"/>
    <w:rsid w:val="00997C6F"/>
    <w:rsid w:val="009A0EAC"/>
    <w:rsid w:val="009A2A5D"/>
    <w:rsid w:val="009A2AEC"/>
    <w:rsid w:val="009A4EFA"/>
    <w:rsid w:val="009A7384"/>
    <w:rsid w:val="009B2C8A"/>
    <w:rsid w:val="009B3C6A"/>
    <w:rsid w:val="009B53BE"/>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D7D6A"/>
    <w:rsid w:val="009E00EC"/>
    <w:rsid w:val="009E040F"/>
    <w:rsid w:val="009E0FA2"/>
    <w:rsid w:val="009E1001"/>
    <w:rsid w:val="009E1054"/>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2E6D"/>
    <w:rsid w:val="009F357D"/>
    <w:rsid w:val="009F3A2F"/>
    <w:rsid w:val="009F45EF"/>
    <w:rsid w:val="009F4C63"/>
    <w:rsid w:val="009F51A3"/>
    <w:rsid w:val="009F5401"/>
    <w:rsid w:val="009F61BC"/>
    <w:rsid w:val="009F6FDE"/>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5456"/>
    <w:rsid w:val="00A15864"/>
    <w:rsid w:val="00A15EF0"/>
    <w:rsid w:val="00A162FC"/>
    <w:rsid w:val="00A165D8"/>
    <w:rsid w:val="00A16F3C"/>
    <w:rsid w:val="00A17A6E"/>
    <w:rsid w:val="00A20872"/>
    <w:rsid w:val="00A209AB"/>
    <w:rsid w:val="00A20E09"/>
    <w:rsid w:val="00A224AA"/>
    <w:rsid w:val="00A22623"/>
    <w:rsid w:val="00A22B7B"/>
    <w:rsid w:val="00A230BB"/>
    <w:rsid w:val="00A23267"/>
    <w:rsid w:val="00A237BE"/>
    <w:rsid w:val="00A25FA8"/>
    <w:rsid w:val="00A261A1"/>
    <w:rsid w:val="00A265D4"/>
    <w:rsid w:val="00A27A7B"/>
    <w:rsid w:val="00A3039F"/>
    <w:rsid w:val="00A30639"/>
    <w:rsid w:val="00A32090"/>
    <w:rsid w:val="00A32F30"/>
    <w:rsid w:val="00A33312"/>
    <w:rsid w:val="00A3375C"/>
    <w:rsid w:val="00A33DBE"/>
    <w:rsid w:val="00A3527A"/>
    <w:rsid w:val="00A35F3A"/>
    <w:rsid w:val="00A365AE"/>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EE"/>
    <w:rsid w:val="00A55EA7"/>
    <w:rsid w:val="00A571ED"/>
    <w:rsid w:val="00A578F8"/>
    <w:rsid w:val="00A57AB0"/>
    <w:rsid w:val="00A57BA6"/>
    <w:rsid w:val="00A6096D"/>
    <w:rsid w:val="00A61C17"/>
    <w:rsid w:val="00A62934"/>
    <w:rsid w:val="00A62A00"/>
    <w:rsid w:val="00A63E74"/>
    <w:rsid w:val="00A641BD"/>
    <w:rsid w:val="00A6499E"/>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19EB"/>
    <w:rsid w:val="00A830A4"/>
    <w:rsid w:val="00A8321D"/>
    <w:rsid w:val="00A843A1"/>
    <w:rsid w:val="00A843BF"/>
    <w:rsid w:val="00A846ED"/>
    <w:rsid w:val="00A855F8"/>
    <w:rsid w:val="00A85664"/>
    <w:rsid w:val="00A85CA2"/>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106"/>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5910"/>
    <w:rsid w:val="00AA688B"/>
    <w:rsid w:val="00AA6B7A"/>
    <w:rsid w:val="00AA6F63"/>
    <w:rsid w:val="00AB08D1"/>
    <w:rsid w:val="00AB0EEC"/>
    <w:rsid w:val="00AB2093"/>
    <w:rsid w:val="00AB3E38"/>
    <w:rsid w:val="00AB43FD"/>
    <w:rsid w:val="00AB55F5"/>
    <w:rsid w:val="00AB5AA2"/>
    <w:rsid w:val="00AB5AE2"/>
    <w:rsid w:val="00AB5BD3"/>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27AC"/>
    <w:rsid w:val="00AD3835"/>
    <w:rsid w:val="00AD4339"/>
    <w:rsid w:val="00AD4A76"/>
    <w:rsid w:val="00AD5854"/>
    <w:rsid w:val="00AD5936"/>
    <w:rsid w:val="00AD5FB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B004A9"/>
    <w:rsid w:val="00B00943"/>
    <w:rsid w:val="00B00BC0"/>
    <w:rsid w:val="00B00BF1"/>
    <w:rsid w:val="00B014EA"/>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9E5"/>
    <w:rsid w:val="00B2553B"/>
    <w:rsid w:val="00B25576"/>
    <w:rsid w:val="00B2596D"/>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7E2"/>
    <w:rsid w:val="00B76BB1"/>
    <w:rsid w:val="00B77050"/>
    <w:rsid w:val="00B8003A"/>
    <w:rsid w:val="00B80041"/>
    <w:rsid w:val="00B80D13"/>
    <w:rsid w:val="00B810D7"/>
    <w:rsid w:val="00B813A8"/>
    <w:rsid w:val="00B820EB"/>
    <w:rsid w:val="00B8246D"/>
    <w:rsid w:val="00B82518"/>
    <w:rsid w:val="00B8345C"/>
    <w:rsid w:val="00B8353A"/>
    <w:rsid w:val="00B837DB"/>
    <w:rsid w:val="00B849C9"/>
    <w:rsid w:val="00B84A7B"/>
    <w:rsid w:val="00B84CC5"/>
    <w:rsid w:val="00B84F2D"/>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7C2"/>
    <w:rsid w:val="00C119ED"/>
    <w:rsid w:val="00C12046"/>
    <w:rsid w:val="00C135C8"/>
    <w:rsid w:val="00C152A9"/>
    <w:rsid w:val="00C15662"/>
    <w:rsid w:val="00C15E3C"/>
    <w:rsid w:val="00C168FC"/>
    <w:rsid w:val="00C204A9"/>
    <w:rsid w:val="00C20C6A"/>
    <w:rsid w:val="00C245EA"/>
    <w:rsid w:val="00C246F1"/>
    <w:rsid w:val="00C259A1"/>
    <w:rsid w:val="00C25B06"/>
    <w:rsid w:val="00C266E6"/>
    <w:rsid w:val="00C275C4"/>
    <w:rsid w:val="00C27F0E"/>
    <w:rsid w:val="00C27FFC"/>
    <w:rsid w:val="00C30131"/>
    <w:rsid w:val="00C307AA"/>
    <w:rsid w:val="00C30CED"/>
    <w:rsid w:val="00C327B7"/>
    <w:rsid w:val="00C3283F"/>
    <w:rsid w:val="00C33122"/>
    <w:rsid w:val="00C3368E"/>
    <w:rsid w:val="00C3383B"/>
    <w:rsid w:val="00C33A6D"/>
    <w:rsid w:val="00C349C9"/>
    <w:rsid w:val="00C35F20"/>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5B85"/>
    <w:rsid w:val="00C56BE8"/>
    <w:rsid w:val="00C57515"/>
    <w:rsid w:val="00C5791B"/>
    <w:rsid w:val="00C57E70"/>
    <w:rsid w:val="00C6120F"/>
    <w:rsid w:val="00C62463"/>
    <w:rsid w:val="00C63961"/>
    <w:rsid w:val="00C63B21"/>
    <w:rsid w:val="00C64218"/>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FC6"/>
    <w:rsid w:val="00C85242"/>
    <w:rsid w:val="00C85BD1"/>
    <w:rsid w:val="00C85E7D"/>
    <w:rsid w:val="00C86BB1"/>
    <w:rsid w:val="00C86C41"/>
    <w:rsid w:val="00C871F0"/>
    <w:rsid w:val="00C8722C"/>
    <w:rsid w:val="00C90045"/>
    <w:rsid w:val="00C907CB"/>
    <w:rsid w:val="00C90BA7"/>
    <w:rsid w:val="00C91D07"/>
    <w:rsid w:val="00C91F82"/>
    <w:rsid w:val="00C921BD"/>
    <w:rsid w:val="00C92AE6"/>
    <w:rsid w:val="00C934EB"/>
    <w:rsid w:val="00C94CF6"/>
    <w:rsid w:val="00C95563"/>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D12BF"/>
    <w:rsid w:val="00CD17AB"/>
    <w:rsid w:val="00CD184E"/>
    <w:rsid w:val="00CD1E0E"/>
    <w:rsid w:val="00CD2078"/>
    <w:rsid w:val="00CD228A"/>
    <w:rsid w:val="00CD25C7"/>
    <w:rsid w:val="00CD419A"/>
    <w:rsid w:val="00CD46E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62D0"/>
    <w:rsid w:val="00CF7664"/>
    <w:rsid w:val="00D00058"/>
    <w:rsid w:val="00D029C8"/>
    <w:rsid w:val="00D02E51"/>
    <w:rsid w:val="00D03925"/>
    <w:rsid w:val="00D04595"/>
    <w:rsid w:val="00D05A9A"/>
    <w:rsid w:val="00D07893"/>
    <w:rsid w:val="00D0797E"/>
    <w:rsid w:val="00D11F40"/>
    <w:rsid w:val="00D127EF"/>
    <w:rsid w:val="00D139E9"/>
    <w:rsid w:val="00D13FCD"/>
    <w:rsid w:val="00D13FDD"/>
    <w:rsid w:val="00D14B2E"/>
    <w:rsid w:val="00D14F48"/>
    <w:rsid w:val="00D15109"/>
    <w:rsid w:val="00D15D24"/>
    <w:rsid w:val="00D16329"/>
    <w:rsid w:val="00D17322"/>
    <w:rsid w:val="00D1772C"/>
    <w:rsid w:val="00D20196"/>
    <w:rsid w:val="00D213FF"/>
    <w:rsid w:val="00D223E2"/>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1B1"/>
    <w:rsid w:val="00D333BE"/>
    <w:rsid w:val="00D341D2"/>
    <w:rsid w:val="00D354FD"/>
    <w:rsid w:val="00D36575"/>
    <w:rsid w:val="00D377DD"/>
    <w:rsid w:val="00D37A3B"/>
    <w:rsid w:val="00D37C4B"/>
    <w:rsid w:val="00D40BF8"/>
    <w:rsid w:val="00D41883"/>
    <w:rsid w:val="00D41C01"/>
    <w:rsid w:val="00D41DBA"/>
    <w:rsid w:val="00D41E3A"/>
    <w:rsid w:val="00D42559"/>
    <w:rsid w:val="00D43023"/>
    <w:rsid w:val="00D44599"/>
    <w:rsid w:val="00D45555"/>
    <w:rsid w:val="00D45A24"/>
    <w:rsid w:val="00D466D6"/>
    <w:rsid w:val="00D51874"/>
    <w:rsid w:val="00D52D6C"/>
    <w:rsid w:val="00D5407D"/>
    <w:rsid w:val="00D540C1"/>
    <w:rsid w:val="00D545E5"/>
    <w:rsid w:val="00D550D0"/>
    <w:rsid w:val="00D55DA9"/>
    <w:rsid w:val="00D56AA5"/>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609"/>
    <w:rsid w:val="00D817DF"/>
    <w:rsid w:val="00D8187F"/>
    <w:rsid w:val="00D81FD5"/>
    <w:rsid w:val="00D829C2"/>
    <w:rsid w:val="00D83723"/>
    <w:rsid w:val="00D844A8"/>
    <w:rsid w:val="00D84B05"/>
    <w:rsid w:val="00D85D76"/>
    <w:rsid w:val="00D864D1"/>
    <w:rsid w:val="00D86868"/>
    <w:rsid w:val="00D90B42"/>
    <w:rsid w:val="00D90B9D"/>
    <w:rsid w:val="00D90F31"/>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B77"/>
    <w:rsid w:val="00DB1D5B"/>
    <w:rsid w:val="00DB2ED7"/>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5E6F"/>
    <w:rsid w:val="00DC6290"/>
    <w:rsid w:val="00DC6F2F"/>
    <w:rsid w:val="00DC7185"/>
    <w:rsid w:val="00DC7556"/>
    <w:rsid w:val="00DC7AB4"/>
    <w:rsid w:val="00DC7D7F"/>
    <w:rsid w:val="00DD0D13"/>
    <w:rsid w:val="00DD0E6E"/>
    <w:rsid w:val="00DD1D0B"/>
    <w:rsid w:val="00DD2ABE"/>
    <w:rsid w:val="00DD32F8"/>
    <w:rsid w:val="00DD34EE"/>
    <w:rsid w:val="00DD3E7A"/>
    <w:rsid w:val="00DD606C"/>
    <w:rsid w:val="00DD61F7"/>
    <w:rsid w:val="00DD66D5"/>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3DC"/>
    <w:rsid w:val="00DE5975"/>
    <w:rsid w:val="00DE5C6E"/>
    <w:rsid w:val="00DE6567"/>
    <w:rsid w:val="00DE755B"/>
    <w:rsid w:val="00DF0A76"/>
    <w:rsid w:val="00DF13BE"/>
    <w:rsid w:val="00DF25BE"/>
    <w:rsid w:val="00DF2BF9"/>
    <w:rsid w:val="00DF37D1"/>
    <w:rsid w:val="00DF3E4D"/>
    <w:rsid w:val="00DF5A53"/>
    <w:rsid w:val="00DF6580"/>
    <w:rsid w:val="00DF76F7"/>
    <w:rsid w:val="00DF78DB"/>
    <w:rsid w:val="00E01727"/>
    <w:rsid w:val="00E0245D"/>
    <w:rsid w:val="00E02FC4"/>
    <w:rsid w:val="00E03384"/>
    <w:rsid w:val="00E04912"/>
    <w:rsid w:val="00E04B60"/>
    <w:rsid w:val="00E057E0"/>
    <w:rsid w:val="00E059FB"/>
    <w:rsid w:val="00E05ABB"/>
    <w:rsid w:val="00E1027E"/>
    <w:rsid w:val="00E107A3"/>
    <w:rsid w:val="00E10DD6"/>
    <w:rsid w:val="00E11B8F"/>
    <w:rsid w:val="00E11CBE"/>
    <w:rsid w:val="00E12419"/>
    <w:rsid w:val="00E126E0"/>
    <w:rsid w:val="00E13264"/>
    <w:rsid w:val="00E136E6"/>
    <w:rsid w:val="00E141C6"/>
    <w:rsid w:val="00E142EA"/>
    <w:rsid w:val="00E14397"/>
    <w:rsid w:val="00E14816"/>
    <w:rsid w:val="00E14E1A"/>
    <w:rsid w:val="00E15C96"/>
    <w:rsid w:val="00E15D16"/>
    <w:rsid w:val="00E1728C"/>
    <w:rsid w:val="00E1797D"/>
    <w:rsid w:val="00E207A4"/>
    <w:rsid w:val="00E2164A"/>
    <w:rsid w:val="00E21F3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56C"/>
    <w:rsid w:val="00E36AF0"/>
    <w:rsid w:val="00E37F83"/>
    <w:rsid w:val="00E40192"/>
    <w:rsid w:val="00E4032E"/>
    <w:rsid w:val="00E41542"/>
    <w:rsid w:val="00E415A4"/>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648"/>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97492"/>
    <w:rsid w:val="00EA0EE3"/>
    <w:rsid w:val="00EA0F80"/>
    <w:rsid w:val="00EA3B1C"/>
    <w:rsid w:val="00EA499F"/>
    <w:rsid w:val="00EA6B69"/>
    <w:rsid w:val="00EB1476"/>
    <w:rsid w:val="00EB1479"/>
    <w:rsid w:val="00EB16FF"/>
    <w:rsid w:val="00EB2A07"/>
    <w:rsid w:val="00EB4FAC"/>
    <w:rsid w:val="00EB51D1"/>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652E"/>
    <w:rsid w:val="00ED6B44"/>
    <w:rsid w:val="00ED75DF"/>
    <w:rsid w:val="00EE0136"/>
    <w:rsid w:val="00EE0A08"/>
    <w:rsid w:val="00EE15CD"/>
    <w:rsid w:val="00EE1A8E"/>
    <w:rsid w:val="00EE2933"/>
    <w:rsid w:val="00EE5535"/>
    <w:rsid w:val="00EE76C9"/>
    <w:rsid w:val="00EF0D2C"/>
    <w:rsid w:val="00EF23D4"/>
    <w:rsid w:val="00EF37BB"/>
    <w:rsid w:val="00EF3DD7"/>
    <w:rsid w:val="00EF49A8"/>
    <w:rsid w:val="00EF58C8"/>
    <w:rsid w:val="00EF60CE"/>
    <w:rsid w:val="00EF60F8"/>
    <w:rsid w:val="00EF69B1"/>
    <w:rsid w:val="00EF7772"/>
    <w:rsid w:val="00F0094B"/>
    <w:rsid w:val="00F014CE"/>
    <w:rsid w:val="00F056EC"/>
    <w:rsid w:val="00F05718"/>
    <w:rsid w:val="00F05809"/>
    <w:rsid w:val="00F05FA8"/>
    <w:rsid w:val="00F0654F"/>
    <w:rsid w:val="00F0680C"/>
    <w:rsid w:val="00F06C7F"/>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0D65"/>
    <w:rsid w:val="00F213AE"/>
    <w:rsid w:val="00F221BC"/>
    <w:rsid w:val="00F22414"/>
    <w:rsid w:val="00F22F79"/>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29E"/>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5BEC"/>
    <w:rsid w:val="00F96DD4"/>
    <w:rsid w:val="00F97085"/>
    <w:rsid w:val="00F97792"/>
    <w:rsid w:val="00FA1B17"/>
    <w:rsid w:val="00FA26E1"/>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5E6A"/>
    <w:rsid w:val="00FB6269"/>
    <w:rsid w:val="00FB644D"/>
    <w:rsid w:val="00FB66F1"/>
    <w:rsid w:val="00FB71B9"/>
    <w:rsid w:val="00FB731E"/>
    <w:rsid w:val="00FC02A7"/>
    <w:rsid w:val="00FC0688"/>
    <w:rsid w:val="00FC206D"/>
    <w:rsid w:val="00FC2415"/>
    <w:rsid w:val="00FC31B9"/>
    <w:rsid w:val="00FC37EF"/>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3E9F"/>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61DB"/>
    <w:rsid w:val="00FF654B"/>
    <w:rsid w:val="00FF66A2"/>
    <w:rsid w:val="00FF6CD5"/>
    <w:rsid w:val="00FF7204"/>
    <w:rsid w:val="00FF726E"/>
    <w:rsid w:val="011C44BE"/>
    <w:rsid w:val="01431A4A"/>
    <w:rsid w:val="015B4FE6"/>
    <w:rsid w:val="01796AF6"/>
    <w:rsid w:val="017D66E9"/>
    <w:rsid w:val="018A58CB"/>
    <w:rsid w:val="019B57A0"/>
    <w:rsid w:val="01A06E9D"/>
    <w:rsid w:val="01A3073B"/>
    <w:rsid w:val="01A324E9"/>
    <w:rsid w:val="01D134FA"/>
    <w:rsid w:val="01D63F6D"/>
    <w:rsid w:val="01D6466C"/>
    <w:rsid w:val="01DF58FF"/>
    <w:rsid w:val="01FA65AD"/>
    <w:rsid w:val="021533E7"/>
    <w:rsid w:val="024C0DD3"/>
    <w:rsid w:val="024D4A7D"/>
    <w:rsid w:val="027F6AB2"/>
    <w:rsid w:val="02B26E88"/>
    <w:rsid w:val="02CB7F49"/>
    <w:rsid w:val="02E146F9"/>
    <w:rsid w:val="02E334E5"/>
    <w:rsid w:val="02E80AFB"/>
    <w:rsid w:val="02E903CF"/>
    <w:rsid w:val="02ED4364"/>
    <w:rsid w:val="030671D3"/>
    <w:rsid w:val="030B2A3C"/>
    <w:rsid w:val="03103BAE"/>
    <w:rsid w:val="031F181B"/>
    <w:rsid w:val="032A4C70"/>
    <w:rsid w:val="035D5C1E"/>
    <w:rsid w:val="0361440A"/>
    <w:rsid w:val="03630182"/>
    <w:rsid w:val="0374413D"/>
    <w:rsid w:val="03920A67"/>
    <w:rsid w:val="03CF41F6"/>
    <w:rsid w:val="03D130C9"/>
    <w:rsid w:val="03D1333D"/>
    <w:rsid w:val="03DE3CAC"/>
    <w:rsid w:val="03F80913"/>
    <w:rsid w:val="040A2CF3"/>
    <w:rsid w:val="041B6CAE"/>
    <w:rsid w:val="04446205"/>
    <w:rsid w:val="044B7594"/>
    <w:rsid w:val="044F3EF5"/>
    <w:rsid w:val="046046C1"/>
    <w:rsid w:val="04650E5C"/>
    <w:rsid w:val="046B19E4"/>
    <w:rsid w:val="04820ADC"/>
    <w:rsid w:val="04BA2023"/>
    <w:rsid w:val="04DC52CD"/>
    <w:rsid w:val="04E42BB1"/>
    <w:rsid w:val="04F4568F"/>
    <w:rsid w:val="04F75026"/>
    <w:rsid w:val="04FA2D68"/>
    <w:rsid w:val="04FA4B16"/>
    <w:rsid w:val="04FC3176"/>
    <w:rsid w:val="050B6D23"/>
    <w:rsid w:val="05177476"/>
    <w:rsid w:val="051E2BF0"/>
    <w:rsid w:val="053C512E"/>
    <w:rsid w:val="053F077B"/>
    <w:rsid w:val="05820D5B"/>
    <w:rsid w:val="05BE78F1"/>
    <w:rsid w:val="05C018BB"/>
    <w:rsid w:val="05C25634"/>
    <w:rsid w:val="05CD3EB3"/>
    <w:rsid w:val="05D45367"/>
    <w:rsid w:val="05E27A84"/>
    <w:rsid w:val="05E30006"/>
    <w:rsid w:val="05E530D0"/>
    <w:rsid w:val="060866BA"/>
    <w:rsid w:val="061E22CB"/>
    <w:rsid w:val="06205A83"/>
    <w:rsid w:val="06284D83"/>
    <w:rsid w:val="06585F98"/>
    <w:rsid w:val="065C36FD"/>
    <w:rsid w:val="06725B16"/>
    <w:rsid w:val="067B2987"/>
    <w:rsid w:val="068154EF"/>
    <w:rsid w:val="06872D56"/>
    <w:rsid w:val="06913258"/>
    <w:rsid w:val="06963510"/>
    <w:rsid w:val="069F7723"/>
    <w:rsid w:val="06A07873"/>
    <w:rsid w:val="06AA444A"/>
    <w:rsid w:val="06C254FC"/>
    <w:rsid w:val="06D66EBD"/>
    <w:rsid w:val="06E46DD6"/>
    <w:rsid w:val="06F2019A"/>
    <w:rsid w:val="06FD5623"/>
    <w:rsid w:val="07043A2A"/>
    <w:rsid w:val="071F1BF8"/>
    <w:rsid w:val="07320597"/>
    <w:rsid w:val="074402CA"/>
    <w:rsid w:val="07484826"/>
    <w:rsid w:val="074B228B"/>
    <w:rsid w:val="07504EC1"/>
    <w:rsid w:val="07533B82"/>
    <w:rsid w:val="07603356"/>
    <w:rsid w:val="076A5F83"/>
    <w:rsid w:val="077F1CF5"/>
    <w:rsid w:val="07B40FAC"/>
    <w:rsid w:val="07BC2D8E"/>
    <w:rsid w:val="07BC5A31"/>
    <w:rsid w:val="07CC09EB"/>
    <w:rsid w:val="07D478A0"/>
    <w:rsid w:val="0802440D"/>
    <w:rsid w:val="081D2FF5"/>
    <w:rsid w:val="0822151D"/>
    <w:rsid w:val="08626C5A"/>
    <w:rsid w:val="088210AA"/>
    <w:rsid w:val="08892439"/>
    <w:rsid w:val="088C017B"/>
    <w:rsid w:val="088E3EF3"/>
    <w:rsid w:val="08935065"/>
    <w:rsid w:val="08B6248C"/>
    <w:rsid w:val="08C0550B"/>
    <w:rsid w:val="08E27D9B"/>
    <w:rsid w:val="08E41D65"/>
    <w:rsid w:val="08FC70AE"/>
    <w:rsid w:val="08FF6B9F"/>
    <w:rsid w:val="090002DA"/>
    <w:rsid w:val="090827CD"/>
    <w:rsid w:val="09095327"/>
    <w:rsid w:val="09246605"/>
    <w:rsid w:val="094B5940"/>
    <w:rsid w:val="09540C99"/>
    <w:rsid w:val="09615163"/>
    <w:rsid w:val="09641372"/>
    <w:rsid w:val="09736C45"/>
    <w:rsid w:val="09774987"/>
    <w:rsid w:val="09B96D4E"/>
    <w:rsid w:val="09CA0F5B"/>
    <w:rsid w:val="09D74EF0"/>
    <w:rsid w:val="09E3201C"/>
    <w:rsid w:val="09FD1E6C"/>
    <w:rsid w:val="0A014251"/>
    <w:rsid w:val="0A0B50CF"/>
    <w:rsid w:val="0A0E1031"/>
    <w:rsid w:val="0A0F2E11"/>
    <w:rsid w:val="0A0F696E"/>
    <w:rsid w:val="0A682522"/>
    <w:rsid w:val="0A683ED4"/>
    <w:rsid w:val="0A6848D8"/>
    <w:rsid w:val="0A6F565E"/>
    <w:rsid w:val="0A742C74"/>
    <w:rsid w:val="0A7C5EE5"/>
    <w:rsid w:val="0ABD286D"/>
    <w:rsid w:val="0AC41E4E"/>
    <w:rsid w:val="0AD100C7"/>
    <w:rsid w:val="0ADD6A6C"/>
    <w:rsid w:val="0AF03373"/>
    <w:rsid w:val="0B057D70"/>
    <w:rsid w:val="0BAF665A"/>
    <w:rsid w:val="0BB63CDC"/>
    <w:rsid w:val="0BEB340A"/>
    <w:rsid w:val="0BED2CDE"/>
    <w:rsid w:val="0C1A784C"/>
    <w:rsid w:val="0C1B09F4"/>
    <w:rsid w:val="0C1D11D3"/>
    <w:rsid w:val="0C405504"/>
    <w:rsid w:val="0C60563C"/>
    <w:rsid w:val="0C686809"/>
    <w:rsid w:val="0C6F4365"/>
    <w:rsid w:val="0C7117A3"/>
    <w:rsid w:val="0C7B02EA"/>
    <w:rsid w:val="0C923886"/>
    <w:rsid w:val="0C965124"/>
    <w:rsid w:val="0CF01B55"/>
    <w:rsid w:val="0CF647D3"/>
    <w:rsid w:val="0D0A78C0"/>
    <w:rsid w:val="0D0C188A"/>
    <w:rsid w:val="0D0F3693"/>
    <w:rsid w:val="0D1129FD"/>
    <w:rsid w:val="0D132C19"/>
    <w:rsid w:val="0D305579"/>
    <w:rsid w:val="0D4252AC"/>
    <w:rsid w:val="0D4947F0"/>
    <w:rsid w:val="0D613984"/>
    <w:rsid w:val="0D6C574D"/>
    <w:rsid w:val="0D6E7004"/>
    <w:rsid w:val="0D883FB7"/>
    <w:rsid w:val="0D8B0A01"/>
    <w:rsid w:val="0DE56FDE"/>
    <w:rsid w:val="0DEF6259"/>
    <w:rsid w:val="0DF447F8"/>
    <w:rsid w:val="0DF90060"/>
    <w:rsid w:val="0E0D58BA"/>
    <w:rsid w:val="0E285928"/>
    <w:rsid w:val="0E2A1FC8"/>
    <w:rsid w:val="0E2D7D0A"/>
    <w:rsid w:val="0E552DBD"/>
    <w:rsid w:val="0E976843"/>
    <w:rsid w:val="0EA578A0"/>
    <w:rsid w:val="0EA83079"/>
    <w:rsid w:val="0F1A1917"/>
    <w:rsid w:val="0F203F97"/>
    <w:rsid w:val="0F3330FE"/>
    <w:rsid w:val="0F3B6457"/>
    <w:rsid w:val="0F40581B"/>
    <w:rsid w:val="0F4075C9"/>
    <w:rsid w:val="0F515C7A"/>
    <w:rsid w:val="0F517A28"/>
    <w:rsid w:val="0F535F76"/>
    <w:rsid w:val="0F5A0DB5"/>
    <w:rsid w:val="0F6B6D3C"/>
    <w:rsid w:val="0F7F661A"/>
    <w:rsid w:val="0F8F4956"/>
    <w:rsid w:val="0F9F0794"/>
    <w:rsid w:val="0FA31024"/>
    <w:rsid w:val="0FBD6E6C"/>
    <w:rsid w:val="0FDE19F7"/>
    <w:rsid w:val="0FF46D31"/>
    <w:rsid w:val="10044A9B"/>
    <w:rsid w:val="1019169C"/>
    <w:rsid w:val="101A42BE"/>
    <w:rsid w:val="101C0036"/>
    <w:rsid w:val="1021387D"/>
    <w:rsid w:val="102D02A1"/>
    <w:rsid w:val="102D3FF1"/>
    <w:rsid w:val="102E38C6"/>
    <w:rsid w:val="103E1D5B"/>
    <w:rsid w:val="10675755"/>
    <w:rsid w:val="1077526D"/>
    <w:rsid w:val="108160EB"/>
    <w:rsid w:val="109E740F"/>
    <w:rsid w:val="10AB4F16"/>
    <w:rsid w:val="10AC760C"/>
    <w:rsid w:val="10BB784F"/>
    <w:rsid w:val="10C83D1A"/>
    <w:rsid w:val="10CD30DE"/>
    <w:rsid w:val="10DD77C5"/>
    <w:rsid w:val="10E723F2"/>
    <w:rsid w:val="10EC0872"/>
    <w:rsid w:val="111451B1"/>
    <w:rsid w:val="111F096E"/>
    <w:rsid w:val="11423ACC"/>
    <w:rsid w:val="1144495B"/>
    <w:rsid w:val="11515ABE"/>
    <w:rsid w:val="115F45E5"/>
    <w:rsid w:val="116E48C1"/>
    <w:rsid w:val="116F4196"/>
    <w:rsid w:val="119500A0"/>
    <w:rsid w:val="11D34725"/>
    <w:rsid w:val="11D566EF"/>
    <w:rsid w:val="11D861DF"/>
    <w:rsid w:val="12107F7D"/>
    <w:rsid w:val="12266F4A"/>
    <w:rsid w:val="125F51BD"/>
    <w:rsid w:val="126B2BAF"/>
    <w:rsid w:val="126D1954"/>
    <w:rsid w:val="12744159"/>
    <w:rsid w:val="127A1044"/>
    <w:rsid w:val="12A146D5"/>
    <w:rsid w:val="12A85BB1"/>
    <w:rsid w:val="12B10F0A"/>
    <w:rsid w:val="12C50511"/>
    <w:rsid w:val="12E360E4"/>
    <w:rsid w:val="12E60488"/>
    <w:rsid w:val="12E62106"/>
    <w:rsid w:val="12F901BB"/>
    <w:rsid w:val="13182D37"/>
    <w:rsid w:val="13196AAF"/>
    <w:rsid w:val="13373653"/>
    <w:rsid w:val="133D454B"/>
    <w:rsid w:val="133E2072"/>
    <w:rsid w:val="135950FD"/>
    <w:rsid w:val="13616DDA"/>
    <w:rsid w:val="137B32C6"/>
    <w:rsid w:val="13826402"/>
    <w:rsid w:val="13916645"/>
    <w:rsid w:val="13AC7923"/>
    <w:rsid w:val="13D5487D"/>
    <w:rsid w:val="13F57B76"/>
    <w:rsid w:val="13FC764C"/>
    <w:rsid w:val="141259D8"/>
    <w:rsid w:val="1419582F"/>
    <w:rsid w:val="141C1100"/>
    <w:rsid w:val="14365E8B"/>
    <w:rsid w:val="1441006B"/>
    <w:rsid w:val="144C06BE"/>
    <w:rsid w:val="14531B4D"/>
    <w:rsid w:val="14641FAC"/>
    <w:rsid w:val="14697BE6"/>
    <w:rsid w:val="147742FE"/>
    <w:rsid w:val="14A56265"/>
    <w:rsid w:val="14DB7F08"/>
    <w:rsid w:val="14E62BE7"/>
    <w:rsid w:val="14E643C9"/>
    <w:rsid w:val="1517701E"/>
    <w:rsid w:val="15200D24"/>
    <w:rsid w:val="15221996"/>
    <w:rsid w:val="153D4CD7"/>
    <w:rsid w:val="155E4C4D"/>
    <w:rsid w:val="15610299"/>
    <w:rsid w:val="158463DE"/>
    <w:rsid w:val="15915022"/>
    <w:rsid w:val="159D7523"/>
    <w:rsid w:val="15A86FC9"/>
    <w:rsid w:val="15D56295"/>
    <w:rsid w:val="15D867AD"/>
    <w:rsid w:val="160457D1"/>
    <w:rsid w:val="160752E5"/>
    <w:rsid w:val="161D1CE9"/>
    <w:rsid w:val="161E0A1B"/>
    <w:rsid w:val="163A2FC4"/>
    <w:rsid w:val="163D5AC4"/>
    <w:rsid w:val="1647748F"/>
    <w:rsid w:val="166D15EC"/>
    <w:rsid w:val="16734728"/>
    <w:rsid w:val="167C35DD"/>
    <w:rsid w:val="16866209"/>
    <w:rsid w:val="16930926"/>
    <w:rsid w:val="169C3C7F"/>
    <w:rsid w:val="16A9014A"/>
    <w:rsid w:val="16B502FA"/>
    <w:rsid w:val="16E86EC4"/>
    <w:rsid w:val="16F77107"/>
    <w:rsid w:val="1703785A"/>
    <w:rsid w:val="17117C38"/>
    <w:rsid w:val="17143815"/>
    <w:rsid w:val="17285513"/>
    <w:rsid w:val="17521DA9"/>
    <w:rsid w:val="17571954"/>
    <w:rsid w:val="17A133F8"/>
    <w:rsid w:val="17A56B63"/>
    <w:rsid w:val="17C06EBC"/>
    <w:rsid w:val="17C224C7"/>
    <w:rsid w:val="17DE54CF"/>
    <w:rsid w:val="17E4768B"/>
    <w:rsid w:val="17F81389"/>
    <w:rsid w:val="17FD65D0"/>
    <w:rsid w:val="18025D64"/>
    <w:rsid w:val="180715CC"/>
    <w:rsid w:val="180A2E6A"/>
    <w:rsid w:val="181F6915"/>
    <w:rsid w:val="182C1032"/>
    <w:rsid w:val="18441ED8"/>
    <w:rsid w:val="184B74E5"/>
    <w:rsid w:val="18664544"/>
    <w:rsid w:val="18730853"/>
    <w:rsid w:val="188F6EFF"/>
    <w:rsid w:val="189D783A"/>
    <w:rsid w:val="18A346C2"/>
    <w:rsid w:val="18C7379E"/>
    <w:rsid w:val="18C748B7"/>
    <w:rsid w:val="18D771F0"/>
    <w:rsid w:val="18DA6CE0"/>
    <w:rsid w:val="1912647A"/>
    <w:rsid w:val="19263CD4"/>
    <w:rsid w:val="192838DE"/>
    <w:rsid w:val="192B12EA"/>
    <w:rsid w:val="1946272E"/>
    <w:rsid w:val="195F08E7"/>
    <w:rsid w:val="195F2D42"/>
    <w:rsid w:val="196333D9"/>
    <w:rsid w:val="196C5B8A"/>
    <w:rsid w:val="19742C91"/>
    <w:rsid w:val="19792055"/>
    <w:rsid w:val="197E141A"/>
    <w:rsid w:val="198D1C77"/>
    <w:rsid w:val="199702F5"/>
    <w:rsid w:val="19A215AC"/>
    <w:rsid w:val="19B659E9"/>
    <w:rsid w:val="19CA28B1"/>
    <w:rsid w:val="19CC166E"/>
    <w:rsid w:val="19E576EB"/>
    <w:rsid w:val="19F704E3"/>
    <w:rsid w:val="1A2735AF"/>
    <w:rsid w:val="1A7D7923"/>
    <w:rsid w:val="1A98650B"/>
    <w:rsid w:val="1A9D1D74"/>
    <w:rsid w:val="1ACB3526"/>
    <w:rsid w:val="1AD70FEB"/>
    <w:rsid w:val="1ADA70F7"/>
    <w:rsid w:val="1ADE52DA"/>
    <w:rsid w:val="1AFF4613"/>
    <w:rsid w:val="1B49619E"/>
    <w:rsid w:val="1B6A60FA"/>
    <w:rsid w:val="1B701236"/>
    <w:rsid w:val="1BAC6712"/>
    <w:rsid w:val="1BB83309"/>
    <w:rsid w:val="1BD57D32"/>
    <w:rsid w:val="1BD712B5"/>
    <w:rsid w:val="1BE30BF5"/>
    <w:rsid w:val="1BF14125"/>
    <w:rsid w:val="1C12523F"/>
    <w:rsid w:val="1C16002F"/>
    <w:rsid w:val="1C1821EF"/>
    <w:rsid w:val="1C365FDC"/>
    <w:rsid w:val="1C395ACC"/>
    <w:rsid w:val="1C47643B"/>
    <w:rsid w:val="1C556DAA"/>
    <w:rsid w:val="1C5B4972"/>
    <w:rsid w:val="1C662D65"/>
    <w:rsid w:val="1C786A3B"/>
    <w:rsid w:val="1C84143D"/>
    <w:rsid w:val="1C942349"/>
    <w:rsid w:val="1CA2751E"/>
    <w:rsid w:val="1CAC2742"/>
    <w:rsid w:val="1CB33AD0"/>
    <w:rsid w:val="1CC04712"/>
    <w:rsid w:val="1CE819CC"/>
    <w:rsid w:val="1CEF719F"/>
    <w:rsid w:val="1CFE1968"/>
    <w:rsid w:val="1D2E3157"/>
    <w:rsid w:val="1DA33B45"/>
    <w:rsid w:val="1DA7106E"/>
    <w:rsid w:val="1DAD6772"/>
    <w:rsid w:val="1DAF4B38"/>
    <w:rsid w:val="1DDA0D6B"/>
    <w:rsid w:val="1DDF7A40"/>
    <w:rsid w:val="1DE228BA"/>
    <w:rsid w:val="1E0839A8"/>
    <w:rsid w:val="1E8F2A80"/>
    <w:rsid w:val="1EB9030D"/>
    <w:rsid w:val="1EC91389"/>
    <w:rsid w:val="1EDA4679"/>
    <w:rsid w:val="1EE05D46"/>
    <w:rsid w:val="1F03544E"/>
    <w:rsid w:val="1F0829B6"/>
    <w:rsid w:val="1F2C2D5F"/>
    <w:rsid w:val="1F470500"/>
    <w:rsid w:val="1F5246BA"/>
    <w:rsid w:val="1F6327D6"/>
    <w:rsid w:val="1F6E513F"/>
    <w:rsid w:val="1FA0658E"/>
    <w:rsid w:val="1FB65DB1"/>
    <w:rsid w:val="1FCF0C21"/>
    <w:rsid w:val="1FD16E47"/>
    <w:rsid w:val="1FDE70B6"/>
    <w:rsid w:val="1FE83A91"/>
    <w:rsid w:val="20052895"/>
    <w:rsid w:val="201605FE"/>
    <w:rsid w:val="201C3760"/>
    <w:rsid w:val="20210D51"/>
    <w:rsid w:val="202F2F0A"/>
    <w:rsid w:val="20322F5E"/>
    <w:rsid w:val="203B7DCD"/>
    <w:rsid w:val="2040567B"/>
    <w:rsid w:val="20476A09"/>
    <w:rsid w:val="204A02A8"/>
    <w:rsid w:val="20717F2A"/>
    <w:rsid w:val="208F6602"/>
    <w:rsid w:val="209459C7"/>
    <w:rsid w:val="20A420AE"/>
    <w:rsid w:val="20B322F1"/>
    <w:rsid w:val="20C067BC"/>
    <w:rsid w:val="20C242E2"/>
    <w:rsid w:val="20C91B14"/>
    <w:rsid w:val="20D44015"/>
    <w:rsid w:val="20E643A0"/>
    <w:rsid w:val="20FD26FC"/>
    <w:rsid w:val="2146615C"/>
    <w:rsid w:val="21505D92"/>
    <w:rsid w:val="216A06D1"/>
    <w:rsid w:val="216D6919"/>
    <w:rsid w:val="21780E44"/>
    <w:rsid w:val="21933ED0"/>
    <w:rsid w:val="21B61F52"/>
    <w:rsid w:val="21C36564"/>
    <w:rsid w:val="21C81DCC"/>
    <w:rsid w:val="21D249F9"/>
    <w:rsid w:val="21DA38AD"/>
    <w:rsid w:val="21F84180"/>
    <w:rsid w:val="22500474"/>
    <w:rsid w:val="22513B6F"/>
    <w:rsid w:val="22525B39"/>
    <w:rsid w:val="227B2926"/>
    <w:rsid w:val="22835CF3"/>
    <w:rsid w:val="22865684"/>
    <w:rsid w:val="228C104B"/>
    <w:rsid w:val="22BA5A10"/>
    <w:rsid w:val="22CF718A"/>
    <w:rsid w:val="231E7B37"/>
    <w:rsid w:val="233D40F4"/>
    <w:rsid w:val="23450EDC"/>
    <w:rsid w:val="23515DF1"/>
    <w:rsid w:val="23517B9F"/>
    <w:rsid w:val="23531B69"/>
    <w:rsid w:val="235D02F2"/>
    <w:rsid w:val="235F406A"/>
    <w:rsid w:val="236B2E9C"/>
    <w:rsid w:val="238826AD"/>
    <w:rsid w:val="238B742E"/>
    <w:rsid w:val="23987286"/>
    <w:rsid w:val="23AD74CB"/>
    <w:rsid w:val="23AE6D9F"/>
    <w:rsid w:val="23B24756"/>
    <w:rsid w:val="23D45DC0"/>
    <w:rsid w:val="23E1155B"/>
    <w:rsid w:val="23ED1676"/>
    <w:rsid w:val="241F1A4B"/>
    <w:rsid w:val="242B4894"/>
    <w:rsid w:val="243472A5"/>
    <w:rsid w:val="24376D95"/>
    <w:rsid w:val="245A4A6F"/>
    <w:rsid w:val="247A404C"/>
    <w:rsid w:val="248A15BB"/>
    <w:rsid w:val="249F7694"/>
    <w:rsid w:val="24A92885"/>
    <w:rsid w:val="24F86524"/>
    <w:rsid w:val="25001B3E"/>
    <w:rsid w:val="250F1AC0"/>
    <w:rsid w:val="2513335E"/>
    <w:rsid w:val="251F61A7"/>
    <w:rsid w:val="252E0198"/>
    <w:rsid w:val="25340E3D"/>
    <w:rsid w:val="254259F1"/>
    <w:rsid w:val="25545BB7"/>
    <w:rsid w:val="25550C1E"/>
    <w:rsid w:val="255D409B"/>
    <w:rsid w:val="256A4F48"/>
    <w:rsid w:val="25781413"/>
    <w:rsid w:val="258204E4"/>
    <w:rsid w:val="25A71CF8"/>
    <w:rsid w:val="25BD21AD"/>
    <w:rsid w:val="25CA6E09"/>
    <w:rsid w:val="25D6438C"/>
    <w:rsid w:val="25E25090"/>
    <w:rsid w:val="25F3318F"/>
    <w:rsid w:val="25F5515A"/>
    <w:rsid w:val="25F64996"/>
    <w:rsid w:val="262B0B7B"/>
    <w:rsid w:val="265A6D6B"/>
    <w:rsid w:val="266876DA"/>
    <w:rsid w:val="268C2968"/>
    <w:rsid w:val="26C65C0F"/>
    <w:rsid w:val="26C708A4"/>
    <w:rsid w:val="26C757BD"/>
    <w:rsid w:val="26DB434F"/>
    <w:rsid w:val="26EA4592"/>
    <w:rsid w:val="26ED1D1A"/>
    <w:rsid w:val="26EE4083"/>
    <w:rsid w:val="27046DB7"/>
    <w:rsid w:val="271565FB"/>
    <w:rsid w:val="27207FB4"/>
    <w:rsid w:val="27331D58"/>
    <w:rsid w:val="27391076"/>
    <w:rsid w:val="27391BD0"/>
    <w:rsid w:val="27426D58"/>
    <w:rsid w:val="27607710"/>
    <w:rsid w:val="276C3F85"/>
    <w:rsid w:val="276E2ACE"/>
    <w:rsid w:val="27735B86"/>
    <w:rsid w:val="277B1EA4"/>
    <w:rsid w:val="278D4EE0"/>
    <w:rsid w:val="27A961FC"/>
    <w:rsid w:val="27A96AB9"/>
    <w:rsid w:val="27CD31BF"/>
    <w:rsid w:val="27D95EBF"/>
    <w:rsid w:val="27DC037F"/>
    <w:rsid w:val="27EC31AA"/>
    <w:rsid w:val="280A4686"/>
    <w:rsid w:val="281F026C"/>
    <w:rsid w:val="283A284D"/>
    <w:rsid w:val="285919D0"/>
    <w:rsid w:val="28595263"/>
    <w:rsid w:val="2868457E"/>
    <w:rsid w:val="28793E20"/>
    <w:rsid w:val="28926CDF"/>
    <w:rsid w:val="2895372B"/>
    <w:rsid w:val="28AA222B"/>
    <w:rsid w:val="28C64DCA"/>
    <w:rsid w:val="28C802B7"/>
    <w:rsid w:val="28DE1ED5"/>
    <w:rsid w:val="28DF17A9"/>
    <w:rsid w:val="28F24E95"/>
    <w:rsid w:val="28FB65E3"/>
    <w:rsid w:val="28FC235B"/>
    <w:rsid w:val="29174AC8"/>
    <w:rsid w:val="2920429C"/>
    <w:rsid w:val="294B0A9B"/>
    <w:rsid w:val="29581C87"/>
    <w:rsid w:val="296D0CD1"/>
    <w:rsid w:val="296E14AB"/>
    <w:rsid w:val="299507E6"/>
    <w:rsid w:val="29AB625B"/>
    <w:rsid w:val="29CF181E"/>
    <w:rsid w:val="2A005E38"/>
    <w:rsid w:val="2A133E00"/>
    <w:rsid w:val="2A3873C3"/>
    <w:rsid w:val="2A75037D"/>
    <w:rsid w:val="2A756869"/>
    <w:rsid w:val="2A9F38E6"/>
    <w:rsid w:val="2AA8279A"/>
    <w:rsid w:val="2AB27C3C"/>
    <w:rsid w:val="2AB63109"/>
    <w:rsid w:val="2ABF7AE4"/>
    <w:rsid w:val="2ACD0453"/>
    <w:rsid w:val="2AD322F2"/>
    <w:rsid w:val="2AF84EE9"/>
    <w:rsid w:val="2AFE23BA"/>
    <w:rsid w:val="2B0379D1"/>
    <w:rsid w:val="2B0C0F7B"/>
    <w:rsid w:val="2B23496F"/>
    <w:rsid w:val="2B397896"/>
    <w:rsid w:val="2B6D12EE"/>
    <w:rsid w:val="2B824CF1"/>
    <w:rsid w:val="2B8E1990"/>
    <w:rsid w:val="2BAA2542"/>
    <w:rsid w:val="2BAD7EEE"/>
    <w:rsid w:val="2BD31A99"/>
    <w:rsid w:val="2BE45A54"/>
    <w:rsid w:val="2BF9180D"/>
    <w:rsid w:val="2C210F74"/>
    <w:rsid w:val="2C245E51"/>
    <w:rsid w:val="2C3116AB"/>
    <w:rsid w:val="2C602C01"/>
    <w:rsid w:val="2C620DE5"/>
    <w:rsid w:val="2C697D08"/>
    <w:rsid w:val="2C6E5E3A"/>
    <w:rsid w:val="2C840FE5"/>
    <w:rsid w:val="2C8C39F6"/>
    <w:rsid w:val="2C9A6113"/>
    <w:rsid w:val="2CBD1492"/>
    <w:rsid w:val="2CD4412F"/>
    <w:rsid w:val="2CED26E7"/>
    <w:rsid w:val="2CFC6DCE"/>
    <w:rsid w:val="2D151C3D"/>
    <w:rsid w:val="2D32459D"/>
    <w:rsid w:val="2D406CBA"/>
    <w:rsid w:val="2D4300C9"/>
    <w:rsid w:val="2D430559"/>
    <w:rsid w:val="2D4C45A1"/>
    <w:rsid w:val="2D510EC7"/>
    <w:rsid w:val="2D67693D"/>
    <w:rsid w:val="2D6D3827"/>
    <w:rsid w:val="2D894D72"/>
    <w:rsid w:val="2DAD00C8"/>
    <w:rsid w:val="2DC44A4F"/>
    <w:rsid w:val="2DC55411"/>
    <w:rsid w:val="2DD12008"/>
    <w:rsid w:val="2E083F3B"/>
    <w:rsid w:val="2E0B376C"/>
    <w:rsid w:val="2E3507E9"/>
    <w:rsid w:val="2E5077D3"/>
    <w:rsid w:val="2E6A3E61"/>
    <w:rsid w:val="2E876B6B"/>
    <w:rsid w:val="2E954DE4"/>
    <w:rsid w:val="2E9C0E80"/>
    <w:rsid w:val="2EAD053B"/>
    <w:rsid w:val="2EBD258D"/>
    <w:rsid w:val="2EC03CB2"/>
    <w:rsid w:val="2EC67693"/>
    <w:rsid w:val="2EC8145A"/>
    <w:rsid w:val="2ED0766D"/>
    <w:rsid w:val="2EDD678B"/>
    <w:rsid w:val="2EF20132"/>
    <w:rsid w:val="2F166361"/>
    <w:rsid w:val="2F2A2D4D"/>
    <w:rsid w:val="2F452CAE"/>
    <w:rsid w:val="2F4A6121"/>
    <w:rsid w:val="2F7D6EF5"/>
    <w:rsid w:val="2FA95B86"/>
    <w:rsid w:val="2FB83480"/>
    <w:rsid w:val="2FC040E2"/>
    <w:rsid w:val="2FD6110E"/>
    <w:rsid w:val="2FE54285"/>
    <w:rsid w:val="2FF80E15"/>
    <w:rsid w:val="2FFD79D3"/>
    <w:rsid w:val="300852DE"/>
    <w:rsid w:val="30087837"/>
    <w:rsid w:val="30182170"/>
    <w:rsid w:val="301B756B"/>
    <w:rsid w:val="302145DD"/>
    <w:rsid w:val="3025488D"/>
    <w:rsid w:val="3034687E"/>
    <w:rsid w:val="30523594"/>
    <w:rsid w:val="30546461"/>
    <w:rsid w:val="30890978"/>
    <w:rsid w:val="309C4B4F"/>
    <w:rsid w:val="30A734F4"/>
    <w:rsid w:val="30A9726C"/>
    <w:rsid w:val="30D51E0F"/>
    <w:rsid w:val="30DA7426"/>
    <w:rsid w:val="30E738F1"/>
    <w:rsid w:val="30E829D4"/>
    <w:rsid w:val="30F8356E"/>
    <w:rsid w:val="30F85AFE"/>
    <w:rsid w:val="310D15A9"/>
    <w:rsid w:val="312C3DE1"/>
    <w:rsid w:val="314F3970"/>
    <w:rsid w:val="316C5EBB"/>
    <w:rsid w:val="318C4058"/>
    <w:rsid w:val="318C4BC4"/>
    <w:rsid w:val="31AF28A2"/>
    <w:rsid w:val="31B639EF"/>
    <w:rsid w:val="31D9592F"/>
    <w:rsid w:val="31E645B2"/>
    <w:rsid w:val="31F12C79"/>
    <w:rsid w:val="31F134B7"/>
    <w:rsid w:val="32244DFC"/>
    <w:rsid w:val="322667B5"/>
    <w:rsid w:val="328303DD"/>
    <w:rsid w:val="32E0684A"/>
    <w:rsid w:val="32E620B2"/>
    <w:rsid w:val="32EB3B6C"/>
    <w:rsid w:val="32EE0F67"/>
    <w:rsid w:val="32F02F31"/>
    <w:rsid w:val="32FD11AA"/>
    <w:rsid w:val="33024A12"/>
    <w:rsid w:val="33136C1F"/>
    <w:rsid w:val="333746BC"/>
    <w:rsid w:val="33770F5C"/>
    <w:rsid w:val="33823753"/>
    <w:rsid w:val="338B2C59"/>
    <w:rsid w:val="33A65CE5"/>
    <w:rsid w:val="33AA05E8"/>
    <w:rsid w:val="33B169AF"/>
    <w:rsid w:val="33C66680"/>
    <w:rsid w:val="33E3258B"/>
    <w:rsid w:val="33FB393B"/>
    <w:rsid w:val="34131B96"/>
    <w:rsid w:val="341B4D8B"/>
    <w:rsid w:val="3431795E"/>
    <w:rsid w:val="343D55E2"/>
    <w:rsid w:val="34452E08"/>
    <w:rsid w:val="34552B86"/>
    <w:rsid w:val="34627E5E"/>
    <w:rsid w:val="34980AC4"/>
    <w:rsid w:val="349D0E96"/>
    <w:rsid w:val="34E21963"/>
    <w:rsid w:val="34E50CCC"/>
    <w:rsid w:val="34F14D3E"/>
    <w:rsid w:val="34F62354"/>
    <w:rsid w:val="3505407A"/>
    <w:rsid w:val="352D221A"/>
    <w:rsid w:val="35387D63"/>
    <w:rsid w:val="353A4937"/>
    <w:rsid w:val="354D6418"/>
    <w:rsid w:val="358931C8"/>
    <w:rsid w:val="359223A9"/>
    <w:rsid w:val="35A952DD"/>
    <w:rsid w:val="35BA7826"/>
    <w:rsid w:val="35C10BB4"/>
    <w:rsid w:val="35F5260C"/>
    <w:rsid w:val="35F70776"/>
    <w:rsid w:val="362829E1"/>
    <w:rsid w:val="36356EAC"/>
    <w:rsid w:val="36405F7D"/>
    <w:rsid w:val="36427103"/>
    <w:rsid w:val="36454420"/>
    <w:rsid w:val="36633A19"/>
    <w:rsid w:val="367232C8"/>
    <w:rsid w:val="36730100"/>
    <w:rsid w:val="367664B1"/>
    <w:rsid w:val="367D1DCA"/>
    <w:rsid w:val="36E508D2"/>
    <w:rsid w:val="36FF1994"/>
    <w:rsid w:val="370C0700"/>
    <w:rsid w:val="371B152F"/>
    <w:rsid w:val="37384EA6"/>
    <w:rsid w:val="37427AD3"/>
    <w:rsid w:val="37643EED"/>
    <w:rsid w:val="376E6490"/>
    <w:rsid w:val="37904CE2"/>
    <w:rsid w:val="37A23B2A"/>
    <w:rsid w:val="37A7550F"/>
    <w:rsid w:val="37A83712"/>
    <w:rsid w:val="37B24AB3"/>
    <w:rsid w:val="37C640CA"/>
    <w:rsid w:val="37C8622A"/>
    <w:rsid w:val="37E42938"/>
    <w:rsid w:val="3809239F"/>
    <w:rsid w:val="38156F95"/>
    <w:rsid w:val="381B0A50"/>
    <w:rsid w:val="38510CC6"/>
    <w:rsid w:val="389B393F"/>
    <w:rsid w:val="389D18F0"/>
    <w:rsid w:val="38AC5B4C"/>
    <w:rsid w:val="38AD56EA"/>
    <w:rsid w:val="38BD38B5"/>
    <w:rsid w:val="38BE13DB"/>
    <w:rsid w:val="38CD7870"/>
    <w:rsid w:val="38D026DC"/>
    <w:rsid w:val="38ED03A5"/>
    <w:rsid w:val="38F11583"/>
    <w:rsid w:val="38F20621"/>
    <w:rsid w:val="3911775D"/>
    <w:rsid w:val="391B682D"/>
    <w:rsid w:val="3943394F"/>
    <w:rsid w:val="39553AED"/>
    <w:rsid w:val="39A44A75"/>
    <w:rsid w:val="39AE31FE"/>
    <w:rsid w:val="39BF2767"/>
    <w:rsid w:val="39CD3FCC"/>
    <w:rsid w:val="39CE564E"/>
    <w:rsid w:val="39D569DC"/>
    <w:rsid w:val="39E5694E"/>
    <w:rsid w:val="39E8099F"/>
    <w:rsid w:val="39E97BF2"/>
    <w:rsid w:val="39EC027C"/>
    <w:rsid w:val="39F448CD"/>
    <w:rsid w:val="39FF7EFD"/>
    <w:rsid w:val="3A1219DE"/>
    <w:rsid w:val="3A4D0C68"/>
    <w:rsid w:val="3A5B6136"/>
    <w:rsid w:val="3A5C0EAC"/>
    <w:rsid w:val="3A7A7584"/>
    <w:rsid w:val="3A850B77"/>
    <w:rsid w:val="3A887EF3"/>
    <w:rsid w:val="3AA20FB4"/>
    <w:rsid w:val="3AA27206"/>
    <w:rsid w:val="3AA36ADA"/>
    <w:rsid w:val="3AAA009C"/>
    <w:rsid w:val="3AAD7959"/>
    <w:rsid w:val="3ADC2E01"/>
    <w:rsid w:val="3AEA295B"/>
    <w:rsid w:val="3AFC23EB"/>
    <w:rsid w:val="3B0E03F8"/>
    <w:rsid w:val="3B4200A1"/>
    <w:rsid w:val="3B4A51A8"/>
    <w:rsid w:val="3B4E4C98"/>
    <w:rsid w:val="3B5E4A0D"/>
    <w:rsid w:val="3B7F12F6"/>
    <w:rsid w:val="3B800BCA"/>
    <w:rsid w:val="3B8E7126"/>
    <w:rsid w:val="3B9D5C20"/>
    <w:rsid w:val="3BB15227"/>
    <w:rsid w:val="3BC136BC"/>
    <w:rsid w:val="3BC90B0B"/>
    <w:rsid w:val="3BDC22A4"/>
    <w:rsid w:val="3C261771"/>
    <w:rsid w:val="3C384E8C"/>
    <w:rsid w:val="3C3C2D43"/>
    <w:rsid w:val="3C5C1637"/>
    <w:rsid w:val="3C6D114E"/>
    <w:rsid w:val="3C6D55F2"/>
    <w:rsid w:val="3C770627"/>
    <w:rsid w:val="3C917532"/>
    <w:rsid w:val="3CA863A8"/>
    <w:rsid w:val="3CB11983"/>
    <w:rsid w:val="3CD8017B"/>
    <w:rsid w:val="3CDE71C1"/>
    <w:rsid w:val="3CEB3FEF"/>
    <w:rsid w:val="3D0C6BB9"/>
    <w:rsid w:val="3D17730C"/>
    <w:rsid w:val="3D22018A"/>
    <w:rsid w:val="3D3805DF"/>
    <w:rsid w:val="3D3E0D3C"/>
    <w:rsid w:val="3D453E79"/>
    <w:rsid w:val="3D49647F"/>
    <w:rsid w:val="3D5D11C3"/>
    <w:rsid w:val="3D622C7D"/>
    <w:rsid w:val="3D70539A"/>
    <w:rsid w:val="3DAB4624"/>
    <w:rsid w:val="3DB66B25"/>
    <w:rsid w:val="3DC456E6"/>
    <w:rsid w:val="3DDB658B"/>
    <w:rsid w:val="3E0E4BB3"/>
    <w:rsid w:val="3E104487"/>
    <w:rsid w:val="3E2241BA"/>
    <w:rsid w:val="3E3D0FF4"/>
    <w:rsid w:val="3E483C21"/>
    <w:rsid w:val="3E5D51F2"/>
    <w:rsid w:val="3E7C7D6E"/>
    <w:rsid w:val="3E945C80"/>
    <w:rsid w:val="3EA90437"/>
    <w:rsid w:val="3EAB41B0"/>
    <w:rsid w:val="3EC82FB3"/>
    <w:rsid w:val="3ECF60F0"/>
    <w:rsid w:val="3EDC25BB"/>
    <w:rsid w:val="3EE651E8"/>
    <w:rsid w:val="3EFB6EE5"/>
    <w:rsid w:val="3F033FEC"/>
    <w:rsid w:val="3F147857"/>
    <w:rsid w:val="3F1D5F61"/>
    <w:rsid w:val="3F2006FA"/>
    <w:rsid w:val="3F264703"/>
    <w:rsid w:val="3F3044D0"/>
    <w:rsid w:val="3F424B14"/>
    <w:rsid w:val="3F696545"/>
    <w:rsid w:val="3F6E5909"/>
    <w:rsid w:val="3F731171"/>
    <w:rsid w:val="3FA702E8"/>
    <w:rsid w:val="3FAF7CCF"/>
    <w:rsid w:val="3FB377C0"/>
    <w:rsid w:val="3FB83028"/>
    <w:rsid w:val="3FBD063E"/>
    <w:rsid w:val="3FC512A1"/>
    <w:rsid w:val="3FC714BD"/>
    <w:rsid w:val="3FCB2D5B"/>
    <w:rsid w:val="3FDA34B1"/>
    <w:rsid w:val="3FDB2873"/>
    <w:rsid w:val="3FE931E1"/>
    <w:rsid w:val="3FF12096"/>
    <w:rsid w:val="40363F4D"/>
    <w:rsid w:val="40381A73"/>
    <w:rsid w:val="40662A84"/>
    <w:rsid w:val="4084115C"/>
    <w:rsid w:val="40923879"/>
    <w:rsid w:val="409F5F96"/>
    <w:rsid w:val="40A62E81"/>
    <w:rsid w:val="40BF38EE"/>
    <w:rsid w:val="40C81C57"/>
    <w:rsid w:val="40D20119"/>
    <w:rsid w:val="40DC4AF4"/>
    <w:rsid w:val="40EF2A79"/>
    <w:rsid w:val="410E7DF5"/>
    <w:rsid w:val="411A75D0"/>
    <w:rsid w:val="414A7CB0"/>
    <w:rsid w:val="414C1C7A"/>
    <w:rsid w:val="4154318A"/>
    <w:rsid w:val="41641184"/>
    <w:rsid w:val="41696778"/>
    <w:rsid w:val="416F5968"/>
    <w:rsid w:val="4173594E"/>
    <w:rsid w:val="417B255F"/>
    <w:rsid w:val="41AD09C3"/>
    <w:rsid w:val="41C05228"/>
    <w:rsid w:val="41CA04D7"/>
    <w:rsid w:val="41D43A1D"/>
    <w:rsid w:val="41DD28D2"/>
    <w:rsid w:val="41FB137B"/>
    <w:rsid w:val="41FB7F39"/>
    <w:rsid w:val="42051E29"/>
    <w:rsid w:val="420662CD"/>
    <w:rsid w:val="4207456D"/>
    <w:rsid w:val="421502BE"/>
    <w:rsid w:val="425154F8"/>
    <w:rsid w:val="42644DA1"/>
    <w:rsid w:val="427850ED"/>
    <w:rsid w:val="429A07C3"/>
    <w:rsid w:val="42A7230A"/>
    <w:rsid w:val="42ED2FE9"/>
    <w:rsid w:val="43000F6E"/>
    <w:rsid w:val="43030A5E"/>
    <w:rsid w:val="430F7403"/>
    <w:rsid w:val="43346222"/>
    <w:rsid w:val="435F0AA0"/>
    <w:rsid w:val="437A5885"/>
    <w:rsid w:val="439E6277"/>
    <w:rsid w:val="43B600AD"/>
    <w:rsid w:val="43DF733B"/>
    <w:rsid w:val="43E371ED"/>
    <w:rsid w:val="43EA7528"/>
    <w:rsid w:val="43F108B7"/>
    <w:rsid w:val="43FE4C25"/>
    <w:rsid w:val="440419F3"/>
    <w:rsid w:val="441E4D86"/>
    <w:rsid w:val="4436451B"/>
    <w:rsid w:val="446F063A"/>
    <w:rsid w:val="448046DC"/>
    <w:rsid w:val="4484797D"/>
    <w:rsid w:val="44986059"/>
    <w:rsid w:val="44A818BD"/>
    <w:rsid w:val="44CC6C2E"/>
    <w:rsid w:val="44CF19E1"/>
    <w:rsid w:val="44D0720B"/>
    <w:rsid w:val="44D07D4A"/>
    <w:rsid w:val="44D53D34"/>
    <w:rsid w:val="45442C68"/>
    <w:rsid w:val="454676EB"/>
    <w:rsid w:val="45487509"/>
    <w:rsid w:val="45541CEF"/>
    <w:rsid w:val="456B4699"/>
    <w:rsid w:val="458F482B"/>
    <w:rsid w:val="45BB117C"/>
    <w:rsid w:val="45C06792"/>
    <w:rsid w:val="45F0690E"/>
    <w:rsid w:val="45F610F0"/>
    <w:rsid w:val="45FB3C6E"/>
    <w:rsid w:val="460366D7"/>
    <w:rsid w:val="4609638B"/>
    <w:rsid w:val="460C3316"/>
    <w:rsid w:val="46280371"/>
    <w:rsid w:val="463827CD"/>
    <w:rsid w:val="46530576"/>
    <w:rsid w:val="465D33BE"/>
    <w:rsid w:val="465D3D30"/>
    <w:rsid w:val="46647A66"/>
    <w:rsid w:val="46916381"/>
    <w:rsid w:val="46945A20"/>
    <w:rsid w:val="469A6FE4"/>
    <w:rsid w:val="46A3401E"/>
    <w:rsid w:val="46CC1167"/>
    <w:rsid w:val="46D85D5E"/>
    <w:rsid w:val="46FB137F"/>
    <w:rsid w:val="46FB50CF"/>
    <w:rsid w:val="46FC37FA"/>
    <w:rsid w:val="470152C3"/>
    <w:rsid w:val="471C718B"/>
    <w:rsid w:val="4738351D"/>
    <w:rsid w:val="475950F1"/>
    <w:rsid w:val="476D46F8"/>
    <w:rsid w:val="477261B2"/>
    <w:rsid w:val="477A6E6A"/>
    <w:rsid w:val="477C3E4E"/>
    <w:rsid w:val="477E6905"/>
    <w:rsid w:val="479E6FA7"/>
    <w:rsid w:val="47AA1CD3"/>
    <w:rsid w:val="47D97FDF"/>
    <w:rsid w:val="47E32FBE"/>
    <w:rsid w:val="47E50732"/>
    <w:rsid w:val="48054198"/>
    <w:rsid w:val="481E3C44"/>
    <w:rsid w:val="482E1FB6"/>
    <w:rsid w:val="48380768"/>
    <w:rsid w:val="4840005F"/>
    <w:rsid w:val="484A4A39"/>
    <w:rsid w:val="484E277B"/>
    <w:rsid w:val="485E04E5"/>
    <w:rsid w:val="48621B0C"/>
    <w:rsid w:val="488F12B1"/>
    <w:rsid w:val="489451D8"/>
    <w:rsid w:val="48F331AB"/>
    <w:rsid w:val="48F75EC4"/>
    <w:rsid w:val="49227764"/>
    <w:rsid w:val="493C2BF3"/>
    <w:rsid w:val="4941408E"/>
    <w:rsid w:val="49431BB4"/>
    <w:rsid w:val="49601FEE"/>
    <w:rsid w:val="49853754"/>
    <w:rsid w:val="49A10689"/>
    <w:rsid w:val="49BA799D"/>
    <w:rsid w:val="49F92273"/>
    <w:rsid w:val="4A0D21C2"/>
    <w:rsid w:val="4A1134A2"/>
    <w:rsid w:val="4A2B43F6"/>
    <w:rsid w:val="4A4E23DD"/>
    <w:rsid w:val="4A5A3216"/>
    <w:rsid w:val="4A713F14"/>
    <w:rsid w:val="4A732ADF"/>
    <w:rsid w:val="4A7D4C52"/>
    <w:rsid w:val="4A963F66"/>
    <w:rsid w:val="4A96711A"/>
    <w:rsid w:val="4AB4049F"/>
    <w:rsid w:val="4AB80380"/>
    <w:rsid w:val="4AC81B75"/>
    <w:rsid w:val="4B0215FB"/>
    <w:rsid w:val="4B3B1EDD"/>
    <w:rsid w:val="4B7A3887"/>
    <w:rsid w:val="4B7E5126"/>
    <w:rsid w:val="4B895879"/>
    <w:rsid w:val="4B8B339F"/>
    <w:rsid w:val="4B951B65"/>
    <w:rsid w:val="4BA32DDE"/>
    <w:rsid w:val="4BB17956"/>
    <w:rsid w:val="4BD05255"/>
    <w:rsid w:val="4BE807F1"/>
    <w:rsid w:val="4BFE5D6A"/>
    <w:rsid w:val="4C147916"/>
    <w:rsid w:val="4C3D6555"/>
    <w:rsid w:val="4C673E0C"/>
    <w:rsid w:val="4C6B2B37"/>
    <w:rsid w:val="4C6C1422"/>
    <w:rsid w:val="4C8770A6"/>
    <w:rsid w:val="4CAF7561"/>
    <w:rsid w:val="4CCA03D9"/>
    <w:rsid w:val="4CE94821"/>
    <w:rsid w:val="4CEC4311"/>
    <w:rsid w:val="4CF308FD"/>
    <w:rsid w:val="4D1F0243"/>
    <w:rsid w:val="4D6E4D26"/>
    <w:rsid w:val="4D926C66"/>
    <w:rsid w:val="4DAB5F7A"/>
    <w:rsid w:val="4DB017E2"/>
    <w:rsid w:val="4DC863E5"/>
    <w:rsid w:val="4DCA5A51"/>
    <w:rsid w:val="4DE05CFA"/>
    <w:rsid w:val="4DE12E81"/>
    <w:rsid w:val="4E7D7917"/>
    <w:rsid w:val="4E9B27EF"/>
    <w:rsid w:val="4EAC3D58"/>
    <w:rsid w:val="4EC015B1"/>
    <w:rsid w:val="4ECC43FA"/>
    <w:rsid w:val="4ECF7A46"/>
    <w:rsid w:val="4ED16A53"/>
    <w:rsid w:val="4EEB16E6"/>
    <w:rsid w:val="4EFA0F67"/>
    <w:rsid w:val="4F0B3174"/>
    <w:rsid w:val="4F0C303F"/>
    <w:rsid w:val="4F2D7040"/>
    <w:rsid w:val="4F3F2E1E"/>
    <w:rsid w:val="4F45117A"/>
    <w:rsid w:val="4F4626F3"/>
    <w:rsid w:val="4F4915A7"/>
    <w:rsid w:val="4F4A3571"/>
    <w:rsid w:val="4F5D32A4"/>
    <w:rsid w:val="4F701229"/>
    <w:rsid w:val="4F727FD6"/>
    <w:rsid w:val="4F824AB9"/>
    <w:rsid w:val="4F8304CF"/>
    <w:rsid w:val="4F840831"/>
    <w:rsid w:val="4F876573"/>
    <w:rsid w:val="4FA26F09"/>
    <w:rsid w:val="4FAE58AE"/>
    <w:rsid w:val="4FB71297"/>
    <w:rsid w:val="4FBF11AA"/>
    <w:rsid w:val="4FD5108C"/>
    <w:rsid w:val="4FE92CD6"/>
    <w:rsid w:val="50221C17"/>
    <w:rsid w:val="502C5EFA"/>
    <w:rsid w:val="502D0274"/>
    <w:rsid w:val="50416722"/>
    <w:rsid w:val="50574197"/>
    <w:rsid w:val="506153AC"/>
    <w:rsid w:val="507620AE"/>
    <w:rsid w:val="5099655E"/>
    <w:rsid w:val="50A224C3"/>
    <w:rsid w:val="50E023DF"/>
    <w:rsid w:val="50E35A2B"/>
    <w:rsid w:val="50F1639A"/>
    <w:rsid w:val="51257DF2"/>
    <w:rsid w:val="51271DBC"/>
    <w:rsid w:val="513F7105"/>
    <w:rsid w:val="51477D68"/>
    <w:rsid w:val="514A5AAA"/>
    <w:rsid w:val="514C35D0"/>
    <w:rsid w:val="515801C7"/>
    <w:rsid w:val="51593B8D"/>
    <w:rsid w:val="515F007B"/>
    <w:rsid w:val="516140B5"/>
    <w:rsid w:val="51644DBE"/>
    <w:rsid w:val="517A6653"/>
    <w:rsid w:val="518B5EA5"/>
    <w:rsid w:val="518C7E71"/>
    <w:rsid w:val="518F39BC"/>
    <w:rsid w:val="51C969CF"/>
    <w:rsid w:val="51FA74D0"/>
    <w:rsid w:val="51FF6894"/>
    <w:rsid w:val="5200269E"/>
    <w:rsid w:val="5200380D"/>
    <w:rsid w:val="522C7C40"/>
    <w:rsid w:val="523227C6"/>
    <w:rsid w:val="52374280"/>
    <w:rsid w:val="524D7600"/>
    <w:rsid w:val="527C3337"/>
    <w:rsid w:val="527E1EAF"/>
    <w:rsid w:val="527E5A0B"/>
    <w:rsid w:val="52AF2069"/>
    <w:rsid w:val="52B7716F"/>
    <w:rsid w:val="52C673B2"/>
    <w:rsid w:val="52E4399A"/>
    <w:rsid w:val="531445C2"/>
    <w:rsid w:val="531935A4"/>
    <w:rsid w:val="536524C3"/>
    <w:rsid w:val="536A36BC"/>
    <w:rsid w:val="536D1F1D"/>
    <w:rsid w:val="537312E8"/>
    <w:rsid w:val="538277A4"/>
    <w:rsid w:val="53980D4F"/>
    <w:rsid w:val="53A019B1"/>
    <w:rsid w:val="53AF7E46"/>
    <w:rsid w:val="53C51035"/>
    <w:rsid w:val="53C9715A"/>
    <w:rsid w:val="53CF4A5C"/>
    <w:rsid w:val="53D041D1"/>
    <w:rsid w:val="53FB4CCB"/>
    <w:rsid w:val="54014B46"/>
    <w:rsid w:val="540262EE"/>
    <w:rsid w:val="54244390"/>
    <w:rsid w:val="54305A86"/>
    <w:rsid w:val="543D5452"/>
    <w:rsid w:val="546450D5"/>
    <w:rsid w:val="54684BC5"/>
    <w:rsid w:val="548425AE"/>
    <w:rsid w:val="54877D10"/>
    <w:rsid w:val="549239F0"/>
    <w:rsid w:val="54A84FC1"/>
    <w:rsid w:val="54B0031A"/>
    <w:rsid w:val="54B020C8"/>
    <w:rsid w:val="54B576DE"/>
    <w:rsid w:val="55024449"/>
    <w:rsid w:val="55085BEA"/>
    <w:rsid w:val="55086FD1"/>
    <w:rsid w:val="55172147"/>
    <w:rsid w:val="55410BF9"/>
    <w:rsid w:val="554271C4"/>
    <w:rsid w:val="55794BB0"/>
    <w:rsid w:val="557E3F74"/>
    <w:rsid w:val="5594498E"/>
    <w:rsid w:val="5596306C"/>
    <w:rsid w:val="55A57753"/>
    <w:rsid w:val="55A84294"/>
    <w:rsid w:val="55AC288F"/>
    <w:rsid w:val="55AC40A5"/>
    <w:rsid w:val="55AD03B6"/>
    <w:rsid w:val="55B1434A"/>
    <w:rsid w:val="55BF6A67"/>
    <w:rsid w:val="55D12054"/>
    <w:rsid w:val="55DA6596"/>
    <w:rsid w:val="560C77D2"/>
    <w:rsid w:val="560F537A"/>
    <w:rsid w:val="5613290E"/>
    <w:rsid w:val="56224489"/>
    <w:rsid w:val="565D4368"/>
    <w:rsid w:val="56603960"/>
    <w:rsid w:val="56625644"/>
    <w:rsid w:val="56690780"/>
    <w:rsid w:val="566B274A"/>
    <w:rsid w:val="566D0271"/>
    <w:rsid w:val="567A298E"/>
    <w:rsid w:val="569C2904"/>
    <w:rsid w:val="56A0017C"/>
    <w:rsid w:val="56A1616C"/>
    <w:rsid w:val="56AE5A8D"/>
    <w:rsid w:val="56BC4D54"/>
    <w:rsid w:val="56C3571A"/>
    <w:rsid w:val="56DB5BC3"/>
    <w:rsid w:val="56E83D9B"/>
    <w:rsid w:val="56F72230"/>
    <w:rsid w:val="56FA5260"/>
    <w:rsid w:val="572823EA"/>
    <w:rsid w:val="574C257C"/>
    <w:rsid w:val="5755438D"/>
    <w:rsid w:val="57721B9C"/>
    <w:rsid w:val="57825F9E"/>
    <w:rsid w:val="578F4217"/>
    <w:rsid w:val="578F4443"/>
    <w:rsid w:val="57925AB5"/>
    <w:rsid w:val="57AD70E7"/>
    <w:rsid w:val="57B8364E"/>
    <w:rsid w:val="57C95893"/>
    <w:rsid w:val="57CD4D3F"/>
    <w:rsid w:val="57DF0C43"/>
    <w:rsid w:val="57EF7A26"/>
    <w:rsid w:val="581D1822"/>
    <w:rsid w:val="582E3A30"/>
    <w:rsid w:val="58304C51"/>
    <w:rsid w:val="5835523D"/>
    <w:rsid w:val="583F5C3D"/>
    <w:rsid w:val="58601FF5"/>
    <w:rsid w:val="587177C3"/>
    <w:rsid w:val="588405A5"/>
    <w:rsid w:val="5898534D"/>
    <w:rsid w:val="589917F1"/>
    <w:rsid w:val="589C4E3D"/>
    <w:rsid w:val="58A53B75"/>
    <w:rsid w:val="58D11BCB"/>
    <w:rsid w:val="58D41C07"/>
    <w:rsid w:val="58E93DFA"/>
    <w:rsid w:val="58F44C79"/>
    <w:rsid w:val="59080725"/>
    <w:rsid w:val="59123DF1"/>
    <w:rsid w:val="591B2F0C"/>
    <w:rsid w:val="59352B9C"/>
    <w:rsid w:val="594828CF"/>
    <w:rsid w:val="594A7F41"/>
    <w:rsid w:val="596811C3"/>
    <w:rsid w:val="59786F11"/>
    <w:rsid w:val="598B2F92"/>
    <w:rsid w:val="598F25C7"/>
    <w:rsid w:val="59937540"/>
    <w:rsid w:val="59A039F6"/>
    <w:rsid w:val="59AA336E"/>
    <w:rsid w:val="59B63CDD"/>
    <w:rsid w:val="59E60C99"/>
    <w:rsid w:val="59E940B2"/>
    <w:rsid w:val="59EC3BA2"/>
    <w:rsid w:val="59F45AD3"/>
    <w:rsid w:val="59F760A3"/>
    <w:rsid w:val="5A00764E"/>
    <w:rsid w:val="5A274BDA"/>
    <w:rsid w:val="5A5534F6"/>
    <w:rsid w:val="5A614BE3"/>
    <w:rsid w:val="5A637F6F"/>
    <w:rsid w:val="5A70032F"/>
    <w:rsid w:val="5A7A29E2"/>
    <w:rsid w:val="5AAC6D3A"/>
    <w:rsid w:val="5AB83A84"/>
    <w:rsid w:val="5ABD72ED"/>
    <w:rsid w:val="5AC95C92"/>
    <w:rsid w:val="5AEF6656"/>
    <w:rsid w:val="5AF076C2"/>
    <w:rsid w:val="5AFC1BC3"/>
    <w:rsid w:val="5B055025"/>
    <w:rsid w:val="5B3F5F54"/>
    <w:rsid w:val="5B423A25"/>
    <w:rsid w:val="5B6D486F"/>
    <w:rsid w:val="5BD14DFE"/>
    <w:rsid w:val="5BD743DE"/>
    <w:rsid w:val="5BEA5EBF"/>
    <w:rsid w:val="5BF44F90"/>
    <w:rsid w:val="5C121CA4"/>
    <w:rsid w:val="5C1271C4"/>
    <w:rsid w:val="5C1B42CB"/>
    <w:rsid w:val="5C5477DD"/>
    <w:rsid w:val="5C5A1297"/>
    <w:rsid w:val="5C602626"/>
    <w:rsid w:val="5C6519EA"/>
    <w:rsid w:val="5C9108EC"/>
    <w:rsid w:val="5C9936CF"/>
    <w:rsid w:val="5CAB38A1"/>
    <w:rsid w:val="5CAF2C65"/>
    <w:rsid w:val="5CCC7122"/>
    <w:rsid w:val="5CE62A27"/>
    <w:rsid w:val="5CEE456C"/>
    <w:rsid w:val="5CF42D8C"/>
    <w:rsid w:val="5D5C7A80"/>
    <w:rsid w:val="5D6D0F8A"/>
    <w:rsid w:val="5D773862"/>
    <w:rsid w:val="5D7E7207"/>
    <w:rsid w:val="5D8A5BAC"/>
    <w:rsid w:val="5D9011B3"/>
    <w:rsid w:val="5D9C7014"/>
    <w:rsid w:val="5DD93AB7"/>
    <w:rsid w:val="5DEF78BB"/>
    <w:rsid w:val="5E40706E"/>
    <w:rsid w:val="5E421C4D"/>
    <w:rsid w:val="5E806DB9"/>
    <w:rsid w:val="5E8240A1"/>
    <w:rsid w:val="5EA53721"/>
    <w:rsid w:val="5EC40406"/>
    <w:rsid w:val="5ECC4F05"/>
    <w:rsid w:val="5EF84D97"/>
    <w:rsid w:val="5F074FDA"/>
    <w:rsid w:val="5F0E6369"/>
    <w:rsid w:val="5F182D44"/>
    <w:rsid w:val="5F35264F"/>
    <w:rsid w:val="5F396F19"/>
    <w:rsid w:val="5F41673E"/>
    <w:rsid w:val="5F887EC9"/>
    <w:rsid w:val="5F943190"/>
    <w:rsid w:val="5F9E149B"/>
    <w:rsid w:val="5FAA5F75"/>
    <w:rsid w:val="5FAB718B"/>
    <w:rsid w:val="5FB92AD3"/>
    <w:rsid w:val="5FBF5C36"/>
    <w:rsid w:val="5FCA6734"/>
    <w:rsid w:val="5FE377F5"/>
    <w:rsid w:val="5FFA2BA8"/>
    <w:rsid w:val="602816AC"/>
    <w:rsid w:val="604364E6"/>
    <w:rsid w:val="604C0766"/>
    <w:rsid w:val="605424A1"/>
    <w:rsid w:val="60A07D32"/>
    <w:rsid w:val="60A26D69"/>
    <w:rsid w:val="60A46FF9"/>
    <w:rsid w:val="60AF592A"/>
    <w:rsid w:val="60B151FE"/>
    <w:rsid w:val="60B31FF5"/>
    <w:rsid w:val="60C2565D"/>
    <w:rsid w:val="60C51A2C"/>
    <w:rsid w:val="60DB04CD"/>
    <w:rsid w:val="60FF240D"/>
    <w:rsid w:val="61047A23"/>
    <w:rsid w:val="61077826"/>
    <w:rsid w:val="610E79A4"/>
    <w:rsid w:val="610E7EA6"/>
    <w:rsid w:val="613751C4"/>
    <w:rsid w:val="61761FA3"/>
    <w:rsid w:val="61785D1C"/>
    <w:rsid w:val="617C1CB0"/>
    <w:rsid w:val="618446C0"/>
    <w:rsid w:val="618D5C6B"/>
    <w:rsid w:val="61B01959"/>
    <w:rsid w:val="61E33F36"/>
    <w:rsid w:val="61F45CEA"/>
    <w:rsid w:val="620A72BB"/>
    <w:rsid w:val="621F43E9"/>
    <w:rsid w:val="623B7475"/>
    <w:rsid w:val="623F0D34"/>
    <w:rsid w:val="62487DE4"/>
    <w:rsid w:val="625C5463"/>
    <w:rsid w:val="626F1110"/>
    <w:rsid w:val="627604AD"/>
    <w:rsid w:val="6276228C"/>
    <w:rsid w:val="627B1F67"/>
    <w:rsid w:val="628030DA"/>
    <w:rsid w:val="62961CE2"/>
    <w:rsid w:val="62A468BF"/>
    <w:rsid w:val="62A56FE4"/>
    <w:rsid w:val="62A866D0"/>
    <w:rsid w:val="62BD60DC"/>
    <w:rsid w:val="62C7476E"/>
    <w:rsid w:val="62CC020C"/>
    <w:rsid w:val="62CC7726"/>
    <w:rsid w:val="62D41677"/>
    <w:rsid w:val="62EF025F"/>
    <w:rsid w:val="63071A4D"/>
    <w:rsid w:val="6309447C"/>
    <w:rsid w:val="630A5A6D"/>
    <w:rsid w:val="631A52DC"/>
    <w:rsid w:val="6349639D"/>
    <w:rsid w:val="634C49D0"/>
    <w:rsid w:val="63554A0D"/>
    <w:rsid w:val="63695DB0"/>
    <w:rsid w:val="63754C08"/>
    <w:rsid w:val="638E68ED"/>
    <w:rsid w:val="63901A42"/>
    <w:rsid w:val="639D09CB"/>
    <w:rsid w:val="63B15515"/>
    <w:rsid w:val="63B87CBA"/>
    <w:rsid w:val="63C60FC0"/>
    <w:rsid w:val="63C65464"/>
    <w:rsid w:val="63DC07E4"/>
    <w:rsid w:val="63F73BD7"/>
    <w:rsid w:val="64055990"/>
    <w:rsid w:val="64340620"/>
    <w:rsid w:val="64410F8F"/>
    <w:rsid w:val="645D2D45"/>
    <w:rsid w:val="646125FE"/>
    <w:rsid w:val="64682077"/>
    <w:rsid w:val="64790728"/>
    <w:rsid w:val="648F5856"/>
    <w:rsid w:val="64972AB8"/>
    <w:rsid w:val="64A227CA"/>
    <w:rsid w:val="64DD4813"/>
    <w:rsid w:val="65180933"/>
    <w:rsid w:val="65362175"/>
    <w:rsid w:val="65566374"/>
    <w:rsid w:val="65766A16"/>
    <w:rsid w:val="65783F39"/>
    <w:rsid w:val="657C227E"/>
    <w:rsid w:val="659868BE"/>
    <w:rsid w:val="65B12A00"/>
    <w:rsid w:val="65C77271"/>
    <w:rsid w:val="65D11E9E"/>
    <w:rsid w:val="65DB7500"/>
    <w:rsid w:val="65DC4ACB"/>
    <w:rsid w:val="65DF4740"/>
    <w:rsid w:val="65E676F8"/>
    <w:rsid w:val="65EB7404"/>
    <w:rsid w:val="65F91B21"/>
    <w:rsid w:val="660356CA"/>
    <w:rsid w:val="66157FDD"/>
    <w:rsid w:val="661E50E3"/>
    <w:rsid w:val="662446C4"/>
    <w:rsid w:val="662E1F6F"/>
    <w:rsid w:val="66632F66"/>
    <w:rsid w:val="66650F64"/>
    <w:rsid w:val="666A657B"/>
    <w:rsid w:val="66A51361"/>
    <w:rsid w:val="66AC1B17"/>
    <w:rsid w:val="66AE2FFF"/>
    <w:rsid w:val="66C8504F"/>
    <w:rsid w:val="66CD08B8"/>
    <w:rsid w:val="66E557FD"/>
    <w:rsid w:val="66F25116"/>
    <w:rsid w:val="670352EA"/>
    <w:rsid w:val="670C7632"/>
    <w:rsid w:val="6727621A"/>
    <w:rsid w:val="673D5A3D"/>
    <w:rsid w:val="67550FD9"/>
    <w:rsid w:val="676B2854"/>
    <w:rsid w:val="67796A82"/>
    <w:rsid w:val="68014955"/>
    <w:rsid w:val="681503E6"/>
    <w:rsid w:val="681A18DB"/>
    <w:rsid w:val="68330BEE"/>
    <w:rsid w:val="68511756"/>
    <w:rsid w:val="68784853"/>
    <w:rsid w:val="68AC43E6"/>
    <w:rsid w:val="68D0468F"/>
    <w:rsid w:val="68E87C2B"/>
    <w:rsid w:val="68F30B42"/>
    <w:rsid w:val="690540BF"/>
    <w:rsid w:val="691B1DAE"/>
    <w:rsid w:val="69450BD9"/>
    <w:rsid w:val="69603C65"/>
    <w:rsid w:val="69833F84"/>
    <w:rsid w:val="6994393A"/>
    <w:rsid w:val="69AF73BD"/>
    <w:rsid w:val="69B144C0"/>
    <w:rsid w:val="69B813AB"/>
    <w:rsid w:val="69C340F2"/>
    <w:rsid w:val="69C441F4"/>
    <w:rsid w:val="69CB04DA"/>
    <w:rsid w:val="6A1F55DC"/>
    <w:rsid w:val="6A274783"/>
    <w:rsid w:val="6A3A2708"/>
    <w:rsid w:val="6A4021D8"/>
    <w:rsid w:val="6A461675"/>
    <w:rsid w:val="6A5F7653"/>
    <w:rsid w:val="6A7774B8"/>
    <w:rsid w:val="6AA13260"/>
    <w:rsid w:val="6AA16168"/>
    <w:rsid w:val="6ABE0C43"/>
    <w:rsid w:val="6ACB7804"/>
    <w:rsid w:val="6AD541DF"/>
    <w:rsid w:val="6B0A20DA"/>
    <w:rsid w:val="6B767770"/>
    <w:rsid w:val="6B8359E9"/>
    <w:rsid w:val="6B9D4CFC"/>
    <w:rsid w:val="6BBA3B00"/>
    <w:rsid w:val="6BBB2524"/>
    <w:rsid w:val="6BBF5037"/>
    <w:rsid w:val="6BCE4EB6"/>
    <w:rsid w:val="6BE02E3B"/>
    <w:rsid w:val="6BF608B1"/>
    <w:rsid w:val="6C0E5BFA"/>
    <w:rsid w:val="6C2076DB"/>
    <w:rsid w:val="6C3525CB"/>
    <w:rsid w:val="6C3F7B62"/>
    <w:rsid w:val="6C4909E0"/>
    <w:rsid w:val="6C496C32"/>
    <w:rsid w:val="6C4C04D0"/>
    <w:rsid w:val="6C54385C"/>
    <w:rsid w:val="6C5C4BB7"/>
    <w:rsid w:val="6C5F1FB2"/>
    <w:rsid w:val="6C7E559F"/>
    <w:rsid w:val="6C87555A"/>
    <w:rsid w:val="6C952FB6"/>
    <w:rsid w:val="6CD209D6"/>
    <w:rsid w:val="6CD609CA"/>
    <w:rsid w:val="6CE122CE"/>
    <w:rsid w:val="6CF7668E"/>
    <w:rsid w:val="6D107750"/>
    <w:rsid w:val="6D321474"/>
    <w:rsid w:val="6D3B2A1F"/>
    <w:rsid w:val="6D83283D"/>
    <w:rsid w:val="6D8A5754"/>
    <w:rsid w:val="6DB06FF1"/>
    <w:rsid w:val="6DF8036A"/>
    <w:rsid w:val="6DFB5D0A"/>
    <w:rsid w:val="6E8D6DF3"/>
    <w:rsid w:val="6EA6211A"/>
    <w:rsid w:val="6EC16F54"/>
    <w:rsid w:val="6EC86534"/>
    <w:rsid w:val="6ECC4E9C"/>
    <w:rsid w:val="6ECF6B20"/>
    <w:rsid w:val="6EFF1A27"/>
    <w:rsid w:val="6F0155A2"/>
    <w:rsid w:val="6F1C779D"/>
    <w:rsid w:val="6F3E040D"/>
    <w:rsid w:val="6F771D08"/>
    <w:rsid w:val="6F7E141F"/>
    <w:rsid w:val="6F8E4205"/>
    <w:rsid w:val="6FA81EC2"/>
    <w:rsid w:val="6FF15617"/>
    <w:rsid w:val="6FFD4727"/>
    <w:rsid w:val="70117A67"/>
    <w:rsid w:val="70291255"/>
    <w:rsid w:val="708104E7"/>
    <w:rsid w:val="708E3A71"/>
    <w:rsid w:val="70920657"/>
    <w:rsid w:val="70AE175A"/>
    <w:rsid w:val="70C4708B"/>
    <w:rsid w:val="70C66AA3"/>
    <w:rsid w:val="711C4915"/>
    <w:rsid w:val="71297032"/>
    <w:rsid w:val="714479C8"/>
    <w:rsid w:val="7157594D"/>
    <w:rsid w:val="715B116D"/>
    <w:rsid w:val="715F4802"/>
    <w:rsid w:val="71614A1E"/>
    <w:rsid w:val="71763E02"/>
    <w:rsid w:val="71812380"/>
    <w:rsid w:val="7189187F"/>
    <w:rsid w:val="718F158B"/>
    <w:rsid w:val="71963B10"/>
    <w:rsid w:val="719C388E"/>
    <w:rsid w:val="71BE3C1E"/>
    <w:rsid w:val="71CD3E62"/>
    <w:rsid w:val="71EC42E8"/>
    <w:rsid w:val="72121874"/>
    <w:rsid w:val="72225F5B"/>
    <w:rsid w:val="72270127"/>
    <w:rsid w:val="72273572"/>
    <w:rsid w:val="72655E48"/>
    <w:rsid w:val="72677E62"/>
    <w:rsid w:val="727D5888"/>
    <w:rsid w:val="7295497F"/>
    <w:rsid w:val="729A5611"/>
    <w:rsid w:val="72A03324"/>
    <w:rsid w:val="72AB6D5F"/>
    <w:rsid w:val="72B2004F"/>
    <w:rsid w:val="72B34E05"/>
    <w:rsid w:val="72C60FDD"/>
    <w:rsid w:val="7309711B"/>
    <w:rsid w:val="73247A12"/>
    <w:rsid w:val="732D4F74"/>
    <w:rsid w:val="732D5549"/>
    <w:rsid w:val="73337CF4"/>
    <w:rsid w:val="733A72D5"/>
    <w:rsid w:val="734A6E8D"/>
    <w:rsid w:val="737A14CF"/>
    <w:rsid w:val="738911A2"/>
    <w:rsid w:val="73DA4614"/>
    <w:rsid w:val="73ED07EB"/>
    <w:rsid w:val="742C30C1"/>
    <w:rsid w:val="74471CA9"/>
    <w:rsid w:val="747D1765"/>
    <w:rsid w:val="74940C67"/>
    <w:rsid w:val="74B15375"/>
    <w:rsid w:val="74B75CE7"/>
    <w:rsid w:val="74BD1F6B"/>
    <w:rsid w:val="74C01C92"/>
    <w:rsid w:val="74E76F2D"/>
    <w:rsid w:val="75114065"/>
    <w:rsid w:val="75461F61"/>
    <w:rsid w:val="75466405"/>
    <w:rsid w:val="754D5C67"/>
    <w:rsid w:val="755C3532"/>
    <w:rsid w:val="758B3E18"/>
    <w:rsid w:val="75982C83"/>
    <w:rsid w:val="759A405B"/>
    <w:rsid w:val="75B136A4"/>
    <w:rsid w:val="75B55338"/>
    <w:rsid w:val="75CC2672"/>
    <w:rsid w:val="75CD0053"/>
    <w:rsid w:val="75DB213B"/>
    <w:rsid w:val="75E8126A"/>
    <w:rsid w:val="761152BC"/>
    <w:rsid w:val="76215F9C"/>
    <w:rsid w:val="762B1026"/>
    <w:rsid w:val="762B73A9"/>
    <w:rsid w:val="76346CE5"/>
    <w:rsid w:val="76515061"/>
    <w:rsid w:val="765B7164"/>
    <w:rsid w:val="766034F6"/>
    <w:rsid w:val="76893B88"/>
    <w:rsid w:val="77122E6F"/>
    <w:rsid w:val="7735228D"/>
    <w:rsid w:val="773A5AF5"/>
    <w:rsid w:val="773D55E5"/>
    <w:rsid w:val="77514BED"/>
    <w:rsid w:val="7758241F"/>
    <w:rsid w:val="775F34D3"/>
    <w:rsid w:val="776204D1"/>
    <w:rsid w:val="77626DFA"/>
    <w:rsid w:val="777259B2"/>
    <w:rsid w:val="777A2396"/>
    <w:rsid w:val="77846D70"/>
    <w:rsid w:val="77975BED"/>
    <w:rsid w:val="779C230C"/>
    <w:rsid w:val="77BC475C"/>
    <w:rsid w:val="77BF249E"/>
    <w:rsid w:val="77C90C27"/>
    <w:rsid w:val="77D93560"/>
    <w:rsid w:val="77E963B5"/>
    <w:rsid w:val="781D72B5"/>
    <w:rsid w:val="78393FFF"/>
    <w:rsid w:val="784B788E"/>
    <w:rsid w:val="78615304"/>
    <w:rsid w:val="78663C24"/>
    <w:rsid w:val="78A551F0"/>
    <w:rsid w:val="78F02670"/>
    <w:rsid w:val="79134850"/>
    <w:rsid w:val="791F31F5"/>
    <w:rsid w:val="79231CC3"/>
    <w:rsid w:val="792A1B99"/>
    <w:rsid w:val="793C6D8A"/>
    <w:rsid w:val="79407A62"/>
    <w:rsid w:val="794669D3"/>
    <w:rsid w:val="794B1A7D"/>
    <w:rsid w:val="794D2D86"/>
    <w:rsid w:val="7962698E"/>
    <w:rsid w:val="79974DFF"/>
    <w:rsid w:val="79AB4A88"/>
    <w:rsid w:val="79BF322E"/>
    <w:rsid w:val="79C8388C"/>
    <w:rsid w:val="79D57D57"/>
    <w:rsid w:val="79F426E3"/>
    <w:rsid w:val="7A036672"/>
    <w:rsid w:val="7A0917AF"/>
    <w:rsid w:val="7A1253F6"/>
    <w:rsid w:val="7A431165"/>
    <w:rsid w:val="7A4F18B8"/>
    <w:rsid w:val="7A642FEE"/>
    <w:rsid w:val="7A770E0E"/>
    <w:rsid w:val="7A9C0875"/>
    <w:rsid w:val="7AAC160F"/>
    <w:rsid w:val="7ABC51E6"/>
    <w:rsid w:val="7AC34054"/>
    <w:rsid w:val="7AD46261"/>
    <w:rsid w:val="7AD85D51"/>
    <w:rsid w:val="7AFE1296"/>
    <w:rsid w:val="7B022DCE"/>
    <w:rsid w:val="7B072192"/>
    <w:rsid w:val="7B0F54EB"/>
    <w:rsid w:val="7B30793B"/>
    <w:rsid w:val="7B3D1CC7"/>
    <w:rsid w:val="7B46684D"/>
    <w:rsid w:val="7B4A207F"/>
    <w:rsid w:val="7B586F7C"/>
    <w:rsid w:val="7B593278"/>
    <w:rsid w:val="7B610DB2"/>
    <w:rsid w:val="7B783090"/>
    <w:rsid w:val="7B8D37DB"/>
    <w:rsid w:val="7B901215"/>
    <w:rsid w:val="7B9463F7"/>
    <w:rsid w:val="7B95779E"/>
    <w:rsid w:val="7BB302F8"/>
    <w:rsid w:val="7BB51BEE"/>
    <w:rsid w:val="7BCC6F38"/>
    <w:rsid w:val="7BE67FFA"/>
    <w:rsid w:val="7BF22D26"/>
    <w:rsid w:val="7BFA5853"/>
    <w:rsid w:val="7C0D1A2A"/>
    <w:rsid w:val="7C217284"/>
    <w:rsid w:val="7C2B1EB0"/>
    <w:rsid w:val="7C6929D9"/>
    <w:rsid w:val="7C704248"/>
    <w:rsid w:val="7C773348"/>
    <w:rsid w:val="7C8141C6"/>
    <w:rsid w:val="7C8B294F"/>
    <w:rsid w:val="7CA67C6C"/>
    <w:rsid w:val="7CB93960"/>
    <w:rsid w:val="7CC61BD9"/>
    <w:rsid w:val="7CE131F6"/>
    <w:rsid w:val="7CF528A5"/>
    <w:rsid w:val="7D0E21AB"/>
    <w:rsid w:val="7D127336"/>
    <w:rsid w:val="7D20753B"/>
    <w:rsid w:val="7D250FF6"/>
    <w:rsid w:val="7D3354C1"/>
    <w:rsid w:val="7D504DD1"/>
    <w:rsid w:val="7D5316BF"/>
    <w:rsid w:val="7D6A3EE0"/>
    <w:rsid w:val="7D6A6067"/>
    <w:rsid w:val="7D7358BD"/>
    <w:rsid w:val="7D7E4262"/>
    <w:rsid w:val="7D935F5F"/>
    <w:rsid w:val="7DB67EA0"/>
    <w:rsid w:val="7DC425BD"/>
    <w:rsid w:val="7DE646F8"/>
    <w:rsid w:val="7E745D91"/>
    <w:rsid w:val="7E7A49CB"/>
    <w:rsid w:val="7E915EB0"/>
    <w:rsid w:val="7E9A331D"/>
    <w:rsid w:val="7EAD3051"/>
    <w:rsid w:val="7EBF5EC4"/>
    <w:rsid w:val="7ECD724F"/>
    <w:rsid w:val="7EEE3597"/>
    <w:rsid w:val="7F052E8D"/>
    <w:rsid w:val="7F0A3FFF"/>
    <w:rsid w:val="7F231011"/>
    <w:rsid w:val="7F403EC5"/>
    <w:rsid w:val="7F6536D6"/>
    <w:rsid w:val="7F743B6E"/>
    <w:rsid w:val="7F820039"/>
    <w:rsid w:val="7F842003"/>
    <w:rsid w:val="7F961D37"/>
    <w:rsid w:val="7FC70142"/>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paragraph" w:styleId="2">
    <w:name w:val="heading 1"/>
    <w:basedOn w:val="1"/>
    <w:next w:val="1"/>
    <w:link w:val="64"/>
    <w:autoRedefine/>
    <w:qFormat/>
    <w:uiPriority w:val="0"/>
    <w:pPr>
      <w:keepNext/>
      <w:keepLines/>
      <w:spacing w:before="340" w:after="330" w:line="578"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6" w:lineRule="auto"/>
      <w:outlineLvl w:val="2"/>
    </w:pPr>
    <w:rPr>
      <w:b/>
      <w:sz w:val="32"/>
    </w:rPr>
  </w:style>
  <w:style w:type="paragraph" w:styleId="5">
    <w:name w:val="heading 4"/>
    <w:basedOn w:val="1"/>
    <w:next w:val="6"/>
    <w:autoRedefine/>
    <w:qFormat/>
    <w:uiPriority w:val="0"/>
    <w:pPr>
      <w:keepNext/>
      <w:spacing w:line="460" w:lineRule="exact"/>
      <w:jc w:val="both"/>
      <w:outlineLvl w:val="3"/>
    </w:pPr>
    <w:rPr>
      <w:rFonts w:ascii="宋体"/>
      <w:sz w:val="24"/>
    </w:rPr>
  </w:style>
  <w:style w:type="paragraph" w:styleId="7">
    <w:name w:val="heading 5"/>
    <w:basedOn w:val="1"/>
    <w:next w:val="6"/>
    <w:autoRedefine/>
    <w:qFormat/>
    <w:uiPriority w:val="0"/>
    <w:pPr>
      <w:keepNext/>
      <w:keepLines/>
      <w:widowControl w:val="0"/>
      <w:spacing w:before="280" w:after="290" w:line="376" w:lineRule="auto"/>
      <w:jc w:val="both"/>
      <w:outlineLvl w:val="4"/>
    </w:pPr>
    <w:rPr>
      <w:b/>
      <w:kern w:val="2"/>
      <w:sz w:val="24"/>
    </w:rPr>
  </w:style>
  <w:style w:type="paragraph" w:styleId="8">
    <w:name w:val="heading 6"/>
    <w:basedOn w:val="1"/>
    <w:next w:val="6"/>
    <w:autoRedefine/>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9">
    <w:name w:val="heading 7"/>
    <w:basedOn w:val="1"/>
    <w:next w:val="6"/>
    <w:autoRedefine/>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0">
    <w:name w:val="heading 8"/>
    <w:basedOn w:val="1"/>
    <w:next w:val="6"/>
    <w:autoRedefine/>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1">
    <w:name w:val="heading 9"/>
    <w:basedOn w:val="1"/>
    <w:next w:val="6"/>
    <w:autoRedefine/>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12">
    <w:name w:val="toc 7"/>
    <w:basedOn w:val="1"/>
    <w:next w:val="1"/>
    <w:autoRedefine/>
    <w:qFormat/>
    <w:uiPriority w:val="0"/>
    <w:pPr>
      <w:ind w:left="1200"/>
    </w:pPr>
    <w:rPr>
      <w:rFonts w:ascii="Calibri" w:hAnsi="Calibri" w:cs="Calibri"/>
      <w:sz w:val="18"/>
      <w:szCs w:val="18"/>
    </w:rPr>
  </w:style>
  <w:style w:type="paragraph" w:styleId="13">
    <w:name w:val="Document Map"/>
    <w:basedOn w:val="1"/>
    <w:autoRedefine/>
    <w:semiHidden/>
    <w:qFormat/>
    <w:uiPriority w:val="0"/>
    <w:pPr>
      <w:shd w:val="clear" w:color="auto" w:fill="000080"/>
    </w:pPr>
  </w:style>
  <w:style w:type="paragraph" w:styleId="14">
    <w:name w:val="annotation text"/>
    <w:basedOn w:val="1"/>
    <w:link w:val="138"/>
    <w:autoRedefine/>
    <w:semiHidden/>
    <w:qFormat/>
    <w:uiPriority w:val="0"/>
  </w:style>
  <w:style w:type="paragraph" w:styleId="15">
    <w:name w:val="Body Text 3"/>
    <w:basedOn w:val="1"/>
    <w:autoRedefine/>
    <w:qFormat/>
    <w:uiPriority w:val="0"/>
    <w:pPr>
      <w:spacing w:after="120"/>
    </w:pPr>
    <w:rPr>
      <w:sz w:val="16"/>
      <w:szCs w:val="16"/>
    </w:rPr>
  </w:style>
  <w:style w:type="paragraph" w:styleId="16">
    <w:name w:val="Body Text"/>
    <w:basedOn w:val="1"/>
    <w:next w:val="17"/>
    <w:link w:val="73"/>
    <w:autoRedefine/>
    <w:qFormat/>
    <w:uiPriority w:val="0"/>
    <w:pPr>
      <w:spacing w:after="120"/>
    </w:pPr>
  </w:style>
  <w:style w:type="paragraph" w:styleId="17">
    <w:name w:val="Date"/>
    <w:basedOn w:val="1"/>
    <w:next w:val="1"/>
    <w:link w:val="71"/>
    <w:autoRedefine/>
    <w:qFormat/>
    <w:uiPriority w:val="0"/>
    <w:pPr>
      <w:jc w:val="both"/>
    </w:pPr>
    <w:rPr>
      <w:rFonts w:ascii="宋体"/>
      <w:sz w:val="24"/>
    </w:rPr>
  </w:style>
  <w:style w:type="paragraph" w:styleId="18">
    <w:name w:val="Body Text Indent"/>
    <w:basedOn w:val="1"/>
    <w:next w:val="1"/>
    <w:autoRedefine/>
    <w:qFormat/>
    <w:uiPriority w:val="0"/>
    <w:pPr>
      <w:spacing w:after="120"/>
      <w:ind w:left="420" w:leftChars="200"/>
    </w:pPr>
  </w:style>
  <w:style w:type="paragraph" w:styleId="19">
    <w:name w:val="List 2"/>
    <w:basedOn w:val="1"/>
    <w:autoRedefine/>
    <w:qFormat/>
    <w:uiPriority w:val="0"/>
    <w:pPr>
      <w:widowControl w:val="0"/>
      <w:adjustRightInd w:val="0"/>
      <w:spacing w:line="360" w:lineRule="auto"/>
      <w:jc w:val="both"/>
      <w:textAlignment w:val="baseline"/>
    </w:pPr>
    <w:rPr>
      <w:sz w:val="24"/>
    </w:rPr>
  </w:style>
  <w:style w:type="paragraph" w:styleId="20">
    <w:name w:val="Block Text"/>
    <w:basedOn w:val="1"/>
    <w:autoRedefine/>
    <w:qFormat/>
    <w:uiPriority w:val="0"/>
    <w:pPr>
      <w:widowControl w:val="0"/>
      <w:ind w:left="1155" w:right="40" w:rightChars="19"/>
      <w:jc w:val="both"/>
    </w:pPr>
    <w:rPr>
      <w:kern w:val="2"/>
      <w:sz w:val="21"/>
      <w:szCs w:val="24"/>
    </w:rPr>
  </w:style>
  <w:style w:type="paragraph" w:styleId="21">
    <w:name w:val="toc 5"/>
    <w:basedOn w:val="1"/>
    <w:next w:val="1"/>
    <w:autoRedefine/>
    <w:qFormat/>
    <w:uiPriority w:val="0"/>
    <w:pPr>
      <w:ind w:left="800"/>
    </w:pPr>
    <w:rPr>
      <w:rFonts w:ascii="Calibri" w:hAnsi="Calibri" w:cs="Calibri"/>
      <w:sz w:val="18"/>
      <w:szCs w:val="18"/>
    </w:rPr>
  </w:style>
  <w:style w:type="paragraph" w:styleId="22">
    <w:name w:val="toc 3"/>
    <w:basedOn w:val="1"/>
    <w:next w:val="1"/>
    <w:autoRedefine/>
    <w:semiHidden/>
    <w:qFormat/>
    <w:uiPriority w:val="0"/>
    <w:pPr>
      <w:ind w:left="400"/>
    </w:pPr>
    <w:rPr>
      <w:rFonts w:ascii="Calibri" w:hAnsi="Calibri" w:cs="Calibri"/>
      <w:i/>
      <w:iCs/>
    </w:rPr>
  </w:style>
  <w:style w:type="paragraph" w:styleId="23">
    <w:name w:val="Plain Text"/>
    <w:basedOn w:val="1"/>
    <w:link w:val="74"/>
    <w:autoRedefine/>
    <w:qFormat/>
    <w:uiPriority w:val="0"/>
    <w:rPr>
      <w:rFonts w:ascii="宋体" w:hAnsi="Courier New" w:cs="Century"/>
      <w:sz w:val="21"/>
      <w:szCs w:val="21"/>
    </w:rPr>
  </w:style>
  <w:style w:type="paragraph" w:styleId="24">
    <w:name w:val="toc 8"/>
    <w:basedOn w:val="1"/>
    <w:next w:val="1"/>
    <w:autoRedefine/>
    <w:qFormat/>
    <w:uiPriority w:val="0"/>
    <w:pPr>
      <w:ind w:left="1400"/>
    </w:pPr>
    <w:rPr>
      <w:rFonts w:ascii="Calibri" w:hAnsi="Calibri" w:cs="Calibri"/>
      <w:sz w:val="18"/>
      <w:szCs w:val="18"/>
    </w:rPr>
  </w:style>
  <w:style w:type="paragraph" w:styleId="25">
    <w:name w:val="Body Text Indent 2"/>
    <w:basedOn w:val="1"/>
    <w:autoRedefine/>
    <w:qFormat/>
    <w:uiPriority w:val="0"/>
    <w:pPr>
      <w:spacing w:after="120" w:line="480" w:lineRule="auto"/>
      <w:ind w:left="420" w:leftChars="200"/>
    </w:pPr>
  </w:style>
  <w:style w:type="paragraph" w:styleId="26">
    <w:name w:val="Balloon Text"/>
    <w:basedOn w:val="1"/>
    <w:autoRedefine/>
    <w:semiHidden/>
    <w:qFormat/>
    <w:uiPriority w:val="0"/>
    <w:rPr>
      <w:sz w:val="18"/>
      <w:szCs w:val="18"/>
    </w:rPr>
  </w:style>
  <w:style w:type="paragraph" w:styleId="27">
    <w:name w:val="footer"/>
    <w:basedOn w:val="1"/>
    <w:autoRedefine/>
    <w:qFormat/>
    <w:uiPriority w:val="99"/>
    <w:pPr>
      <w:tabs>
        <w:tab w:val="center" w:pos="4153"/>
        <w:tab w:val="right" w:pos="8306"/>
      </w:tabs>
      <w:snapToGrid w:val="0"/>
    </w:pPr>
    <w:rPr>
      <w:sz w:val="18"/>
    </w:rPr>
  </w:style>
  <w:style w:type="paragraph" w:styleId="28">
    <w:name w:val="header"/>
    <w:basedOn w:val="1"/>
    <w:link w:val="82"/>
    <w:autoRedefine/>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autoRedefine/>
    <w:qFormat/>
    <w:uiPriority w:val="39"/>
    <w:pPr>
      <w:spacing w:before="120" w:after="120"/>
    </w:pPr>
    <w:rPr>
      <w:rFonts w:ascii="Calibri" w:hAnsi="Calibri" w:cs="Calibri"/>
      <w:b/>
      <w:bCs/>
      <w:caps/>
    </w:rPr>
  </w:style>
  <w:style w:type="paragraph" w:styleId="30">
    <w:name w:val="toc 4"/>
    <w:basedOn w:val="1"/>
    <w:next w:val="1"/>
    <w:autoRedefine/>
    <w:qFormat/>
    <w:uiPriority w:val="0"/>
    <w:pPr>
      <w:ind w:left="600"/>
    </w:pPr>
    <w:rPr>
      <w:rFonts w:ascii="Calibri" w:hAnsi="Calibri" w:cs="Calibri"/>
      <w:sz w:val="18"/>
      <w:szCs w:val="18"/>
    </w:rPr>
  </w:style>
  <w:style w:type="paragraph" w:styleId="31">
    <w:name w:val="List"/>
    <w:basedOn w:val="1"/>
    <w:autoRedefine/>
    <w:qFormat/>
    <w:uiPriority w:val="0"/>
    <w:pPr>
      <w:widowControl w:val="0"/>
      <w:adjustRightInd w:val="0"/>
      <w:spacing w:line="360" w:lineRule="auto"/>
      <w:jc w:val="both"/>
      <w:textAlignment w:val="baseline"/>
    </w:pPr>
    <w:rPr>
      <w:sz w:val="24"/>
    </w:rPr>
  </w:style>
  <w:style w:type="paragraph" w:styleId="32">
    <w:name w:val="toc 6"/>
    <w:basedOn w:val="1"/>
    <w:next w:val="1"/>
    <w:autoRedefine/>
    <w:qFormat/>
    <w:uiPriority w:val="0"/>
    <w:pPr>
      <w:ind w:left="1000"/>
    </w:pPr>
    <w:rPr>
      <w:rFonts w:ascii="Calibri" w:hAnsi="Calibri" w:cs="Calibri"/>
      <w:sz w:val="18"/>
      <w:szCs w:val="18"/>
    </w:rPr>
  </w:style>
  <w:style w:type="paragraph" w:styleId="33">
    <w:name w:val="Body Text Indent 3"/>
    <w:basedOn w:val="1"/>
    <w:autoRedefine/>
    <w:qFormat/>
    <w:uiPriority w:val="0"/>
    <w:pPr>
      <w:spacing w:after="120"/>
      <w:ind w:left="420" w:leftChars="200"/>
    </w:pPr>
    <w:rPr>
      <w:sz w:val="16"/>
      <w:szCs w:val="16"/>
    </w:rPr>
  </w:style>
  <w:style w:type="paragraph" w:styleId="34">
    <w:name w:val="toc 2"/>
    <w:basedOn w:val="1"/>
    <w:next w:val="1"/>
    <w:autoRedefine/>
    <w:qFormat/>
    <w:uiPriority w:val="39"/>
    <w:pPr>
      <w:ind w:left="200"/>
    </w:pPr>
    <w:rPr>
      <w:rFonts w:ascii="Calibri" w:hAnsi="Calibri" w:cs="Calibri"/>
      <w:smallCaps/>
    </w:rPr>
  </w:style>
  <w:style w:type="paragraph" w:styleId="35">
    <w:name w:val="toc 9"/>
    <w:basedOn w:val="1"/>
    <w:next w:val="1"/>
    <w:autoRedefine/>
    <w:qFormat/>
    <w:uiPriority w:val="0"/>
    <w:pPr>
      <w:ind w:left="1600"/>
    </w:pPr>
    <w:rPr>
      <w:rFonts w:ascii="Calibri" w:hAnsi="Calibri" w:cs="Calibri"/>
      <w:sz w:val="18"/>
      <w:szCs w:val="18"/>
    </w:rPr>
  </w:style>
  <w:style w:type="paragraph" w:styleId="36">
    <w:name w:val="Body Text 2"/>
    <w:basedOn w:val="1"/>
    <w:autoRedefine/>
    <w:qFormat/>
    <w:uiPriority w:val="0"/>
    <w:pPr>
      <w:spacing w:after="120" w:line="480" w:lineRule="auto"/>
    </w:pPr>
  </w:style>
  <w:style w:type="paragraph" w:styleId="37">
    <w:name w:val="Message Header"/>
    <w:basedOn w:val="1"/>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8">
    <w:name w:val="Normal (Web)"/>
    <w:basedOn w:val="1"/>
    <w:autoRedefine/>
    <w:qFormat/>
    <w:uiPriority w:val="0"/>
    <w:rPr>
      <w:sz w:val="24"/>
      <w:szCs w:val="24"/>
    </w:rPr>
  </w:style>
  <w:style w:type="paragraph" w:styleId="39">
    <w:name w:val="index 1"/>
    <w:basedOn w:val="1"/>
    <w:next w:val="1"/>
    <w:autoRedefine/>
    <w:semiHidden/>
    <w:qFormat/>
    <w:uiPriority w:val="0"/>
  </w:style>
  <w:style w:type="paragraph" w:styleId="40">
    <w:name w:val="Title"/>
    <w:basedOn w:val="1"/>
    <w:next w:val="1"/>
    <w:autoRedefine/>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1">
    <w:name w:val="annotation subject"/>
    <w:basedOn w:val="14"/>
    <w:next w:val="14"/>
    <w:link w:val="139"/>
    <w:autoRedefine/>
    <w:semiHidden/>
    <w:unhideWhenUsed/>
    <w:qFormat/>
    <w:uiPriority w:val="0"/>
    <w:rPr>
      <w:b/>
      <w:bCs/>
    </w:rPr>
  </w:style>
  <w:style w:type="paragraph" w:styleId="42">
    <w:name w:val="Body Text First Indent"/>
    <w:basedOn w:val="16"/>
    <w:autoRedefine/>
    <w:qFormat/>
    <w:uiPriority w:val="0"/>
    <w:pPr>
      <w:widowControl w:val="0"/>
      <w:adjustRightInd w:val="0"/>
      <w:spacing w:after="0" w:line="312" w:lineRule="auto"/>
      <w:ind w:firstLine="567"/>
      <w:jc w:val="both"/>
      <w:textAlignment w:val="baseline"/>
    </w:pPr>
    <w:rPr>
      <w:sz w:val="28"/>
    </w:rPr>
  </w:style>
  <w:style w:type="paragraph" w:styleId="43">
    <w:name w:val="Body Text First Indent 2"/>
    <w:basedOn w:val="18"/>
    <w:next w:val="1"/>
    <w:autoRedefine/>
    <w:qFormat/>
    <w:uiPriority w:val="0"/>
    <w:pPr>
      <w:tabs>
        <w:tab w:val="left" w:pos="360"/>
      </w:tabs>
      <w:spacing w:after="120" w:afterLines="0"/>
      <w:ind w:firstLine="420"/>
    </w:pPr>
    <w:rPr>
      <w:rFonts w:ascii="仿宋_GB2312" w:hAnsi="Times New Roman" w:eastAsia="仿宋_GB2312" w:cs="Times New Roman"/>
      <w:sz w:val="24"/>
      <w:szCs w:val="20"/>
    </w:rPr>
  </w:style>
  <w:style w:type="table" w:styleId="45">
    <w:name w:val="Table Grid"/>
    <w:basedOn w:val="4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0"/>
    <w:rPr>
      <w:b/>
      <w:bCs/>
    </w:rPr>
  </w:style>
  <w:style w:type="character" w:styleId="48">
    <w:name w:val="page number"/>
    <w:basedOn w:val="46"/>
    <w:autoRedefine/>
    <w:qFormat/>
    <w:uiPriority w:val="0"/>
  </w:style>
  <w:style w:type="character" w:styleId="49">
    <w:name w:val="FollowedHyperlink"/>
    <w:basedOn w:val="46"/>
    <w:autoRedefine/>
    <w:qFormat/>
    <w:uiPriority w:val="99"/>
    <w:rPr>
      <w:color w:val="800080"/>
      <w:u w:val="none"/>
    </w:rPr>
  </w:style>
  <w:style w:type="character" w:styleId="50">
    <w:name w:val="Emphasis"/>
    <w:basedOn w:val="46"/>
    <w:autoRedefine/>
    <w:qFormat/>
    <w:uiPriority w:val="0"/>
  </w:style>
  <w:style w:type="character" w:styleId="51">
    <w:name w:val="line number"/>
    <w:basedOn w:val="46"/>
    <w:autoRedefine/>
    <w:qFormat/>
    <w:uiPriority w:val="0"/>
  </w:style>
  <w:style w:type="character" w:styleId="52">
    <w:name w:val="HTML Definition"/>
    <w:basedOn w:val="46"/>
    <w:autoRedefine/>
    <w:semiHidden/>
    <w:unhideWhenUsed/>
    <w:qFormat/>
    <w:uiPriority w:val="0"/>
  </w:style>
  <w:style w:type="character" w:styleId="53">
    <w:name w:val="HTML Typewriter"/>
    <w:basedOn w:val="46"/>
    <w:autoRedefine/>
    <w:semiHidden/>
    <w:unhideWhenUsed/>
    <w:qFormat/>
    <w:uiPriority w:val="0"/>
    <w:rPr>
      <w:rFonts w:hint="default" w:ascii="monospace" w:hAnsi="monospace" w:eastAsia="monospace" w:cs="monospace"/>
      <w:sz w:val="20"/>
    </w:rPr>
  </w:style>
  <w:style w:type="character" w:styleId="54">
    <w:name w:val="HTML Acronym"/>
    <w:basedOn w:val="46"/>
    <w:autoRedefine/>
    <w:semiHidden/>
    <w:unhideWhenUsed/>
    <w:qFormat/>
    <w:uiPriority w:val="0"/>
  </w:style>
  <w:style w:type="character" w:styleId="55">
    <w:name w:val="HTML Variable"/>
    <w:basedOn w:val="46"/>
    <w:autoRedefine/>
    <w:semiHidden/>
    <w:unhideWhenUsed/>
    <w:qFormat/>
    <w:uiPriority w:val="0"/>
  </w:style>
  <w:style w:type="character" w:styleId="56">
    <w:name w:val="Hyperlink"/>
    <w:basedOn w:val="46"/>
    <w:autoRedefine/>
    <w:qFormat/>
    <w:uiPriority w:val="99"/>
    <w:rPr>
      <w:color w:val="0000FF"/>
      <w:u w:val="none"/>
    </w:rPr>
  </w:style>
  <w:style w:type="character" w:styleId="57">
    <w:name w:val="HTML Code"/>
    <w:basedOn w:val="46"/>
    <w:autoRedefine/>
    <w:semiHidden/>
    <w:unhideWhenUsed/>
    <w:qFormat/>
    <w:uiPriority w:val="0"/>
    <w:rPr>
      <w:rFonts w:hint="default" w:ascii="monospace" w:hAnsi="monospace" w:eastAsia="monospace" w:cs="monospace"/>
      <w:sz w:val="20"/>
    </w:rPr>
  </w:style>
  <w:style w:type="character" w:styleId="58">
    <w:name w:val="annotation reference"/>
    <w:basedOn w:val="46"/>
    <w:autoRedefine/>
    <w:semiHidden/>
    <w:unhideWhenUsed/>
    <w:qFormat/>
    <w:uiPriority w:val="0"/>
    <w:rPr>
      <w:sz w:val="21"/>
      <w:szCs w:val="21"/>
    </w:rPr>
  </w:style>
  <w:style w:type="character" w:styleId="59">
    <w:name w:val="HTML Cite"/>
    <w:basedOn w:val="46"/>
    <w:autoRedefine/>
    <w:semiHidden/>
    <w:unhideWhenUsed/>
    <w:qFormat/>
    <w:uiPriority w:val="0"/>
  </w:style>
  <w:style w:type="character" w:styleId="60">
    <w:name w:val="HTML Keyboard"/>
    <w:basedOn w:val="46"/>
    <w:autoRedefine/>
    <w:semiHidden/>
    <w:unhideWhenUsed/>
    <w:qFormat/>
    <w:uiPriority w:val="0"/>
    <w:rPr>
      <w:rFonts w:ascii="monospace" w:hAnsi="monospace" w:eastAsia="monospace" w:cs="monospace"/>
      <w:sz w:val="20"/>
    </w:rPr>
  </w:style>
  <w:style w:type="character" w:styleId="61">
    <w:name w:val="HTML Sample"/>
    <w:basedOn w:val="46"/>
    <w:autoRedefine/>
    <w:semiHidden/>
    <w:unhideWhenUsed/>
    <w:qFormat/>
    <w:uiPriority w:val="0"/>
    <w:rPr>
      <w:rFonts w:hint="default" w:ascii="monospace" w:hAnsi="monospace" w:eastAsia="monospace" w:cs="monospace"/>
    </w:rPr>
  </w:style>
  <w:style w:type="paragraph" w:customStyle="1" w:styleId="6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3">
    <w:name w:val="首行缩进"/>
    <w:basedOn w:val="1"/>
    <w:autoRedefine/>
    <w:qFormat/>
    <w:uiPriority w:val="0"/>
    <w:pPr>
      <w:tabs>
        <w:tab w:val="left" w:pos="540"/>
      </w:tabs>
      <w:spacing w:line="360" w:lineRule="auto"/>
    </w:pPr>
    <w:rPr>
      <w:rFonts w:eastAsia="仿宋_GB2312"/>
    </w:rPr>
  </w:style>
  <w:style w:type="character" w:customStyle="1" w:styleId="64">
    <w:name w:val="标题 1 Char"/>
    <w:basedOn w:val="46"/>
    <w:link w:val="2"/>
    <w:autoRedefine/>
    <w:qFormat/>
    <w:uiPriority w:val="0"/>
    <w:rPr>
      <w:b/>
      <w:kern w:val="44"/>
      <w:sz w:val="44"/>
    </w:rPr>
  </w:style>
  <w:style w:type="character" w:customStyle="1" w:styleId="65">
    <w:name w:val="普通文字 Char Char"/>
    <w:autoRedefine/>
    <w:qFormat/>
    <w:uiPriority w:val="0"/>
    <w:rPr>
      <w:rFonts w:ascii="宋体" w:hAnsi="Courier New" w:eastAsia="宋体" w:cs="Century"/>
      <w:sz w:val="21"/>
      <w:szCs w:val="21"/>
      <w:lang w:val="en-US" w:eastAsia="zh-CN" w:bidi="ar-SA"/>
    </w:rPr>
  </w:style>
  <w:style w:type="character" w:customStyle="1" w:styleId="66">
    <w:name w:val="font11"/>
    <w:basedOn w:val="46"/>
    <w:autoRedefine/>
    <w:qFormat/>
    <w:uiPriority w:val="0"/>
    <w:rPr>
      <w:rFonts w:hint="eastAsia" w:ascii="宋体" w:hAnsi="宋体" w:eastAsia="宋体" w:cs="宋体"/>
      <w:color w:val="000000"/>
      <w:sz w:val="22"/>
      <w:szCs w:val="22"/>
      <w:u w:val="none"/>
    </w:rPr>
  </w:style>
  <w:style w:type="character" w:customStyle="1" w:styleId="67">
    <w:name w:val="正文文本 Char"/>
    <w:autoRedefine/>
    <w:qFormat/>
    <w:uiPriority w:val="0"/>
    <w:rPr>
      <w:rFonts w:eastAsia="宋体"/>
      <w:lang w:val="en-US" w:eastAsia="zh-CN" w:bidi="ar-SA"/>
    </w:rPr>
  </w:style>
  <w:style w:type="character" w:customStyle="1" w:styleId="68">
    <w:name w:val="引用 Char"/>
    <w:basedOn w:val="46"/>
    <w:link w:val="69"/>
    <w:autoRedefine/>
    <w:qFormat/>
    <w:uiPriority w:val="29"/>
    <w:rPr>
      <w:i/>
      <w:iCs/>
      <w:color w:val="000000"/>
    </w:rPr>
  </w:style>
  <w:style w:type="paragraph" w:styleId="69">
    <w:name w:val="Quote"/>
    <w:basedOn w:val="1"/>
    <w:next w:val="1"/>
    <w:link w:val="68"/>
    <w:autoRedefine/>
    <w:qFormat/>
    <w:uiPriority w:val="29"/>
    <w:rPr>
      <w:i/>
      <w:iCs/>
      <w:color w:val="000000"/>
    </w:rPr>
  </w:style>
  <w:style w:type="character" w:customStyle="1" w:styleId="70">
    <w:name w:val="text"/>
    <w:basedOn w:val="46"/>
    <w:autoRedefine/>
    <w:qFormat/>
    <w:uiPriority w:val="0"/>
  </w:style>
  <w:style w:type="character" w:customStyle="1" w:styleId="71">
    <w:name w:val="日期 Char"/>
    <w:basedOn w:val="46"/>
    <w:link w:val="17"/>
    <w:autoRedefine/>
    <w:qFormat/>
    <w:uiPriority w:val="0"/>
    <w:rPr>
      <w:rFonts w:ascii="宋体"/>
      <w:sz w:val="24"/>
    </w:rPr>
  </w:style>
  <w:style w:type="character" w:customStyle="1" w:styleId="72">
    <w:name w:val="titlestyle10831"/>
    <w:basedOn w:val="46"/>
    <w:autoRedefine/>
    <w:qFormat/>
    <w:uiPriority w:val="0"/>
    <w:rPr>
      <w:rFonts w:hint="eastAsia" w:ascii="黑体" w:hAnsi="黑体" w:eastAsia="黑体"/>
      <w:b/>
      <w:bCs/>
      <w:sz w:val="36"/>
      <w:szCs w:val="36"/>
    </w:rPr>
  </w:style>
  <w:style w:type="character" w:customStyle="1" w:styleId="73">
    <w:name w:val="正文文本 Char1"/>
    <w:basedOn w:val="46"/>
    <w:link w:val="16"/>
    <w:autoRedefine/>
    <w:qFormat/>
    <w:uiPriority w:val="0"/>
    <w:rPr>
      <w:rFonts w:eastAsia="宋体"/>
      <w:lang w:val="en-US" w:eastAsia="zh-CN" w:bidi="ar-SA"/>
    </w:rPr>
  </w:style>
  <w:style w:type="character" w:customStyle="1" w:styleId="74">
    <w:name w:val="纯文本 Char"/>
    <w:basedOn w:val="46"/>
    <w:link w:val="23"/>
    <w:autoRedefine/>
    <w:qFormat/>
    <w:uiPriority w:val="0"/>
    <w:rPr>
      <w:rFonts w:ascii="宋体" w:hAnsi="Courier New" w:eastAsia="宋体" w:cs="Century"/>
      <w:sz w:val="21"/>
      <w:szCs w:val="21"/>
      <w:lang w:val="en-US" w:eastAsia="zh-CN" w:bidi="ar-SA"/>
    </w:rPr>
  </w:style>
  <w:style w:type="character" w:customStyle="1" w:styleId="75">
    <w:name w:val="apple-tab-span"/>
    <w:basedOn w:val="46"/>
    <w:autoRedefine/>
    <w:qFormat/>
    <w:uiPriority w:val="0"/>
  </w:style>
  <w:style w:type="character" w:customStyle="1" w:styleId="76">
    <w:name w:val="Char Char Char"/>
    <w:basedOn w:val="46"/>
    <w:autoRedefine/>
    <w:qFormat/>
    <w:uiPriority w:val="0"/>
    <w:rPr>
      <w:rFonts w:ascii="宋体" w:hAnsi="Courier New" w:eastAsia="宋体"/>
      <w:kern w:val="2"/>
      <w:sz w:val="24"/>
      <w:lang w:val="en-US" w:eastAsia="zh-CN" w:bidi="ar-SA"/>
    </w:rPr>
  </w:style>
  <w:style w:type="character" w:customStyle="1" w:styleId="77">
    <w:name w:val="para"/>
    <w:basedOn w:val="46"/>
    <w:autoRedefine/>
    <w:qFormat/>
    <w:uiPriority w:val="0"/>
  </w:style>
  <w:style w:type="character" w:customStyle="1" w:styleId="78">
    <w:name w:val="main14"/>
    <w:basedOn w:val="46"/>
    <w:autoRedefine/>
    <w:qFormat/>
    <w:uiPriority w:val="0"/>
  </w:style>
  <w:style w:type="character" w:customStyle="1" w:styleId="79">
    <w:name w:val="title_emph"/>
    <w:basedOn w:val="46"/>
    <w:autoRedefine/>
    <w:qFormat/>
    <w:uiPriority w:val="0"/>
  </w:style>
  <w:style w:type="character" w:customStyle="1" w:styleId="80">
    <w:name w:val="font01"/>
    <w:basedOn w:val="46"/>
    <w:autoRedefine/>
    <w:qFormat/>
    <w:uiPriority w:val="0"/>
    <w:rPr>
      <w:rFonts w:hint="eastAsia" w:ascii="宋体" w:hAnsi="宋体" w:eastAsia="宋体" w:cs="宋体"/>
      <w:color w:val="000000"/>
      <w:sz w:val="22"/>
      <w:szCs w:val="22"/>
      <w:u w:val="none"/>
    </w:rPr>
  </w:style>
  <w:style w:type="paragraph" w:customStyle="1" w:styleId="81">
    <w:name w:val="È±Ê¡ÎÄ±¾"/>
    <w:basedOn w:val="1"/>
    <w:autoRedefine/>
    <w:qFormat/>
    <w:uiPriority w:val="0"/>
    <w:pPr>
      <w:overflowPunct w:val="0"/>
      <w:autoSpaceDE w:val="0"/>
      <w:autoSpaceDN w:val="0"/>
      <w:adjustRightInd w:val="0"/>
      <w:textAlignment w:val="baseline"/>
    </w:pPr>
    <w:rPr>
      <w:sz w:val="24"/>
    </w:rPr>
  </w:style>
  <w:style w:type="character" w:customStyle="1" w:styleId="82">
    <w:name w:val="页眉 Char"/>
    <w:basedOn w:val="46"/>
    <w:link w:val="28"/>
    <w:autoRedefine/>
    <w:qFormat/>
    <w:uiPriority w:val="99"/>
    <w:rPr>
      <w:sz w:val="18"/>
    </w:rPr>
  </w:style>
  <w:style w:type="paragraph" w:customStyle="1" w:styleId="83">
    <w:name w:val="Char Char Char Char"/>
    <w:basedOn w:val="1"/>
    <w:autoRedefine/>
    <w:qFormat/>
    <w:uiPriority w:val="0"/>
    <w:pPr>
      <w:widowControl w:val="0"/>
      <w:jc w:val="both"/>
    </w:pPr>
    <w:rPr>
      <w:rFonts w:ascii="Tahoma" w:hAnsi="Tahoma"/>
      <w:kern w:val="2"/>
      <w:sz w:val="24"/>
    </w:rPr>
  </w:style>
  <w:style w:type="paragraph" w:customStyle="1" w:styleId="84">
    <w:name w:val="1"/>
    <w:basedOn w:val="1"/>
    <w:next w:val="38"/>
    <w:autoRedefine/>
    <w:qFormat/>
    <w:uiPriority w:val="0"/>
    <w:pPr>
      <w:spacing w:before="100" w:beforeAutospacing="1" w:after="100" w:afterAutospacing="1"/>
    </w:pPr>
    <w:rPr>
      <w:rFonts w:ascii="宋体" w:hAnsi="宋体" w:cs="黑体"/>
      <w:sz w:val="24"/>
      <w:szCs w:val="24"/>
    </w:rPr>
  </w:style>
  <w:style w:type="paragraph" w:customStyle="1" w:styleId="85">
    <w:name w:val="正文文本缩进1"/>
    <w:basedOn w:val="1"/>
    <w:autoRedefine/>
    <w:qFormat/>
    <w:uiPriority w:val="0"/>
    <w:pPr>
      <w:widowControl w:val="0"/>
      <w:ind w:firstLine="560" w:firstLineChars="200"/>
      <w:jc w:val="both"/>
    </w:pPr>
    <w:rPr>
      <w:kern w:val="2"/>
      <w:sz w:val="28"/>
      <w:szCs w:val="28"/>
    </w:rPr>
  </w:style>
  <w:style w:type="paragraph" w:customStyle="1" w:styleId="86">
    <w:name w:val="IBM 正文"/>
    <w:basedOn w:val="1"/>
    <w:autoRedefine/>
    <w:qFormat/>
    <w:uiPriority w:val="0"/>
    <w:pPr>
      <w:widowControl w:val="0"/>
      <w:spacing w:line="400" w:lineRule="exact"/>
      <w:jc w:val="both"/>
    </w:pPr>
    <w:rPr>
      <w:spacing w:val="20"/>
      <w:kern w:val="2"/>
      <w:sz w:val="24"/>
    </w:rPr>
  </w:style>
  <w:style w:type="paragraph" w:customStyle="1" w:styleId="87">
    <w:name w:val="Char"/>
    <w:basedOn w:val="1"/>
    <w:autoRedefine/>
    <w:qFormat/>
    <w:uiPriority w:val="0"/>
    <w:pPr>
      <w:spacing w:after="160" w:line="240" w:lineRule="exact"/>
    </w:pPr>
    <w:rPr>
      <w:rFonts w:ascii="宋体" w:hAnsi="宋体"/>
      <w:lang w:eastAsia="en-US"/>
    </w:rPr>
  </w:style>
  <w:style w:type="paragraph" w:customStyle="1" w:styleId="88">
    <w:name w:val="样式2"/>
    <w:basedOn w:val="1"/>
    <w:autoRedefine/>
    <w:qFormat/>
    <w:uiPriority w:val="0"/>
    <w:pPr>
      <w:widowControl w:val="0"/>
      <w:jc w:val="both"/>
    </w:pPr>
    <w:rPr>
      <w:rFonts w:ascii="仿宋_GB2312" w:eastAsia="仿宋_GB2312"/>
      <w:kern w:val="2"/>
      <w:sz w:val="32"/>
    </w:rPr>
  </w:style>
  <w:style w:type="paragraph" w:customStyle="1" w:styleId="89">
    <w:name w:val="Blockquote"/>
    <w:basedOn w:val="1"/>
    <w:autoRedefine/>
    <w:qFormat/>
    <w:uiPriority w:val="0"/>
    <w:pPr>
      <w:widowControl w:val="0"/>
      <w:autoSpaceDE w:val="0"/>
      <w:autoSpaceDN w:val="0"/>
      <w:adjustRightInd w:val="0"/>
      <w:spacing w:before="100" w:after="100"/>
      <w:ind w:left="360" w:right="360"/>
    </w:pPr>
    <w:rPr>
      <w:sz w:val="24"/>
      <w:szCs w:val="24"/>
    </w:rPr>
  </w:style>
  <w:style w:type="paragraph" w:customStyle="1" w:styleId="90">
    <w:name w:val="Char Char Char1 Char"/>
    <w:basedOn w:val="1"/>
    <w:autoRedefine/>
    <w:qFormat/>
    <w:uiPriority w:val="0"/>
    <w:pPr>
      <w:widowControl w:val="0"/>
      <w:jc w:val="both"/>
    </w:pPr>
    <w:rPr>
      <w:rFonts w:ascii="Tahoma" w:hAnsi="Tahoma"/>
      <w:kern w:val="2"/>
      <w:sz w:val="24"/>
    </w:rPr>
  </w:style>
  <w:style w:type="paragraph" w:customStyle="1" w:styleId="91">
    <w:name w:val="缺省文本:1"/>
    <w:basedOn w:val="1"/>
    <w:autoRedefine/>
    <w:qFormat/>
    <w:uiPriority w:val="0"/>
    <w:pPr>
      <w:widowControl w:val="0"/>
      <w:autoSpaceDE w:val="0"/>
      <w:autoSpaceDN w:val="0"/>
      <w:adjustRightInd w:val="0"/>
    </w:pPr>
    <w:rPr>
      <w:sz w:val="24"/>
      <w:szCs w:val="24"/>
    </w:rPr>
  </w:style>
  <w:style w:type="paragraph" w:customStyle="1" w:styleId="92">
    <w:name w:val="标题1.9"/>
    <w:basedOn w:val="1"/>
    <w:autoRedefine/>
    <w:qFormat/>
    <w:uiPriority w:val="0"/>
    <w:pPr>
      <w:widowControl w:val="0"/>
      <w:autoSpaceDE w:val="0"/>
      <w:autoSpaceDN w:val="0"/>
      <w:adjustRightInd w:val="0"/>
      <w:jc w:val="center"/>
    </w:pPr>
    <w:rPr>
      <w:rFonts w:ascii="黑体" w:eastAsia="黑体"/>
      <w:sz w:val="24"/>
      <w:szCs w:val="24"/>
    </w:rPr>
  </w:style>
  <w:style w:type="paragraph" w:customStyle="1" w:styleId="93">
    <w:name w:val="默认段落字体 Para Char Char Char Char Char Char Char Char Char1 Char Char Char Char"/>
    <w:basedOn w:val="1"/>
    <w:autoRedefine/>
    <w:qFormat/>
    <w:uiPriority w:val="0"/>
    <w:pPr>
      <w:widowControl w:val="0"/>
      <w:adjustRightInd w:val="0"/>
      <w:spacing w:line="312" w:lineRule="atLeast"/>
      <w:jc w:val="both"/>
      <w:textAlignment w:val="baseline"/>
    </w:pPr>
    <w:rPr>
      <w:b/>
      <w:bCs/>
      <w:sz w:val="36"/>
      <w:szCs w:val="32"/>
    </w:rPr>
  </w:style>
  <w:style w:type="paragraph" w:styleId="94">
    <w:name w:val="List Paragraph"/>
    <w:basedOn w:val="1"/>
    <w:link w:val="137"/>
    <w:autoRedefine/>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5">
    <w:name w:val="正文文本缩进 21"/>
    <w:basedOn w:val="1"/>
    <w:autoRedefine/>
    <w:qFormat/>
    <w:uiPriority w:val="0"/>
    <w:pPr>
      <w:widowControl w:val="0"/>
      <w:adjustRightInd w:val="0"/>
      <w:spacing w:line="360" w:lineRule="atLeast"/>
      <w:ind w:firstLine="600"/>
      <w:jc w:val="both"/>
      <w:textAlignment w:val="baseline"/>
    </w:pPr>
    <w:rPr>
      <w:sz w:val="32"/>
    </w:rPr>
  </w:style>
  <w:style w:type="paragraph" w:customStyle="1" w:styleId="96">
    <w:name w:val="标题 4.1"/>
    <w:basedOn w:val="1"/>
    <w:autoRedefine/>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7">
    <w:name w:val="reader-word-layer reader-word-s16-2"/>
    <w:basedOn w:val="1"/>
    <w:autoRedefine/>
    <w:qFormat/>
    <w:uiPriority w:val="0"/>
    <w:pPr>
      <w:spacing w:before="100" w:beforeAutospacing="1" w:after="100" w:afterAutospacing="1"/>
    </w:pPr>
    <w:rPr>
      <w:rFonts w:ascii="宋体" w:hAnsi="宋体" w:cs="宋体"/>
      <w:sz w:val="24"/>
      <w:szCs w:val="24"/>
    </w:rPr>
  </w:style>
  <w:style w:type="paragraph" w:customStyle="1" w:styleId="98">
    <w:name w:val="标题5"/>
    <w:basedOn w:val="1"/>
    <w:autoRedefine/>
    <w:qFormat/>
    <w:uiPriority w:val="0"/>
    <w:pPr>
      <w:widowControl w:val="0"/>
      <w:tabs>
        <w:tab w:val="left" w:pos="7035"/>
      </w:tabs>
      <w:jc w:val="both"/>
    </w:pPr>
    <w:rPr>
      <w:rFonts w:ascii="宋体" w:hAnsi="宋体"/>
      <w:b/>
      <w:color w:val="000000"/>
      <w:kern w:val="2"/>
      <w:sz w:val="24"/>
      <w:szCs w:val="24"/>
    </w:rPr>
  </w:style>
  <w:style w:type="paragraph" w:customStyle="1" w:styleId="99">
    <w:name w:val="正文文本 21"/>
    <w:basedOn w:val="1"/>
    <w:autoRedefine/>
    <w:qFormat/>
    <w:uiPriority w:val="0"/>
    <w:pPr>
      <w:widowControl w:val="0"/>
      <w:adjustRightInd w:val="0"/>
      <w:spacing w:line="360" w:lineRule="atLeast"/>
      <w:ind w:firstLine="720"/>
      <w:jc w:val="both"/>
      <w:textAlignment w:val="baseline"/>
    </w:pPr>
    <w:rPr>
      <w:sz w:val="32"/>
      <w:szCs w:val="24"/>
    </w:rPr>
  </w:style>
  <w:style w:type="paragraph" w:customStyle="1" w:styleId="100">
    <w:name w:val="reader-word-layer reader-word-s16-14"/>
    <w:basedOn w:val="1"/>
    <w:autoRedefine/>
    <w:qFormat/>
    <w:uiPriority w:val="0"/>
    <w:pPr>
      <w:spacing w:before="100" w:beforeAutospacing="1" w:after="100" w:afterAutospacing="1"/>
    </w:pPr>
    <w:rPr>
      <w:rFonts w:ascii="宋体" w:hAnsi="宋体" w:cs="宋体"/>
      <w:sz w:val="24"/>
      <w:szCs w:val="24"/>
    </w:rPr>
  </w:style>
  <w:style w:type="paragraph" w:customStyle="1" w:styleId="101">
    <w:name w:val="xl28"/>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2">
    <w:name w:val="reader-word-layer reader-word-s16-16"/>
    <w:basedOn w:val="1"/>
    <w:autoRedefine/>
    <w:qFormat/>
    <w:uiPriority w:val="0"/>
    <w:pPr>
      <w:spacing w:before="100" w:beforeAutospacing="1" w:after="100" w:afterAutospacing="1"/>
    </w:pPr>
    <w:rPr>
      <w:rFonts w:ascii="宋体" w:hAnsi="宋体" w:cs="宋体"/>
      <w:sz w:val="24"/>
      <w:szCs w:val="24"/>
    </w:rPr>
  </w:style>
  <w:style w:type="paragraph" w:customStyle="1" w:styleId="103">
    <w:name w:val="o"/>
    <w:basedOn w:val="1"/>
    <w:autoRedefine/>
    <w:qFormat/>
    <w:uiPriority w:val="0"/>
    <w:pPr>
      <w:widowControl w:val="0"/>
      <w:adjustRightInd w:val="0"/>
      <w:spacing w:line="360" w:lineRule="atLeast"/>
      <w:textAlignment w:val="baseline"/>
    </w:pPr>
    <w:rPr>
      <w:rFonts w:ascii="宋体"/>
      <w:sz w:val="32"/>
    </w:rPr>
  </w:style>
  <w:style w:type="paragraph" w:customStyle="1" w:styleId="104">
    <w:name w:val="aspnumfaautoadjustright"/>
    <w:autoRedefine/>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5">
    <w:name w:val="小标题"/>
    <w:basedOn w:val="1"/>
    <w:autoRedefine/>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6">
    <w:name w:val="默认段落字体 Para Char Char Char Char Char Char Char Char Char1 Char Char Char Char Char Char Char"/>
    <w:basedOn w:val="13"/>
    <w:autoRedefine/>
    <w:qFormat/>
    <w:uiPriority w:val="0"/>
    <w:pPr>
      <w:widowControl w:val="0"/>
      <w:jc w:val="both"/>
    </w:pPr>
    <w:rPr>
      <w:rFonts w:ascii="Tahoma" w:hAnsi="Tahoma" w:cs="Tahoma"/>
      <w:kern w:val="2"/>
      <w:sz w:val="24"/>
      <w:szCs w:val="24"/>
    </w:rPr>
  </w:style>
  <w:style w:type="paragraph" w:customStyle="1" w:styleId="107">
    <w:name w:val="?¡ì?¡ì?¡§¡è?¡ìo????¡§¡è?:1:1"/>
    <w:basedOn w:val="1"/>
    <w:autoRedefine/>
    <w:qFormat/>
    <w:uiPriority w:val="0"/>
    <w:pPr>
      <w:overflowPunct w:val="0"/>
      <w:autoSpaceDE w:val="0"/>
      <w:autoSpaceDN w:val="0"/>
      <w:adjustRightInd w:val="0"/>
    </w:pPr>
    <w:rPr>
      <w:sz w:val="24"/>
    </w:rPr>
  </w:style>
  <w:style w:type="paragraph" w:customStyle="1" w:styleId="108">
    <w:name w:val="Char Char2"/>
    <w:basedOn w:val="1"/>
    <w:autoRedefine/>
    <w:qFormat/>
    <w:uiPriority w:val="0"/>
    <w:pPr>
      <w:widowControl w:val="0"/>
      <w:jc w:val="both"/>
    </w:pPr>
    <w:rPr>
      <w:rFonts w:ascii="Tahoma" w:hAnsi="Tahoma"/>
      <w:kern w:val="2"/>
      <w:sz w:val="24"/>
    </w:rPr>
  </w:style>
  <w:style w:type="paragraph" w:customStyle="1" w:styleId="109">
    <w:name w:val="reader-word-layer reader-word-s16-12"/>
    <w:basedOn w:val="1"/>
    <w:autoRedefine/>
    <w:qFormat/>
    <w:uiPriority w:val="0"/>
    <w:pPr>
      <w:spacing w:before="100" w:beforeAutospacing="1" w:after="100" w:afterAutospacing="1"/>
    </w:pPr>
    <w:rPr>
      <w:rFonts w:ascii="宋体" w:hAnsi="宋体" w:cs="宋体"/>
      <w:sz w:val="24"/>
      <w:szCs w:val="24"/>
    </w:rPr>
  </w:style>
  <w:style w:type="paragraph" w:customStyle="1" w:styleId="110">
    <w:name w:val="reader-word-layer reader-word-s16-9"/>
    <w:basedOn w:val="1"/>
    <w:autoRedefine/>
    <w:qFormat/>
    <w:uiPriority w:val="0"/>
    <w:pPr>
      <w:spacing w:before="100" w:beforeAutospacing="1" w:after="100" w:afterAutospacing="1"/>
    </w:pPr>
    <w:rPr>
      <w:rFonts w:ascii="宋体" w:hAnsi="宋体" w:cs="宋体"/>
      <w:sz w:val="24"/>
      <w:szCs w:val="24"/>
    </w:rPr>
  </w:style>
  <w:style w:type="paragraph" w:customStyle="1" w:styleId="111">
    <w:name w:val="Char1 Char Char Char"/>
    <w:basedOn w:val="1"/>
    <w:autoRedefine/>
    <w:qFormat/>
    <w:uiPriority w:val="0"/>
    <w:pPr>
      <w:widowControl w:val="0"/>
      <w:jc w:val="both"/>
    </w:pPr>
    <w:rPr>
      <w:kern w:val="2"/>
      <w:sz w:val="21"/>
      <w:szCs w:val="24"/>
    </w:rPr>
  </w:style>
  <w:style w:type="paragraph" w:customStyle="1" w:styleId="112">
    <w:name w:val="默认段落字体 Para Char Char Char Char"/>
    <w:basedOn w:val="1"/>
    <w:autoRedefine/>
    <w:qFormat/>
    <w:uiPriority w:val="0"/>
    <w:pPr>
      <w:widowControl w:val="0"/>
      <w:jc w:val="both"/>
    </w:pPr>
    <w:rPr>
      <w:kern w:val="2"/>
      <w:sz w:val="21"/>
      <w:szCs w:val="24"/>
    </w:rPr>
  </w:style>
  <w:style w:type="paragraph" w:customStyle="1" w:styleId="113">
    <w:name w:val="?¡ì?¡ì?¡§¡è?¡ìo????¡§¡è?:1"/>
    <w:basedOn w:val="1"/>
    <w:autoRedefine/>
    <w:qFormat/>
    <w:uiPriority w:val="0"/>
    <w:pPr>
      <w:overflowPunct w:val="0"/>
      <w:autoSpaceDE w:val="0"/>
      <w:autoSpaceDN w:val="0"/>
      <w:adjustRightInd w:val="0"/>
    </w:pPr>
    <w:rPr>
      <w:sz w:val="24"/>
    </w:rPr>
  </w:style>
  <w:style w:type="paragraph" w:customStyle="1" w:styleId="114">
    <w:name w:val="默认段落字体 Para Char"/>
    <w:basedOn w:val="1"/>
    <w:autoRedefine/>
    <w:qFormat/>
    <w:uiPriority w:val="0"/>
    <w:pPr>
      <w:widowControl w:val="0"/>
      <w:jc w:val="both"/>
    </w:pPr>
    <w:rPr>
      <w:kern w:val="2"/>
      <w:sz w:val="21"/>
      <w:szCs w:val="24"/>
    </w:rPr>
  </w:style>
  <w:style w:type="paragraph" w:customStyle="1" w:styleId="115">
    <w:name w:val="表格02"/>
    <w:basedOn w:val="1"/>
    <w:autoRedefine/>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6">
    <w:name w:val="reader-word-layer reader-word-s16-17"/>
    <w:basedOn w:val="1"/>
    <w:autoRedefine/>
    <w:qFormat/>
    <w:uiPriority w:val="0"/>
    <w:pPr>
      <w:spacing w:before="100" w:beforeAutospacing="1" w:after="100" w:afterAutospacing="1"/>
    </w:pPr>
    <w:rPr>
      <w:rFonts w:ascii="宋体" w:hAnsi="宋体" w:cs="宋体"/>
      <w:sz w:val="24"/>
      <w:szCs w:val="24"/>
    </w:rPr>
  </w:style>
  <w:style w:type="paragraph" w:customStyle="1" w:styleId="117">
    <w:name w:val="CM22"/>
    <w:basedOn w:val="1"/>
    <w:next w:val="1"/>
    <w:autoRedefine/>
    <w:qFormat/>
    <w:uiPriority w:val="0"/>
    <w:pPr>
      <w:widowControl w:val="0"/>
      <w:autoSpaceDE w:val="0"/>
      <w:autoSpaceDN w:val="0"/>
      <w:adjustRightInd w:val="0"/>
      <w:spacing w:after="310"/>
    </w:pPr>
    <w:rPr>
      <w:rFonts w:ascii="宋体"/>
      <w:sz w:val="24"/>
      <w:szCs w:val="24"/>
    </w:rPr>
  </w:style>
  <w:style w:type="paragraph" w:customStyle="1" w:styleId="118">
    <w:name w:val="reader-word-layer reader-word-s16-11"/>
    <w:basedOn w:val="1"/>
    <w:autoRedefine/>
    <w:qFormat/>
    <w:uiPriority w:val="0"/>
    <w:pPr>
      <w:spacing w:before="100" w:beforeAutospacing="1" w:after="100" w:afterAutospacing="1"/>
    </w:pPr>
    <w:rPr>
      <w:rFonts w:ascii="宋体" w:hAnsi="宋体" w:cs="宋体"/>
      <w:sz w:val="24"/>
      <w:szCs w:val="24"/>
    </w:rPr>
  </w:style>
  <w:style w:type="paragraph" w:customStyle="1" w:styleId="119">
    <w:name w:val="È±Ê¡ÎÄ±¾:1:1"/>
    <w:basedOn w:val="1"/>
    <w:autoRedefine/>
    <w:qFormat/>
    <w:uiPriority w:val="0"/>
    <w:pPr>
      <w:overflowPunct w:val="0"/>
      <w:autoSpaceDE w:val="0"/>
      <w:autoSpaceDN w:val="0"/>
      <w:adjustRightInd w:val="0"/>
      <w:textAlignment w:val="baseline"/>
    </w:pPr>
    <w:rPr>
      <w:sz w:val="24"/>
    </w:rPr>
  </w:style>
  <w:style w:type="paragraph" w:customStyle="1" w:styleId="120">
    <w:name w:val="样式1"/>
    <w:basedOn w:val="1"/>
    <w:autoRedefine/>
    <w:qFormat/>
    <w:uiPriority w:val="0"/>
    <w:pPr>
      <w:widowControl w:val="0"/>
      <w:spacing w:before="120" w:after="120" w:line="300" w:lineRule="auto"/>
      <w:jc w:val="both"/>
    </w:pPr>
    <w:rPr>
      <w:rFonts w:ascii="宋体" w:hAnsi="宋体"/>
      <w:b/>
      <w:kern w:val="2"/>
      <w:sz w:val="24"/>
    </w:rPr>
  </w:style>
  <w:style w:type="paragraph" w:customStyle="1" w:styleId="121">
    <w:name w:val="_Style 17"/>
    <w:basedOn w:val="1"/>
    <w:next w:val="38"/>
    <w:autoRedefine/>
    <w:qFormat/>
    <w:uiPriority w:val="0"/>
    <w:pPr>
      <w:spacing w:before="100" w:beforeAutospacing="1" w:after="100" w:afterAutospacing="1"/>
    </w:pPr>
    <w:rPr>
      <w:rFonts w:ascii="宋体" w:hAnsi="宋体" w:cs="黑体"/>
      <w:sz w:val="24"/>
      <w:szCs w:val="24"/>
    </w:rPr>
  </w:style>
  <w:style w:type="paragraph" w:customStyle="1" w:styleId="122">
    <w:name w:val="Char Char Char Char1"/>
    <w:basedOn w:val="1"/>
    <w:autoRedefine/>
    <w:qFormat/>
    <w:uiPriority w:val="0"/>
    <w:pPr>
      <w:widowControl w:val="0"/>
      <w:jc w:val="both"/>
    </w:pPr>
    <w:rPr>
      <w:rFonts w:ascii="Tahoma" w:hAnsi="Tahoma"/>
      <w:kern w:val="2"/>
      <w:sz w:val="24"/>
    </w:rPr>
  </w:style>
  <w:style w:type="paragraph" w:customStyle="1" w:styleId="123">
    <w:name w:val="reader-word-layer reader-word-s16-7"/>
    <w:basedOn w:val="1"/>
    <w:autoRedefine/>
    <w:qFormat/>
    <w:uiPriority w:val="0"/>
    <w:pPr>
      <w:spacing w:before="100" w:beforeAutospacing="1" w:after="100" w:afterAutospacing="1"/>
    </w:pPr>
    <w:rPr>
      <w:rFonts w:ascii="宋体" w:hAnsi="宋体" w:cs="宋体"/>
      <w:sz w:val="24"/>
      <w:szCs w:val="24"/>
    </w:rPr>
  </w:style>
  <w:style w:type="paragraph" w:customStyle="1" w:styleId="124">
    <w:name w:val="正文文本缩进8"/>
    <w:basedOn w:val="1"/>
    <w:autoRedefine/>
    <w:qFormat/>
    <w:uiPriority w:val="0"/>
    <w:pPr>
      <w:widowControl w:val="0"/>
      <w:ind w:firstLine="560" w:firstLineChars="200"/>
      <w:jc w:val="both"/>
    </w:pPr>
    <w:rPr>
      <w:kern w:val="2"/>
      <w:sz w:val="28"/>
      <w:szCs w:val="28"/>
    </w:rPr>
  </w:style>
  <w:style w:type="paragraph" w:customStyle="1" w:styleId="125">
    <w:name w:val="_Style 110"/>
    <w:basedOn w:val="1"/>
    <w:next w:val="94"/>
    <w:autoRedefine/>
    <w:qFormat/>
    <w:uiPriority w:val="34"/>
    <w:pPr>
      <w:widowControl w:val="0"/>
      <w:ind w:firstLine="420" w:firstLineChars="200"/>
      <w:jc w:val="both"/>
    </w:pPr>
    <w:rPr>
      <w:kern w:val="2"/>
      <w:sz w:val="21"/>
    </w:rPr>
  </w:style>
  <w:style w:type="character" w:customStyle="1" w:styleId="126">
    <w:name w:val="页脚 Char"/>
    <w:link w:val="127"/>
    <w:autoRedefine/>
    <w:qFormat/>
    <w:uiPriority w:val="0"/>
    <w:rPr>
      <w:sz w:val="18"/>
    </w:rPr>
  </w:style>
  <w:style w:type="paragraph" w:customStyle="1" w:styleId="127">
    <w:name w:val="页脚1"/>
    <w:basedOn w:val="1"/>
    <w:link w:val="126"/>
    <w:autoRedefine/>
    <w:qFormat/>
    <w:uiPriority w:val="0"/>
    <w:pPr>
      <w:widowControl w:val="0"/>
      <w:tabs>
        <w:tab w:val="center" w:pos="4153"/>
        <w:tab w:val="right" w:pos="8306"/>
      </w:tabs>
      <w:snapToGrid w:val="0"/>
    </w:pPr>
    <w:rPr>
      <w:sz w:val="18"/>
    </w:rPr>
  </w:style>
  <w:style w:type="paragraph" w:customStyle="1" w:styleId="128">
    <w:name w:val="页眉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9">
    <w:name w:val="页眉1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0">
    <w:name w:val="正文缩进1"/>
    <w:basedOn w:val="1"/>
    <w:autoRedefine/>
    <w:qFormat/>
    <w:uiPriority w:val="0"/>
    <w:pPr>
      <w:ind w:firstLine="420"/>
      <w:jc w:val="center"/>
    </w:pPr>
    <w:rPr>
      <w:b/>
      <w:sz w:val="44"/>
    </w:rPr>
  </w:style>
  <w:style w:type="paragraph" w:styleId="13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列出段落1"/>
    <w:basedOn w:val="1"/>
    <w:autoRedefine/>
    <w:qFormat/>
    <w:uiPriority w:val="0"/>
    <w:pPr>
      <w:widowControl w:val="0"/>
      <w:ind w:firstLine="420"/>
      <w:jc w:val="both"/>
    </w:pPr>
    <w:rPr>
      <w:kern w:val="2"/>
      <w:sz w:val="21"/>
    </w:rPr>
  </w:style>
  <w:style w:type="character" w:customStyle="1" w:styleId="133">
    <w:name w:val="p0 Char"/>
    <w:link w:val="134"/>
    <w:autoRedefine/>
    <w:qFormat/>
    <w:locked/>
    <w:uiPriority w:val="0"/>
    <w:rPr>
      <w:sz w:val="21"/>
      <w:szCs w:val="21"/>
    </w:rPr>
  </w:style>
  <w:style w:type="paragraph" w:customStyle="1" w:styleId="134">
    <w:name w:val="p0"/>
    <w:basedOn w:val="1"/>
    <w:link w:val="133"/>
    <w:autoRedefine/>
    <w:qFormat/>
    <w:uiPriority w:val="0"/>
    <w:pPr>
      <w:jc w:val="both"/>
    </w:pPr>
    <w:rPr>
      <w:rFonts w:eastAsia="微软雅黑" w:asciiTheme="minorHAnsi" w:hAnsiTheme="minorHAnsi" w:cstheme="minorBidi"/>
      <w:sz w:val="21"/>
      <w:szCs w:val="21"/>
    </w:rPr>
  </w:style>
  <w:style w:type="paragraph" w:customStyle="1" w:styleId="135">
    <w:name w:val="正文缩进2格"/>
    <w:basedOn w:val="1"/>
    <w:link w:val="136"/>
    <w:autoRedefine/>
    <w:qFormat/>
    <w:uiPriority w:val="0"/>
    <w:pPr>
      <w:widowControl w:val="0"/>
      <w:spacing w:line="600" w:lineRule="exact"/>
      <w:ind w:firstLine="639" w:firstLineChars="206"/>
      <w:jc w:val="both"/>
    </w:pPr>
    <w:rPr>
      <w:rFonts w:ascii="仿宋_GB2312" w:hAnsi="宋体" w:eastAsia="仿宋_GB2312"/>
      <w:kern w:val="2"/>
      <w:sz w:val="31"/>
      <w:szCs w:val="28"/>
    </w:rPr>
  </w:style>
  <w:style w:type="character" w:customStyle="1" w:styleId="136">
    <w:name w:val="正文缩进2格 Char"/>
    <w:link w:val="135"/>
    <w:autoRedefine/>
    <w:qFormat/>
    <w:uiPriority w:val="0"/>
    <w:rPr>
      <w:rFonts w:ascii="仿宋_GB2312" w:hAnsi="宋体" w:eastAsia="仿宋_GB2312" w:cs="Times New Roman"/>
      <w:kern w:val="2"/>
      <w:sz w:val="31"/>
      <w:szCs w:val="28"/>
    </w:rPr>
  </w:style>
  <w:style w:type="character" w:customStyle="1" w:styleId="137">
    <w:name w:val="列出段落 Char"/>
    <w:link w:val="94"/>
    <w:autoRedefine/>
    <w:qFormat/>
    <w:uiPriority w:val="0"/>
    <w:rPr>
      <w:rFonts w:ascii="Calibri" w:hAnsi="Calibri" w:eastAsia="宋体" w:cs="Times New Roman"/>
      <w:kern w:val="2"/>
      <w:sz w:val="21"/>
      <w:szCs w:val="22"/>
    </w:rPr>
  </w:style>
  <w:style w:type="character" w:customStyle="1" w:styleId="138">
    <w:name w:val="批注文字 Char"/>
    <w:basedOn w:val="46"/>
    <w:link w:val="14"/>
    <w:autoRedefine/>
    <w:semiHidden/>
    <w:qFormat/>
    <w:uiPriority w:val="0"/>
    <w:rPr>
      <w:rFonts w:ascii="Times New Roman" w:hAnsi="Times New Roman" w:eastAsia="宋体" w:cs="Times New Roman"/>
    </w:rPr>
  </w:style>
  <w:style w:type="character" w:customStyle="1" w:styleId="139">
    <w:name w:val="批注主题 Char"/>
    <w:basedOn w:val="138"/>
    <w:link w:val="41"/>
    <w:autoRedefine/>
    <w:semiHidden/>
    <w:qFormat/>
    <w:uiPriority w:val="0"/>
    <w:rPr>
      <w:rFonts w:ascii="Times New Roman" w:hAnsi="Times New Roman" w:eastAsia="宋体" w:cs="Times New Roman"/>
      <w:b/>
      <w:bCs/>
    </w:rPr>
  </w:style>
  <w:style w:type="paragraph" w:customStyle="1" w:styleId="140">
    <w:name w:val="修订1"/>
    <w:autoRedefine/>
    <w:hidden/>
    <w:semiHidden/>
    <w:qFormat/>
    <w:uiPriority w:val="99"/>
    <w:rPr>
      <w:rFonts w:ascii="Times New Roman" w:hAnsi="Times New Roman" w:eastAsia="宋体" w:cs="Times New Roman"/>
      <w:lang w:val="en-US" w:eastAsia="zh-CN" w:bidi="ar-SA"/>
    </w:rPr>
  </w:style>
  <w:style w:type="character" w:customStyle="1" w:styleId="141">
    <w:name w:val="layui-layer-tabnow"/>
    <w:basedOn w:val="46"/>
    <w:autoRedefine/>
    <w:qFormat/>
    <w:uiPriority w:val="0"/>
    <w:rPr>
      <w:bdr w:val="single" w:color="CCCCCC" w:sz="6" w:space="0"/>
      <w:shd w:val="clear" w:color="auto" w:fill="FFFFFF"/>
    </w:rPr>
  </w:style>
  <w:style w:type="character" w:customStyle="1" w:styleId="142">
    <w:name w:val="first-child"/>
    <w:basedOn w:val="46"/>
    <w:autoRedefine/>
    <w:qFormat/>
    <w:uiPriority w:val="0"/>
  </w:style>
  <w:style w:type="character" w:customStyle="1" w:styleId="143">
    <w:name w:val="oblog_text"/>
    <w:basedOn w:val="46"/>
    <w:autoRedefine/>
    <w:qFormat/>
    <w:uiPriority w:val="0"/>
  </w:style>
  <w:style w:type="paragraph" w:customStyle="1" w:styleId="144">
    <w:name w:val="章节题目"/>
    <w:basedOn w:val="145"/>
    <w:next w:val="1"/>
    <w:unhideWhenUsed/>
    <w:qFormat/>
    <w:uiPriority w:val="0"/>
    <w:pPr>
      <w:spacing w:before="720" w:after="400" w:line="540" w:lineRule="atLeast"/>
      <w:ind w:right="2160"/>
    </w:pPr>
    <w:rPr>
      <w:rFonts w:hint="eastAsia" w:ascii="Times New Roman" w:hAnsi="Times New Roman"/>
      <w:spacing w:val="-40"/>
      <w:sz w:val="60"/>
    </w:rPr>
  </w:style>
  <w:style w:type="paragraph" w:customStyle="1" w:styleId="145">
    <w:name w:val="基准标题"/>
    <w:basedOn w:val="1"/>
    <w:next w:val="16"/>
    <w:unhideWhenUsed/>
    <w:qFormat/>
    <w:uiPriority w:val="0"/>
    <w:pPr>
      <w:keepNext/>
      <w:keepLines/>
      <w:spacing w:before="140" w:line="220" w:lineRule="atLeast"/>
    </w:pPr>
    <w:rPr>
      <w:rFonts w:hint="eastAsia" w:ascii="Arial" w:hAnsi="Arial"/>
      <w:spacing w:val="-4"/>
      <w:kern w:val="28"/>
      <w:sz w:val="22"/>
    </w:rPr>
  </w:style>
  <w:style w:type="paragraph" w:customStyle="1" w:styleId="146">
    <w:name w:val="Table Paragraph"/>
    <w:basedOn w:val="1"/>
    <w:autoRedefine/>
    <w:qFormat/>
    <w:uiPriority w:val="1"/>
    <w:rPr>
      <w:rFonts w:eastAsia="仿宋"/>
    </w:rPr>
  </w:style>
  <w:style w:type="paragraph" w:customStyle="1" w:styleId="147">
    <w:name w:val="*正文"/>
    <w:basedOn w:val="1"/>
    <w:autoRedefine/>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53E03-D313-429D-99A3-EA4F2282F8AB}">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89</Pages>
  <Words>48432</Words>
  <Characters>51958</Characters>
  <Lines>271</Lines>
  <Paragraphs>76</Paragraphs>
  <TotalTime>31</TotalTime>
  <ScaleCrop>false</ScaleCrop>
  <LinksUpToDate>false</LinksUpToDate>
  <CharactersWithSpaces>54368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2020-12-07T00:11:00Z</dcterms:created>
  <dc:creator>赵明</dc:creator>
  <cp:lastModifiedBy>趙鵬</cp:lastModifiedBy>
  <cp:lastPrinted>2023-08-28T01:39:00Z</cp:lastPrinted>
  <dcterms:modified xsi:type="dcterms:W3CDTF">2024-09-20T04:50:13Z</dcterms:modified>
  <dc:title>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8DB736960E88435FA3E5DE5303245DCF_13</vt:lpwstr>
  </property>
</Properties>
</file>