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spacing w:line="0" w:lineRule="atLeast"/>
        <w:jc w:val="center"/>
        <w:rPr>
          <w:rFonts w:hint="eastAsia" w:ascii="宋体" w:hAnsi="宋体" w:eastAsia="宋体" w:cs="宋体"/>
          <w:b/>
          <w:color w:val="auto"/>
          <w:sz w:val="32"/>
          <w:szCs w:val="32"/>
          <w:highlight w:val="none"/>
        </w:rPr>
      </w:pPr>
      <w:bookmarkStart w:id="0" w:name="_Toc98580390"/>
    </w:p>
    <w:p>
      <w:pPr>
        <w:pStyle w:val="38"/>
        <w:spacing w:line="0" w:lineRule="atLeast"/>
        <w:jc w:val="center"/>
        <w:rPr>
          <w:rFonts w:hint="eastAsia" w:ascii="宋体" w:hAnsi="宋体" w:eastAsia="宋体" w:cs="宋体"/>
          <w:b/>
          <w:color w:val="auto"/>
          <w:sz w:val="32"/>
          <w:szCs w:val="32"/>
          <w:highlight w:val="none"/>
        </w:rPr>
      </w:pPr>
    </w:p>
    <w:p>
      <w:pPr>
        <w:pStyle w:val="38"/>
        <w:spacing w:line="0" w:lineRule="atLeast"/>
        <w:jc w:val="center"/>
        <w:rPr>
          <w:rFonts w:hint="eastAsia" w:ascii="宋体" w:hAnsi="宋体" w:eastAsia="宋体" w:cs="宋体"/>
          <w:b/>
          <w:color w:val="auto"/>
          <w:sz w:val="32"/>
          <w:szCs w:val="32"/>
          <w:highlight w:val="none"/>
        </w:rPr>
      </w:pPr>
    </w:p>
    <w:p>
      <w:pPr>
        <w:spacing w:line="0" w:lineRule="atLeast"/>
        <w:jc w:val="center"/>
        <w:rPr>
          <w:rFonts w:hint="default" w:ascii="宋体" w:hAnsi="宋体" w:eastAsia="宋体" w:cs="宋体"/>
          <w:b/>
          <w:color w:val="auto"/>
          <w:sz w:val="48"/>
          <w:szCs w:val="48"/>
          <w:highlight w:val="none"/>
          <w:lang w:val="en-US"/>
        </w:rPr>
      </w:pPr>
      <w:r>
        <w:rPr>
          <w:rFonts w:hint="eastAsia" w:ascii="宋体" w:hAnsi="宋体" w:cs="宋体"/>
          <w:b/>
          <w:color w:val="auto"/>
          <w:sz w:val="48"/>
          <w:szCs w:val="48"/>
          <w:highlight w:val="none"/>
          <w:lang w:val="en-US" w:eastAsia="zh-CN"/>
        </w:rPr>
        <w:t>蛟河市2024年粮油生产保障资金（大豆绿色高产高效行动项目）</w:t>
      </w:r>
    </w:p>
    <w:p>
      <w:pPr>
        <w:pStyle w:val="43"/>
        <w:rPr>
          <w:rFonts w:hint="eastAsia" w:ascii="宋体" w:hAnsi="宋体" w:eastAsia="宋体" w:cs="宋体"/>
          <w:b/>
          <w:color w:val="auto"/>
          <w:sz w:val="48"/>
          <w:szCs w:val="48"/>
          <w:highlight w:val="none"/>
        </w:rPr>
      </w:pPr>
    </w:p>
    <w:p>
      <w:pPr>
        <w:pStyle w:val="25"/>
        <w:rPr>
          <w:rFonts w:hint="eastAsia"/>
          <w:color w:val="auto"/>
          <w:highlight w:val="none"/>
        </w:rPr>
      </w:pPr>
    </w:p>
    <w:p>
      <w:pPr>
        <w:spacing w:line="0" w:lineRule="atLeast"/>
        <w:jc w:val="center"/>
        <w:rPr>
          <w:rFonts w:hint="eastAsia" w:ascii="宋体" w:hAnsi="宋体" w:eastAsia="宋体" w:cs="宋体"/>
          <w:b/>
          <w:color w:val="auto"/>
          <w:sz w:val="170"/>
          <w:szCs w:val="170"/>
          <w:highlight w:val="none"/>
        </w:rPr>
      </w:pPr>
      <w:r>
        <w:rPr>
          <w:rFonts w:hint="eastAsia" w:ascii="方正小标宋简体" w:hAnsi="方正小标宋简体" w:eastAsia="方正小标宋简体" w:cs="方正小标宋简体"/>
          <w:b w:val="0"/>
          <w:bCs/>
          <w:color w:val="auto"/>
          <w:sz w:val="100"/>
          <w:szCs w:val="100"/>
          <w:highlight w:val="none"/>
        </w:rPr>
        <w:t>招标文件</w:t>
      </w:r>
    </w:p>
    <w:p>
      <w:pPr>
        <w:jc w:val="cente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采购计划-[2025]-00011号-JXZC2025002</w:t>
      </w:r>
    </w:p>
    <w:p>
      <w:pPr>
        <w:jc w:val="center"/>
        <w:rPr>
          <w:rFonts w:hint="eastAsia" w:ascii="宋体" w:hAnsi="宋体" w:eastAsia="宋体" w:cs="宋体"/>
          <w:b/>
          <w:color w:val="auto"/>
          <w:sz w:val="32"/>
          <w:highlight w:val="none"/>
        </w:rPr>
      </w:pPr>
    </w:p>
    <w:p>
      <w:pPr>
        <w:jc w:val="center"/>
        <w:rPr>
          <w:rFonts w:hint="eastAsia" w:ascii="宋体" w:hAnsi="宋体" w:eastAsia="宋体" w:cs="宋体"/>
          <w:color w:val="auto"/>
          <w:sz w:val="32"/>
          <w:highlight w:val="none"/>
        </w:rPr>
      </w:pPr>
    </w:p>
    <w:p>
      <w:pPr>
        <w:jc w:val="center"/>
        <w:rPr>
          <w:rFonts w:hint="eastAsia" w:ascii="宋体" w:hAnsi="宋体" w:eastAsia="宋体" w:cs="宋体"/>
          <w:color w:val="auto"/>
          <w:sz w:val="32"/>
          <w:highlight w:val="none"/>
        </w:rPr>
      </w:pPr>
    </w:p>
    <w:p>
      <w:pPr>
        <w:jc w:val="center"/>
        <w:rPr>
          <w:rFonts w:hint="eastAsia" w:ascii="宋体" w:hAnsi="宋体" w:eastAsia="宋体" w:cs="宋体"/>
          <w:color w:val="auto"/>
          <w:sz w:val="32"/>
          <w:highlight w:val="none"/>
        </w:rPr>
      </w:pPr>
    </w:p>
    <w:p>
      <w:pPr>
        <w:jc w:val="center"/>
        <w:rPr>
          <w:rFonts w:hint="eastAsia" w:ascii="宋体" w:hAnsi="宋体" w:eastAsia="宋体" w:cs="宋体"/>
          <w:color w:val="auto"/>
          <w:sz w:val="18"/>
          <w:szCs w:val="18"/>
          <w:highlight w:val="none"/>
        </w:rPr>
      </w:pPr>
    </w:p>
    <w:p>
      <w:pPr>
        <w:jc w:val="center"/>
        <w:rPr>
          <w:rFonts w:hint="eastAsia" w:ascii="宋体" w:hAnsi="宋体" w:eastAsia="宋体" w:cs="宋体"/>
          <w:color w:val="auto"/>
          <w:sz w:val="18"/>
          <w:szCs w:val="18"/>
          <w:highlight w:val="none"/>
        </w:rPr>
      </w:pPr>
    </w:p>
    <w:p>
      <w:pPr>
        <w:jc w:val="center"/>
        <w:rPr>
          <w:rFonts w:hint="eastAsia" w:ascii="宋体" w:hAnsi="宋体" w:eastAsia="宋体" w:cs="宋体"/>
          <w:color w:val="auto"/>
          <w:sz w:val="18"/>
          <w:szCs w:val="18"/>
          <w:highlight w:val="none"/>
        </w:rPr>
      </w:pPr>
    </w:p>
    <w:p>
      <w:pPr>
        <w:jc w:val="center"/>
        <w:rPr>
          <w:rFonts w:hint="eastAsia" w:ascii="宋体" w:hAnsi="宋体" w:eastAsia="宋体" w:cs="宋体"/>
          <w:color w:val="auto"/>
          <w:sz w:val="18"/>
          <w:szCs w:val="18"/>
          <w:highlight w:val="none"/>
        </w:rPr>
      </w:pPr>
    </w:p>
    <w:p>
      <w:pPr>
        <w:pStyle w:val="4"/>
        <w:rPr>
          <w:rFonts w:hint="eastAsia" w:ascii="宋体" w:hAnsi="宋体" w:eastAsia="宋体" w:cs="宋体"/>
          <w:color w:val="auto"/>
          <w:highlight w:val="none"/>
        </w:rPr>
      </w:pPr>
    </w:p>
    <w:p>
      <w:pPr>
        <w:spacing w:line="480" w:lineRule="auto"/>
        <w:jc w:val="center"/>
        <w:rPr>
          <w:rFonts w:hint="eastAsia" w:ascii="宋体" w:hAnsi="宋体" w:eastAsia="宋体" w:cs="宋体"/>
          <w:color w:val="auto"/>
          <w:sz w:val="18"/>
          <w:szCs w:val="18"/>
          <w:highlight w:val="none"/>
        </w:rPr>
      </w:pPr>
    </w:p>
    <w:p>
      <w:pPr>
        <w:spacing w:line="480" w:lineRule="auto"/>
        <w:jc w:val="center"/>
        <w:rPr>
          <w:rFonts w:hint="eastAsia" w:ascii="宋体" w:hAnsi="宋体" w:eastAsia="宋体" w:cs="宋体"/>
          <w:color w:val="auto"/>
          <w:sz w:val="18"/>
          <w:szCs w:val="18"/>
          <w:highlight w:val="none"/>
        </w:rPr>
      </w:pPr>
    </w:p>
    <w:p>
      <w:pPr>
        <w:ind w:firstLine="1285" w:firstLineChars="400"/>
        <w:jc w:val="both"/>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采   购   人：</w:t>
      </w:r>
      <w:r>
        <w:rPr>
          <w:rFonts w:hint="eastAsia" w:ascii="宋体" w:hAnsi="宋体" w:cs="宋体"/>
          <w:b/>
          <w:color w:val="auto"/>
          <w:sz w:val="32"/>
          <w:szCs w:val="22"/>
          <w:highlight w:val="none"/>
          <w:lang w:val="en-US" w:eastAsia="zh-CN"/>
        </w:rPr>
        <w:t>蛟河市农业技术推广总站</w:t>
      </w:r>
      <w:r>
        <w:rPr>
          <w:rFonts w:hint="eastAsia" w:ascii="宋体" w:hAnsi="宋体" w:eastAsia="宋体" w:cs="宋体"/>
          <w:b/>
          <w:color w:val="auto"/>
          <w:sz w:val="32"/>
          <w:szCs w:val="22"/>
          <w:highlight w:val="none"/>
        </w:rPr>
        <w:t xml:space="preserve">     </w:t>
      </w:r>
    </w:p>
    <w:p>
      <w:pPr>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lang w:val="en-US" w:eastAsia="zh-CN"/>
        </w:rPr>
        <w:t xml:space="preserve"> </w:t>
      </w:r>
      <w:r>
        <w:rPr>
          <w:rFonts w:hint="eastAsia" w:ascii="宋体" w:hAnsi="宋体" w:eastAsia="宋体" w:cs="宋体"/>
          <w:b/>
          <w:color w:val="auto"/>
          <w:sz w:val="32"/>
          <w:szCs w:val="22"/>
          <w:highlight w:val="none"/>
        </w:rPr>
        <w:t xml:space="preserve">    </w:t>
      </w:r>
    </w:p>
    <w:p>
      <w:pPr>
        <w:ind w:firstLine="1285" w:firstLineChars="400"/>
        <w:jc w:val="both"/>
        <w:rPr>
          <w:rFonts w:hint="eastAsia" w:ascii="宋体" w:hAnsi="宋体" w:eastAsia="宋体" w:cs="宋体"/>
          <w:b/>
          <w:color w:val="auto"/>
          <w:sz w:val="32"/>
          <w:szCs w:val="22"/>
          <w:highlight w:val="none"/>
          <w:lang w:eastAsia="zh-CN"/>
        </w:rPr>
      </w:pPr>
      <w:r>
        <w:rPr>
          <w:rFonts w:hint="eastAsia" w:ascii="宋体" w:hAnsi="宋体" w:eastAsia="宋体" w:cs="宋体"/>
          <w:b/>
          <w:color w:val="auto"/>
          <w:sz w:val="32"/>
          <w:szCs w:val="22"/>
          <w:highlight w:val="none"/>
        </w:rPr>
        <w:t>采购代理机构：</w:t>
      </w:r>
      <w:r>
        <w:rPr>
          <w:rFonts w:hint="eastAsia" w:ascii="宋体" w:hAnsi="宋体" w:cs="宋体"/>
          <w:b/>
          <w:color w:val="auto"/>
          <w:sz w:val="32"/>
          <w:szCs w:val="22"/>
          <w:highlight w:val="none"/>
          <w:lang w:eastAsia="zh-CN"/>
        </w:rPr>
        <w:t>吉林捷讯工程管理有限公司</w:t>
      </w:r>
    </w:p>
    <w:p>
      <w:pPr>
        <w:jc w:val="center"/>
        <w:rPr>
          <w:rFonts w:hint="eastAsia" w:ascii="宋体" w:hAnsi="宋体" w:eastAsia="宋体" w:cs="宋体"/>
          <w:b/>
          <w:color w:val="auto"/>
          <w:sz w:val="32"/>
          <w:highlight w:val="none"/>
        </w:rPr>
      </w:pPr>
    </w:p>
    <w:p>
      <w:pPr>
        <w:ind w:firstLine="1285" w:firstLineChars="400"/>
        <w:jc w:val="both"/>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 xml:space="preserve">日    </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 xml:space="preserve"> 期：</w:t>
      </w:r>
      <w:r>
        <w:rPr>
          <w:rFonts w:hint="eastAsia" w:ascii="宋体" w:hAnsi="宋体" w:cs="宋体"/>
          <w:b/>
          <w:color w:val="auto"/>
          <w:sz w:val="32"/>
          <w:highlight w:val="none"/>
          <w:lang w:eastAsia="zh-CN"/>
        </w:rPr>
        <w:t>2025年2月</w:t>
      </w:r>
    </w:p>
    <w:p>
      <w:pPr>
        <w:adjustRightInd w:val="0"/>
        <w:snapToGrid w:val="0"/>
        <w:spacing w:line="360" w:lineRule="auto"/>
        <w:ind w:right="496" w:rightChars="248"/>
        <w:jc w:val="center"/>
        <w:rPr>
          <w:rFonts w:hint="eastAsia" w:ascii="宋体" w:hAnsi="宋体" w:eastAsia="宋体" w:cs="宋体"/>
          <w:b/>
          <w:bCs/>
          <w:color w:val="auto"/>
          <w:sz w:val="28"/>
          <w:highlight w:val="none"/>
        </w:rPr>
      </w:pPr>
    </w:p>
    <w:p>
      <w:pPr>
        <w:jc w:val="center"/>
        <w:rPr>
          <w:rFonts w:hint="eastAsia" w:ascii="宋体" w:hAnsi="宋体" w:eastAsia="宋体" w:cs="宋体"/>
          <w:b/>
          <w:bCs/>
          <w:color w:val="auto"/>
          <w:sz w:val="36"/>
          <w:highlight w:val="none"/>
        </w:rPr>
        <w:sectPr>
          <w:headerReference r:id="rId4" w:type="first"/>
          <w:headerReference r:id="rId3" w:type="default"/>
          <w:footerReference r:id="rId5" w:type="default"/>
          <w:footerReference r:id="rId6" w:type="even"/>
          <w:pgSz w:w="11906" w:h="16838"/>
          <w:pgMar w:top="1418" w:right="1247" w:bottom="1418" w:left="1418" w:header="851" w:footer="992" w:gutter="0"/>
          <w:cols w:space="720" w:num="1"/>
          <w:titlePg/>
          <w:docGrid w:linePitch="312" w:charSpace="0"/>
        </w:sectPr>
      </w:pPr>
      <w:bookmarkStart w:id="1" w:name="_Toc98580389"/>
    </w:p>
    <w:p>
      <w:pPr>
        <w:pStyle w:val="43"/>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jc w:val="center"/>
        <w:rPr>
          <w:rFonts w:hint="eastAsia" w:ascii="宋体" w:hAnsi="宋体" w:eastAsia="宋体" w:cs="宋体"/>
          <w:b/>
          <w:bCs/>
          <w:color w:val="auto"/>
          <w:sz w:val="36"/>
          <w:highlight w:val="none"/>
        </w:rPr>
      </w:pPr>
    </w:p>
    <w:p>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第四部分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_Toc13415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bookmarkEnd w:id="1"/>
    <w:p>
      <w:pPr>
        <w:rPr>
          <w:rFonts w:hint="eastAsia" w:ascii="宋体" w:hAnsi="宋体" w:eastAsia="宋体" w:cs="宋体"/>
          <w:color w:val="auto"/>
          <w:highlight w:val="none"/>
        </w:rPr>
        <w:sectPr>
          <w:footerReference r:id="rId8" w:type="first"/>
          <w:footerReference r:id="rId7" w:type="default"/>
          <w:pgSz w:w="11906" w:h="16838"/>
          <w:pgMar w:top="1418" w:right="1247" w:bottom="1418" w:left="1418" w:header="851" w:footer="992" w:gutter="0"/>
          <w:cols w:space="720" w:num="1"/>
          <w:titlePg/>
          <w:docGrid w:linePitch="312" w:charSpace="0"/>
        </w:sectPr>
      </w:pPr>
    </w:p>
    <w:p>
      <w:pPr>
        <w:pStyle w:val="43"/>
        <w:rPr>
          <w:rFonts w:hint="eastAsia"/>
          <w:color w:val="auto"/>
          <w:highlight w:val="none"/>
        </w:rPr>
      </w:pPr>
    </w:p>
    <w:p>
      <w:pPr>
        <w:jc w:val="center"/>
        <w:rPr>
          <w:rStyle w:val="64"/>
          <w:rFonts w:hint="eastAsia" w:ascii="宋体" w:hAnsi="宋体" w:eastAsia="宋体" w:cs="宋体"/>
          <w:color w:val="auto"/>
          <w:highlight w:val="none"/>
        </w:rPr>
      </w:pPr>
      <w:r>
        <w:rPr>
          <w:rStyle w:val="64"/>
          <w:rFonts w:hint="eastAsia" w:ascii="宋体" w:hAnsi="宋体" w:eastAsia="宋体" w:cs="宋体"/>
          <w:color w:val="auto"/>
          <w:highlight w:val="none"/>
        </w:rPr>
        <w:t>第一章  招标公告</w:t>
      </w:r>
    </w:p>
    <w:p>
      <w:pPr>
        <w:jc w:val="center"/>
        <w:rPr>
          <w:rFonts w:hint="eastAsia" w:ascii="宋体" w:hAnsi="宋体" w:cs="宋体"/>
          <w:b/>
          <w:color w:val="auto"/>
          <w:kern w:val="0"/>
          <w:sz w:val="32"/>
          <w:szCs w:val="32"/>
          <w:highlight w:val="none"/>
          <w:lang w:eastAsia="zh-CN" w:bidi="ar"/>
        </w:rPr>
      </w:pPr>
      <w:r>
        <w:rPr>
          <w:rFonts w:hint="eastAsia" w:ascii="宋体" w:hAnsi="宋体" w:cs="宋体"/>
          <w:b/>
          <w:color w:val="auto"/>
          <w:kern w:val="0"/>
          <w:sz w:val="32"/>
          <w:szCs w:val="32"/>
          <w:highlight w:val="none"/>
          <w:lang w:eastAsia="zh-CN" w:bidi="ar"/>
        </w:rPr>
        <w:t>蛟河市2024年粮油生产保障资金（大豆绿色高产高效行动项目）</w:t>
      </w: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bidi="ar"/>
        </w:rPr>
        <w:t>招标公告</w:t>
      </w:r>
    </w:p>
    <w:p>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pPr>
        <w:pBdr>
          <w:top w:val="single" w:color="auto" w:sz="4" w:space="1"/>
          <w:left w:val="single" w:color="auto" w:sz="4" w:space="4"/>
          <w:bottom w:val="single" w:color="auto" w:sz="4" w:space="1"/>
          <w:right w:val="single" w:color="auto" w:sz="4" w:space="4"/>
        </w:pBd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bidi="ar"/>
        </w:rPr>
        <w:t>蛟河市2024年粮油生产保障资金（大豆绿色高产高效行动项目）</w:t>
      </w:r>
      <w:r>
        <w:rPr>
          <w:rFonts w:hint="eastAsia" w:ascii="宋体" w:hAnsi="宋体" w:cs="宋体"/>
          <w:color w:val="auto"/>
          <w:kern w:val="0"/>
          <w:sz w:val="24"/>
          <w:szCs w:val="24"/>
          <w:highlight w:val="none"/>
          <w:lang w:bidi="ar"/>
        </w:rPr>
        <w:t>的潜在</w:t>
      </w:r>
      <w:r>
        <w:rPr>
          <w:rFonts w:hint="eastAsia" w:ascii="宋体" w:hAnsi="宋体" w:cs="宋体"/>
          <w:color w:val="auto"/>
          <w:kern w:val="0"/>
          <w:sz w:val="24"/>
          <w:szCs w:val="24"/>
          <w:highlight w:val="none"/>
          <w:lang w:eastAsia="zh-CN" w:bidi="ar"/>
        </w:rPr>
        <w:t>供应商</w:t>
      </w:r>
      <w:r>
        <w:rPr>
          <w:rFonts w:hint="eastAsia" w:ascii="宋体" w:hAnsi="宋体" w:cs="宋体"/>
          <w:color w:val="auto"/>
          <w:kern w:val="0"/>
          <w:sz w:val="24"/>
          <w:szCs w:val="24"/>
          <w:highlight w:val="none"/>
          <w:lang w:bidi="ar"/>
        </w:rPr>
        <w:t>应</w:t>
      </w:r>
      <w:r>
        <w:rPr>
          <w:rFonts w:hint="eastAsia" w:ascii="宋体" w:hAnsi="宋体" w:eastAsia="宋体" w:cs="宋体"/>
          <w:color w:val="auto"/>
          <w:spacing w:val="0"/>
          <w:kern w:val="0"/>
          <w:sz w:val="24"/>
          <w:szCs w:val="21"/>
          <w:highlight w:val="none"/>
          <w:lang w:val="en-US" w:eastAsia="zh-CN" w:bidi="ar-SA"/>
        </w:rPr>
        <w:t>在“政采云”平台(https://www.zcygov.cn/)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bidi="ar"/>
        </w:rPr>
        <w:t>招标文件，并于</w:t>
      </w:r>
      <w:r>
        <w:rPr>
          <w:rFonts w:hint="eastAsia" w:ascii="宋体" w:hAnsi="宋体" w:cs="宋体"/>
          <w:color w:val="auto"/>
          <w:kern w:val="0"/>
          <w:sz w:val="24"/>
          <w:szCs w:val="24"/>
          <w:highlight w:val="none"/>
          <w:lang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eastAsia="zh-CN" w:bidi="ar"/>
        </w:rPr>
        <w:t>年</w:t>
      </w:r>
      <w:r>
        <w:rPr>
          <w:rFonts w:hint="eastAsia" w:ascii="宋体" w:hAnsi="宋体" w:cs="宋体"/>
          <w:color w:val="auto"/>
          <w:kern w:val="0"/>
          <w:sz w:val="24"/>
          <w:szCs w:val="24"/>
          <w:highlight w:val="none"/>
          <w:lang w:val="en-US" w:eastAsia="zh-CN" w:bidi="ar"/>
        </w:rPr>
        <w:t>3月6日</w:t>
      </w:r>
      <w:r>
        <w:rPr>
          <w:rFonts w:hint="eastAsia" w:ascii="宋体" w:hAnsi="宋体" w:cs="宋体"/>
          <w:color w:val="auto"/>
          <w:kern w:val="0"/>
          <w:sz w:val="24"/>
          <w:szCs w:val="24"/>
          <w:highlight w:val="none"/>
          <w:lang w:eastAsia="zh-CN" w:bidi="ar"/>
        </w:rPr>
        <w:t>09时30分</w:t>
      </w:r>
      <w:r>
        <w:rPr>
          <w:rFonts w:hint="eastAsia" w:ascii="宋体" w:hAnsi="宋体" w:cs="宋体"/>
          <w:color w:val="auto"/>
          <w:kern w:val="0"/>
          <w:sz w:val="24"/>
          <w:szCs w:val="24"/>
          <w:highlight w:val="none"/>
          <w:lang w:bidi="ar"/>
        </w:rPr>
        <w:t>（北京时间）前提交投标文件。</w:t>
      </w:r>
    </w:p>
    <w:p>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一、项目基本情况</w:t>
      </w:r>
    </w:p>
    <w:p>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bidi="ar"/>
        </w:rPr>
        <w:t>1.项目编</w:t>
      </w:r>
      <w:r>
        <w:rPr>
          <w:rFonts w:hint="eastAsia" w:ascii="宋体" w:hAnsi="宋体" w:eastAsia="宋体" w:cs="宋体"/>
          <w:color w:val="auto"/>
          <w:kern w:val="0"/>
          <w:sz w:val="24"/>
          <w:szCs w:val="24"/>
          <w:highlight w:val="none"/>
          <w:lang w:bidi="ar"/>
        </w:rPr>
        <w:t>号：</w:t>
      </w:r>
      <w:r>
        <w:rPr>
          <w:rFonts w:hint="eastAsia" w:ascii="宋体" w:hAnsi="宋体" w:cs="宋体"/>
          <w:color w:val="auto"/>
          <w:kern w:val="0"/>
          <w:sz w:val="24"/>
          <w:szCs w:val="24"/>
          <w:highlight w:val="none"/>
          <w:lang w:eastAsia="zh-CN" w:bidi="ar"/>
        </w:rPr>
        <w:t>采购计划-[2025]-00011号-JXZC2025002</w:t>
      </w:r>
      <w:r>
        <w:rPr>
          <w:rFonts w:hint="eastAsia" w:ascii="宋体" w:hAnsi="宋体" w:cs="宋体"/>
          <w:color w:val="auto"/>
          <w:kern w:val="0"/>
          <w:sz w:val="24"/>
          <w:szCs w:val="24"/>
          <w:highlight w:val="none"/>
          <w:lang w:bidi="ar"/>
        </w:rPr>
        <w:t>；</w:t>
      </w:r>
    </w:p>
    <w:p>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2.项目名称：</w:t>
      </w:r>
      <w:r>
        <w:rPr>
          <w:rFonts w:hint="eastAsia" w:ascii="宋体" w:hAnsi="宋体" w:cs="宋体"/>
          <w:color w:val="auto"/>
          <w:kern w:val="0"/>
          <w:sz w:val="24"/>
          <w:szCs w:val="24"/>
          <w:highlight w:val="none"/>
          <w:lang w:eastAsia="zh-CN" w:bidi="ar"/>
        </w:rPr>
        <w:t>蛟河市2024年粮油生产保障资金（大豆绿色高产高效行动项目）</w:t>
      </w:r>
      <w:r>
        <w:rPr>
          <w:rFonts w:hint="eastAsia" w:ascii="宋体" w:hAnsi="宋体" w:eastAsia="宋体" w:cs="宋体"/>
          <w:color w:val="auto"/>
          <w:kern w:val="0"/>
          <w:sz w:val="24"/>
          <w:szCs w:val="24"/>
          <w:highlight w:val="none"/>
          <w:lang w:bidi="ar"/>
        </w:rPr>
        <w:t>；</w:t>
      </w:r>
    </w:p>
    <w:p>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3.采购方式：</w:t>
      </w:r>
      <w:r>
        <w:rPr>
          <w:rFonts w:hint="eastAsia" w:ascii="宋体" w:hAnsi="宋体" w:eastAsia="宋体" w:cs="宋体"/>
          <w:color w:val="auto"/>
          <w:kern w:val="0"/>
          <w:sz w:val="24"/>
          <w:szCs w:val="24"/>
          <w:highlight w:val="none"/>
          <w:lang w:eastAsia="zh-CN" w:bidi="ar"/>
        </w:rPr>
        <w:t>公开招标；</w:t>
      </w:r>
    </w:p>
    <w:p>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.资金来源：</w:t>
      </w:r>
      <w:r>
        <w:rPr>
          <w:rFonts w:hint="eastAsia" w:ascii="宋体" w:hAnsi="宋体" w:eastAsia="宋体" w:cs="宋体"/>
          <w:color w:val="auto"/>
          <w:kern w:val="0"/>
          <w:sz w:val="24"/>
          <w:szCs w:val="24"/>
          <w:highlight w:val="none"/>
          <w:lang w:val="en-US" w:eastAsia="zh-CN" w:bidi="ar"/>
        </w:rPr>
        <w:t>财政资金</w:t>
      </w:r>
    </w:p>
    <w:p>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采购预算</w:t>
      </w:r>
      <w:r>
        <w:rPr>
          <w:rFonts w:hint="eastAsia" w:ascii="宋体" w:hAnsi="宋体" w:cs="宋体"/>
          <w:color w:val="auto"/>
          <w:kern w:val="0"/>
          <w:sz w:val="24"/>
          <w:szCs w:val="24"/>
          <w:highlight w:val="none"/>
          <w:lang w:val="en-US" w:eastAsia="zh-CN" w:bidi="ar"/>
        </w:rPr>
        <w:t>：524.96</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w:t>
      </w:r>
    </w:p>
    <w:p>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6.招标控制价（最高限价）:524.96</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w:t>
      </w:r>
    </w:p>
    <w:p>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采购需求：12-18-15（N-P2O5-K2O总含量≥45%）硫基三元素1544吨，</w:t>
      </w:r>
      <w:r>
        <w:rPr>
          <w:rFonts w:hint="eastAsia" w:ascii="宋体" w:hAnsi="宋体" w:eastAsia="宋体" w:cs="宋体"/>
          <w:color w:val="auto"/>
          <w:kern w:val="0"/>
          <w:sz w:val="24"/>
          <w:szCs w:val="24"/>
          <w:highlight w:val="none"/>
          <w:lang w:val="en-US" w:eastAsia="zh-CN" w:bidi="ar"/>
        </w:rPr>
        <w:t>详见招标文件。</w:t>
      </w:r>
    </w:p>
    <w:p>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eastAsia="zh-CN" w:bidi="ar"/>
        </w:rPr>
        <w:t>.质量标准：</w:t>
      </w:r>
      <w:bookmarkStart w:id="2" w:name="OLE_LINK1"/>
      <w:r>
        <w:rPr>
          <w:rFonts w:hint="eastAsia" w:ascii="宋体" w:hAnsi="宋体" w:eastAsia="宋体" w:cs="宋体"/>
          <w:color w:val="auto"/>
          <w:kern w:val="0"/>
          <w:sz w:val="24"/>
          <w:szCs w:val="24"/>
          <w:highlight w:val="none"/>
          <w:lang w:eastAsia="zh-CN" w:bidi="ar"/>
        </w:rPr>
        <w:t>符合国家及相关行业合格标准；质量、包装符合GB/T 15063-2020 复合肥料标准。</w:t>
      </w:r>
      <w:bookmarkEnd w:id="2"/>
    </w:p>
    <w:p>
      <w:pPr>
        <w:pStyle w:val="38"/>
        <w:keepNext w:val="0"/>
        <w:keepLines w:val="0"/>
        <w:widowControl/>
        <w:suppressLineNumbers w:val="0"/>
        <w:wordWrap w:val="0"/>
        <w:spacing w:before="150" w:beforeAutospacing="0" w:after="0" w:afterAutospacing="0" w:line="18" w:lineRule="atLeast"/>
        <w:ind w:left="0" w:right="0" w:firstLine="420"/>
        <w:jc w:val="both"/>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eastAsia="zh-CN" w:bidi="ar"/>
        </w:rPr>
        <w:t>.供货期：</w:t>
      </w:r>
      <w:r>
        <w:rPr>
          <w:rFonts w:hint="eastAsia" w:ascii="宋体" w:hAnsi="宋体" w:cs="宋体"/>
          <w:color w:val="auto"/>
          <w:kern w:val="0"/>
          <w:sz w:val="24"/>
          <w:szCs w:val="24"/>
          <w:highlight w:val="none"/>
          <w:lang w:eastAsia="zh-CN" w:bidi="ar"/>
        </w:rPr>
        <w:t>合同签订后15日内供货完毕</w:t>
      </w:r>
      <w:r>
        <w:rPr>
          <w:rFonts w:hint="eastAsia" w:ascii="宋体" w:hAnsi="宋体" w:eastAsia="宋体" w:cs="宋体"/>
          <w:color w:val="auto"/>
          <w:kern w:val="0"/>
          <w:sz w:val="24"/>
          <w:szCs w:val="24"/>
          <w:highlight w:val="none"/>
          <w:lang w:eastAsia="zh-CN" w:bidi="ar"/>
        </w:rPr>
        <w:t>。</w:t>
      </w:r>
    </w:p>
    <w:p>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.供货地点：</w:t>
      </w:r>
      <w:r>
        <w:rPr>
          <w:rFonts w:hint="eastAsia" w:ascii="宋体" w:hAnsi="宋体" w:cs="宋体"/>
          <w:color w:val="auto"/>
          <w:kern w:val="0"/>
          <w:sz w:val="24"/>
          <w:szCs w:val="24"/>
          <w:highlight w:val="none"/>
          <w:lang w:val="en-US" w:eastAsia="zh-CN" w:bidi="ar"/>
        </w:rPr>
        <w:t>招标人指定地点（按招标人指定时间运送到指定各地点）</w:t>
      </w:r>
      <w:r>
        <w:rPr>
          <w:rFonts w:hint="eastAsia" w:ascii="宋体" w:hAnsi="宋体" w:eastAsia="宋体" w:cs="宋体"/>
          <w:color w:val="auto"/>
          <w:kern w:val="0"/>
          <w:sz w:val="24"/>
          <w:szCs w:val="24"/>
          <w:highlight w:val="none"/>
          <w:lang w:bidi="ar"/>
        </w:rPr>
        <w:t>；</w:t>
      </w:r>
    </w:p>
    <w:p>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.合同履行期限：自合同签订之日起至合同履行完毕；</w:t>
      </w:r>
    </w:p>
    <w:p>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.资格审查方式：资格后审；</w:t>
      </w:r>
    </w:p>
    <w:p>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.本项目不接受联合体。</w:t>
      </w:r>
    </w:p>
    <w:p>
      <w:pPr>
        <w:autoSpaceDE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lang w:bidi="ar"/>
        </w:rPr>
        <w:t>二、申请人的资格要求</w:t>
      </w:r>
    </w:p>
    <w:p>
      <w:pPr>
        <w:autoSpaceDE w:val="0"/>
        <w:spacing w:line="440" w:lineRule="exact"/>
        <w:ind w:firstLine="482" w:firstLineChars="200"/>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right="0" w:firstLine="482" w:firstLineChars="200"/>
        <w:jc w:val="both"/>
        <w:textAlignment w:val="auto"/>
        <w:outlineLvl w:val="9"/>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2、落实政府采购政策需满足的资格要求：</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（1）执行《政府采购促进中小企业发展管理办法》（财库[2020]46号）；</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（2）执行《关于政府采购支持监狱企业发展有关问题的通知》(财库[2014]68号)；</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（3）执行《关于促进残疾人就业政府采购政策的通知》(财库[2017]141号)；</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（4）《关于调整优化节能产品、环境标志产品政府采购执行机制的通知》（财库〔2019〕9号）等；</w:t>
      </w:r>
    </w:p>
    <w:p>
      <w:pPr>
        <w:keepNext w:val="0"/>
        <w:keepLines w:val="0"/>
        <w:pageBreakBefore w:val="0"/>
        <w:numPr>
          <w:ilvl w:val="0"/>
          <w:numId w:val="1"/>
        </w:numPr>
        <w:kinsoku/>
        <w:wordWrap/>
        <w:overflowPunct/>
        <w:topLinePunct w:val="0"/>
        <w:autoSpaceDE/>
        <w:autoSpaceDN/>
        <w:bidi w:val="0"/>
        <w:adjustRightInd/>
        <w:snapToGrid/>
        <w:spacing w:line="288" w:lineRule="auto"/>
        <w:ind w:left="80" w:leftChars="0" w:firstLine="7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w:t>
      </w:r>
    </w:p>
    <w:p>
      <w:pPr>
        <w:keepNext w:val="0"/>
        <w:keepLines w:val="0"/>
        <w:pageBreakBefore w:val="0"/>
        <w:numPr>
          <w:ilvl w:val="0"/>
          <w:numId w:val="0"/>
        </w:numPr>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3、本项目的特定资格要求：</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供应商须是具有独立法人资格的企业或其他组织（生产厂商或代理商）。一个制造商对同一品牌同一型号的材料，仅能委托一个代理商参加投标；</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投标人须具有有效的肥料登记证，</w:t>
      </w:r>
      <w:r>
        <w:rPr>
          <w:rFonts w:hint="eastAsia" w:ascii="宋体" w:hAnsi="宋体" w:eastAsia="宋体" w:cs="宋体"/>
          <w:color w:val="auto"/>
          <w:sz w:val="24"/>
          <w:szCs w:val="24"/>
          <w:highlight w:val="none"/>
        </w:rPr>
        <w:t>所投产品质量、包装符合GB/T 15063-2020 复合肥料标准；</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拒绝列入政府取消投标资格记录期间的企业或个人投标；</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企业名称不同但法定代表人为同一个自然人的两个或两个以上的投标人不得参加本采购项目的投标。如果出现上述情况，相关投标人的投标均将被拒绝。</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投标单位和个人（指法定代表人）未在“中国裁判文书网”（wenshu.court.gov.cn）上有行贿犯罪行为。</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供应商未被列入“失信被执行人、税收违法黑名单税收违法黑名单”的记录名单（通过“信用中国”网站(www.creditchina.gov.cn)查询）。</w:t>
      </w:r>
    </w:p>
    <w:p>
      <w:pPr>
        <w:keepNext w:val="0"/>
        <w:keepLines w:val="0"/>
        <w:pageBreakBefore w:val="0"/>
        <w:kinsoku/>
        <w:wordWrap/>
        <w:overflowPunct/>
        <w:topLinePunct w:val="0"/>
        <w:autoSpaceDE/>
        <w:autoSpaceDN/>
        <w:bidi w:val="0"/>
        <w:adjustRightInd/>
        <w:snapToGrid/>
        <w:spacing w:line="288"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供应商未被列入“政府采购严重违法失信行为记录名单”（通过“中国政府采购网”（www.ccgp.gov.cn）查询）；</w:t>
      </w:r>
    </w:p>
    <w:p>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三、获取招标文件</w:t>
      </w:r>
    </w:p>
    <w:p>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时间：</w:t>
      </w:r>
      <w:r>
        <w:rPr>
          <w:rFonts w:hint="eastAsia" w:ascii="宋体" w:hAnsi="宋体" w:cs="宋体"/>
          <w:color w:val="auto"/>
          <w:kern w:val="0"/>
          <w:sz w:val="24"/>
          <w:szCs w:val="24"/>
          <w:highlight w:val="none"/>
          <w:lang w:eastAsia="zh-CN" w:bidi="ar"/>
        </w:rPr>
        <w:t>2025年2月</w:t>
      </w:r>
      <w:r>
        <w:rPr>
          <w:rFonts w:hint="eastAsia" w:ascii="宋体" w:hAnsi="宋体" w:cs="宋体"/>
          <w:color w:val="auto"/>
          <w:kern w:val="0"/>
          <w:sz w:val="24"/>
          <w:szCs w:val="24"/>
          <w:highlight w:val="none"/>
          <w:lang w:val="en-US" w:eastAsia="zh-CN" w:bidi="ar"/>
        </w:rPr>
        <w:t>14</w:t>
      </w:r>
      <w:r>
        <w:rPr>
          <w:rFonts w:hint="eastAsia" w:ascii="宋体" w:hAnsi="宋体" w:cs="宋体"/>
          <w:color w:val="auto"/>
          <w:kern w:val="0"/>
          <w:sz w:val="24"/>
          <w:szCs w:val="24"/>
          <w:highlight w:val="none"/>
          <w:lang w:bidi="ar"/>
        </w:rPr>
        <w:t>日至</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21</w:t>
      </w:r>
      <w:r>
        <w:rPr>
          <w:rFonts w:hint="eastAsia" w:ascii="宋体" w:hAnsi="宋体" w:cs="宋体"/>
          <w:color w:val="auto"/>
          <w:kern w:val="0"/>
          <w:sz w:val="24"/>
          <w:szCs w:val="24"/>
          <w:highlight w:val="none"/>
          <w:lang w:bidi="ar"/>
        </w:rPr>
        <w:t>日， 每天上午08:</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0至11:30 ，下午13:</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0至16:00（北京时间，法定节假日除外）</w:t>
      </w:r>
    </w:p>
    <w:p>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highlight w:val="none"/>
          <w:lang w:val="en-US" w:eastAsia="zh-CN"/>
        </w:rPr>
        <w:t>“政采云”平台（https://www.zcygov.cn）</w:t>
      </w:r>
    </w:p>
    <w:p>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方式：拟参与本项目的供应商，首先在“政采云”平台上免费进行供应商注册（“政采云”供应商注册流程：https://middle.zcygov.cn/v-settle-front/registry），注册后可在“政采云”平台免费</w:t>
      </w:r>
      <w:r>
        <w:rPr>
          <w:rFonts w:hint="eastAsia" w:ascii="宋体" w:hAnsi="宋体" w:eastAsia="宋体" w:cs="宋体"/>
          <w:color w:val="auto"/>
          <w:sz w:val="24"/>
          <w:highlight w:val="none"/>
          <w:lang w:val="zh-CN" w:eastAsia="zh-CN"/>
        </w:rPr>
        <w:t>自行下载招标文件（下载地址：http://</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"http://www.zcygov.cn）征集文件。"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www.zcygov.cn</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下载</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lang w:val="zh-CN" w:eastAsia="zh-CN"/>
        </w:rPr>
        <w:t>操作路径：登录“政采云”平台-</w:t>
      </w:r>
      <w:r>
        <w:rPr>
          <w:rFonts w:hint="eastAsia" w:ascii="宋体" w:hAnsi="宋体" w:eastAsia="宋体" w:cs="宋体"/>
          <w:color w:val="auto"/>
          <w:sz w:val="24"/>
          <w:highlight w:val="none"/>
          <w:lang w:val="en-US" w:eastAsia="zh-CN"/>
        </w:rPr>
        <w:t>登录账号-我的工作台-项目采购-获取采购文件</w:t>
      </w:r>
      <w:r>
        <w:rPr>
          <w:rFonts w:hint="eastAsia" w:ascii="宋体" w:hAnsi="宋体" w:eastAsia="宋体" w:cs="宋体"/>
          <w:color w:val="auto"/>
          <w:sz w:val="24"/>
          <w:highlight w:val="none"/>
          <w:lang w:val="zh-CN" w:eastAsia="zh-CN"/>
        </w:rPr>
        <w:t>-找到本项目-点击“申请获取文件”）。</w:t>
      </w:r>
    </w:p>
    <w:p>
      <w:pPr>
        <w:autoSpaceDE w:val="0"/>
        <w:spacing w:line="440" w:lineRule="exact"/>
        <w:ind w:firstLine="480" w:firstLineChars="200"/>
        <w:rPr>
          <w:rFonts w:hint="eastAsia"/>
          <w:color w:val="auto"/>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eastAsia="zh-CN"/>
        </w:rPr>
        <w:t>供应商根据免费下载的招标文件内容决定是否参与本次投标活动，如确定参与本次投标活动，请于本项目投标文件提交截止时间前按招标文件中规定的方式缴存投标保证金或提交保函，未按上述要求办理的，评审时一律按无效文件处理。</w:t>
      </w:r>
    </w:p>
    <w:p>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售价：0</w:t>
      </w:r>
      <w:r>
        <w:rPr>
          <w:rFonts w:hint="eastAsia" w:ascii="宋体" w:hAnsi="宋体" w:cs="宋体"/>
          <w:color w:val="auto"/>
          <w:kern w:val="0"/>
          <w:sz w:val="24"/>
          <w:szCs w:val="24"/>
          <w:highlight w:val="none"/>
          <w:lang w:val="en-US" w:eastAsia="zh-CN" w:bidi="ar"/>
        </w:rPr>
        <w:t>.00元</w:t>
      </w:r>
    </w:p>
    <w:p>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四、提交投标文件截止时间、开标时间和地点</w:t>
      </w:r>
    </w:p>
    <w:p>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投标文件截止时间、开标时间：</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eastAsia="zh-CN" w:bidi="ar"/>
        </w:rPr>
        <w:t>日09时30分</w:t>
      </w:r>
      <w:r>
        <w:rPr>
          <w:rFonts w:hint="eastAsia" w:ascii="宋体" w:hAnsi="宋体" w:cs="宋体"/>
          <w:color w:val="auto"/>
          <w:kern w:val="0"/>
          <w:sz w:val="24"/>
          <w:szCs w:val="24"/>
          <w:highlight w:val="none"/>
          <w:lang w:bidi="ar"/>
        </w:rPr>
        <w:t>（北京时间）</w:t>
      </w:r>
    </w:p>
    <w:p>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)上传投标，逾期未上传电子响应文件，将不予受理。</w:t>
      </w:r>
    </w:p>
    <w:p>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五、公告期限</w:t>
      </w:r>
    </w:p>
    <w:p>
      <w:pPr>
        <w:autoSpaceDE w:val="0"/>
        <w:spacing w:line="44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六、其它补充事宜</w:t>
      </w:r>
    </w:p>
    <w:p>
      <w:pPr>
        <w:keepNext w:val="0"/>
        <w:keepLines w:val="0"/>
        <w:pageBreakBefore w:val="0"/>
        <w:widowControl/>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.1本项目为全流程电子化项目，通过“政采云”平台 (</w:t>
      </w:r>
      <w:r>
        <w:rPr>
          <w:rFonts w:hint="eastAsia" w:ascii="宋体" w:hAnsi="宋体" w:cs="宋体"/>
          <w:color w:val="auto"/>
          <w:sz w:val="24"/>
          <w:highlight w:val="none"/>
          <w:lang w:val="zh-CN" w:eastAsia="zh-CN"/>
        </w:rPr>
        <w:t>https://www.zcygov.cn</w:t>
      </w:r>
      <w:r>
        <w:rPr>
          <w:rFonts w:hint="eastAsia" w:ascii="宋体" w:hAnsi="宋体" w:eastAsia="宋体" w:cs="宋体"/>
          <w:color w:val="auto"/>
          <w:sz w:val="24"/>
          <w:highlight w:val="none"/>
          <w:lang w:val="zh-CN" w:eastAsia="zh-CN"/>
        </w:rPr>
        <w:t>) 实行在线电子投标，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应先安装“政采云投标客户端”(请自行前往“政采云”平台进行下载，政采云投标客户端</w:t>
      </w:r>
      <w:r>
        <w:rPr>
          <w:rFonts w:hint="eastAsia" w:ascii="宋体" w:hAnsi="宋体" w:eastAsia="宋体" w:cs="宋体"/>
          <w:color w:val="auto"/>
          <w:sz w:val="24"/>
          <w:highlight w:val="none"/>
          <w:lang w:val="en-US" w:eastAsia="zh-Hans"/>
        </w:rPr>
        <w:t>及</w:t>
      </w:r>
      <w:r>
        <w:rPr>
          <w:rFonts w:hint="eastAsia" w:ascii="宋体" w:hAnsi="宋体" w:eastAsia="宋体" w:cs="宋体"/>
          <w:color w:val="auto"/>
          <w:sz w:val="24"/>
          <w:highlight w:val="none"/>
          <w:lang w:val="en-US" w:eastAsia="zh-CN"/>
        </w:rPr>
        <w:t>吉林安信</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驱动下载地址</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https://customer.zcygov.cn/CA-driver-download?utm=web-login-front.52cebfa2.0.0.04df4040034511edaac705fda12edb43 )，并按照本项目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文件和“政采云”平台的要求编制、加密投标文件后在投标文件提交截止时间前通过网络上传至“政采云”平台，</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在“政采云”平台提交电子版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文件时，请填写参加开</w:t>
      </w:r>
      <w:r>
        <w:rPr>
          <w:rFonts w:hint="eastAsia" w:ascii="宋体" w:hAnsi="宋体" w:eastAsia="宋体" w:cs="宋体"/>
          <w:color w:val="auto"/>
          <w:sz w:val="24"/>
          <w:highlight w:val="none"/>
          <w:lang w:val="en-US" w:eastAsia="zh-CN"/>
        </w:rPr>
        <w:t>启</w:t>
      </w:r>
      <w:r>
        <w:rPr>
          <w:rFonts w:hint="eastAsia" w:ascii="宋体" w:hAnsi="宋体" w:eastAsia="宋体" w:cs="宋体"/>
          <w:color w:val="auto"/>
          <w:sz w:val="24"/>
          <w:highlight w:val="none"/>
          <w:lang w:val="zh-CN" w:eastAsia="zh-CN"/>
        </w:rPr>
        <w:t>活动经办人联系方式。</w:t>
      </w:r>
    </w:p>
    <w:p>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lang w:val="zh-CN" w:eastAsia="zh-CN"/>
        </w:rPr>
        <w:t>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文件制作需要基于“政采云”平台获取的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文件进行制作，</w:t>
      </w:r>
      <w:r>
        <w:rPr>
          <w:rFonts w:hint="eastAsia" w:ascii="宋体" w:hAnsi="宋体" w:eastAsia="宋体" w:cs="宋体"/>
          <w:color w:val="auto"/>
          <w:sz w:val="24"/>
          <w:highlight w:val="none"/>
          <w:lang w:val="en-US" w:eastAsia="zh-CN"/>
        </w:rPr>
        <w:t>制作投标文件时需要完成CA与账号的绑定。</w:t>
      </w:r>
      <w:r>
        <w:rPr>
          <w:rFonts w:hint="eastAsia" w:ascii="宋体" w:hAnsi="宋体" w:eastAsia="宋体" w:cs="宋体"/>
          <w:color w:val="auto"/>
          <w:sz w:val="24"/>
          <w:highlight w:val="none"/>
          <w:lang w:val="zh-CN" w:eastAsia="zh-CN"/>
        </w:rPr>
        <w:t>未办理CA的供应商，请先免费申请CA（CA申请流程：http://www.anxinca.com/kehu/zcy/kh-zcy-zsshenqing.html ；选择吉林省公共资源</w:t>
      </w:r>
      <w:r>
        <w:rPr>
          <w:rFonts w:hint="eastAsia" w:ascii="宋体" w:hAnsi="宋体" w:eastAsia="宋体" w:cs="宋体"/>
          <w:color w:val="auto"/>
          <w:sz w:val="24"/>
          <w:highlight w:val="none"/>
          <w:lang w:val="en-US" w:eastAsia="zh-CN"/>
        </w:rPr>
        <w:t>-供应商后按具体操作流程办理</w:t>
      </w:r>
      <w:r>
        <w:rPr>
          <w:rFonts w:hint="eastAsia" w:ascii="宋体" w:hAnsi="宋体" w:eastAsia="宋体" w:cs="宋体"/>
          <w:color w:val="auto"/>
          <w:sz w:val="24"/>
          <w:highlight w:val="none"/>
          <w:lang w:val="zh-CN" w:eastAsia="zh-CN"/>
        </w:rPr>
        <w:t>），并</w:t>
      </w:r>
      <w:r>
        <w:rPr>
          <w:rFonts w:hint="eastAsia" w:ascii="宋体" w:hAnsi="宋体" w:eastAsia="宋体" w:cs="宋体"/>
          <w:color w:val="auto"/>
          <w:sz w:val="24"/>
          <w:highlight w:val="none"/>
          <w:lang w:val="en-US" w:eastAsia="zh-CN"/>
        </w:rPr>
        <w:t>完成CA与账号绑定（</w:t>
      </w:r>
      <w:r>
        <w:rPr>
          <w:rFonts w:hint="eastAsia" w:ascii="宋体" w:hAnsi="宋体" w:eastAsia="宋体" w:cs="宋体"/>
          <w:color w:val="auto"/>
          <w:sz w:val="24"/>
          <w:highlight w:val="none"/>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auto"/>
          <w:sz w:val="24"/>
          <w:highlight w:val="none"/>
          <w:lang w:val="en-US" w:eastAsia="zh-CN"/>
        </w:rPr>
        <w:t>）。</w:t>
      </w:r>
    </w:p>
    <w:p>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投标文件提交截止时间（开标时间）和地点：投标文件提交截止时间为</w:t>
      </w:r>
      <w:r>
        <w:rPr>
          <w:rFonts w:hint="eastAsia" w:ascii="宋体" w:hAnsi="宋体" w:cs="宋体"/>
          <w:color w:val="auto"/>
          <w:sz w:val="24"/>
          <w:highlight w:val="none"/>
          <w:lang w:val="en-US" w:eastAsia="zh-CN"/>
        </w:rPr>
        <w:t>2025年3月6日09时30分</w:t>
      </w:r>
      <w:r>
        <w:rPr>
          <w:rFonts w:hint="eastAsia" w:ascii="宋体" w:hAnsi="宋体" w:eastAsia="宋体" w:cs="宋体"/>
          <w:color w:val="auto"/>
          <w:sz w:val="24"/>
          <w:highlight w:val="none"/>
          <w:lang w:val="zh-CN" w:eastAsia="zh-CN"/>
        </w:rPr>
        <w:t>，编制、加密后的投标文件须在投标文件提交截止时间前通过网络上传至“政采云”平台，逾期未上传电子投标文件，将不予受理。</w:t>
      </w:r>
    </w:p>
    <w:p>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.4远程不见面开标具体要求：</w:t>
      </w:r>
    </w:p>
    <w:p>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.4.1开标项目的时间均以国家授时中心发布的时间为准。</w:t>
      </w:r>
    </w:p>
    <w:p>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依照招标文件的规定完成电子投标文件的编制和提交。如未按招标文件要求编制、提交电子投标文件，将可能导致否决投标，其后果由供应商自负。</w:t>
      </w:r>
    </w:p>
    <w:p>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供应商应充分考虑到网络及系统平台可能存在的突发状况，在投标文件编制完成后尽早完成上传。</w:t>
      </w:r>
    </w:p>
    <w:p>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供应商必须使用能正确解密投标文件的CA在规定的时间内完成远程解密（</w:t>
      </w:r>
      <w:r>
        <w:rPr>
          <w:rFonts w:hint="eastAsia" w:ascii="宋体" w:hAnsi="宋体" w:eastAsia="宋体" w:cs="宋体"/>
          <w:color w:val="auto"/>
          <w:sz w:val="24"/>
          <w:highlight w:val="none"/>
          <w:lang w:val="en-US" w:eastAsia="zh-Hans"/>
        </w:rPr>
        <w:t>如遇见</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故障无法解密可联系</w:t>
      </w:r>
      <w:r>
        <w:rPr>
          <w:rFonts w:hint="eastAsia" w:ascii="宋体" w:hAnsi="宋体" w:eastAsia="宋体" w:cs="宋体"/>
          <w:color w:val="auto"/>
          <w:sz w:val="24"/>
          <w:highlight w:val="none"/>
          <w:lang w:val="en-US" w:eastAsia="zh-CN"/>
        </w:rPr>
        <w:t>客服。</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安信客服</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0431-85177688</w:t>
      </w:r>
      <w:r>
        <w:rPr>
          <w:rFonts w:hint="default"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Hans"/>
        </w:rPr>
        <w:t>政</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en-US" w:eastAsia="zh-Hans"/>
        </w:rPr>
        <w:t>云客服</w:t>
      </w:r>
      <w:r>
        <w:rPr>
          <w:rFonts w:hint="default" w:ascii="宋体" w:hAnsi="宋体" w:eastAsia="宋体" w:cs="宋体"/>
          <w:color w:val="auto"/>
          <w:sz w:val="24"/>
          <w:highlight w:val="none"/>
          <w:lang w:val="zh-CN" w:eastAsia="zh-Hans"/>
        </w:rPr>
        <w:t>：95763</w:t>
      </w:r>
      <w:r>
        <w:rPr>
          <w:rFonts w:hint="eastAsia" w:ascii="宋体" w:hAnsi="宋体" w:eastAsia="宋体" w:cs="宋体"/>
          <w:color w:val="auto"/>
          <w:sz w:val="24"/>
          <w:highlight w:val="none"/>
          <w:lang w:val="zh-CN" w:eastAsia="zh-CN"/>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6.5</w:t>
      </w: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val="en-US" w:eastAsia="zh-CN" w:bidi="ar"/>
        </w:rPr>
        <w:t>招标</w:t>
      </w:r>
      <w:r>
        <w:rPr>
          <w:rFonts w:hint="eastAsia" w:ascii="宋体" w:hAnsi="宋体" w:cs="宋体"/>
          <w:color w:val="auto"/>
          <w:kern w:val="0"/>
          <w:sz w:val="24"/>
          <w:szCs w:val="24"/>
          <w:highlight w:val="none"/>
          <w:lang w:bidi="ar"/>
        </w:rPr>
        <w:t>公告在“政采云”平台(http：//www.zcygov.cn)（同步推送到吉林省政府采购网）、中国政府采购网同时发布</w:t>
      </w:r>
      <w:r>
        <w:rPr>
          <w:rFonts w:hint="eastAsia" w:ascii="宋体" w:hAnsi="宋体" w:eastAsia="宋体" w:cs="宋体"/>
          <w:color w:val="auto"/>
          <w:kern w:val="0"/>
          <w:sz w:val="24"/>
          <w:szCs w:val="24"/>
          <w:highlight w:val="none"/>
          <w:lang w:bidi="ar"/>
        </w:rPr>
        <w:t>。</w:t>
      </w:r>
    </w:p>
    <w:p>
      <w:pPr>
        <w:autoSpaceDE w:val="0"/>
        <w:spacing w:line="440" w:lineRule="exact"/>
        <w:rPr>
          <w:rFonts w:hint="eastAsia" w:ascii="宋体" w:hAnsi="宋体" w:cs="宋体"/>
          <w:b/>
          <w:color w:val="auto"/>
          <w:kern w:val="0"/>
          <w:sz w:val="24"/>
          <w:szCs w:val="24"/>
          <w:highlight w:val="none"/>
        </w:rPr>
      </w:pPr>
      <w:bookmarkStart w:id="3" w:name="_Toc28359095"/>
      <w:bookmarkEnd w:id="3"/>
      <w:bookmarkStart w:id="4" w:name="_Toc35393636"/>
      <w:bookmarkEnd w:id="4"/>
      <w:bookmarkStart w:id="5" w:name="_Toc28359018"/>
      <w:bookmarkEnd w:id="5"/>
      <w:bookmarkStart w:id="6" w:name="_Toc35393805"/>
      <w:r>
        <w:rPr>
          <w:rFonts w:hint="eastAsia" w:ascii="宋体" w:hAnsi="宋体" w:cs="宋体"/>
          <w:b/>
          <w:color w:val="auto"/>
          <w:kern w:val="0"/>
          <w:sz w:val="24"/>
          <w:szCs w:val="24"/>
          <w:highlight w:val="none"/>
          <w:lang w:bidi="ar"/>
        </w:rPr>
        <w:t>七、对本次</w:t>
      </w:r>
      <w:bookmarkEnd w:id="6"/>
      <w:r>
        <w:rPr>
          <w:rFonts w:hint="eastAsia" w:ascii="宋体" w:hAnsi="宋体" w:cs="宋体"/>
          <w:b/>
          <w:color w:val="auto"/>
          <w:kern w:val="0"/>
          <w:sz w:val="24"/>
          <w:szCs w:val="24"/>
          <w:highlight w:val="none"/>
          <w:lang w:bidi="ar"/>
        </w:rPr>
        <w:t>招标提出询问，请按以下方式联系</w:t>
      </w:r>
    </w:p>
    <w:p>
      <w:pPr>
        <w:autoSpaceDE w:val="0"/>
        <w:spacing w:line="44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采购人信息</w:t>
      </w:r>
    </w:p>
    <w:p>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名    称：</w:t>
      </w:r>
      <w:r>
        <w:rPr>
          <w:rFonts w:hint="eastAsia" w:ascii="宋体" w:hAnsi="宋体" w:cs="宋体"/>
          <w:color w:val="auto"/>
          <w:kern w:val="0"/>
          <w:sz w:val="24"/>
          <w:szCs w:val="24"/>
          <w:highlight w:val="none"/>
          <w:lang w:eastAsia="zh-CN" w:bidi="ar"/>
        </w:rPr>
        <w:t>蛟河市农业技术推广总站</w:t>
      </w:r>
    </w:p>
    <w:p>
      <w:pPr>
        <w:autoSpaceDE w:val="0"/>
        <w:spacing w:line="44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地    址：</w:t>
      </w:r>
      <w:r>
        <w:rPr>
          <w:rFonts w:hint="eastAsia" w:ascii="宋体" w:hAnsi="宋体" w:cs="宋体"/>
          <w:color w:val="auto"/>
          <w:kern w:val="0"/>
          <w:sz w:val="24"/>
          <w:szCs w:val="24"/>
          <w:highlight w:val="none"/>
          <w:lang w:eastAsia="zh-CN" w:bidi="ar"/>
        </w:rPr>
        <w:t>吉林省蛟河市新区北京路25-1号</w:t>
      </w:r>
    </w:p>
    <w:p>
      <w:pPr>
        <w:autoSpaceDE w:val="0"/>
        <w:spacing w:line="440" w:lineRule="exact"/>
        <w:ind w:firstLine="480" w:firstLineChars="200"/>
        <w:rPr>
          <w:rFonts w:hint="default" w:ascii="宋体" w:hAnsi="宋体" w:eastAsia="宋体" w:cs="宋体"/>
          <w:color w:val="auto"/>
          <w:kern w:val="0"/>
          <w:sz w:val="24"/>
          <w:szCs w:val="24"/>
          <w:highlight w:val="none"/>
          <w:lang w:val="en-US" w:bidi="ar"/>
        </w:rPr>
      </w:pPr>
      <w:r>
        <w:rPr>
          <w:rFonts w:hint="default" w:ascii="宋体" w:hAnsi="宋体" w:eastAsia="宋体" w:cs="宋体"/>
          <w:color w:val="auto"/>
          <w:kern w:val="0"/>
          <w:sz w:val="24"/>
          <w:szCs w:val="24"/>
          <w:highlight w:val="none"/>
          <w:lang w:val="en-US" w:bidi="ar"/>
        </w:rPr>
        <w:t>联系人：</w:t>
      </w:r>
      <w:r>
        <w:rPr>
          <w:rFonts w:hint="eastAsia" w:ascii="宋体" w:hAnsi="宋体" w:cs="宋体"/>
          <w:color w:val="auto"/>
          <w:kern w:val="0"/>
          <w:sz w:val="24"/>
          <w:szCs w:val="24"/>
          <w:highlight w:val="none"/>
          <w:lang w:val="en-US" w:eastAsia="zh-CN" w:bidi="ar"/>
        </w:rPr>
        <w:t xml:space="preserve">刘志刚 </w:t>
      </w:r>
      <w:r>
        <w:rPr>
          <w:rFonts w:hint="default" w:ascii="宋体" w:hAnsi="宋体" w:eastAsia="宋体" w:cs="宋体"/>
          <w:color w:val="auto"/>
          <w:kern w:val="0"/>
          <w:sz w:val="24"/>
          <w:szCs w:val="24"/>
          <w:highlight w:val="none"/>
          <w:lang w:val="en-US" w:bidi="ar"/>
        </w:rPr>
        <w:t xml:space="preserve">    联系电话：</w:t>
      </w:r>
      <w:r>
        <w:rPr>
          <w:rFonts w:hint="eastAsia" w:ascii="宋体" w:hAnsi="宋体" w:cs="宋体"/>
          <w:color w:val="auto"/>
          <w:kern w:val="0"/>
          <w:sz w:val="24"/>
          <w:szCs w:val="24"/>
          <w:highlight w:val="none"/>
          <w:lang w:val="en-US" w:eastAsia="zh-CN" w:bidi="ar"/>
        </w:rPr>
        <w:t xml:space="preserve">0432-67222602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2</w:t>
      </w:r>
      <w:r>
        <w:rPr>
          <w:rFonts w:hint="eastAsia" w:ascii="宋体" w:hAnsi="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en-US" w:eastAsia="zh-CN" w:bidi="ar"/>
        </w:rPr>
        <w:t>采购代理机构信息</w:t>
      </w:r>
    </w:p>
    <w:p>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名    称：</w:t>
      </w:r>
      <w:r>
        <w:rPr>
          <w:rFonts w:hint="eastAsia" w:ascii="宋体" w:hAnsi="宋体" w:cs="宋体"/>
          <w:color w:val="auto"/>
          <w:kern w:val="0"/>
          <w:sz w:val="24"/>
          <w:szCs w:val="24"/>
          <w:highlight w:val="none"/>
          <w:lang w:eastAsia="zh-CN" w:bidi="ar"/>
        </w:rPr>
        <w:t>吉林捷讯工程管理有限公司</w:t>
      </w:r>
    </w:p>
    <w:p>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    址：</w:t>
      </w:r>
      <w:r>
        <w:rPr>
          <w:rFonts w:hint="eastAsia" w:ascii="宋体" w:hAnsi="宋体" w:cs="宋体"/>
          <w:color w:val="auto"/>
          <w:kern w:val="0"/>
          <w:sz w:val="24"/>
          <w:szCs w:val="24"/>
          <w:highlight w:val="none"/>
          <w:lang w:eastAsia="zh-CN" w:bidi="ar"/>
        </w:rPr>
        <w:t>吉林市蛟河市长安街道1层4门</w:t>
      </w:r>
    </w:p>
    <w:p>
      <w:pPr>
        <w:autoSpaceDE w:val="0"/>
        <w:spacing w:line="440" w:lineRule="exact"/>
        <w:ind w:firstLine="480" w:firstLineChars="200"/>
        <w:rPr>
          <w:rFonts w:hint="default" w:ascii="宋体" w:hAnsi="宋体" w:eastAsia="宋体" w:cs="宋体"/>
          <w:color w:val="auto"/>
          <w:kern w:val="0"/>
          <w:sz w:val="24"/>
          <w:szCs w:val="24"/>
          <w:highlight w:val="none"/>
          <w:lang w:val="en-US" w:bidi="ar"/>
        </w:rPr>
      </w:pPr>
      <w:r>
        <w:rPr>
          <w:rFonts w:hint="default" w:ascii="宋体" w:hAnsi="宋体" w:eastAsia="宋体" w:cs="宋体"/>
          <w:color w:val="auto"/>
          <w:kern w:val="0"/>
          <w:sz w:val="24"/>
          <w:szCs w:val="24"/>
          <w:highlight w:val="none"/>
          <w:lang w:val="en-US" w:bidi="ar"/>
        </w:rPr>
        <w:t>联系人：</w:t>
      </w:r>
      <w:r>
        <w:rPr>
          <w:rFonts w:hint="eastAsia" w:ascii="宋体" w:hAnsi="宋体" w:cs="宋体"/>
          <w:color w:val="auto"/>
          <w:kern w:val="0"/>
          <w:sz w:val="24"/>
          <w:szCs w:val="24"/>
          <w:highlight w:val="none"/>
          <w:lang w:val="en-US" w:eastAsia="zh-CN" w:bidi="ar"/>
        </w:rPr>
        <w:t>白海洋</w:t>
      </w:r>
      <w:r>
        <w:rPr>
          <w:rFonts w:hint="default" w:ascii="宋体" w:hAnsi="宋体" w:eastAsia="宋体" w:cs="宋体"/>
          <w:color w:val="auto"/>
          <w:kern w:val="0"/>
          <w:sz w:val="24"/>
          <w:szCs w:val="24"/>
          <w:highlight w:val="none"/>
          <w:lang w:val="en-US" w:bidi="ar"/>
        </w:rPr>
        <w:t xml:space="preserve">    联系电话：</w:t>
      </w:r>
      <w:r>
        <w:rPr>
          <w:rFonts w:hint="eastAsia" w:ascii="宋体" w:hAnsi="宋体" w:cs="宋体"/>
          <w:color w:val="auto"/>
          <w:kern w:val="0"/>
          <w:sz w:val="24"/>
          <w:szCs w:val="24"/>
          <w:highlight w:val="none"/>
          <w:lang w:val="en-US" w:eastAsia="zh-CN" w:bidi="ar"/>
        </w:rPr>
        <w:t>18943510299</w:t>
      </w:r>
    </w:p>
    <w:p>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项目联系方式</w:t>
      </w:r>
    </w:p>
    <w:p>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项目联系人：</w:t>
      </w:r>
      <w:r>
        <w:rPr>
          <w:rFonts w:hint="eastAsia" w:ascii="宋体" w:hAnsi="宋体" w:cs="宋体"/>
          <w:color w:val="auto"/>
          <w:kern w:val="0"/>
          <w:sz w:val="24"/>
          <w:szCs w:val="24"/>
          <w:highlight w:val="none"/>
          <w:lang w:val="en-US" w:eastAsia="zh-CN" w:bidi="ar"/>
        </w:rPr>
        <w:t>白海洋</w:t>
      </w:r>
    </w:p>
    <w:p>
      <w:pPr>
        <w:autoSpaceDE w:val="0"/>
        <w:spacing w:line="44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电      话：</w:t>
      </w:r>
      <w:r>
        <w:rPr>
          <w:rFonts w:hint="eastAsia" w:ascii="宋体" w:hAnsi="宋体" w:cs="宋体"/>
          <w:color w:val="auto"/>
          <w:kern w:val="0"/>
          <w:sz w:val="24"/>
          <w:szCs w:val="24"/>
          <w:highlight w:val="none"/>
          <w:lang w:val="en-US" w:eastAsia="zh-CN" w:bidi="ar"/>
        </w:rPr>
        <w:t>18943510299</w:t>
      </w:r>
    </w:p>
    <w:p>
      <w:pPr>
        <w:autoSpaceDE w:val="0"/>
        <w:spacing w:line="440" w:lineRule="exact"/>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招标监督管理部门：</w:t>
      </w:r>
      <w:r>
        <w:rPr>
          <w:rFonts w:hint="eastAsia" w:ascii="宋体" w:hAnsi="宋体" w:cs="宋体"/>
          <w:color w:val="auto"/>
          <w:kern w:val="0"/>
          <w:sz w:val="24"/>
          <w:szCs w:val="24"/>
          <w:highlight w:val="none"/>
          <w:lang w:val="en-US" w:eastAsia="zh-CN" w:bidi="ar"/>
        </w:rPr>
        <w:t>蛟河市</w:t>
      </w:r>
      <w:r>
        <w:rPr>
          <w:rFonts w:hint="eastAsia" w:ascii="宋体" w:hAnsi="宋体" w:eastAsia="宋体" w:cs="宋体"/>
          <w:color w:val="auto"/>
          <w:kern w:val="0"/>
          <w:sz w:val="24"/>
          <w:szCs w:val="24"/>
          <w:highlight w:val="none"/>
          <w:lang w:bidi="ar"/>
        </w:rPr>
        <w:t>政府采购管理工作办公室</w:t>
      </w:r>
    </w:p>
    <w:p>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7" w:name="_Toc28014"/>
      <w:r>
        <w:rPr>
          <w:rFonts w:hint="eastAsia" w:ascii="宋体" w:hAnsi="宋体" w:eastAsia="宋体" w:cs="宋体"/>
          <w:color w:val="auto"/>
          <w:sz w:val="36"/>
          <w:szCs w:val="36"/>
          <w:highlight w:val="none"/>
        </w:rPr>
        <w:t>第二部分  供应商须知</w:t>
      </w:r>
      <w:bookmarkEnd w:id="7"/>
    </w:p>
    <w:p>
      <w:pPr>
        <w:pStyle w:val="10"/>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p>
    <w:tbl>
      <w:tblPr>
        <w:tblStyle w:val="44"/>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69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692" w:type="dxa"/>
            <w:noWrap w:val="0"/>
            <w:vAlign w:val="center"/>
          </w:tcPr>
          <w:p>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050" w:type="dxa"/>
            <w:noWrap w:val="0"/>
            <w:vAlign w:val="center"/>
          </w:tcPr>
          <w:p>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050" w:type="dxa"/>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rPr>
              <w:t>名    称：</w:t>
            </w:r>
            <w:r>
              <w:rPr>
                <w:rFonts w:hint="eastAsia" w:ascii="宋体" w:hAnsi="宋体" w:cs="宋体"/>
                <w:bCs/>
                <w:color w:val="auto"/>
                <w:sz w:val="24"/>
                <w:szCs w:val="24"/>
                <w:highlight w:val="none"/>
                <w:lang w:val="en-US" w:eastAsia="zh-CN"/>
              </w:rPr>
              <w:t>蛟河市农业技术推广总站</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rPr>
              <w:t>地    址：</w:t>
            </w:r>
            <w:r>
              <w:rPr>
                <w:rFonts w:hint="eastAsia" w:ascii="宋体" w:hAnsi="宋体" w:cs="宋体"/>
                <w:bCs/>
                <w:color w:val="auto"/>
                <w:sz w:val="24"/>
                <w:szCs w:val="24"/>
                <w:highlight w:val="none"/>
                <w:lang w:val="en-US" w:eastAsia="zh-CN"/>
              </w:rPr>
              <w:t>吉林省蛟河市新区北京路25-1号</w:t>
            </w:r>
          </w:p>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rPr>
              <w:t>联系人：</w:t>
            </w:r>
            <w:r>
              <w:rPr>
                <w:rFonts w:hint="eastAsia" w:ascii="宋体" w:hAnsi="宋体" w:cs="宋体"/>
                <w:bCs/>
                <w:color w:val="auto"/>
                <w:sz w:val="24"/>
                <w:szCs w:val="24"/>
                <w:highlight w:val="none"/>
                <w:lang w:val="en-US" w:eastAsia="zh-CN"/>
              </w:rPr>
              <w:t>刘志刚</w:t>
            </w:r>
            <w:r>
              <w:rPr>
                <w:rFonts w:hint="default" w:ascii="宋体" w:hAnsi="宋体" w:eastAsia="宋体" w:cs="宋体"/>
                <w:bCs/>
                <w:color w:val="auto"/>
                <w:sz w:val="24"/>
                <w:szCs w:val="24"/>
                <w:highlight w:val="none"/>
                <w:lang w:val="en-US" w:eastAsia="zh-CN"/>
              </w:rPr>
              <w:t xml:space="preserve"> </w:t>
            </w:r>
            <w:r>
              <w:rPr>
                <w:rFonts w:hint="default" w:ascii="宋体" w:hAnsi="宋体" w:eastAsia="宋体" w:cs="宋体"/>
                <w:bCs/>
                <w:color w:val="auto"/>
                <w:sz w:val="24"/>
                <w:szCs w:val="24"/>
                <w:highlight w:val="none"/>
                <w:lang w:val="en-US"/>
              </w:rPr>
              <w:t xml:space="preserve">    </w:t>
            </w:r>
          </w:p>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rPr>
              <w:t>联系电话：</w:t>
            </w:r>
            <w:r>
              <w:rPr>
                <w:rFonts w:hint="eastAsia" w:ascii="宋体" w:hAnsi="宋体" w:cs="宋体"/>
                <w:bCs/>
                <w:color w:val="auto"/>
                <w:sz w:val="24"/>
                <w:szCs w:val="24"/>
                <w:highlight w:val="none"/>
                <w:lang w:val="en-US" w:eastAsia="zh-CN"/>
              </w:rPr>
              <w:t>0432-67222602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吉林捷讯工程管理有限公司</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吉林市蛟河市长安街道1层4门</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联系人：</w:t>
            </w:r>
            <w:r>
              <w:rPr>
                <w:rFonts w:hint="eastAsia" w:ascii="宋体" w:hAnsi="宋体" w:cs="宋体"/>
                <w:bCs/>
                <w:color w:val="auto"/>
                <w:sz w:val="24"/>
                <w:szCs w:val="24"/>
                <w:highlight w:val="none"/>
                <w:lang w:val="en-US" w:eastAsia="zh-CN"/>
              </w:rPr>
              <w:t>白海洋</w:t>
            </w:r>
            <w:r>
              <w:rPr>
                <w:rFonts w:hint="eastAsia" w:ascii="宋体" w:hAnsi="宋体" w:eastAsia="宋体" w:cs="宋体"/>
                <w:bCs/>
                <w:color w:val="auto"/>
                <w:sz w:val="24"/>
                <w:szCs w:val="24"/>
                <w:highlight w:val="none"/>
                <w:lang w:val="en-US"/>
              </w:rPr>
              <w:t xml:space="preserve">    </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联系电话：</w:t>
            </w:r>
            <w:r>
              <w:rPr>
                <w:rFonts w:hint="eastAsia" w:ascii="宋体" w:hAnsi="宋体" w:cs="宋体"/>
                <w:bCs/>
                <w:color w:val="auto"/>
                <w:sz w:val="24"/>
                <w:szCs w:val="24"/>
                <w:highlight w:val="none"/>
                <w:lang w:val="en-US" w:eastAsia="zh-CN"/>
              </w:rPr>
              <w:t>18943510299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蛟河市2024年粮油生产保障资金（大豆绿色高产高效行动项目）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供货地点</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招标人指定地点（按招标人指定时间运送到指定各地点）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eastAsia="zh-CN" w:bidi="ar"/>
              </w:rPr>
              <w:t>资金来源</w:t>
            </w:r>
            <w:r>
              <w:rPr>
                <w:rFonts w:hint="eastAsia" w:ascii="宋体" w:hAnsi="宋体" w:eastAsia="宋体" w:cs="宋体"/>
                <w:color w:val="auto"/>
                <w:kern w:val="0"/>
                <w:sz w:val="24"/>
                <w:szCs w:val="24"/>
                <w:highlight w:val="none"/>
                <w:lang w:val="en-US" w:eastAsia="zh-CN" w:bidi="ar"/>
              </w:rPr>
              <w:t>及采购预算</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财政资金</w:t>
            </w:r>
            <w:r>
              <w:rPr>
                <w:rFonts w:hint="eastAsia" w:ascii="宋体" w:hAnsi="宋体" w:cs="宋体"/>
                <w:color w:val="auto"/>
                <w:kern w:val="0"/>
                <w:sz w:val="24"/>
                <w:szCs w:val="24"/>
                <w:highlight w:val="none"/>
                <w:lang w:val="en-US" w:eastAsia="zh-CN" w:bidi="ar"/>
              </w:rPr>
              <w:t xml:space="preserve">   524.96</w:t>
            </w:r>
            <w:r>
              <w:rPr>
                <w:rFonts w:hint="eastAsia" w:ascii="宋体" w:hAnsi="宋体" w:eastAsia="宋体" w:cs="宋体"/>
                <w:color w:val="auto"/>
                <w:kern w:val="0"/>
                <w:sz w:val="24"/>
                <w:szCs w:val="24"/>
                <w:highlight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资金落实情况</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招标内容</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12-18-15（N-P2O5-K2O总含量≥45%）硫基三元素1544吨，详见招标文件</w:t>
            </w:r>
            <w:r>
              <w:rPr>
                <w:rFonts w:hint="eastAsia" w:ascii="宋体" w:hAnsi="宋体" w:cs="宋体"/>
                <w:bCs/>
                <w:color w:val="auto"/>
                <w:kern w:val="0"/>
                <w:sz w:val="24"/>
                <w:szCs w:val="24"/>
                <w:highlight w:val="none"/>
                <w:lang w:val="en-US" w:eastAsia="zh-CN"/>
              </w:rPr>
              <w:t>第四部分采购需求</w:t>
            </w:r>
            <w:r>
              <w:rPr>
                <w:rFonts w:hint="default" w:ascii="宋体" w:hAnsi="宋体" w:eastAsia="宋体" w:cs="宋体"/>
                <w:bCs/>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供货期</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合同签订后15日内供货完毕</w:t>
            </w:r>
            <w:r>
              <w:rPr>
                <w:rFonts w:hint="eastAsia" w:ascii="宋体" w:hAnsi="宋体" w:eastAsia="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符合国家及相关行业合格标准；质量、包装符合GB/T 15063-2020 复合肥料标准。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(1)具有独立承担民事责任的能力；</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(2)具有良好的商业信誉和健全的财务会计制度；</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(3)具有履行合同所必需的设备和专业技术能力；</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(4)有依法缴纳税收和社会保障资金的良好记录；</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(6)法律、行政法规规定的其他条件。</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（1）执行《政府采购促进中小企业发展管理办法》（财库[2020]46号）；</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（2）执行《关于政府采购支持监狱企业发展有关问题的通知》(财库[2014]68号)；</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（3）执行《关于促进残疾人就业政府采购政策的通知》(财库[2017]141号)；</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（4）《关于调整优化节能产品、环境标志产品政府采购执行机制的通知》（财库〔2019〕9号）等</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）本项目专门面向中小企业采购。</w:t>
            </w:r>
          </w:p>
          <w:p>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3.1供应商须是具有独立法人资格的企业或其他组织（生产厂商或代理商）。一个制造商对同一品牌同一型号的材料，仅能委托一个代理商参加投标；</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3.2投标人须具有有效的肥料登记证，</w:t>
            </w:r>
            <w:r>
              <w:rPr>
                <w:rFonts w:hint="eastAsia" w:ascii="宋体" w:hAnsi="宋体" w:eastAsia="宋体" w:cs="宋体"/>
                <w:color w:val="auto"/>
                <w:sz w:val="24"/>
                <w:szCs w:val="24"/>
                <w:highlight w:val="none"/>
              </w:rPr>
              <w:t>所投产品质量、包装符合GB/T 15063-2020 复合肥料标准；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拒绝列入政府取消投标资格记录期间的企业或个人投标；</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4企业名称不同但法定代表人为同一个自然人的两个或两个以上的投标人不得参加本采购项目的投标。如果出现上述情况，相关投标人的投标均将被拒绝。</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3.5投标单位和个人（指法定代表人）未在“中国裁判文书网”（wenshu.court.gov.cn）上有行贿犯罪行为。</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3.6供应商未被列入“失信被执行人、税收违法黑名单税收违法黑名单”的记录名单（通过“信用中国”网站(www.creditchina.gov.cn)查询）。</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3.7供应商未被列入“政府采购严重违法失信行为记录名单”（通过“中国政府采购网”（www.ccgp.gov.cn）查询）；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sz w:val="24"/>
                <w:szCs w:val="24"/>
                <w:highlight w:val="none"/>
              </w:rPr>
              <w:t>不接受</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050" w:type="dxa"/>
            <w:tcBorders>
              <w:top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1692"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在投标预备会前提出问题</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形式：</w:t>
            </w:r>
            <w:r>
              <w:rPr>
                <w:rFonts w:hint="eastAsia" w:ascii="宋体" w:hAnsi="宋体" w:eastAsia="宋体" w:cs="宋体"/>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szCs w:val="24"/>
                <w:highlight w:val="none"/>
                <w:lang w:val="zh-CN"/>
              </w:rPr>
              <w:t>不允许</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1.12.3</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偏离</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对招标文件的实质性技术参数要求条款不允许负偏离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692" w:type="dxa"/>
            <w:vMerge w:val="restart"/>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时间：递交投标文件截止之日</w:t>
            </w:r>
            <w:r>
              <w:rPr>
                <w:rFonts w:hint="eastAsia" w:ascii="宋体" w:hAnsi="宋体" w:eastAsia="宋体" w:cs="宋体"/>
                <w:bCs/>
                <w:color w:val="auto"/>
                <w:sz w:val="24"/>
                <w:szCs w:val="24"/>
                <w:highlight w:val="none"/>
                <w:u w:val="single"/>
              </w:rPr>
              <w:t>10</w:t>
            </w:r>
            <w:r>
              <w:rPr>
                <w:rFonts w:hint="eastAsia" w:ascii="宋体" w:hAnsi="宋体" w:eastAsia="宋体" w:cs="宋体"/>
                <w:bCs/>
                <w:color w:val="auto"/>
                <w:sz w:val="24"/>
                <w:szCs w:val="24"/>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形式：各供应商使用CA数字证书登录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供应商提问栏在线提问，并致电采购代理机构</w:t>
            </w:r>
            <w:r>
              <w:rPr>
                <w:rFonts w:hint="eastAsia" w:ascii="宋体" w:hAnsi="宋体" w:cs="宋体"/>
                <w:bCs/>
                <w:color w:val="auto"/>
                <w:sz w:val="24"/>
                <w:szCs w:val="24"/>
                <w:highlight w:val="none"/>
                <w:lang w:val="zh-CN" w:eastAsia="zh-CN"/>
              </w:rPr>
              <w:t>18943510299</w:t>
            </w:r>
            <w:r>
              <w:rPr>
                <w:rFonts w:hint="eastAsia" w:ascii="宋体" w:hAnsi="宋体" w:eastAsia="宋体" w:cs="宋体"/>
                <w:bCs/>
                <w:color w:val="auto"/>
                <w:sz w:val="24"/>
                <w:szCs w:val="24"/>
                <w:highlight w:val="none"/>
                <w:lang w:val="zh-CN"/>
              </w:rPr>
              <w:t>（供应商在此时间之后提出的问题，采购人不再进行澄清和答复）。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692" w:type="dxa"/>
            <w:vMerge w:val="restart"/>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”中发布，供应商收到后必须以确认函的形式发送至采购代理机构的邮箱</w:t>
            </w:r>
            <w:r>
              <w:rPr>
                <w:rFonts w:hint="eastAsia" w:ascii="宋体" w:hAnsi="宋体" w:cs="宋体"/>
                <w:bCs/>
                <w:color w:val="auto"/>
                <w:sz w:val="24"/>
                <w:szCs w:val="24"/>
                <w:highlight w:val="none"/>
                <w:lang w:val="en-US" w:eastAsia="zh-CN"/>
              </w:rPr>
              <w:t>595023407</w:t>
            </w:r>
            <w:r>
              <w:rPr>
                <w:rFonts w:hint="eastAsia" w:ascii="宋体" w:hAnsi="宋体" w:eastAsia="宋体" w:cs="宋体"/>
                <w:bCs/>
                <w:color w:val="auto"/>
                <w:sz w:val="24"/>
                <w:szCs w:val="24"/>
                <w:highlight w:val="none"/>
                <w:lang w:val="zh-CN"/>
              </w:rPr>
              <w:t>@qq.com，因供应商自身原因未能及时查阅下载所导致的对本项目有关文件理解错误由供应商自行承担。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050" w:type="dxa"/>
            <w:noWrap w:val="0"/>
            <w:vAlign w:val="center"/>
          </w:tcPr>
          <w:p>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rPr>
              <w:t>最高投标限价</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524.96</w:t>
            </w:r>
            <w:r>
              <w:rPr>
                <w:rFonts w:hint="eastAsia" w:ascii="宋体" w:hAnsi="宋体" w:eastAsia="宋体" w:cs="宋体"/>
                <w:color w:val="auto"/>
                <w:kern w:val="0"/>
                <w:sz w:val="24"/>
                <w:szCs w:val="24"/>
                <w:highlight w:val="none"/>
                <w:lang w:val="en-US" w:eastAsia="zh-CN" w:bidi="ar"/>
              </w:rPr>
              <w:t>万元</w:t>
            </w:r>
            <w:r>
              <w:rPr>
                <w:rFonts w:hint="eastAsia" w:ascii="宋体" w:hAnsi="宋体" w:cs="宋体"/>
                <w:color w:val="auto"/>
                <w:kern w:val="0"/>
                <w:sz w:val="24"/>
                <w:szCs w:val="24"/>
                <w:highlight w:val="none"/>
                <w:lang w:val="en-US" w:eastAsia="zh-CN" w:bidi="ar"/>
              </w:rPr>
              <w:t>（其中单价控制价3400元/吨）</w:t>
            </w:r>
            <w:bookmarkStart w:id="55" w:name="_GoBack"/>
            <w:bookmarkEnd w:id="55"/>
          </w:p>
          <w:p>
            <w:pPr>
              <w:pStyle w:val="62"/>
              <w:rPr>
                <w:rFonts w:hint="default"/>
                <w:color w:val="auto"/>
                <w:highlight w:val="none"/>
                <w:lang w:val="en-US"/>
              </w:rPr>
            </w:pPr>
            <w:r>
              <w:rPr>
                <w:rFonts w:hint="default" w:ascii="宋体" w:hAnsi="宋体" w:eastAsia="宋体" w:cs="宋体"/>
                <w:color w:val="auto"/>
                <w:kern w:val="0"/>
                <w:sz w:val="24"/>
                <w:szCs w:val="24"/>
                <w:highlight w:val="none"/>
                <w:lang w:val="en-US" w:eastAsia="zh-CN" w:bidi="ar"/>
              </w:rPr>
              <w:t>投标报价不能超过上述总投标限价</w:t>
            </w:r>
            <w:r>
              <w:rPr>
                <w:rFonts w:hint="eastAsia" w:ascii="宋体" w:hAnsi="宋体" w:eastAsia="宋体" w:cs="宋体"/>
                <w:color w:val="auto"/>
                <w:kern w:val="0"/>
                <w:sz w:val="24"/>
                <w:szCs w:val="24"/>
                <w:highlight w:val="none"/>
                <w:lang w:val="en-US" w:eastAsia="zh-CN" w:bidi="ar"/>
              </w:rPr>
              <w:t>及单价控制价</w:t>
            </w:r>
            <w:r>
              <w:rPr>
                <w:rFonts w:hint="default" w:ascii="宋体" w:hAnsi="宋体" w:eastAsia="宋体" w:cs="宋体"/>
                <w:color w:val="auto"/>
                <w:kern w:val="0"/>
                <w:sz w:val="24"/>
                <w:szCs w:val="24"/>
                <w:highlight w:val="none"/>
                <w:lang w:val="en-US" w:eastAsia="zh-CN" w:bidi="ar"/>
              </w:rPr>
              <w:t>，否则为废标。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050" w:type="dxa"/>
            <w:noWrap w:val="0"/>
            <w:vAlign w:val="center"/>
          </w:tcPr>
          <w:p>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形式：投标保证金应当以支票、汇票、本票或者金融机构、担保机构出具的保函等非现金形式提交。供应商未按照采购文件要求提交投标保证金的，投标无效。以支票形式提交的投标保证金应当从供应商的基本账户转出。</w:t>
            </w:r>
          </w:p>
          <w:p>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eastAsia="zh-CN"/>
              </w:rPr>
            </w:pPr>
            <w:r>
              <w:rPr>
                <w:rFonts w:hint="eastAsia" w:ascii="宋体" w:hAnsi="宋体" w:eastAsia="宋体" w:cs="宋体"/>
                <w:color w:val="auto"/>
                <w:sz w:val="24"/>
                <w:szCs w:val="24"/>
                <w:highlight w:val="none"/>
                <w:lang w:val="en-US" w:eastAsia="zh-CN"/>
              </w:rPr>
              <w:t>投标保证金截止时间：投标保证金须在投标文件递交截止时间前到账；投标保证金的确认以最终到账日期为准。</w:t>
            </w:r>
          </w:p>
          <w:p>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15"/>
                <w:sz w:val="24"/>
                <w:highlight w:val="none"/>
                <w:lang w:eastAsia="zh-CN"/>
              </w:rPr>
              <w:t>投标保证金的金</w:t>
            </w:r>
            <w:r>
              <w:rPr>
                <w:rFonts w:hint="eastAsia" w:ascii="宋体" w:hAnsi="宋体" w:eastAsia="宋体" w:cs="宋体"/>
                <w:color w:val="auto"/>
                <w:sz w:val="24"/>
                <w:szCs w:val="24"/>
                <w:highlight w:val="none"/>
                <w:lang w:val="en-US" w:eastAsia="zh-CN"/>
              </w:rPr>
              <w:t>额：</w:t>
            </w:r>
            <w:r>
              <w:rPr>
                <w:rFonts w:hint="eastAsia" w:ascii="宋体" w:hAnsi="宋体" w:cs="宋体"/>
                <w:color w:val="auto"/>
                <w:sz w:val="24"/>
                <w:szCs w:val="24"/>
                <w:highlight w:val="none"/>
                <w:lang w:val="en-US" w:eastAsia="zh-CN"/>
              </w:rPr>
              <w:t>104000</w:t>
            </w:r>
            <w:r>
              <w:rPr>
                <w:rFonts w:hint="eastAsia" w:ascii="宋体" w:hAnsi="宋体" w:eastAsia="宋体" w:cs="宋体"/>
                <w:color w:val="auto"/>
                <w:sz w:val="24"/>
                <w:szCs w:val="24"/>
                <w:highlight w:val="none"/>
                <w:lang w:val="en-US" w:eastAsia="zh-CN"/>
              </w:rPr>
              <w:t>元</w:t>
            </w:r>
          </w:p>
          <w:p>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 xml:space="preserve">收款单位: </w:t>
            </w:r>
            <w:r>
              <w:rPr>
                <w:rFonts w:hint="eastAsia" w:ascii="宋体" w:hAnsi="宋体" w:cs="宋体"/>
                <w:bCs/>
                <w:color w:val="auto"/>
                <w:kern w:val="15"/>
                <w:sz w:val="24"/>
                <w:highlight w:val="none"/>
                <w:lang w:eastAsia="zh-CN"/>
              </w:rPr>
              <w:t>吉林捷讯工程管理有限公司</w:t>
            </w:r>
          </w:p>
          <w:p>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开户行：吉林蛟河农村商业银行股份有限公司河北街支行</w:t>
            </w:r>
          </w:p>
          <w:p>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账号：0720 4240 1101 5200 0017 83</w:t>
            </w:r>
          </w:p>
          <w:p>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联系电话：</w:t>
            </w:r>
            <w:r>
              <w:rPr>
                <w:rFonts w:hint="eastAsia" w:ascii="宋体" w:hAnsi="宋体" w:cs="宋体"/>
                <w:bCs/>
                <w:color w:val="auto"/>
                <w:kern w:val="15"/>
                <w:sz w:val="24"/>
                <w:highlight w:val="none"/>
                <w:lang w:val="en-US" w:eastAsia="zh-CN"/>
              </w:rPr>
              <w:t>18943510299</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val="0"/>
                <w:bCs/>
                <w:color w:val="auto"/>
                <w:kern w:val="15"/>
                <w:sz w:val="24"/>
                <w:szCs w:val="24"/>
                <w:highlight w:val="none"/>
                <w:lang w:val="en-US" w:eastAsia="zh-CN"/>
              </w:rPr>
            </w:pPr>
            <w:r>
              <w:rPr>
                <w:rFonts w:hint="eastAsia" w:ascii="宋体" w:hAnsi="宋体" w:eastAsia="宋体" w:cs="宋体"/>
                <w:b/>
                <w:color w:val="auto"/>
                <w:kern w:val="15"/>
                <w:sz w:val="24"/>
                <w:szCs w:val="24"/>
                <w:highlight w:val="none"/>
              </w:rPr>
              <w:t>注：</w:t>
            </w:r>
            <w:r>
              <w:rPr>
                <w:rFonts w:hint="eastAsia" w:ascii="宋体" w:hAnsi="宋体" w:eastAsia="宋体" w:cs="宋体"/>
                <w:b w:val="0"/>
                <w:bCs/>
                <w:color w:val="auto"/>
                <w:kern w:val="15"/>
                <w:sz w:val="24"/>
                <w:szCs w:val="24"/>
                <w:highlight w:val="none"/>
                <w:lang w:val="en-US" w:eastAsia="zh-CN"/>
              </w:rPr>
              <w:t>1.以支票、汇票、本票等形式递交投标保证金的，在递交截止前</w:t>
            </w:r>
            <w:r>
              <w:rPr>
                <w:rFonts w:hint="eastAsia" w:ascii="宋体" w:hAnsi="宋体" w:cs="宋体"/>
                <w:b w:val="0"/>
                <w:bCs/>
                <w:color w:val="auto"/>
                <w:kern w:val="15"/>
                <w:sz w:val="24"/>
                <w:szCs w:val="24"/>
                <w:highlight w:val="none"/>
                <w:lang w:val="en-US" w:eastAsia="zh-CN"/>
              </w:rPr>
              <w:t>,</w:t>
            </w:r>
            <w:r>
              <w:rPr>
                <w:rFonts w:hint="eastAsia" w:ascii="宋体" w:hAnsi="宋体" w:eastAsia="宋体" w:cs="宋体"/>
                <w:b w:val="0"/>
                <w:bCs/>
                <w:color w:val="auto"/>
                <w:kern w:val="15"/>
                <w:sz w:val="24"/>
                <w:szCs w:val="24"/>
                <w:highlight w:val="none"/>
                <w:lang w:val="en-US" w:eastAsia="zh-CN"/>
              </w:rPr>
              <w:t>应当从投标单位的基本账户一次性转出采购代理机构指定账户，银行进帐单或电汇凭证等凭证上应明确用途为“投标保证金”、项目名称、项目编号、标段等，以便核对查实。缴纳完投标保证金后须将银行的存款回单以或邮件的方式传送至采购代理机构。（邮箱：</w:t>
            </w:r>
            <w:r>
              <w:rPr>
                <w:rFonts w:hint="eastAsia" w:ascii="宋体" w:hAnsi="宋体" w:cs="宋体"/>
                <w:b w:val="0"/>
                <w:bCs/>
                <w:color w:val="auto"/>
                <w:kern w:val="15"/>
                <w:sz w:val="24"/>
                <w:szCs w:val="24"/>
                <w:highlight w:val="none"/>
                <w:lang w:val="en-US" w:eastAsia="zh-CN"/>
              </w:rPr>
              <w:t>595023407</w:t>
            </w:r>
            <w:r>
              <w:rPr>
                <w:rFonts w:hint="eastAsia" w:ascii="宋体" w:hAnsi="宋体" w:eastAsia="宋体" w:cs="宋体"/>
                <w:b w:val="0"/>
                <w:bCs/>
                <w:color w:val="auto"/>
                <w:kern w:val="15"/>
                <w:sz w:val="24"/>
                <w:szCs w:val="24"/>
                <w:highlight w:val="none"/>
                <w:lang w:val="en-US" w:eastAsia="zh-CN"/>
              </w:rPr>
              <w:t>@qq.com）。投标保证金的确认以最终到帐日期为准。</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kern w:val="15"/>
                <w:sz w:val="24"/>
                <w:szCs w:val="24"/>
                <w:highlight w:val="none"/>
                <w:lang w:val="en-US" w:eastAsia="zh-CN"/>
              </w:rPr>
              <w:t>2.以“担保”形式递交投标保证金的，应在递交截止时间前，将担保公司或银行开具的担保保函原件递交到采购代理机构项目负责人处核验，并自留一份复印件附在投标文件。未按规定时间办理，投标将被拒绝。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i w:val="0"/>
                <w:iCs w:val="0"/>
                <w:color w:val="auto"/>
                <w:kern w:val="24"/>
                <w:sz w:val="24"/>
                <w:szCs w:val="24"/>
                <w:highlight w:val="none"/>
                <w:u w:val="none"/>
                <w:lang w:eastAsia="zh-CN"/>
              </w:rPr>
              <w:t>20</w:t>
            </w:r>
            <w:r>
              <w:rPr>
                <w:rFonts w:hint="eastAsia" w:ascii="宋体" w:hAnsi="宋体" w:cs="宋体"/>
                <w:i w:val="0"/>
                <w:iCs w:val="0"/>
                <w:color w:val="auto"/>
                <w:kern w:val="24"/>
                <w:sz w:val="24"/>
                <w:szCs w:val="24"/>
                <w:highlight w:val="none"/>
                <w:u w:val="none"/>
                <w:lang w:val="en-US" w:eastAsia="zh-CN"/>
              </w:rPr>
              <w:t>21</w:t>
            </w:r>
            <w:r>
              <w:rPr>
                <w:rFonts w:hint="eastAsia" w:ascii="宋体" w:hAnsi="宋体" w:eastAsia="宋体" w:cs="宋体"/>
                <w:i w:val="0"/>
                <w:iCs w:val="0"/>
                <w:color w:val="auto"/>
                <w:kern w:val="24"/>
                <w:sz w:val="24"/>
                <w:szCs w:val="24"/>
                <w:highlight w:val="none"/>
                <w:u w:val="none"/>
              </w:rPr>
              <w:t xml:space="preserve"> 年 1 月 1 日起至 </w:t>
            </w:r>
            <w:r>
              <w:rPr>
                <w:rFonts w:hint="eastAsia" w:ascii="宋体" w:hAnsi="宋体" w:cs="宋体"/>
                <w:i w:val="0"/>
                <w:iCs w:val="0"/>
                <w:color w:val="auto"/>
                <w:kern w:val="24"/>
                <w:sz w:val="24"/>
                <w:szCs w:val="24"/>
                <w:highlight w:val="none"/>
                <w:u w:val="none"/>
                <w:lang w:eastAsia="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eastAsia="宋体" w:cs="宋体"/>
                <w:i w:val="0"/>
                <w:iCs w:val="0"/>
                <w:color w:val="auto"/>
                <w:kern w:val="24"/>
                <w:sz w:val="24"/>
                <w:szCs w:val="24"/>
                <w:highlight w:val="none"/>
                <w:u w:val="none"/>
              </w:rPr>
              <w:t>年 12 月 31 日止。（</w:t>
            </w:r>
            <w:r>
              <w:rPr>
                <w:rFonts w:hint="eastAsia" w:ascii="宋体" w:hAnsi="宋体" w:cs="宋体"/>
                <w:i w:val="0"/>
                <w:iCs w:val="0"/>
                <w:color w:val="auto"/>
                <w:kern w:val="24"/>
                <w:sz w:val="24"/>
                <w:szCs w:val="24"/>
                <w:highlight w:val="none"/>
                <w:u w:val="none"/>
                <w:lang w:val="zh-CN"/>
              </w:rPr>
              <w:t>投标人</w:t>
            </w:r>
            <w:r>
              <w:rPr>
                <w:rFonts w:hint="eastAsia" w:ascii="宋体" w:hAnsi="宋体" w:eastAsia="宋体" w:cs="宋体"/>
                <w:i w:val="0"/>
                <w:iCs w:val="0"/>
                <w:color w:val="auto"/>
                <w:kern w:val="24"/>
                <w:sz w:val="24"/>
                <w:szCs w:val="24"/>
                <w:highlight w:val="none"/>
                <w:u w:val="none"/>
                <w:lang w:val="zh-CN"/>
              </w:rPr>
              <w:t>的成立时间少于规定年份的，应提供成立以来至</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的</w:t>
            </w:r>
            <w:r>
              <w:rPr>
                <w:rFonts w:hint="eastAsia" w:ascii="宋体" w:hAnsi="宋体" w:eastAsia="宋体" w:cs="宋体"/>
                <w:i w:val="0"/>
                <w:iCs w:val="0"/>
                <w:color w:val="auto"/>
                <w:kern w:val="24"/>
                <w:sz w:val="24"/>
                <w:szCs w:val="24"/>
                <w:highlight w:val="none"/>
                <w:u w:val="none"/>
                <w:lang w:val="zh-CN"/>
              </w:rPr>
              <w:t>；</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以后</w:t>
            </w:r>
            <w:r>
              <w:rPr>
                <w:rFonts w:hint="eastAsia" w:ascii="宋体" w:hAnsi="宋体" w:eastAsia="宋体" w:cs="宋体"/>
                <w:i w:val="0"/>
                <w:iCs w:val="0"/>
                <w:color w:val="auto"/>
                <w:kern w:val="24"/>
                <w:sz w:val="24"/>
                <w:szCs w:val="24"/>
                <w:highlight w:val="none"/>
                <w:u w:val="none"/>
                <w:lang w:val="zh-CN"/>
              </w:rPr>
              <w:t>成立企业需提供当年银行出具的公司资信证明）。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年1月1日至招标公告发布之日止。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不允许</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投标文件是否需要分册装订</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是</w:t>
            </w:r>
          </w:p>
          <w:p>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投标文件的补充递交</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中标单位需在中标通知书领取之前到采购代理机构提交纸质版投标文件</w:t>
            </w:r>
            <w:r>
              <w:rPr>
                <w:rFonts w:hint="eastAsia" w:ascii="宋体" w:hAnsi="宋体" w:cs="宋体"/>
                <w:bCs/>
                <w:color w:val="auto"/>
                <w:sz w:val="24"/>
                <w:highlight w:val="none"/>
                <w:lang w:val="en-US" w:eastAsia="zh-CN"/>
              </w:rPr>
              <w:t>正本1份、</w:t>
            </w:r>
            <w:r>
              <w:rPr>
                <w:rFonts w:hint="eastAsia" w:ascii="宋体" w:hAnsi="宋体" w:eastAsia="宋体" w:cs="宋体"/>
                <w:bCs/>
                <w:color w:val="auto"/>
                <w:sz w:val="24"/>
                <w:highlight w:val="none"/>
                <w:lang w:val="zh-CN"/>
              </w:rPr>
              <w:t>副本</w:t>
            </w:r>
            <w:r>
              <w:rPr>
                <w:rFonts w:hint="eastAsia" w:ascii="宋体" w:hAnsi="宋体" w:cs="宋体"/>
                <w:bCs/>
                <w:color w:val="auto"/>
                <w:sz w:val="24"/>
                <w:highlight w:val="none"/>
                <w:lang w:val="en-US" w:eastAsia="zh-CN"/>
              </w:rPr>
              <w:t>4份</w:t>
            </w:r>
            <w:r>
              <w:rPr>
                <w:rFonts w:hint="eastAsia" w:ascii="宋体" w:hAnsi="宋体" w:eastAsia="宋体" w:cs="宋体"/>
                <w:bCs/>
                <w:color w:val="auto"/>
                <w:sz w:val="24"/>
                <w:highlight w:val="none"/>
                <w:lang w:val="zh-CN"/>
              </w:rPr>
              <w:t>（中标单位提交的纸质版投标文件副本，必须与上传的电子投标文件以及开标截止时间前递交的纸质版投标文件正本相同，装订要整齐、牢固、采用左侧纵向无线胶订机胶订，编制目录及页码，使用标准的宋体字、A4纸打印胶装装订成册），否则视为放弃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需在开标前将投标文件制作工具生成的加密文件上传到</w:t>
            </w:r>
            <w:r>
              <w:rPr>
                <w:rFonts w:hint="eastAsia" w:ascii="宋体" w:hAnsi="宋体" w:cs="宋体"/>
                <w:bCs/>
                <w:color w:val="auto"/>
                <w:sz w:val="24"/>
                <w:szCs w:val="24"/>
                <w:highlight w:val="none"/>
              </w:rPr>
              <w:t>政府采购云平台（网址：http://www.zcygov.cn）</w:t>
            </w:r>
            <w:r>
              <w:rPr>
                <w:rFonts w:hint="eastAsia" w:ascii="宋体" w:hAnsi="宋体" w:eastAsia="宋体" w:cs="宋体"/>
                <w:bCs/>
                <w:color w:val="auto"/>
                <w:kern w:val="1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2025年</w:t>
            </w:r>
            <w:r>
              <w:rPr>
                <w:rFonts w:hint="eastAsia" w:ascii="宋体" w:hAnsi="宋体" w:cs="宋体"/>
                <w:bCs/>
                <w:color w:val="auto"/>
                <w:sz w:val="24"/>
                <w:szCs w:val="24"/>
                <w:highlight w:val="none"/>
                <w:lang w:val="en-US" w:eastAsia="zh-CN"/>
              </w:rPr>
              <w:t>3月6日</w:t>
            </w:r>
            <w:r>
              <w:rPr>
                <w:rFonts w:hint="eastAsia" w:ascii="宋体" w:hAnsi="宋体" w:cs="宋体"/>
                <w:bCs/>
                <w:color w:val="auto"/>
                <w:sz w:val="24"/>
                <w:szCs w:val="24"/>
                <w:highlight w:val="none"/>
                <w:lang w:eastAsia="zh-CN"/>
              </w:rPr>
              <w:t>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050" w:type="dxa"/>
            <w:noWrap w:val="0"/>
            <w:vAlign w:val="top"/>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本项目执行电子化招投标，供应商须通过政府采购云平台（网址：http://www.zcygov.cn）递交电子版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4.2.3</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投标文件是否退还</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zh-CN"/>
              </w:rPr>
              <w:t>是</w:t>
            </w:r>
          </w:p>
          <w:p>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highlight w:val="none"/>
                <w:lang w:val="zh-CN"/>
              </w:rPr>
              <w:fldChar w:fldCharType="begin"/>
            </w:r>
            <w:r>
              <w:rPr>
                <w:rFonts w:hint="eastAsia" w:ascii="宋体" w:hAnsi="宋体" w:eastAsia="宋体" w:cs="宋体"/>
                <w:bCs/>
                <w:color w:val="auto"/>
                <w:kern w:val="0"/>
                <w:sz w:val="24"/>
                <w:highlight w:val="none"/>
                <w:lang w:val="zh-CN"/>
              </w:rPr>
              <w:instrText xml:space="preserve">eq \o\ac(□,√)</w:instrText>
            </w:r>
            <w:r>
              <w:rPr>
                <w:rFonts w:hint="eastAsia" w:ascii="宋体" w:hAnsi="宋体" w:eastAsia="宋体" w:cs="宋体"/>
                <w:bCs/>
                <w:color w:val="auto"/>
                <w:kern w:val="0"/>
                <w:sz w:val="24"/>
                <w:highlight w:val="none"/>
                <w:lang w:val="zh-CN"/>
              </w:rPr>
              <w:fldChar w:fldCharType="end"/>
            </w:r>
            <w:r>
              <w:rPr>
                <w:rFonts w:hint="eastAsia" w:ascii="宋体" w:hAnsi="宋体" w:eastAsia="宋体" w:cs="宋体"/>
                <w:bCs/>
                <w:color w:val="auto"/>
                <w:kern w:val="0"/>
                <w:sz w:val="24"/>
                <w:highlight w:val="none"/>
                <w:lang w:val="zh-CN"/>
              </w:rPr>
              <w:t>否</w:t>
            </w:r>
            <w:r>
              <w:rPr>
                <w:rFonts w:hint="eastAsia" w:ascii="宋体" w:hAnsi="宋体" w:eastAsia="宋体" w:cs="宋体"/>
                <w:bCs/>
                <w:color w:val="auto"/>
                <w:sz w:val="24"/>
                <w:highlight w:val="none"/>
                <w:lang w:val="zh-CN"/>
              </w:rPr>
              <w:t>，已递交的投标文件不予返还，请供应商自行做好备份工作。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050" w:type="dxa"/>
            <w:noWrap w:val="0"/>
            <w:vAlign w:val="top"/>
          </w:tcPr>
          <w:p>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评标委员会构成：5人</w:t>
            </w:r>
          </w:p>
          <w:p>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其中采购人代表0</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人，专家</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5人。</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的专家库中随机抽取。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公</w:t>
            </w:r>
            <w:r>
              <w:rPr>
                <w:rFonts w:hint="eastAsia" w:ascii="宋体" w:hAnsi="宋体" w:eastAsia="宋体" w:cs="宋体"/>
                <w:bCs/>
                <w:color w:val="auto"/>
                <w:sz w:val="24"/>
                <w:szCs w:val="24"/>
                <w:highlight w:val="none"/>
                <w:lang w:eastAsia="zh-CN"/>
              </w:rPr>
              <w:t>告</w:t>
            </w:r>
            <w:r>
              <w:rPr>
                <w:rFonts w:hint="eastAsia" w:ascii="宋体" w:hAnsi="宋体" w:eastAsia="宋体" w:cs="宋体"/>
                <w:bCs/>
                <w:color w:val="auto"/>
                <w:sz w:val="24"/>
                <w:szCs w:val="24"/>
                <w:highlight w:val="none"/>
              </w:rPr>
              <w:t>媒</w:t>
            </w:r>
            <w:r>
              <w:rPr>
                <w:rFonts w:hint="eastAsia" w:ascii="宋体" w:hAnsi="宋体" w:eastAsia="宋体" w:cs="宋体"/>
                <w:bCs/>
                <w:color w:val="auto"/>
                <w:sz w:val="24"/>
                <w:szCs w:val="24"/>
                <w:highlight w:val="none"/>
                <w:lang w:eastAsia="zh-CN"/>
              </w:rPr>
              <w:t>介：在“政采云”平台(http：//www.zcygov.cn)（同步推送到吉林省政府采购网）、中国政府采购网同时发布；</w:t>
            </w:r>
          </w:p>
          <w:p>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7.4</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是否授权评标委员会确定中标供应商</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w:t>
            </w:r>
          </w:p>
          <w:p>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auto"/>
                <w:kern w:val="15"/>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eq \o\ac(□,√)</w:instrTex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履约保证金</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是否要求</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提交履约保证金：</w:t>
            </w:r>
          </w:p>
          <w:p>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要求，履约担保形式：银行转账，支票/汇票/本票，保函/保险</w:t>
            </w:r>
          </w:p>
          <w:p>
            <w:pPr>
              <w:keepNext w:val="0"/>
              <w:keepLines w:val="0"/>
              <w:pageBreakBefore w:val="0"/>
              <w:widowControl w:val="0"/>
              <w:kinsoku/>
              <w:wordWrap w:val="0"/>
              <w:overflowPunct/>
              <w:topLinePunct w:val="0"/>
              <w:autoSpaceDE/>
              <w:autoSpaceDN/>
              <w:bidi w:val="0"/>
              <w:adjustRightInd w:val="0"/>
              <w:spacing w:line="400" w:lineRule="exact"/>
              <w:ind w:firstLine="960" w:firstLineChars="4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履约保证金的金额：</w:t>
            </w:r>
          </w:p>
          <w:p>
            <w:pPr>
              <w:pageBreakBefore w:val="0"/>
              <w:kinsoku/>
              <w:overflowPunct/>
              <w:topLinePunct w:val="0"/>
              <w:bidi w:val="0"/>
              <w:adjustRightInd w:val="0"/>
              <w:snapToGrid w:val="0"/>
              <w:spacing w:line="288" w:lineRule="auto"/>
              <w:ind w:firstLine="960" w:firstLineChars="400"/>
              <w:textAlignment w:val="auto"/>
              <w:rPr>
                <w:rFonts w:hint="eastAsia" w:ascii="宋体" w:hAnsi="宋体" w:eastAsia="宋体" w:cs="宋体"/>
                <w:bCs/>
                <w:color w:val="auto"/>
                <w:kern w:val="15"/>
                <w:sz w:val="24"/>
                <w:szCs w:val="24"/>
                <w:highlight w:val="none"/>
                <w:lang w:eastAsia="zh-CN"/>
              </w:rPr>
            </w:pPr>
            <w:r>
              <w:rPr>
                <w:rFonts w:hint="eastAsia" w:ascii="宋体" w:hAnsi="宋体" w:eastAsia="宋体" w:cs="宋体"/>
                <w:bCs/>
                <w:color w:val="auto"/>
                <w:kern w:val="15"/>
                <w:sz w:val="24"/>
                <w:szCs w:val="24"/>
                <w:highlight w:val="none"/>
                <w:lang w:eastAsia="zh-CN"/>
              </w:rPr>
              <w:t>履约担保缴纳（提交）时间：下发中标通知书之日起7日内提交。</w:t>
            </w:r>
          </w:p>
          <w:p>
            <w:pPr>
              <w:pageBreakBefore w:val="0"/>
              <w:kinsoku/>
              <w:overflowPunct/>
              <w:topLinePunct w:val="0"/>
              <w:bidi w:val="0"/>
              <w:adjustRightInd w:val="0"/>
              <w:snapToGrid w:val="0"/>
              <w:spacing w:line="288" w:lineRule="auto"/>
              <w:textAlignment w:val="auto"/>
              <w:rPr>
                <w:rFonts w:hint="eastAsia" w:ascii="宋体" w:hAnsi="宋体" w:eastAsia="宋体" w:cs="宋体"/>
                <w:bCs/>
                <w:color w:val="auto"/>
                <w:kern w:val="15"/>
                <w:sz w:val="24"/>
                <w:szCs w:val="24"/>
                <w:highlight w:val="none"/>
                <w:lang w:eastAsia="zh-CN"/>
              </w:rPr>
            </w:pPr>
            <w:r>
              <w:rPr>
                <w:rFonts w:hint="eastAsia" w:ascii="宋体" w:hAnsi="宋体" w:cs="宋体"/>
                <w:bCs/>
                <w:color w:val="auto"/>
                <w:kern w:val="15"/>
                <w:sz w:val="24"/>
                <w:szCs w:val="24"/>
                <w:highlight w:val="none"/>
                <w:lang w:val="en-US" w:eastAsia="zh-CN"/>
              </w:rPr>
              <w:t xml:space="preserve">        </w:t>
            </w:r>
            <w:r>
              <w:rPr>
                <w:rFonts w:hint="eastAsia" w:ascii="宋体" w:hAnsi="宋体" w:eastAsia="宋体" w:cs="宋体"/>
                <w:bCs/>
                <w:color w:val="auto"/>
                <w:kern w:val="15"/>
                <w:sz w:val="24"/>
                <w:szCs w:val="24"/>
                <w:highlight w:val="none"/>
                <w:lang w:eastAsia="zh-CN"/>
              </w:rPr>
              <w:t>履约保证金交纳后持中标通知书与</w:t>
            </w:r>
            <w:r>
              <w:rPr>
                <w:rFonts w:hint="eastAsia" w:ascii="宋体" w:hAnsi="宋体" w:cs="宋体"/>
                <w:bCs/>
                <w:color w:val="auto"/>
                <w:kern w:val="15"/>
                <w:sz w:val="24"/>
                <w:szCs w:val="24"/>
                <w:highlight w:val="none"/>
                <w:lang w:eastAsia="zh-CN"/>
              </w:rPr>
              <w:t>采购</w:t>
            </w:r>
            <w:r>
              <w:rPr>
                <w:rFonts w:hint="eastAsia" w:ascii="宋体" w:hAnsi="宋体" w:eastAsia="宋体" w:cs="宋体"/>
                <w:bCs/>
                <w:color w:val="auto"/>
                <w:kern w:val="15"/>
                <w:sz w:val="24"/>
                <w:szCs w:val="24"/>
                <w:highlight w:val="none"/>
                <w:lang w:eastAsia="zh-CN"/>
              </w:rPr>
              <w:t>人签订供货合同。</w:t>
            </w:r>
          </w:p>
          <w:p>
            <w:pPr>
              <w:pageBreakBefore w:val="0"/>
              <w:kinsoku/>
              <w:overflowPunct/>
              <w:topLinePunct w:val="0"/>
              <w:bidi w:val="0"/>
              <w:adjustRightInd w:val="0"/>
              <w:snapToGrid w:val="0"/>
              <w:spacing w:line="288" w:lineRule="auto"/>
              <w:ind w:firstLine="960" w:firstLineChars="400"/>
              <w:textAlignment w:val="auto"/>
              <w:rPr>
                <w:rFonts w:hint="default"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eastAsia="zh-CN"/>
              </w:rPr>
              <w:t>履约保证金退还：</w:t>
            </w:r>
            <w:r>
              <w:rPr>
                <w:rFonts w:hint="eastAsia" w:ascii="宋体" w:hAnsi="宋体" w:eastAsia="宋体" w:cs="宋体"/>
                <w:bCs/>
                <w:color w:val="auto"/>
                <w:kern w:val="15"/>
                <w:sz w:val="24"/>
                <w:szCs w:val="24"/>
                <w:highlight w:val="none"/>
                <w:lang w:val="en-US" w:eastAsia="zh-CN"/>
              </w:rPr>
              <w:t>由采购人根据采购合同约定，待供应商履行完合同约定权利义务事项后退还。</w:t>
            </w:r>
          </w:p>
          <w:p>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kern w:val="0"/>
                <w:sz w:val="24"/>
                <w:szCs w:val="24"/>
                <w:highlight w:val="none"/>
              </w:rPr>
              <w:fldChar w:fldCharType="begin"/>
            </w:r>
            <w:r>
              <w:rPr>
                <w:rFonts w:hint="eastAsia" w:ascii="宋体" w:hAnsi="宋体" w:eastAsia="宋体" w:cs="宋体"/>
                <w:b/>
                <w:bCs w:val="0"/>
                <w:color w:val="auto"/>
                <w:kern w:val="0"/>
                <w:sz w:val="24"/>
                <w:szCs w:val="24"/>
                <w:highlight w:val="none"/>
              </w:rPr>
              <w:instrText xml:space="preserve">eq \o\ac(□</w:instrText>
            </w:r>
            <w:r>
              <w:rPr>
                <w:rFonts w:hint="eastAsia" w:ascii="宋体" w:hAnsi="宋体" w:cs="宋体"/>
                <w:b/>
                <w:bCs w:val="0"/>
                <w:color w:val="auto"/>
                <w:kern w:val="0"/>
                <w:sz w:val="24"/>
                <w:szCs w:val="24"/>
                <w:highlight w:val="none"/>
                <w:lang w:eastAsia="zh-CN"/>
              </w:rPr>
              <w:instrText xml:space="preserve">,</w:instrText>
            </w:r>
            <w:r>
              <w:rPr>
                <w:rFonts w:hint="eastAsia" w:ascii="宋体" w:hAnsi="宋体" w:cs="宋体"/>
                <w:b/>
                <w:bCs w:val="0"/>
                <w:color w:val="auto"/>
                <w:kern w:val="0"/>
                <w:position w:val="2"/>
                <w:sz w:val="16"/>
                <w:szCs w:val="24"/>
                <w:highlight w:val="none"/>
                <w:lang w:eastAsia="zh-CN"/>
              </w:rPr>
              <w:instrText xml:space="preserve">√</w:instrText>
            </w:r>
            <w:r>
              <w:rPr>
                <w:rFonts w:hint="eastAsia" w:ascii="宋体" w:hAnsi="宋体" w:eastAsia="宋体" w:cs="宋体"/>
                <w:b/>
                <w:bCs w:val="0"/>
                <w:color w:val="auto"/>
                <w:kern w:val="0"/>
                <w:sz w:val="24"/>
                <w:szCs w:val="24"/>
                <w:highlight w:val="none"/>
              </w:rPr>
              <w:instrText xml:space="preserve">)</w:instrText>
            </w:r>
            <w:r>
              <w:rPr>
                <w:rFonts w:hint="eastAsia" w:ascii="宋体" w:hAnsi="宋体" w:eastAsia="宋体" w:cs="宋体"/>
                <w:b/>
                <w:bCs w:val="0"/>
                <w:color w:val="auto"/>
                <w:kern w:val="0"/>
                <w:sz w:val="24"/>
                <w:szCs w:val="24"/>
                <w:highlight w:val="none"/>
              </w:rPr>
              <w:fldChar w:fldCharType="end"/>
            </w:r>
            <w:r>
              <w:rPr>
                <w:rFonts w:hint="eastAsia" w:ascii="宋体" w:hAnsi="宋体" w:eastAsia="宋体" w:cs="宋体"/>
                <w:b/>
                <w:bCs w:val="0"/>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.2</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报价合理性</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依据财政部第87号令第60条：</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评标委员会认为投标人的报价明显低于其他通过符合性审查投标人的报价，有可能影响产品质量或者不能诚信履约的，应当要求其在评标现场</w:t>
            </w:r>
            <w:r>
              <w:rPr>
                <w:rFonts w:hint="eastAsia" w:ascii="宋体" w:hAnsi="宋体" w:eastAsia="宋体" w:cs="宋体"/>
                <w:bCs/>
                <w:color w:val="auto"/>
                <w:kern w:val="15"/>
                <w:sz w:val="24"/>
                <w:szCs w:val="24"/>
                <w:highlight w:val="none"/>
                <w:lang w:val="zh-CN" w:eastAsia="zh-CN"/>
              </w:rPr>
              <w:t>规定</w:t>
            </w:r>
            <w:r>
              <w:rPr>
                <w:rFonts w:hint="eastAsia" w:ascii="宋体" w:hAnsi="宋体" w:eastAsia="宋体" w:cs="宋体"/>
                <w:bCs/>
                <w:color w:val="auto"/>
                <w:kern w:val="15"/>
                <w:sz w:val="24"/>
                <w:szCs w:val="24"/>
                <w:highlight w:val="none"/>
                <w:lang w:val="zh-CN"/>
              </w:rPr>
              <w:t>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050" w:type="dxa"/>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按照国家发展计划委员会“发改价格【2015】299号”文要求</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按</w:t>
            </w:r>
            <w:r>
              <w:rPr>
                <w:rFonts w:hint="eastAsia" w:ascii="宋体" w:hAnsi="宋体" w:eastAsia="宋体" w:cs="宋体"/>
                <w:bCs/>
                <w:color w:val="auto"/>
                <w:kern w:val="0"/>
                <w:sz w:val="24"/>
                <w:szCs w:val="24"/>
                <w:highlight w:val="none"/>
                <w:lang w:val="en-US" w:eastAsia="zh-CN"/>
              </w:rPr>
              <w:t>中标金额</w:t>
            </w:r>
            <w:r>
              <w:rPr>
                <w:rFonts w:hint="eastAsia" w:ascii="宋体" w:hAnsi="宋体" w:cs="宋体"/>
                <w:bCs/>
                <w:color w:val="auto"/>
                <w:kern w:val="0"/>
                <w:sz w:val="24"/>
                <w:szCs w:val="24"/>
                <w:highlight w:val="none"/>
                <w:lang w:val="en-US" w:eastAsia="zh-CN"/>
              </w:rPr>
              <w:t>的</w:t>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收取</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于中标通</w:t>
            </w:r>
            <w:r>
              <w:rPr>
                <w:rFonts w:hint="eastAsia" w:ascii="宋体" w:hAnsi="宋体" w:cs="宋体"/>
                <w:bCs/>
                <w:color w:val="auto"/>
                <w:kern w:val="0"/>
                <w:sz w:val="24"/>
                <w:szCs w:val="24"/>
                <w:highlight w:val="none"/>
                <w:lang w:val="en-US" w:eastAsia="zh-CN"/>
              </w:rPr>
              <w:t>知书下发前向中标人收取。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代表出席开标会</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2"/>
                <w:sz w:val="24"/>
                <w:szCs w:val="24"/>
                <w:highlight w:val="none"/>
                <w:lang w:val="zh-CN"/>
              </w:rPr>
              <w:t>按照本须知的规定，采购人邀请所有</w:t>
            </w:r>
            <w:r>
              <w:rPr>
                <w:rFonts w:hint="eastAsia" w:ascii="宋体" w:hAnsi="宋体" w:cs="宋体"/>
                <w:bCs/>
                <w:color w:val="auto"/>
                <w:kern w:val="2"/>
                <w:sz w:val="24"/>
                <w:szCs w:val="24"/>
                <w:highlight w:val="none"/>
                <w:lang w:val="zh-CN"/>
              </w:rPr>
              <w:t>投标人</w:t>
            </w:r>
            <w:r>
              <w:rPr>
                <w:rFonts w:hint="eastAsia" w:ascii="宋体" w:hAnsi="宋体" w:eastAsia="宋体" w:cs="宋体"/>
                <w:bCs/>
                <w:color w:val="auto"/>
                <w:kern w:val="2"/>
                <w:sz w:val="24"/>
                <w:szCs w:val="24"/>
                <w:highlight w:val="none"/>
                <w:lang w:val="zh-CN"/>
              </w:rPr>
              <w:t>的法定代表人或其委托代理人参加网上开标会。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69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050"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通过质量检测并完成供货</w:t>
            </w:r>
            <w:r>
              <w:rPr>
                <w:rFonts w:hint="default" w:ascii="宋体" w:hAnsi="宋体" w:eastAsia="宋体" w:cs="宋体"/>
                <w:bCs/>
                <w:color w:val="auto"/>
                <w:sz w:val="24"/>
                <w:szCs w:val="24"/>
                <w:highlight w:val="none"/>
                <w:lang w:val="en-US" w:eastAsia="zh-CN"/>
              </w:rPr>
              <w:t>，供货方提供足额发票，采购方履行财政拨付程序，最终以财政拨付时间为准。达到付款条件起10日，支付合同总金额的100%。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6</w:t>
            </w:r>
          </w:p>
        </w:tc>
        <w:tc>
          <w:tcPr>
            <w:tcW w:w="1692"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价格扣除</w:t>
            </w:r>
          </w:p>
        </w:tc>
        <w:tc>
          <w:tcPr>
            <w:tcW w:w="7050" w:type="dxa"/>
            <w:noWrap w:val="0"/>
            <w:vAlign w:val="center"/>
          </w:tcPr>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评标委员会在评审时，将按下列规定计算价格扣除：</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（4）投标产品同时列入上述多个清单的，将上述规定的价格扣除比例叠加后计算价格扣除。</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（5）根据财库【2022】19号文件规定，对小型和微型企业的产品给予10%的价格扣除，并按照扣除后的价格参加排序。</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（6）价格扣除的依据：第（1）至（4）条提供投标货物相关认证证书复印件加盖投标人公章，附在投标文件内。第（5）条提供中小企业声明函。</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（7）中小企业认定标准：《统计上大中小微型企业划分办法（2017）》及《中小企业划型标准规定（修订征求意见稿）》，本项目属于工</w:t>
            </w:r>
            <w:r>
              <w:rPr>
                <w:rFonts w:hint="eastAsia" w:ascii="宋体" w:hAnsi="宋体" w:eastAsia="宋体" w:cs="宋体"/>
                <w:bCs/>
                <w:color w:val="auto"/>
                <w:sz w:val="24"/>
                <w:szCs w:val="24"/>
                <w:highlight w:val="none"/>
                <w:lang w:eastAsia="zh-CN"/>
              </w:rPr>
              <w:t>业</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按照财政部财库[2022]19号、[2020]46号、[2014]68号、[2017]141号、[2019]9号等文件要求，落实政府采购支持节能环保、中小企业发展等政策。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7</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w:t>
            </w:r>
            <w:r>
              <w:rPr>
                <w:rFonts w:hint="eastAsia" w:ascii="宋体" w:hAnsi="宋体" w:cs="宋体"/>
                <w:bCs/>
                <w:color w:val="auto"/>
                <w:sz w:val="24"/>
                <w:szCs w:val="24"/>
                <w:highlight w:val="none"/>
                <w:lang w:val="en-US" w:eastAsia="zh-CN"/>
              </w:rPr>
              <w:t>投标无效</w:t>
            </w:r>
            <w:r>
              <w:rPr>
                <w:rFonts w:hint="eastAsia" w:ascii="宋体" w:hAnsi="宋体" w:eastAsia="宋体" w:cs="宋体"/>
                <w:bCs/>
                <w:color w:val="auto"/>
                <w:sz w:val="24"/>
                <w:szCs w:val="24"/>
                <w:highlight w:val="none"/>
                <w:lang w:val="zh-CN"/>
              </w:rPr>
              <w:t>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1、供应商需在开标前将响应文件制作工具生成的加密文件上传到政府采购云平台（网址：http://www.zcygov.cn）。</w:t>
            </w:r>
          </w:p>
          <w:p>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2、开标时，供应商需用生成最终响应文件所使用的数字证书（CA锁），以防签到、解密失败。</w:t>
            </w:r>
          </w:p>
          <w:p>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开评标过程中如因上述原因导致投标无效标，供应商自行承担后果。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8</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电子招投标相关说明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pPr>
              <w:keepNext w:val="0"/>
              <w:keepLines w:val="0"/>
              <w:pageBreakBefore w:val="0"/>
              <w:widowControl w:val="0"/>
              <w:numPr>
                <w:ilvl w:val="0"/>
                <w:numId w:val="2"/>
              </w:numPr>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业务要求 </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开标项目的时间均以国家授时中心发布的时间为准。</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政府采购云平台不见面开标系统适用进入政府采购云平台的政府采购项目。 </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通过该系统完成投标过程。依照</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投标人应充分考虑到网络及系统平台可能存在的突发状况，在投标文件编制完成后尽早完成上传。</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投标文件提交截止时间后，通过系统互动区发出投标文件解密的指令，投标人在任意地点按规定时间自行实施远程解密，解密限定在规定时间内完成。 </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 xml:space="preserve">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 </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开标当日，投标人不必抵达开标现场，仅需在任意地点通过政府采购云平台（网址：http:// www.zcygov.cn）不见面开标系统参加开标会议，并根据需要使用开标系统与现场采购人进行互动交流、澄清、质疑等活动。 </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pPr>
              <w:keepNext w:val="0"/>
              <w:keepLines w:val="0"/>
              <w:pageBreakBefore w:val="0"/>
              <w:widowControl w:val="0"/>
              <w:numPr>
                <w:ilvl w:val="0"/>
                <w:numId w:val="3"/>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pPr>
              <w:keepNext w:val="0"/>
              <w:keepLines w:val="0"/>
              <w:pageBreakBefore w:val="0"/>
              <w:widowControl w:val="0"/>
              <w:numPr>
                <w:ilvl w:val="0"/>
                <w:numId w:val="2"/>
              </w:numPr>
              <w:kinsoku/>
              <w:wordWrap w:val="0"/>
              <w:overflowPunct/>
              <w:topLinePunct w:val="0"/>
              <w:autoSpaceDE/>
              <w:autoSpaceDN/>
              <w:bidi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系统操作注意事项 </w:t>
            </w:r>
          </w:p>
          <w:p>
            <w:pPr>
              <w:keepNext w:val="0"/>
              <w:keepLines w:val="0"/>
              <w:pageBreakBefore w:val="0"/>
              <w:widowControl w:val="0"/>
              <w:numPr>
                <w:ilvl w:val="0"/>
                <w:numId w:val="4"/>
              </w:numPr>
              <w:kinsoku/>
              <w:wordWrap w:val="0"/>
              <w:overflowPunct/>
              <w:topLinePunct w:val="0"/>
              <w:autoSpaceDE/>
              <w:autoSpaceDN/>
              <w:bidi w:val="0"/>
              <w:adjustRightInd w:val="0"/>
              <w:spacing w:line="440" w:lineRule="exact"/>
              <w:ind w:leftChars="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软硬件及网络要求 </w:t>
            </w:r>
          </w:p>
          <w:p>
            <w:pPr>
              <w:keepNext w:val="0"/>
              <w:keepLines w:val="0"/>
              <w:pageBreakBefore w:val="0"/>
              <w:widowControl w:val="0"/>
              <w:numPr>
                <w:ilvl w:val="0"/>
                <w:numId w:val="0"/>
              </w:numPr>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ascii="宋体" w:hAnsi="宋体" w:eastAsia="宋体" w:cs="宋体"/>
                <w:color w:val="auto"/>
                <w:sz w:val="24"/>
                <w:szCs w:val="24"/>
                <w:highlight w:val="none"/>
              </w:rPr>
              <w:t>1.参与不见面开标电脑须安装有清晰可用的摄像头、音响和麦克风设备。 2.参与不见面开标电脑须安装正确驱动，可在不见面开标系统登录界面的驱动下载页面进行下载及后续安装。3.为更好实时查看不见面开标室现场，推荐使用20M 及以上网络宽带。 4.操作系统为 win7 或 win10 系统，IE10 版本及以上，运存≥4G （二）投标文件制作及上传说明 1.供应商在政府采购云平台网注册入库成为正式供应商后，在平台上按《政府采购项目电子交易管理操作指南-供应商》进行投标操作。投标人须办理数字证书方可参加投标。2.收到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要求使用对应版本的投标文件制作工具。（三）开标过程注意事项 1.开标当天，投标人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规定解密时间内使用相应的投标文件 CA 证书进行在线解密，否则将无法解密。 四、技术支持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964" w:type="dxa"/>
            <w:gridSpan w:val="3"/>
            <w:noWrap w:val="0"/>
            <w:vAlign w:val="center"/>
          </w:tcPr>
          <w:p>
            <w:pPr>
              <w:keepNext w:val="0"/>
              <w:keepLines w:val="0"/>
              <w:pageBreakBefore w:val="0"/>
              <w:widowControl w:val="0"/>
              <w:kinsoku/>
              <w:wordWrap w:val="0"/>
              <w:overflowPunct/>
              <w:topLinePunct w:val="0"/>
              <w:autoSpaceDE/>
              <w:autoSpaceDN/>
              <w:bidi w:val="0"/>
              <w:adjustRightInd/>
              <w:snapToGrid/>
              <w:spacing w:line="0" w:lineRule="atLeas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须知前附表”用于修改、补充和完善正文中的相关事宜，前附表与正文如有冲突以正文为准。</w:t>
            </w:r>
          </w:p>
        </w:tc>
      </w:tr>
    </w:tbl>
    <w:p>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rPr>
      </w:pPr>
    </w:p>
    <w:p>
      <w:pPr>
        <w:pStyle w:val="10"/>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0"/>
        <w:pageBreakBefore w:val="0"/>
        <w:kinsoku/>
        <w:overflowPunct/>
        <w:topLinePunct w:val="0"/>
        <w:bidi w:val="0"/>
        <w:spacing w:line="288"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bookmarkEnd w:id="0"/>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供货地点：见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pPr>
        <w:wordWrap w:val="0"/>
        <w:adjustRightInd w:val="0"/>
        <w:spacing w:line="440" w:lineRule="exact"/>
        <w:ind w:firstLine="482"/>
        <w:rPr>
          <w:rFonts w:hint="eastAsia"/>
          <w:color w:val="auto"/>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投标人代表</w:t>
      </w:r>
      <w:r>
        <w:rPr>
          <w:rFonts w:hint="eastAsia" w:ascii="宋体" w:hAnsi="宋体" w:cs="宋体"/>
          <w:color w:val="auto"/>
          <w:sz w:val="24"/>
          <w:szCs w:val="24"/>
          <w:highlight w:val="none"/>
        </w:rPr>
        <w:t>：是指法人</w:t>
      </w:r>
      <w:r>
        <w:rPr>
          <w:rFonts w:hint="eastAsia" w:ascii="宋体" w:hAnsi="宋体" w:cs="宋体"/>
          <w:color w:val="auto"/>
          <w:sz w:val="24"/>
          <w:szCs w:val="24"/>
          <w:highlight w:val="none"/>
          <w:lang w:eastAsia="zh-CN"/>
        </w:rPr>
        <w:t>及被授权人</w:t>
      </w:r>
      <w:r>
        <w:rPr>
          <w:rFonts w:hint="eastAsia" w:ascii="宋体" w:hAnsi="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招标范围、供货及安装工期和质量标准</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供货期：见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规定的偏差范围和幅度。</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pPr>
        <w:keepNext w:val="0"/>
        <w:keepLines w:val="0"/>
        <w:pageBreakBefore w:val="0"/>
        <w:widowControl w:val="0"/>
        <w:kinsoku/>
        <w:wordWrap w:val="0"/>
        <w:overflowPunct/>
        <w:topLinePunct w:val="0"/>
        <w:autoSpaceDE/>
        <w:autoSpaceDN/>
        <w:bidi w:val="0"/>
        <w:adjustRightInd w:val="0"/>
        <w:spacing w:line="4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采购需求</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w:t>
      </w:r>
      <w:r>
        <w:rPr>
          <w:rFonts w:hint="eastAsia" w:ascii="宋体" w:hAnsi="宋体" w:cs="宋体"/>
          <w:color w:val="auto"/>
          <w:sz w:val="24"/>
          <w:szCs w:val="24"/>
          <w:highlight w:val="none"/>
        </w:rPr>
        <w:t>要求在投标函</w:t>
      </w:r>
      <w:r>
        <w:rPr>
          <w:rFonts w:hint="eastAsia" w:ascii="宋体" w:hAnsi="宋体" w:cs="宋体"/>
          <w:color w:val="auto"/>
          <w:sz w:val="24"/>
          <w:szCs w:val="24"/>
          <w:highlight w:val="none"/>
          <w:lang w:eastAsia="zh-CN"/>
        </w:rPr>
        <w:t>、开标一览表</w:t>
      </w:r>
      <w:r>
        <w:rPr>
          <w:rFonts w:hint="eastAsia" w:ascii="宋体" w:hAnsi="宋体" w:cs="宋体"/>
          <w:color w:val="auto"/>
          <w:sz w:val="24"/>
          <w:szCs w:val="24"/>
          <w:highlight w:val="none"/>
        </w:rPr>
        <w:t>中进行报价并填写</w:t>
      </w:r>
      <w:r>
        <w:rPr>
          <w:rFonts w:hint="eastAsia" w:ascii="宋体" w:hAnsi="宋体" w:cs="宋体"/>
          <w:bCs/>
          <w:color w:val="auto"/>
          <w:sz w:val="24"/>
          <w:szCs w:val="24"/>
          <w:highlight w:val="none"/>
        </w:rPr>
        <w:t>投标报价明细表</w:t>
      </w:r>
      <w:r>
        <w:rPr>
          <w:rFonts w:hint="eastAsia" w:ascii="宋体" w:hAnsi="宋体" w:cs="宋体"/>
          <w:bCs/>
          <w:color w:val="auto"/>
          <w:sz w:val="24"/>
          <w:szCs w:val="24"/>
          <w:highlight w:val="none"/>
          <w:lang w:eastAsia="zh-CN"/>
        </w:rPr>
        <w:t>，必须在开标一览表空白处签</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字和加盖公章</w:t>
      </w:r>
      <w:r>
        <w:rPr>
          <w:rFonts w:hint="eastAsia" w:ascii="宋体" w:hAnsi="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投标货币：所有投标报价均以人民币元为计算单位。</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供应商所报的价格在合同执行过程中是固定不变的，不得以任何理由予以变更。以可调整的价格提交的投标将作为非响应性投标予以拒绝。</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最低报价不能作为中标的保证和唯一依据。</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pPr>
        <w:keepNext w:val="0"/>
        <w:keepLines w:val="0"/>
        <w:pageBreakBefore w:val="0"/>
        <w:widowControl w:val="0"/>
        <w:tabs>
          <w:tab w:val="left" w:pos="1365"/>
        </w:tabs>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款规定的资质、财务、业绩、信誉等要求。</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w:t>
      </w:r>
      <w:r>
        <w:rPr>
          <w:rFonts w:hint="eastAsia" w:ascii="宋体" w:hAnsi="宋体" w:cs="宋体"/>
          <w:bCs/>
          <w:color w:val="auto"/>
          <w:sz w:val="24"/>
          <w:szCs w:val="24"/>
          <w:highlight w:val="none"/>
          <w:lang w:val="en-US" w:eastAsia="zh-CN"/>
        </w:rPr>
        <w:t>或开户证明材料</w:t>
      </w:r>
      <w:r>
        <w:rPr>
          <w:rFonts w:hint="eastAsia" w:ascii="宋体" w:hAnsi="宋体" w:eastAsia="宋体" w:cs="宋体"/>
          <w:bCs/>
          <w:color w:val="auto"/>
          <w:sz w:val="24"/>
          <w:szCs w:val="24"/>
          <w:highlight w:val="none"/>
        </w:rPr>
        <w:t>等材料的复印件。</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备选投标方案</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不得递交备选投标方案，否则其投标将被否决。</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递交备选投标方案的，只有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所递交的备选投标方案方可予以考虑。评标委员会认为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的备选投标方案优于其按照招标文件要求编制的投标方案的，采购人可以接受该备选投标方案。</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投标文件应当对招标文件有关供货期、投标有效期、招标范围等实质性内容作出响应。</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4"/>
          <w:szCs w:val="24"/>
          <w:highlight w:val="none"/>
          <w:lang w:eastAsia="zh-CN"/>
        </w:rPr>
        <w:t>版</w:t>
      </w:r>
      <w:r>
        <w:rPr>
          <w:rFonts w:hint="eastAsia" w:ascii="宋体" w:hAnsi="宋体" w:eastAsia="宋体" w:cs="宋体"/>
          <w:bCs/>
          <w:color w:val="auto"/>
          <w:sz w:val="24"/>
          <w:szCs w:val="24"/>
          <w:highlight w:val="none"/>
        </w:rPr>
        <w:t>投标文件加盖的公章盖电子印章、</w:t>
      </w:r>
      <w:r>
        <w:rPr>
          <w:rFonts w:hint="eastAsia" w:ascii="宋体" w:hAnsi="宋体" w:eastAsia="宋体" w:cs="宋体"/>
          <w:bCs/>
          <w:color w:val="auto"/>
          <w:sz w:val="24"/>
          <w:szCs w:val="24"/>
          <w:highlight w:val="none"/>
          <w:lang w:eastAsia="zh-CN"/>
        </w:rPr>
        <w:t>法定代表人或</w:t>
      </w: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手写签字</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纸质版投标文件必须使用从投标文件制作工具中生成的投标文件（打印版）进行单面打印</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加盖公章鲜章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签字必须由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的法定代表人或委托代理人亲笔手写签字（包括姓和名），</w:t>
      </w:r>
      <w:r>
        <w:rPr>
          <w:rFonts w:hint="eastAsia" w:ascii="宋体" w:hAnsi="宋体" w:eastAsia="宋体" w:cs="宋体"/>
          <w:bCs/>
          <w:color w:val="auto"/>
          <w:sz w:val="24"/>
          <w:szCs w:val="24"/>
          <w:highlight w:val="none"/>
          <w:lang w:eastAsia="zh-CN"/>
        </w:rPr>
        <w:t>签字处</w:t>
      </w:r>
      <w:r>
        <w:rPr>
          <w:rFonts w:hint="eastAsia" w:ascii="宋体" w:hAnsi="宋体" w:eastAsia="宋体" w:cs="宋体"/>
          <w:bCs/>
          <w:color w:val="auto"/>
          <w:sz w:val="24"/>
          <w:szCs w:val="24"/>
          <w:highlight w:val="none"/>
        </w:rPr>
        <w:t>不得</w:t>
      </w:r>
      <w:r>
        <w:rPr>
          <w:rFonts w:hint="eastAsia" w:ascii="宋体" w:hAnsi="宋体" w:eastAsia="宋体" w:cs="宋体"/>
          <w:bCs/>
          <w:color w:val="auto"/>
          <w:sz w:val="24"/>
          <w:szCs w:val="24"/>
          <w:highlight w:val="none"/>
          <w:lang w:eastAsia="zh-CN"/>
        </w:rPr>
        <w:t>使</w:t>
      </w:r>
      <w:r>
        <w:rPr>
          <w:rFonts w:hint="eastAsia" w:ascii="宋体" w:hAnsi="宋体" w:eastAsia="宋体" w:cs="宋体"/>
          <w:bCs/>
          <w:color w:val="auto"/>
          <w:sz w:val="24"/>
          <w:szCs w:val="24"/>
          <w:highlight w:val="none"/>
        </w:rPr>
        <w:t>用</w:t>
      </w:r>
      <w:r>
        <w:rPr>
          <w:rFonts w:hint="eastAsia" w:ascii="宋体" w:hAnsi="宋体" w:eastAsia="宋体" w:cs="宋体"/>
          <w:bCs/>
          <w:color w:val="auto"/>
          <w:sz w:val="24"/>
          <w:szCs w:val="24"/>
          <w:highlight w:val="none"/>
          <w:lang w:eastAsia="zh-CN"/>
        </w:rPr>
        <w:t>印</w:t>
      </w:r>
      <w:r>
        <w:rPr>
          <w:rFonts w:hint="eastAsia" w:ascii="宋体" w:hAnsi="宋体" w:eastAsia="宋体" w:cs="宋体"/>
          <w:bCs/>
          <w:color w:val="auto"/>
          <w:sz w:val="24"/>
          <w:szCs w:val="24"/>
          <w:highlight w:val="none"/>
        </w:rPr>
        <w:t>章（如签名章、签字章等）代替</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也不得由他人代签，由委托代理人签字的，投标文件应附法定代表人签署的授权委托书。投标文件应尽量避免涂改、行间插字或删除。如果出现上述情况，改动之处应加盖公章并由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（2）纸质版投标文件应用不褪色的材料书写或打印，正本必须彩色打印并加盖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（3）纸质版投标文件的装订要整齐、牢固、采用左侧纵向无线胶订机胶订，</w:t>
      </w:r>
      <w:r>
        <w:rPr>
          <w:rFonts w:hint="eastAsia" w:ascii="宋体" w:hAnsi="宋体" w:eastAsia="宋体" w:cs="宋体"/>
          <w:bCs/>
          <w:color w:val="auto"/>
          <w:sz w:val="24"/>
          <w:szCs w:val="24"/>
          <w:highlight w:val="none"/>
          <w:lang w:eastAsia="zh-CN"/>
        </w:rPr>
        <w:t>自行</w:t>
      </w:r>
      <w:r>
        <w:rPr>
          <w:rFonts w:hint="eastAsia" w:ascii="宋体" w:hAnsi="宋体" w:eastAsia="宋体" w:cs="宋体"/>
          <w:bCs/>
          <w:color w:val="auto"/>
          <w:sz w:val="24"/>
          <w:szCs w:val="24"/>
          <w:highlight w:val="none"/>
        </w:rPr>
        <w:t>编制目录</w:t>
      </w:r>
      <w:r>
        <w:rPr>
          <w:rFonts w:hint="eastAsia" w:ascii="宋体" w:hAnsi="宋体" w:eastAsia="宋体" w:cs="宋体"/>
          <w:bCs/>
          <w:color w:val="auto"/>
          <w:sz w:val="24"/>
          <w:szCs w:val="24"/>
          <w:highlight w:val="none"/>
          <w:lang w:eastAsia="zh-CN"/>
        </w:rPr>
        <w:t>（对应</w:t>
      </w:r>
      <w:r>
        <w:rPr>
          <w:rFonts w:hint="eastAsia" w:ascii="宋体" w:hAnsi="宋体" w:eastAsia="宋体" w:cs="宋体"/>
          <w:bCs/>
          <w:color w:val="auto"/>
          <w:sz w:val="24"/>
          <w:szCs w:val="24"/>
          <w:highlight w:val="none"/>
        </w:rPr>
        <w:t>页码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，使用标准的宋体字、A4纸打印胶装装订成册，投标文件需分册装订的，具体要求见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投标文件的补充递交，具体要求见供应商须知前附表规定。</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zh-CN"/>
        </w:rPr>
      </w:pPr>
      <w:bookmarkStart w:id="8" w:name="_Toc201719090"/>
      <w:bookmarkStart w:id="9" w:name="_Toc30156082"/>
      <w:bookmarkStart w:id="10" w:name="_Toc28681"/>
      <w:bookmarkStart w:id="11" w:name="_Toc10534"/>
      <w:r>
        <w:rPr>
          <w:rFonts w:hint="eastAsia" w:ascii="宋体" w:hAnsi="宋体" w:eastAsia="宋体" w:cs="宋体"/>
          <w:b/>
          <w:bCs/>
          <w:color w:val="auto"/>
          <w:sz w:val="24"/>
          <w:szCs w:val="24"/>
          <w:highlight w:val="none"/>
          <w:lang w:val="zh-CN"/>
        </w:rPr>
        <w:t xml:space="preserve">4.1 </w:t>
      </w:r>
      <w:bookmarkEnd w:id="8"/>
      <w:bookmarkEnd w:id="9"/>
      <w:r>
        <w:rPr>
          <w:rFonts w:hint="eastAsia" w:ascii="宋体" w:hAnsi="宋体" w:eastAsia="宋体" w:cs="宋体"/>
          <w:b/>
          <w:bCs/>
          <w:color w:val="auto"/>
          <w:sz w:val="24"/>
          <w:szCs w:val="24"/>
          <w:highlight w:val="none"/>
          <w:lang w:val="zh-CN"/>
        </w:rPr>
        <w:t>投标文件的保密</w:t>
      </w:r>
      <w:bookmarkEnd w:id="10"/>
      <w:bookmarkEnd w:id="11"/>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zh-CN"/>
        </w:rPr>
        <w:t>，并在封套的封口处加盖投标供应商公章</w:t>
      </w:r>
      <w:r>
        <w:rPr>
          <w:rFonts w:hint="eastAsia" w:ascii="宋体" w:hAnsi="宋体" w:eastAsia="宋体" w:cs="宋体"/>
          <w:color w:val="auto"/>
          <w:sz w:val="24"/>
          <w:szCs w:val="24"/>
          <w:highlight w:val="none"/>
          <w:lang w:val="zh-CN" w:eastAsia="zh-CN"/>
        </w:rPr>
        <w:t>、法人章及法定代表人手书签字，包封格式详见附件</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zh-CN"/>
        </w:rPr>
      </w:pPr>
      <w:bookmarkStart w:id="12" w:name="_Toc31814"/>
      <w:bookmarkStart w:id="13" w:name="_Toc10334"/>
      <w:r>
        <w:rPr>
          <w:rFonts w:hint="eastAsia" w:ascii="宋体" w:hAnsi="宋体" w:eastAsia="宋体" w:cs="宋体"/>
          <w:b/>
          <w:bCs/>
          <w:color w:val="auto"/>
          <w:sz w:val="24"/>
          <w:szCs w:val="24"/>
          <w:highlight w:val="none"/>
          <w:lang w:val="zh-CN"/>
        </w:rPr>
        <w:t>4.2 投标文件的递交</w:t>
      </w:r>
      <w:bookmarkEnd w:id="12"/>
      <w:bookmarkEnd w:id="13"/>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首次招标投标截止时间结束后供应商不足三家的，将重新招标；重新招标仍出现本款前述情形的，可按本须知正文第11款的规定办理。</w:t>
      </w:r>
    </w:p>
    <w:p>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采购人在任何时候发现供应商提交的投标文件内容有下列情形之一时，将给予废标、解除合同及赔偿损失，同时有权依法追究供应商的责任：</w:t>
      </w:r>
    </w:p>
    <w:p>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。开标时未宣读的投标价格等实质性内容，评标时不予承认。</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pPr>
        <w:pStyle w:val="7"/>
        <w:keepNext w:val="0"/>
        <w:keepLines w:val="0"/>
        <w:pageBreakBefore w:val="0"/>
        <w:widowControl w:val="0"/>
        <w:kinsoku/>
        <w:wordWrap w:val="0"/>
        <w:overflowPunct/>
        <w:topLinePunct w:val="0"/>
        <w:autoSpaceDE/>
        <w:autoSpaceDN/>
        <w:bidi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的投标无效，做废标处理。</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（1）交货时间符合招标文件要求的供应商不足三家的；</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（2）所有供应商的报价均超过采购项目预算，采购人不能支付的。</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w:t>
      </w: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zh-CN"/>
        </w:rPr>
        <w:t>按照本章及第三章“评标办法”规定的方法、评审因素、标准和程序对投标文件进行评审。本章及第三章“评标办法”没有规定的方法、评审因素和标准，不作为评标依据。</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（7）一家供应商的投标文件中装订了标有另一家供应商名称的文件材料，或者出现了另一家法定代表人或者授予代理人签名的，其投标作废标处理；</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（6）投标文件载明的货物包装方式、检验方法和标准等不符合招标文件要求；</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公开开标后，直至向中标的供应商授予合同时止，除按招标文件规定予以公开的评标结果外，凡与审查、澄清、评价和比较投标有关的资料以及授标意见等，均不得向供应商及与评标无关的其他人透露。</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本项目不收取</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本招标项目是否采用电子招标投标方式，见供应商须知前附表。</w:t>
      </w:r>
    </w:p>
    <w:p>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pPr>
        <w:pageBreakBefore w:val="0"/>
        <w:widowControl/>
        <w:kinsoku/>
        <w:wordWrap/>
        <w:overflowPunct/>
        <w:topLinePunct w:val="0"/>
        <w:bidi w:val="0"/>
        <w:adjustRightInd/>
        <w:snapToGrid/>
        <w:spacing w:line="288"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pPr>
        <w:rPr>
          <w:rFonts w:hint="eastAsia" w:ascii="宋体" w:hAnsi="宋体" w:eastAsia="宋体" w:cs="宋体"/>
          <w:color w:val="auto"/>
          <w:highlight w:val="none"/>
        </w:rPr>
      </w:pPr>
      <w:bookmarkStart w:id="14" w:name="_Toc98580422"/>
      <w:bookmarkStart w:id="15" w:name="_Toc24696155"/>
      <w:r>
        <w:rPr>
          <w:rFonts w:hint="eastAsia" w:ascii="宋体" w:hAnsi="宋体" w:eastAsia="宋体" w:cs="宋体"/>
          <w:color w:val="auto"/>
          <w:sz w:val="21"/>
          <w:szCs w:val="21"/>
          <w:highlight w:val="none"/>
        </w:rPr>
        <w:br w:type="page"/>
      </w:r>
    </w:p>
    <w:p>
      <w:pPr>
        <w:rPr>
          <w:rFonts w:hint="eastAsia" w:ascii="宋体" w:hAnsi="宋体" w:eastAsia="宋体" w:cs="宋体"/>
          <w:color w:val="auto"/>
          <w:highlight w:val="none"/>
        </w:rPr>
      </w:pPr>
    </w:p>
    <w:p>
      <w:pPr>
        <w:pStyle w:val="3"/>
        <w:spacing w:before="0" w:after="0" w:line="360" w:lineRule="auto"/>
        <w:jc w:val="center"/>
        <w:rPr>
          <w:rFonts w:hint="eastAsia" w:ascii="宋体" w:hAnsi="宋体" w:eastAsia="宋体" w:cs="宋体"/>
          <w:color w:val="auto"/>
          <w:sz w:val="30"/>
          <w:szCs w:val="30"/>
          <w:highlight w:val="none"/>
        </w:rPr>
      </w:pPr>
      <w:bookmarkStart w:id="16" w:name="_Toc8440"/>
      <w:r>
        <w:rPr>
          <w:rFonts w:hint="eastAsia" w:ascii="宋体" w:hAnsi="宋体" w:eastAsia="宋体" w:cs="宋体"/>
          <w:color w:val="auto"/>
          <w:highlight w:val="none"/>
        </w:rPr>
        <w:t>第三部分  评标办法</w:t>
      </w:r>
      <w:bookmarkEnd w:id="16"/>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pPr>
        <w:spacing w:line="440" w:lineRule="exact"/>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一、评标程序</w:t>
      </w:r>
    </w:p>
    <w:p>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从专家库中随机抽取技术、经济等方面的专家共5人组成评标委员会（以下简称“评委会”）。为保证评标工作的顺利进行，推荐一名评委担任评委会主任，负责评标全面工作。</w:t>
      </w:r>
    </w:p>
    <w:p>
      <w:pPr>
        <w:pStyle w:val="88"/>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pPr>
        <w:pStyle w:val="88"/>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cs="宋体"/>
          <w:color w:val="auto"/>
          <w:sz w:val="24"/>
          <w:szCs w:val="24"/>
          <w:highlight w:val="none"/>
          <w:lang w:val="en-US" w:eastAsia="zh-CN"/>
        </w:rPr>
        <w:t>形式评审、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评审响应</w:t>
      </w:r>
      <w:r>
        <w:rPr>
          <w:rFonts w:hint="eastAsia" w:ascii="宋体" w:hAnsi="宋体" w:eastAsia="宋体" w:cs="宋体"/>
          <w:color w:val="auto"/>
          <w:sz w:val="24"/>
          <w:szCs w:val="24"/>
          <w:highlight w:val="none"/>
        </w:rPr>
        <w:t>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和详细评审三个步骤。</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形式</w:t>
      </w:r>
      <w:r>
        <w:rPr>
          <w:rFonts w:hint="eastAsia" w:ascii="宋体" w:hAnsi="宋体" w:eastAsia="宋体" w:cs="宋体"/>
          <w:color w:val="auto"/>
          <w:sz w:val="24"/>
          <w:szCs w:val="24"/>
          <w:highlight w:val="none"/>
        </w:rPr>
        <w:t>审查。采购人或代理机构对各供应商的</w:t>
      </w:r>
      <w:r>
        <w:rPr>
          <w:rFonts w:hint="eastAsia" w:ascii="宋体" w:hAnsi="宋体" w:cs="宋体"/>
          <w:color w:val="auto"/>
          <w:sz w:val="24"/>
          <w:szCs w:val="24"/>
          <w:highlight w:val="none"/>
          <w:lang w:val="en-US" w:eastAsia="zh-CN"/>
        </w:rPr>
        <w:t>形式</w:t>
      </w:r>
      <w:r>
        <w:rPr>
          <w:rFonts w:hint="eastAsia" w:ascii="宋体" w:hAnsi="宋体" w:eastAsia="宋体" w:cs="宋体"/>
          <w:color w:val="auto"/>
          <w:sz w:val="24"/>
          <w:szCs w:val="24"/>
          <w:highlight w:val="none"/>
        </w:rPr>
        <w:t>进行审查。</w:t>
      </w:r>
      <w:r>
        <w:rPr>
          <w:rFonts w:hint="eastAsia" w:ascii="宋体" w:hAnsi="宋体" w:cs="宋体"/>
          <w:color w:val="auto"/>
          <w:sz w:val="24"/>
          <w:szCs w:val="24"/>
          <w:highlight w:val="none"/>
          <w:lang w:val="en-US" w:eastAsia="zh-CN"/>
        </w:rPr>
        <w:t>形式</w:t>
      </w:r>
      <w:r>
        <w:rPr>
          <w:rFonts w:hint="eastAsia" w:ascii="宋体" w:hAnsi="宋体" w:eastAsia="宋体" w:cs="宋体"/>
          <w:color w:val="auto"/>
          <w:sz w:val="24"/>
          <w:szCs w:val="24"/>
          <w:highlight w:val="none"/>
        </w:rPr>
        <w:t>审查合格的供应商方可进入</w:t>
      </w:r>
      <w:r>
        <w:rPr>
          <w:rFonts w:hint="eastAsia" w:ascii="宋体" w:hAnsi="宋体" w:cs="宋体"/>
          <w:color w:val="auto"/>
          <w:sz w:val="24"/>
          <w:szCs w:val="24"/>
          <w:highlight w:val="none"/>
          <w:lang w:val="en-US" w:eastAsia="zh-CN"/>
        </w:rPr>
        <w:t>资格</w:t>
      </w:r>
      <w:r>
        <w:rPr>
          <w:rFonts w:hint="eastAsia" w:ascii="宋体" w:hAnsi="宋体" w:eastAsia="宋体" w:cs="宋体"/>
          <w:color w:val="auto"/>
          <w:sz w:val="24"/>
          <w:szCs w:val="24"/>
          <w:highlight w:val="none"/>
        </w:rPr>
        <w:t>审查。</w:t>
      </w:r>
      <w:r>
        <w:rPr>
          <w:rFonts w:hint="eastAsia" w:ascii="宋体" w:hAnsi="宋体" w:eastAsia="宋体" w:cs="宋体"/>
          <w:color w:val="auto"/>
          <w:sz w:val="24"/>
          <w:highlight w:val="none"/>
        </w:rPr>
        <w:t>不具备招标文件中规定的要求的，投标无效。合格供应商不足3家的，不得评标。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.资格审查。采购人或代理机构对各供应商的资格进行审查。资格审查合格的供应商方可进入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w:t>
      </w:r>
      <w:r>
        <w:rPr>
          <w:rFonts w:hint="eastAsia" w:ascii="宋体" w:hAnsi="宋体" w:eastAsia="宋体" w:cs="宋体"/>
          <w:color w:val="auto"/>
          <w:sz w:val="24"/>
          <w:highlight w:val="none"/>
        </w:rPr>
        <w:t>不具备招标文件中规定的资格要求的，投标无效。合格供应商不足3家的，不得评标。</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性审查。评委会对供应商的投标文件进行符合性审查。符合性审查合格的供应商方可进入详细评审。</w:t>
      </w:r>
      <w:r>
        <w:rPr>
          <w:rFonts w:hint="eastAsia" w:ascii="宋体" w:hAnsi="宋体" w:eastAsia="宋体" w:cs="宋体"/>
          <w:color w:val="auto"/>
          <w:sz w:val="24"/>
          <w:highlight w:val="none"/>
        </w:rPr>
        <w:t>有一项不符合的，投标无效。</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eastAsia="宋体" w:cs="宋体"/>
          <w:color w:val="auto"/>
          <w:sz w:val="24"/>
          <w:highlight w:val="none"/>
        </w:rPr>
        <w:t>招标文件</w:t>
      </w:r>
      <w:r>
        <w:rPr>
          <w:rFonts w:hint="eastAsia" w:ascii="宋体" w:hAnsi="宋体" w:eastAsia="宋体" w:cs="宋体"/>
          <w:bCs/>
          <w:color w:val="auto"/>
          <w:sz w:val="24"/>
          <w:highlight w:val="none"/>
        </w:rPr>
        <w:t>中未标明采购进口产品的，均为采购本国产品。供应商必须投标本国产品，投标进口产品的，投标无效。进口产品是指通过中国海关报关验放进入中国境内且产自关境外的产品。</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核心产品</w:t>
      </w:r>
      <w:r>
        <w:rPr>
          <w:rFonts w:hint="eastAsia" w:ascii="宋体" w:hAnsi="宋体" w:eastAsia="宋体" w:cs="宋体"/>
          <w:color w:val="auto"/>
          <w:sz w:val="24"/>
          <w:highlight w:val="none"/>
        </w:rPr>
        <w:t>提供相同品牌</w:t>
      </w:r>
      <w:r>
        <w:rPr>
          <w:rFonts w:hint="eastAsia" w:ascii="宋体" w:hAnsi="宋体" w:cs="宋体"/>
          <w:color w:val="auto"/>
          <w:sz w:val="24"/>
          <w:highlight w:val="none"/>
          <w:lang w:eastAsia="zh-CN"/>
        </w:rPr>
        <w:t>、相同型号</w:t>
      </w:r>
      <w:r>
        <w:rPr>
          <w:rFonts w:hint="eastAsia" w:ascii="宋体" w:hAnsi="宋体" w:eastAsia="宋体" w:cs="宋体"/>
          <w:color w:val="auto"/>
          <w:sz w:val="24"/>
          <w:highlight w:val="none"/>
        </w:rPr>
        <w:t>且通过资格审查、符合性审查的不同</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参加同一合同项下投标的，按一家</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计算，评审后得分最高的同品牌</w:t>
      </w:r>
      <w:r>
        <w:rPr>
          <w:rFonts w:hint="eastAsia" w:ascii="宋体" w:hAnsi="宋体" w:cs="宋体"/>
          <w:color w:val="auto"/>
          <w:sz w:val="24"/>
          <w:highlight w:val="none"/>
          <w:lang w:eastAsia="zh-CN"/>
        </w:rPr>
        <w:t>同型号</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获得中标人推荐资格；评审得分相同的，参照5.1规定确定一个</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获得中标人推荐资格，其他同品牌</w:t>
      </w:r>
      <w:r>
        <w:rPr>
          <w:rFonts w:hint="eastAsia" w:ascii="宋体" w:hAnsi="宋体" w:cs="宋体"/>
          <w:color w:val="auto"/>
          <w:sz w:val="24"/>
          <w:highlight w:val="none"/>
          <w:lang w:eastAsia="zh-CN"/>
        </w:rPr>
        <w:t>同型号</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不作为中标候选人。符合性审查后，因提供相同品牌</w:t>
      </w:r>
      <w:r>
        <w:rPr>
          <w:rFonts w:hint="eastAsia" w:ascii="宋体" w:hAnsi="宋体" w:cs="宋体"/>
          <w:color w:val="auto"/>
          <w:sz w:val="24"/>
          <w:highlight w:val="none"/>
          <w:lang w:eastAsia="zh-CN"/>
        </w:rPr>
        <w:t>、相同型号</w:t>
      </w:r>
      <w:r>
        <w:rPr>
          <w:rFonts w:hint="eastAsia" w:ascii="宋体" w:hAnsi="宋体" w:eastAsia="宋体" w:cs="宋体"/>
          <w:color w:val="auto"/>
          <w:sz w:val="24"/>
          <w:highlight w:val="none"/>
        </w:rPr>
        <w:t>产品的不同</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按一家计算而导致有效</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不足3家的，应予废标。</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.详细评审。详细评审采用综合评分法。评委依据评标办法分别对各供应商的投标文件进行评审、赋分。如果通过资格审查和符合性审查的供应商不足三家，则采购人重新招标。</w:t>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评标委员会对投标文件需要澄清的问题，采用集体询标方式进行。</w:t>
      </w:r>
    </w:p>
    <w:p>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5.1汇总各评委得分,</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最终得分按各位评委打分平均值计取,保留小数点后两位。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为排名第一的中标候选人。评标委员会根据综合评审结果，按照综合得分由高到低的顺序，推荐三名中标候选人，由采购人确定排名第一的供应商为中标人。</w:t>
      </w:r>
    </w:p>
    <w:p>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44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二、评标办法和标准</w:t>
      </w:r>
    </w:p>
    <w:tbl>
      <w:tblPr>
        <w:tblStyle w:val="44"/>
        <w:tblW w:w="98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46"/>
        <w:gridCol w:w="5553"/>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946" w:type="dxa"/>
            <w:tcBorders>
              <w:top w:val="single" w:color="000000" w:sz="12" w:space="0"/>
            </w:tcBorders>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553" w:type="dxa"/>
            <w:tcBorders>
              <w:top w:val="single" w:color="000000" w:sz="12" w:space="0"/>
            </w:tcBorders>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1</w:t>
            </w:r>
          </w:p>
        </w:tc>
        <w:tc>
          <w:tcPr>
            <w:tcW w:w="1311"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投标文件</w:t>
            </w:r>
            <w:r>
              <w:rPr>
                <w:rFonts w:hint="eastAsia" w:ascii="宋体" w:hAnsi="宋体" w:cs="宋体"/>
                <w:color w:val="auto"/>
                <w:sz w:val="24"/>
                <w:szCs w:val="24"/>
                <w:highlight w:val="none"/>
                <w:lang w:val="en-US" w:eastAsia="zh-CN"/>
              </w:rPr>
              <w:t>内提供</w:t>
            </w:r>
            <w:r>
              <w:rPr>
                <w:rFonts w:hint="eastAsia" w:ascii="宋体" w:hAnsi="宋体" w:eastAsia="宋体" w:cs="宋体"/>
                <w:color w:val="auto"/>
                <w:sz w:val="24"/>
                <w:szCs w:val="24"/>
                <w:highlight w:val="none"/>
              </w:rPr>
              <w:t>年检有效期内的营业执照。</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投标文件</w:t>
            </w:r>
            <w:r>
              <w:rPr>
                <w:rFonts w:hint="eastAsia" w:ascii="宋体" w:hAnsi="宋体" w:cs="宋体"/>
                <w:color w:val="auto"/>
                <w:sz w:val="24"/>
                <w:szCs w:val="24"/>
                <w:highlight w:val="none"/>
                <w:lang w:val="en-US" w:eastAsia="zh-CN"/>
              </w:rPr>
              <w:t>内提供</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年至 </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的审计报告或企业财务报表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投标人的成立时间少于规定年份的，应提供成立以来至202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以后</w:t>
            </w:r>
            <w:r>
              <w:rPr>
                <w:rFonts w:hint="eastAsia" w:ascii="宋体" w:hAnsi="宋体" w:eastAsia="宋体" w:cs="宋体"/>
                <w:color w:val="auto"/>
                <w:sz w:val="24"/>
                <w:szCs w:val="24"/>
                <w:highlight w:val="none"/>
                <w:lang w:val="zh-CN"/>
              </w:rPr>
              <w:t>成立企业需提供当年银行出具的公司资信证明）。</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中小企业声明函</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sz w:val="24"/>
                <w:szCs w:val="24"/>
                <w:highlight w:val="none"/>
                <w:lang w:val="en-US" w:eastAsia="zh-CN" w:bidi="ar-SA"/>
              </w:rPr>
            </w:pPr>
            <w:bookmarkStart w:id="17" w:name="OLE_LINK2"/>
            <w:r>
              <w:rPr>
                <w:rFonts w:hint="eastAsia" w:ascii="宋体" w:hAnsi="宋体" w:eastAsia="宋体" w:cs="宋体"/>
                <w:color w:val="auto"/>
                <w:sz w:val="24"/>
                <w:szCs w:val="24"/>
                <w:highlight w:val="none"/>
                <w:lang w:val="zh-CN" w:eastAsia="zh-CN"/>
              </w:rPr>
              <w:t>投标文件</w:t>
            </w:r>
            <w:r>
              <w:rPr>
                <w:rFonts w:hint="eastAsia" w:ascii="宋体" w:hAnsi="宋体" w:cs="宋体"/>
                <w:color w:val="auto"/>
                <w:sz w:val="24"/>
                <w:szCs w:val="24"/>
                <w:highlight w:val="none"/>
                <w:lang w:val="en-US" w:eastAsia="zh-CN"/>
              </w:rPr>
              <w:t>内须提供</w:t>
            </w:r>
            <w:r>
              <w:rPr>
                <w:rFonts w:hint="eastAsia" w:ascii="宋体" w:hAnsi="宋体" w:eastAsia="宋体" w:cs="宋体"/>
                <w:color w:val="auto"/>
                <w:sz w:val="24"/>
                <w:szCs w:val="24"/>
                <w:highlight w:val="none"/>
              </w:rPr>
              <w:t>中小企业声明函</w:t>
            </w:r>
            <w:bookmarkEnd w:id="17"/>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肥料登记证</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rPr>
              <w:t>投标文件</w:t>
            </w:r>
            <w:r>
              <w:rPr>
                <w:rFonts w:hint="eastAsia" w:ascii="宋体" w:hAnsi="宋体" w:cs="宋体"/>
                <w:color w:val="auto"/>
                <w:sz w:val="24"/>
                <w:szCs w:val="24"/>
                <w:highlight w:val="none"/>
                <w:lang w:val="en-US" w:eastAsia="zh-CN"/>
              </w:rPr>
              <w:t>内须提供</w:t>
            </w:r>
            <w:r>
              <w:rPr>
                <w:rFonts w:hint="eastAsia" w:ascii="宋体" w:hAnsi="宋体" w:eastAsia="宋体" w:cs="宋体"/>
                <w:color w:val="auto"/>
                <w:sz w:val="24"/>
                <w:szCs w:val="24"/>
                <w:highlight w:val="none"/>
                <w:lang w:val="en-US" w:eastAsia="zh-CN"/>
              </w:rPr>
              <w:t>有效的肥料登记证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0"/>
                <w:kern w:val="0"/>
                <w:sz w:val="24"/>
                <w:szCs w:val="24"/>
                <w:highlight w:val="none"/>
                <w:lang w:val="en-US" w:eastAsia="zh-CN" w:bidi="ar"/>
              </w:rPr>
              <w:t>具有履行合同所必需的设备和专业技术能力</w:t>
            </w:r>
          </w:p>
        </w:tc>
        <w:tc>
          <w:tcPr>
            <w:tcW w:w="5553" w:type="dxa"/>
            <w:noWrap w:val="0"/>
            <w:vAlign w:val="center"/>
          </w:tcPr>
          <w:p>
            <w:pPr>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0"/>
                <w:kern w:val="0"/>
                <w:sz w:val="24"/>
                <w:szCs w:val="24"/>
                <w:highlight w:val="none"/>
                <w:lang w:val="en-US" w:eastAsia="zh-CN" w:bidi="ar"/>
              </w:rPr>
              <w:t>具有履行合同所必需的设备和专业技术能力，投标文件内提供由法定代表签字或盖章并加盖公章的承诺书。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5553" w:type="dxa"/>
            <w:noWrap w:val="0"/>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拒绝列入政府取消投标资格记录期间的企业或个人投标；</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企业名称不同但法定代表人为同一个自然人的两个或两个以上的投标人不得参加本采购项目的投标。如果出现上述情况，相关投标人的投标均将被拒绝。</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3.投标单位和个人（指法定代表人）未在“中国裁判文书网”（wenshu.court.gov.cn）上有行贿犯罪行为。</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4.供应商未被列入“失信被执行人、税收违法黑名单税收违法黑名单”的记录名单（通过“信用中国”网站(www.creditchina.gov.cn)查询）。</w:t>
            </w:r>
          </w:p>
          <w:p>
            <w:pPr>
              <w:pStyle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5.供应商未被列入“政府采购严重违法失信行为记录名单”（通过“中国政府采购网”（www.ccgp.gov.cn）查询）；</w:t>
            </w:r>
          </w:p>
          <w:p>
            <w:pPr>
              <w:pStyle w:val="2"/>
              <w:rPr>
                <w:rFonts w:hint="eastAsia"/>
                <w:color w:val="auto"/>
                <w:highlight w:val="none"/>
              </w:rPr>
            </w:pPr>
            <w:r>
              <w:rPr>
                <w:rFonts w:hint="eastAsia" w:ascii="宋体" w:hAnsi="宋体" w:cs="宋体"/>
                <w:color w:val="auto"/>
                <w:sz w:val="24"/>
                <w:szCs w:val="24"/>
                <w:highlight w:val="none"/>
                <w:lang w:val="en-US" w:eastAsia="zh-CN"/>
              </w:rPr>
              <w:t>须提供网页截图复印件加盖公章。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其它要求</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对招标文件的全部条款做出实质性响应；</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2、本项目不接受联合体投标、不允许分包；</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3、不存在招标文件要求的其他</w:t>
            </w:r>
            <w:r>
              <w:rPr>
                <w:rFonts w:hint="eastAsia" w:ascii="宋体" w:hAnsi="宋体" w:eastAsia="宋体" w:cs="宋体"/>
                <w:color w:val="auto"/>
                <w:sz w:val="24"/>
                <w:szCs w:val="24"/>
                <w:highlight w:val="none"/>
                <w:lang w:val="zh-CN"/>
              </w:rPr>
              <w:t>无效投标的情形；</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4、不存在</w:t>
            </w:r>
            <w:r>
              <w:rPr>
                <w:rFonts w:hint="eastAsia" w:ascii="宋体" w:hAnsi="宋体" w:eastAsia="宋体" w:cs="宋体"/>
                <w:color w:val="auto"/>
                <w:sz w:val="24"/>
                <w:szCs w:val="24"/>
                <w:highlight w:val="none"/>
              </w:rPr>
              <w:t>招标文件中规定的其他废标条款</w:t>
            </w:r>
            <w:r>
              <w:rPr>
                <w:rFonts w:hint="eastAsia" w:ascii="宋体" w:hAnsi="宋体" w:eastAsia="宋体" w:cs="宋体"/>
                <w:bCs/>
                <w:color w:val="auto"/>
                <w:sz w:val="24"/>
                <w:szCs w:val="24"/>
                <w:highlight w:val="none"/>
              </w:rPr>
              <w:t>。</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符合招标文件的要求为合格，否则为不合格。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7499" w:type="dxa"/>
            <w:gridSpan w:val="2"/>
            <w:noWrap w:val="0"/>
            <w:vAlign w:val="center"/>
          </w:tcPr>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上述评审因素都合格为资格评审合格，有一项不合格为</w:t>
            </w:r>
            <w:r>
              <w:rPr>
                <w:rFonts w:hint="eastAsia" w:ascii="宋体" w:hAnsi="宋体" w:eastAsia="宋体" w:cs="宋体"/>
                <w:color w:val="auto"/>
                <w:sz w:val="24"/>
                <w:szCs w:val="24"/>
                <w:highlight w:val="none"/>
                <w:lang w:val="en-US" w:eastAsia="zh-CN"/>
              </w:rPr>
              <w:t>无效投标</w:t>
            </w:r>
            <w:r>
              <w:rPr>
                <w:rFonts w:hint="eastAsia" w:ascii="宋体" w:hAnsi="宋体" w:eastAsia="宋体" w:cs="宋体"/>
                <w:color w:val="auto"/>
                <w:sz w:val="24"/>
                <w:szCs w:val="24"/>
                <w:highlight w:val="none"/>
              </w:rPr>
              <w:t>，不再进行下一步评审。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2</w:t>
            </w:r>
          </w:p>
        </w:tc>
        <w:tc>
          <w:tcPr>
            <w:tcW w:w="1311"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性评审标准</w:t>
            </w: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与营业执照一致为合格，否则为不合格。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符合招标文件规定的要求为合格，否则为不合格。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投标文件的编制</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按照招标文件规定的要求编制</w:t>
            </w:r>
            <w:r>
              <w:rPr>
                <w:rFonts w:hint="eastAsia" w:ascii="宋体" w:hAnsi="宋体" w:eastAsia="宋体" w:cs="宋体"/>
                <w:bCs/>
                <w:color w:val="auto"/>
                <w:sz w:val="24"/>
                <w:szCs w:val="24"/>
                <w:highlight w:val="none"/>
              </w:rPr>
              <w:t>，内容齐全、关键字迹清晰，符合投标文件格式的要求为合格；未按</w:t>
            </w:r>
            <w:r>
              <w:rPr>
                <w:rFonts w:hint="eastAsia" w:ascii="宋体" w:hAnsi="宋体" w:eastAsia="宋体" w:cs="宋体"/>
                <w:color w:val="auto"/>
                <w:sz w:val="24"/>
                <w:szCs w:val="24"/>
                <w:highlight w:val="none"/>
              </w:rPr>
              <w:t>招标文件</w:t>
            </w:r>
            <w:r>
              <w:rPr>
                <w:rFonts w:hint="eastAsia" w:ascii="宋体" w:hAnsi="宋体" w:eastAsia="宋体" w:cs="宋体"/>
                <w:bCs/>
                <w:color w:val="auto"/>
                <w:sz w:val="24"/>
                <w:szCs w:val="24"/>
                <w:highlight w:val="none"/>
              </w:rPr>
              <w:t>规定的要求编制，内容不全或关键字迹模糊、无法辨认，不符合投标文件格式的要求为不合格。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合格：只能有一个有效报价；</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不合格：有两个或多个报价，且未声明哪一个有效（按招标文件规定提交备选投标方案的除外）。</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符合招标文件要求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符合招标文件要求</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553"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cs="宋体"/>
                <w:bCs/>
                <w:color w:val="auto"/>
                <w:sz w:val="24"/>
                <w:szCs w:val="24"/>
                <w:highlight w:val="none"/>
                <w:lang w:eastAsia="zh-CN"/>
              </w:rPr>
              <w:t>符合国家及相关行业合格标准；质量、包装符合GB/T 15063-2020 复合肥料标准。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须知”第3.3.1项的规定。</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须知”第3.4.1项的规定，有缴纳凭证加盖公章或财务章【要求清晰可见】。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须知”第3.2.4项的规定，不超过最高投标限价。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311" w:type="dxa"/>
            <w:vMerge w:val="continue"/>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7499" w:type="dxa"/>
            <w:gridSpan w:val="2"/>
            <w:noWrap w:val="0"/>
            <w:vAlign w:val="center"/>
          </w:tcPr>
          <w:p>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上述评审因素都合格为响应性评审合格，有一项不合格为</w:t>
            </w:r>
            <w:r>
              <w:rPr>
                <w:rFonts w:hint="eastAsia" w:ascii="宋体" w:hAnsi="宋体" w:eastAsia="宋体" w:cs="宋体"/>
                <w:color w:val="auto"/>
                <w:sz w:val="24"/>
                <w:szCs w:val="24"/>
                <w:highlight w:val="none"/>
                <w:lang w:val="en-US" w:eastAsia="zh-CN"/>
              </w:rPr>
              <w:t>无效投标</w:t>
            </w:r>
            <w:r>
              <w:rPr>
                <w:rFonts w:hint="eastAsia" w:ascii="宋体" w:hAnsi="宋体" w:eastAsia="宋体" w:cs="宋体"/>
                <w:color w:val="auto"/>
                <w:sz w:val="24"/>
                <w:szCs w:val="24"/>
                <w:highlight w:val="none"/>
              </w:rPr>
              <w:t>，不再进行下一步评审。</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98" w:type="dxa"/>
            <w:gridSpan w:val="4"/>
            <w:noWrap w:val="0"/>
            <w:vAlign w:val="top"/>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1、“通过”表示该项评审标准符合招标文件的要求，“不通过”表示该项评审标准不符合招标文件的要求；</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2、结论汇总意见采取少数服从多数原则，即超过半数评委的结论为“通过”，该</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rPr>
              <w:t>初步评审合格，否则不合格</w:t>
            </w:r>
            <w:r>
              <w:rPr>
                <w:rFonts w:hint="eastAsia" w:ascii="宋体" w:hAnsi="宋体" w:eastAsia="宋体" w:cs="宋体"/>
                <w:color w:val="auto"/>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399" w:type="dxa"/>
            <w:gridSpan w:val="2"/>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2.2.1</w:t>
            </w:r>
          </w:p>
        </w:tc>
        <w:tc>
          <w:tcPr>
            <w:tcW w:w="1946"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分值构成</w:t>
            </w:r>
          </w:p>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(总分100分)</w:t>
            </w:r>
          </w:p>
        </w:tc>
        <w:tc>
          <w:tcPr>
            <w:tcW w:w="5553"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商务部分：</w:t>
            </w:r>
            <w:r>
              <w:rPr>
                <w:rFonts w:hint="eastAsia" w:ascii="宋体"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val="en-US" w:eastAsia="zh-CN"/>
              </w:rPr>
              <w:t>20</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分</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投标报价</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u w:val="single"/>
              </w:rPr>
              <w:t xml:space="preserve"> 30 </w:t>
            </w:r>
            <w:r>
              <w:rPr>
                <w:rFonts w:hint="eastAsia" w:ascii="宋体" w:hAnsi="宋体" w:eastAsia="宋体" w:cs="宋体"/>
                <w:color w:val="auto"/>
                <w:spacing w:val="-6"/>
                <w:sz w:val="24"/>
                <w:szCs w:val="24"/>
                <w:highlight w:val="none"/>
              </w:rPr>
              <w:t>分</w:t>
            </w:r>
          </w:p>
          <w:p>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pacing w:val="-6"/>
                <w:sz w:val="24"/>
                <w:szCs w:val="24"/>
                <w:highlight w:val="none"/>
              </w:rPr>
              <w:t>技术部分：</w:t>
            </w:r>
            <w:r>
              <w:rPr>
                <w:rFonts w:hint="eastAsia" w:ascii="宋体" w:hAnsi="宋体" w:eastAsia="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val="en-US" w:eastAsia="zh-CN"/>
              </w:rPr>
              <w:t>50</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9" w:type="dxa"/>
            <w:gridSpan w:val="2"/>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2.2.2</w:t>
            </w:r>
          </w:p>
        </w:tc>
        <w:tc>
          <w:tcPr>
            <w:tcW w:w="1946" w:type="dxa"/>
            <w:noWrap w:val="0"/>
            <w:vAlign w:val="center"/>
          </w:tcPr>
          <w:p>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t>评标基准价计算方法</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以满足招标文件要求且报价最低的价格为评标基准价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88"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2.2.3（1）</w:t>
            </w:r>
          </w:p>
        </w:tc>
        <w:tc>
          <w:tcPr>
            <w:tcW w:w="1311"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w:t>
            </w:r>
          </w:p>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 30 分）</w:t>
            </w: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投标报价</w:t>
            </w:r>
          </w:p>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 30 分）</w:t>
            </w:r>
          </w:p>
        </w:tc>
        <w:tc>
          <w:tcPr>
            <w:tcW w:w="5553" w:type="dxa"/>
            <w:noWrap w:val="0"/>
            <w:vAlign w:val="top"/>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以满足招标文件要求且报价最低的价格为评标基准价，其价格分为满分 30分，其他供应商的价格分按照下列公式计算：报价得分=（评标基准价/投标报价）×30，结果保留两位小数。</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商务部分评分标准</w:t>
            </w:r>
          </w:p>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分）</w:t>
            </w:r>
          </w:p>
        </w:tc>
        <w:tc>
          <w:tcPr>
            <w:tcW w:w="1946" w:type="dxa"/>
            <w:noWrap w:val="0"/>
            <w:vAlign w:val="center"/>
          </w:tcPr>
          <w:p>
            <w:pPr>
              <w:keepNext w:val="0"/>
              <w:keepLines w:val="0"/>
              <w:pageBreakBefore w:val="0"/>
              <w:kinsoku/>
              <w:wordWrap/>
              <w:overflowPunct/>
              <w:topLinePunct w:val="0"/>
              <w:bidi w:val="0"/>
              <w:snapToGrid/>
              <w:spacing w:line="0" w:lineRule="atLeas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pPr>
              <w:keepNext w:val="0"/>
              <w:keepLines w:val="0"/>
              <w:pageBreakBefore w:val="0"/>
              <w:kinsoku/>
              <w:wordWrap/>
              <w:overflowPunct/>
              <w:topLinePunct w:val="0"/>
              <w:bidi w:val="0"/>
              <w:snapToGrid/>
              <w:spacing w:line="0" w:lineRule="atLeast"/>
              <w:ind w:left="0" w:leftChars="0" w:right="0" w:right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分）</w:t>
            </w:r>
          </w:p>
        </w:tc>
        <w:tc>
          <w:tcPr>
            <w:tcW w:w="5553" w:type="dxa"/>
            <w:noWrap w:val="0"/>
            <w:vAlign w:val="center"/>
          </w:tcPr>
          <w:p>
            <w:pPr>
              <w:keepNext w:val="0"/>
              <w:keepLines w:val="0"/>
              <w:pageBreakBefore w:val="0"/>
              <w:kinsoku/>
              <w:wordWrap/>
              <w:overflowPunct/>
              <w:topLinePunct w:val="0"/>
              <w:bidi w:val="0"/>
              <w:snapToGrid/>
              <w:spacing w:line="0" w:lineRule="atLeas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近三年（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rPr>
              <w:t>-至今）</w:t>
            </w:r>
            <w:r>
              <w:rPr>
                <w:rFonts w:hint="eastAsia" w:ascii="宋体" w:hAnsi="宋体" w:eastAsia="宋体" w:cs="宋体"/>
                <w:color w:val="auto"/>
                <w:sz w:val="24"/>
                <w:szCs w:val="24"/>
                <w:highlight w:val="none"/>
                <w:lang w:eastAsia="zh-CN"/>
              </w:rPr>
              <w:t>完成的</w:t>
            </w:r>
            <w:r>
              <w:rPr>
                <w:rFonts w:hint="eastAsia" w:ascii="宋体" w:hAnsi="宋体" w:eastAsia="宋体" w:cs="宋体"/>
                <w:color w:val="auto"/>
                <w:sz w:val="24"/>
                <w:szCs w:val="24"/>
                <w:highlight w:val="none"/>
              </w:rPr>
              <w:t>类似业绩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每有一项得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CN"/>
              </w:rPr>
              <w:t>合同或中标通知书</w:t>
            </w:r>
            <w:r>
              <w:rPr>
                <w:rFonts w:hint="eastAsia" w:ascii="宋体" w:hAnsi="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lang w:val="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Cs/>
                <w:color w:val="auto"/>
                <w:sz w:val="24"/>
                <w:szCs w:val="24"/>
                <w:highlight w:val="none"/>
                <w:lang w:val="zh-CN" w:eastAsia="zh-CN" w:bidi="ar-SA"/>
              </w:rPr>
            </w:pP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分）</w:t>
            </w:r>
          </w:p>
        </w:tc>
        <w:tc>
          <w:tcPr>
            <w:tcW w:w="5553" w:type="dxa"/>
            <w:noWrap w:val="0"/>
            <w:vAlign w:val="center"/>
          </w:tcPr>
          <w:p>
            <w:pPr>
              <w:keepNext w:val="0"/>
              <w:keepLines w:val="0"/>
              <w:pageBreakBefore w:val="0"/>
              <w:kinsoku/>
              <w:wordWrap/>
              <w:overflowPunct/>
              <w:topLinePunct w:val="0"/>
              <w:bidi w:val="0"/>
              <w:snapToGrid/>
              <w:spacing w:line="0" w:lineRule="atLeas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每有一条</w:t>
            </w:r>
            <w:r>
              <w:rPr>
                <w:rFonts w:hint="eastAsia" w:ascii="宋体" w:hAnsi="宋体" w:eastAsia="宋体" w:cs="宋体"/>
                <w:color w:val="auto"/>
                <w:sz w:val="24"/>
                <w:szCs w:val="24"/>
                <w:highlight w:val="none"/>
                <w:lang w:val="zh-CN" w:eastAsia="zh-CN"/>
              </w:rPr>
              <w:t>采购人可接受的</w:t>
            </w:r>
            <w:r>
              <w:rPr>
                <w:rFonts w:hint="eastAsia" w:ascii="宋体" w:hAnsi="宋体" w:eastAsia="宋体" w:cs="宋体"/>
                <w:color w:val="auto"/>
                <w:sz w:val="24"/>
                <w:szCs w:val="24"/>
                <w:highlight w:val="none"/>
                <w:lang w:val="en-US" w:eastAsia="zh-CN"/>
              </w:rPr>
              <w:t>服务承诺得1分，最多得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分，无不得分。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p>
          <w:p>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553" w:type="dxa"/>
            <w:noWrap w:val="0"/>
            <w:vAlign w:val="center"/>
          </w:tcPr>
          <w:p>
            <w:pPr>
              <w:keepNext w:val="0"/>
              <w:keepLines w:val="0"/>
              <w:pageBreakBefore w:val="0"/>
              <w:kinsoku/>
              <w:overflowPunct/>
              <w:topLinePunct w:val="0"/>
              <w:bidi w:val="0"/>
              <w:spacing w:line="0" w:lineRule="atLeast"/>
              <w:ind w:left="0" w:leftChars="0" w:right="0" w:rightChars="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每有一条</w:t>
            </w:r>
            <w:r>
              <w:rPr>
                <w:rFonts w:hint="eastAsia" w:ascii="宋体" w:hAnsi="宋体" w:eastAsia="宋体" w:cs="宋体"/>
                <w:color w:val="auto"/>
                <w:sz w:val="24"/>
                <w:szCs w:val="24"/>
                <w:highlight w:val="none"/>
                <w:lang w:val="zh-CN" w:eastAsia="zh-CN"/>
              </w:rPr>
              <w:t>采购人可接受的</w:t>
            </w:r>
            <w:r>
              <w:rPr>
                <w:rFonts w:hint="eastAsia" w:ascii="宋体" w:hAnsi="宋体" w:eastAsia="宋体" w:cs="宋体"/>
                <w:color w:val="auto"/>
                <w:sz w:val="24"/>
                <w:szCs w:val="24"/>
                <w:highlight w:val="none"/>
                <w:lang w:val="en-US" w:eastAsia="zh-CN"/>
              </w:rPr>
              <w:t>优惠条件得1分，最多得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分，无不得分。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公司实力</w:t>
            </w:r>
          </w:p>
          <w:p>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分）</w:t>
            </w:r>
          </w:p>
        </w:tc>
        <w:tc>
          <w:tcPr>
            <w:tcW w:w="5553" w:type="dxa"/>
            <w:noWrap w:val="0"/>
            <w:vAlign w:val="center"/>
          </w:tcPr>
          <w:p>
            <w:pPr>
              <w:keepNext w:val="0"/>
              <w:keepLines w:val="0"/>
              <w:pageBreakBefore w:val="0"/>
              <w:kinsoku/>
              <w:overflowPunct/>
              <w:topLinePunct w:val="0"/>
              <w:bidi w:val="0"/>
              <w:spacing w:line="0" w:lineRule="atLeast"/>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供应商所提供化肥产品（品牌）在</w:t>
            </w:r>
            <w:r>
              <w:rPr>
                <w:rFonts w:hint="eastAsia" w:ascii="宋体" w:hAnsi="宋体" w:eastAsia="宋体" w:cs="宋体"/>
                <w:color w:val="auto"/>
                <w:sz w:val="24"/>
                <w:szCs w:val="24"/>
                <w:highlight w:val="none"/>
                <w:lang w:val="en-US" w:eastAsia="zh-CN"/>
              </w:rPr>
              <w:t>中国化肥100强名单</w:t>
            </w:r>
            <w:r>
              <w:rPr>
                <w:rFonts w:hint="eastAsia" w:ascii="宋体" w:hAnsi="宋体" w:cs="宋体"/>
                <w:color w:val="auto"/>
                <w:sz w:val="24"/>
                <w:szCs w:val="24"/>
                <w:highlight w:val="none"/>
                <w:lang w:val="en-US" w:eastAsia="zh-CN"/>
              </w:rPr>
              <w:t>中，排名在前10名的得8分；排名在11-20名的得7分；排名在21-30名的得6分；排名在31-40名的得5分；排名在41-50名的得4分；排名在51-60名的得3分；排名在61-70名的得2分；排名在71-100名的得1分；未进入百强名单的不得分。（</w:t>
            </w:r>
            <w:r>
              <w:rPr>
                <w:rFonts w:hint="eastAsia" w:ascii="宋体" w:hAnsi="宋体" w:eastAsia="宋体" w:cs="宋体"/>
                <w:color w:val="auto"/>
                <w:sz w:val="24"/>
                <w:szCs w:val="24"/>
                <w:highlight w:val="none"/>
                <w:lang w:val="en-US" w:eastAsia="zh-CN"/>
              </w:rPr>
              <w:t>2023年12月14日，中国化工情报信息协会联合泰安人民政府以及中国化工信息中心主办了中国化肥百强评选发布会，中国化肥100强名单</w:t>
            </w:r>
            <w:r>
              <w:rPr>
                <w:rFonts w:hint="eastAsia" w:ascii="宋体" w:hAnsi="宋体" w:cs="宋体"/>
                <w:color w:val="auto"/>
                <w:sz w:val="24"/>
                <w:szCs w:val="24"/>
                <w:highlight w:val="none"/>
                <w:lang w:val="en-US" w:eastAsia="zh-CN"/>
              </w:rPr>
              <w:t>。后附名单）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88"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2.2.3（2）</w:t>
            </w:r>
          </w:p>
        </w:tc>
        <w:tc>
          <w:tcPr>
            <w:tcW w:w="1311" w:type="dxa"/>
            <w:vMerge w:val="restart"/>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技术部分评分标准</w:t>
            </w:r>
          </w:p>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根据供应商针对本项目所提供的项目实施方案，包括但不限于交货进度安排，项目验收方案，进度计划、质量保证措施进行综合评审：</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①交货及进度安排非常合理，项目验收方案非常详细，质量保证措施非常完善、系统全面，可行性非常强的得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②交货及进度安排较为合理，项目验收方案详细，质量保证措施较为完善、系统全面，可行性较强的得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③交货及进度安排基本合理，项目验收方案不太详细，质量保证措施基本完善，具有一定可行性的得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④交货及进度安排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项目验收方案不详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质量保证措施</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但质量较差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⑤</w:t>
            </w:r>
            <w:r>
              <w:rPr>
                <w:rFonts w:hint="eastAsia" w:ascii="宋体" w:hAnsi="宋体" w:eastAsia="宋体" w:cs="宋体"/>
                <w:color w:val="auto"/>
                <w:sz w:val="24"/>
                <w:szCs w:val="24"/>
                <w:highlight w:val="none"/>
              </w:rPr>
              <w:t>未提供对应方案不得分。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投标货物性能、参数符合招标文件要求的程度</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投标产品性能参数指标等充分满足业主要求，科学合理，安全可靠，技术先进，性能优技术参数有正偏离的得</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投标产品性能参数指标等充分满足业主要求，符合规定，性能较好的得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投标产品性能参数指标及性能满足业主要求</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相对一般或较差的得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供货包装、运输实施方案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综合比较各投标人的供货包装、运输实施方案，切实可行得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供货包装、运输实施方案，相对可行，得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供货包装、运输实施方案，基本可行，得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供货包装、运输实施方案有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但质量较差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未提供不得分。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紧急情况的处理措施、预案以及抵抗风险的措施</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紧急情况的处理措施、预案全面、有效，抵抗风险的措施能够充分满足本项目要求的得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紧急情况的处理措施、预案较全面、有效，抵抗风险的措施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满足本项目要求的得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紧急情况的处理措施、预案</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全面，抵抗风险的措施</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满足本项目要求的</w:t>
            </w:r>
            <w:r>
              <w:rPr>
                <w:rFonts w:hint="eastAsia" w:ascii="宋体" w:hAnsi="宋体" w:eastAsia="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紧急情况的处理措施、预案以及抵抗风险的措施</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但质量较差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未提供不得分。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553" w:type="dxa"/>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根据供应商针对本项目所提供的售后服务计划和方案进行综合评审：</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①供应商的售后服务计划和方案非常详细完整，能够快速响应采购人的需求，可行性非常强的得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②供应商的售后服务计划和方案比较完整，能够及时响应采购人需求，可行性较强的得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③供应商的售后服务计划和方案简单，基本能及时响应采购人的需求，可行性一般的得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④供应商的售后服务计划和方案</w:t>
            </w:r>
            <w:r>
              <w:rPr>
                <w:rFonts w:hint="eastAsia" w:ascii="宋体" w:hAnsi="宋体" w:eastAsia="宋体" w:cs="宋体"/>
                <w:color w:val="auto"/>
                <w:sz w:val="24"/>
                <w:szCs w:val="24"/>
                <w:highlight w:val="none"/>
                <w:lang w:val="en-US" w:eastAsia="zh-CN"/>
              </w:rPr>
              <w:t>有，但</w:t>
            </w:r>
            <w:r>
              <w:rPr>
                <w:rFonts w:hint="eastAsia" w:ascii="宋体" w:hAnsi="宋体" w:eastAsia="宋体" w:cs="宋体"/>
                <w:color w:val="auto"/>
                <w:sz w:val="24"/>
                <w:szCs w:val="24"/>
                <w:highlight w:val="none"/>
              </w:rPr>
              <w:t>不完整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不能够及时响应采购人需求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可行性差的得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⑤</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rPr>
              <w:t>不得分。</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tcBorders>
              <w:bottom w:val="single" w:color="000000" w:sz="12" w:space="0"/>
            </w:tcBorders>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311" w:type="dxa"/>
            <w:vMerge w:val="continue"/>
            <w:tcBorders>
              <w:bottom w:val="single" w:color="000000" w:sz="12" w:space="0"/>
            </w:tcBorders>
            <w:noWrap w:val="0"/>
            <w:vAlign w:val="center"/>
          </w:tcPr>
          <w:p>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p>
        </w:tc>
        <w:tc>
          <w:tcPr>
            <w:tcW w:w="1946" w:type="dxa"/>
            <w:tcBorders>
              <w:bottom w:val="single" w:color="000000" w:sz="12" w:space="0"/>
            </w:tcBorders>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合理化建议（</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5553" w:type="dxa"/>
            <w:tcBorders>
              <w:bottom w:val="single" w:color="000000" w:sz="12" w:space="0"/>
            </w:tcBorders>
            <w:noWrap w:val="0"/>
            <w:vAlign w:val="center"/>
          </w:tcPr>
          <w:p>
            <w:pPr>
              <w:keepNext w:val="0"/>
              <w:keepLines w:val="0"/>
              <w:pageBreakBefore w:val="0"/>
              <w:widowControl w:val="0"/>
              <w:kinsoku/>
              <w:wordWrap w:val="0"/>
              <w:overflowPunct/>
              <w:topLinePunct w:val="0"/>
              <w:autoSpaceDE/>
              <w:autoSpaceDN/>
              <w:bidi w:val="0"/>
              <w:spacing w:line="440" w:lineRule="exact"/>
              <w:ind w:left="11" w:leftChars="0" w:right="11"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根据项目实际情况，提出可行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合理化建议，</w:t>
            </w:r>
            <w:r>
              <w:rPr>
                <w:rFonts w:hint="eastAsia" w:ascii="宋体" w:hAnsi="宋体" w:eastAsia="宋体" w:cs="宋体"/>
                <w:color w:val="auto"/>
                <w:sz w:val="24"/>
                <w:szCs w:val="24"/>
                <w:highlight w:val="none"/>
                <w:lang w:val="en-US" w:eastAsia="zh-CN"/>
              </w:rPr>
              <w:t>每提供一条得1分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满分5分，未提供不得分。</w:t>
            </w:r>
          </w:p>
        </w:tc>
      </w:tr>
    </w:tbl>
    <w:p>
      <w:pPr>
        <w:ind w:firstLine="48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附：百强名单</w:t>
      </w:r>
    </w:p>
    <w:p>
      <w:pPr>
        <w:rPr>
          <w:rFonts w:hint="eastAsia"/>
          <w:color w:val="auto"/>
          <w:highlight w:val="none"/>
        </w:rPr>
      </w:pPr>
      <w:r>
        <w:rPr>
          <w:rFonts w:hint="eastAsia"/>
          <w:color w:val="auto"/>
          <w:highlight w:val="none"/>
        </w:rPr>
        <w:t>2023年12月14日，中国化工情报信息协会联合泰安人民政府以及中国化工信息中心主办了中国化肥百强评选发布会，中国化肥100强名单如下：</w:t>
      </w:r>
    </w:p>
    <w:p>
      <w:pPr>
        <w:rPr>
          <w:rFonts w:hint="eastAsia"/>
          <w:color w:val="auto"/>
          <w:highlight w:val="none"/>
        </w:rPr>
      </w:pPr>
      <w:r>
        <w:rPr>
          <w:rFonts w:hint="eastAsia"/>
          <w:color w:val="auto"/>
          <w:highlight w:val="none"/>
        </w:rPr>
        <w:t>1</w:t>
      </w:r>
      <w:r>
        <w:rPr>
          <w:rFonts w:hint="eastAsia"/>
          <w:color w:val="auto"/>
          <w:highlight w:val="none"/>
        </w:rPr>
        <w:tab/>
      </w:r>
      <w:r>
        <w:rPr>
          <w:rFonts w:hint="eastAsia"/>
          <w:color w:val="auto"/>
          <w:highlight w:val="none"/>
        </w:rPr>
        <w:t>贵州磷化(集团)有限责任公司</w:t>
      </w:r>
    </w:p>
    <w:p>
      <w:pPr>
        <w:rPr>
          <w:rFonts w:hint="eastAsia"/>
          <w:color w:val="auto"/>
          <w:highlight w:val="none"/>
        </w:rPr>
      </w:pPr>
      <w:r>
        <w:rPr>
          <w:rFonts w:hint="eastAsia"/>
          <w:color w:val="auto"/>
          <w:highlight w:val="none"/>
        </w:rPr>
        <w:t>2</w:t>
      </w:r>
      <w:r>
        <w:rPr>
          <w:rFonts w:hint="eastAsia"/>
          <w:color w:val="auto"/>
          <w:highlight w:val="none"/>
        </w:rPr>
        <w:tab/>
      </w:r>
      <w:r>
        <w:rPr>
          <w:rFonts w:hint="eastAsia"/>
          <w:color w:val="auto"/>
          <w:highlight w:val="none"/>
        </w:rPr>
        <w:t>云南云天化股份有限公司</w:t>
      </w:r>
    </w:p>
    <w:p>
      <w:pPr>
        <w:rPr>
          <w:rFonts w:hint="eastAsia"/>
          <w:color w:val="auto"/>
          <w:highlight w:val="none"/>
        </w:rPr>
      </w:pPr>
      <w:r>
        <w:rPr>
          <w:rFonts w:hint="eastAsia"/>
          <w:color w:val="auto"/>
          <w:highlight w:val="none"/>
        </w:rPr>
        <w:t>3</w:t>
      </w:r>
      <w:r>
        <w:rPr>
          <w:rFonts w:hint="eastAsia"/>
          <w:color w:val="auto"/>
          <w:highlight w:val="none"/>
        </w:rPr>
        <w:tab/>
      </w:r>
      <w:r>
        <w:rPr>
          <w:rFonts w:hint="eastAsia"/>
          <w:color w:val="auto"/>
          <w:highlight w:val="none"/>
        </w:rPr>
        <w:t>青海盐湖工业股份有限公司</w:t>
      </w:r>
    </w:p>
    <w:p>
      <w:pPr>
        <w:rPr>
          <w:rFonts w:hint="eastAsia"/>
          <w:color w:val="auto"/>
          <w:highlight w:val="none"/>
        </w:rPr>
      </w:pPr>
      <w:r>
        <w:rPr>
          <w:rFonts w:hint="eastAsia"/>
          <w:color w:val="auto"/>
          <w:highlight w:val="none"/>
        </w:rPr>
        <w:t>4</w:t>
      </w:r>
      <w:r>
        <w:rPr>
          <w:rFonts w:hint="eastAsia"/>
          <w:color w:val="auto"/>
          <w:highlight w:val="none"/>
        </w:rPr>
        <w:tab/>
      </w:r>
      <w:r>
        <w:rPr>
          <w:rFonts w:hint="eastAsia"/>
          <w:color w:val="auto"/>
          <w:highlight w:val="none"/>
        </w:rPr>
        <w:t>中化化肥控股有限公司</w:t>
      </w:r>
    </w:p>
    <w:p>
      <w:pPr>
        <w:rPr>
          <w:rFonts w:hint="eastAsia"/>
          <w:color w:val="auto"/>
          <w:highlight w:val="none"/>
        </w:rPr>
      </w:pPr>
      <w:r>
        <w:rPr>
          <w:rFonts w:hint="eastAsia"/>
          <w:color w:val="auto"/>
          <w:highlight w:val="none"/>
        </w:rPr>
        <w:t>5</w:t>
      </w:r>
      <w:r>
        <w:rPr>
          <w:rFonts w:hint="eastAsia"/>
          <w:color w:val="auto"/>
          <w:highlight w:val="none"/>
        </w:rPr>
        <w:tab/>
      </w:r>
      <w:r>
        <w:rPr>
          <w:rFonts w:hint="eastAsia"/>
          <w:color w:val="auto"/>
          <w:highlight w:val="none"/>
        </w:rPr>
        <w:t>湖北宜化集团有限责任公司</w:t>
      </w:r>
    </w:p>
    <w:p>
      <w:pPr>
        <w:rPr>
          <w:rFonts w:hint="eastAsia"/>
          <w:color w:val="auto"/>
          <w:highlight w:val="none"/>
        </w:rPr>
      </w:pPr>
      <w:r>
        <w:rPr>
          <w:rFonts w:hint="eastAsia"/>
          <w:color w:val="auto"/>
          <w:highlight w:val="none"/>
        </w:rPr>
        <w:t>6</w:t>
      </w:r>
      <w:r>
        <w:rPr>
          <w:rFonts w:hint="eastAsia"/>
          <w:color w:val="auto"/>
          <w:highlight w:val="none"/>
        </w:rPr>
        <w:tab/>
      </w:r>
      <w:r>
        <w:rPr>
          <w:rFonts w:hint="eastAsia"/>
          <w:color w:val="auto"/>
          <w:highlight w:val="none"/>
        </w:rPr>
        <w:t>新洋丰农业科技股份有限公司</w:t>
      </w:r>
    </w:p>
    <w:p>
      <w:pPr>
        <w:rPr>
          <w:rFonts w:hint="eastAsia"/>
          <w:color w:val="auto"/>
          <w:highlight w:val="none"/>
        </w:rPr>
      </w:pPr>
      <w:r>
        <w:rPr>
          <w:rFonts w:hint="eastAsia"/>
          <w:color w:val="auto"/>
          <w:highlight w:val="none"/>
        </w:rPr>
        <w:t>7</w:t>
      </w:r>
      <w:r>
        <w:rPr>
          <w:rFonts w:hint="eastAsia"/>
          <w:color w:val="auto"/>
          <w:highlight w:val="none"/>
        </w:rPr>
        <w:tab/>
      </w:r>
      <w:r>
        <w:rPr>
          <w:rFonts w:hint="eastAsia"/>
          <w:color w:val="auto"/>
          <w:highlight w:val="none"/>
        </w:rPr>
        <w:t>湖北三宁化工股份有限公司</w:t>
      </w:r>
    </w:p>
    <w:p>
      <w:pPr>
        <w:rPr>
          <w:rFonts w:hint="eastAsia"/>
          <w:color w:val="auto"/>
          <w:highlight w:val="none"/>
        </w:rPr>
      </w:pPr>
      <w:r>
        <w:rPr>
          <w:rFonts w:hint="eastAsia"/>
          <w:color w:val="auto"/>
          <w:highlight w:val="none"/>
        </w:rPr>
        <w:t>8</w:t>
      </w:r>
      <w:r>
        <w:rPr>
          <w:rFonts w:hint="eastAsia"/>
          <w:color w:val="auto"/>
          <w:highlight w:val="none"/>
        </w:rPr>
        <w:tab/>
      </w:r>
      <w:r>
        <w:rPr>
          <w:rFonts w:hint="eastAsia"/>
          <w:color w:val="auto"/>
          <w:highlight w:val="none"/>
        </w:rPr>
        <w:t>河南心连心化学工业集团股份有限公司</w:t>
      </w:r>
    </w:p>
    <w:p>
      <w:pPr>
        <w:rPr>
          <w:rFonts w:hint="eastAsia"/>
          <w:color w:val="auto"/>
          <w:highlight w:val="none"/>
        </w:rPr>
      </w:pPr>
      <w:r>
        <w:rPr>
          <w:rFonts w:hint="eastAsia"/>
          <w:color w:val="auto"/>
          <w:highlight w:val="none"/>
        </w:rPr>
        <w:t>9</w:t>
      </w:r>
      <w:r>
        <w:rPr>
          <w:rFonts w:hint="eastAsia"/>
          <w:color w:val="auto"/>
          <w:highlight w:val="none"/>
        </w:rPr>
        <w:tab/>
      </w:r>
      <w:r>
        <w:rPr>
          <w:rFonts w:hint="eastAsia"/>
          <w:color w:val="auto"/>
          <w:highlight w:val="none"/>
        </w:rPr>
        <w:t>云南祥丰实业集团有限公司</w:t>
      </w:r>
    </w:p>
    <w:p>
      <w:pPr>
        <w:rPr>
          <w:rFonts w:hint="eastAsia"/>
          <w:color w:val="auto"/>
          <w:highlight w:val="none"/>
        </w:rPr>
      </w:pPr>
      <w:r>
        <w:rPr>
          <w:rFonts w:hint="eastAsia"/>
          <w:color w:val="auto"/>
          <w:highlight w:val="none"/>
        </w:rPr>
        <w:t>10</w:t>
      </w:r>
      <w:r>
        <w:rPr>
          <w:rFonts w:hint="eastAsia"/>
          <w:color w:val="auto"/>
          <w:highlight w:val="none"/>
        </w:rPr>
        <w:tab/>
      </w:r>
      <w:r>
        <w:rPr>
          <w:rFonts w:hint="eastAsia"/>
          <w:color w:val="auto"/>
          <w:highlight w:val="none"/>
        </w:rPr>
        <w:t>施可丰化工股份有限公司</w:t>
      </w:r>
    </w:p>
    <w:p>
      <w:pPr>
        <w:rPr>
          <w:rFonts w:hint="eastAsia"/>
          <w:color w:val="auto"/>
          <w:highlight w:val="none"/>
        </w:rPr>
      </w:pPr>
      <w:r>
        <w:rPr>
          <w:rFonts w:hint="eastAsia"/>
          <w:color w:val="auto"/>
          <w:highlight w:val="none"/>
        </w:rPr>
        <w:t>11</w:t>
      </w:r>
      <w:r>
        <w:rPr>
          <w:rFonts w:hint="eastAsia"/>
          <w:color w:val="auto"/>
          <w:highlight w:val="none"/>
        </w:rPr>
        <w:tab/>
      </w:r>
      <w:r>
        <w:rPr>
          <w:rFonts w:hint="eastAsia"/>
          <w:color w:val="auto"/>
          <w:highlight w:val="none"/>
        </w:rPr>
        <w:t>瑞星集团股份有限公司</w:t>
      </w:r>
    </w:p>
    <w:p>
      <w:pPr>
        <w:rPr>
          <w:rFonts w:hint="eastAsia"/>
          <w:color w:val="auto"/>
          <w:highlight w:val="none"/>
        </w:rPr>
      </w:pPr>
      <w:r>
        <w:rPr>
          <w:rFonts w:hint="eastAsia"/>
          <w:color w:val="auto"/>
          <w:highlight w:val="none"/>
        </w:rPr>
        <w:t>12</w:t>
      </w:r>
      <w:r>
        <w:rPr>
          <w:rFonts w:hint="eastAsia"/>
          <w:color w:val="auto"/>
          <w:highlight w:val="none"/>
        </w:rPr>
        <w:tab/>
      </w:r>
      <w:r>
        <w:rPr>
          <w:rFonts w:hint="eastAsia"/>
          <w:color w:val="auto"/>
          <w:highlight w:val="none"/>
        </w:rPr>
        <w:t>成都云图控股股份有限公司</w:t>
      </w:r>
    </w:p>
    <w:p>
      <w:pPr>
        <w:rPr>
          <w:rFonts w:hint="eastAsia"/>
          <w:color w:val="auto"/>
          <w:highlight w:val="none"/>
        </w:rPr>
      </w:pPr>
      <w:r>
        <w:rPr>
          <w:rFonts w:hint="eastAsia"/>
          <w:color w:val="auto"/>
          <w:highlight w:val="none"/>
        </w:rPr>
        <w:t>13</w:t>
      </w:r>
      <w:r>
        <w:rPr>
          <w:rFonts w:hint="eastAsia"/>
          <w:color w:val="auto"/>
          <w:highlight w:val="none"/>
        </w:rPr>
        <w:tab/>
      </w:r>
      <w:r>
        <w:rPr>
          <w:rFonts w:hint="eastAsia"/>
          <w:color w:val="auto"/>
          <w:highlight w:val="none"/>
        </w:rPr>
        <w:t>安徽六国化工股份有限公司</w:t>
      </w:r>
    </w:p>
    <w:p>
      <w:pPr>
        <w:rPr>
          <w:rFonts w:hint="eastAsia"/>
          <w:color w:val="auto"/>
          <w:highlight w:val="none"/>
        </w:rPr>
      </w:pPr>
      <w:r>
        <w:rPr>
          <w:rFonts w:hint="eastAsia"/>
          <w:color w:val="auto"/>
          <w:highlight w:val="none"/>
        </w:rPr>
        <w:t>14</w:t>
      </w:r>
      <w:r>
        <w:rPr>
          <w:rFonts w:hint="eastAsia"/>
          <w:color w:val="auto"/>
          <w:highlight w:val="none"/>
        </w:rPr>
        <w:tab/>
      </w:r>
      <w:r>
        <w:rPr>
          <w:rFonts w:hint="eastAsia"/>
          <w:color w:val="auto"/>
          <w:highlight w:val="none"/>
        </w:rPr>
        <w:t>四川发展龙蟒股份有限公司</w:t>
      </w:r>
    </w:p>
    <w:p>
      <w:pPr>
        <w:rPr>
          <w:rFonts w:hint="eastAsia"/>
          <w:color w:val="auto"/>
          <w:highlight w:val="none"/>
        </w:rPr>
      </w:pPr>
      <w:r>
        <w:rPr>
          <w:rFonts w:hint="eastAsia"/>
          <w:color w:val="auto"/>
          <w:highlight w:val="none"/>
        </w:rPr>
        <w:t>15</w:t>
      </w:r>
      <w:r>
        <w:rPr>
          <w:rFonts w:hint="eastAsia"/>
          <w:color w:val="auto"/>
          <w:highlight w:val="none"/>
        </w:rPr>
        <w:tab/>
      </w:r>
      <w:r>
        <w:rPr>
          <w:rFonts w:hint="eastAsia"/>
          <w:color w:val="auto"/>
          <w:highlight w:val="none"/>
        </w:rPr>
        <w:t>金正大生态工程集团股份有限公司</w:t>
      </w:r>
    </w:p>
    <w:p>
      <w:pPr>
        <w:rPr>
          <w:rFonts w:hint="eastAsia"/>
          <w:color w:val="auto"/>
          <w:highlight w:val="none"/>
        </w:rPr>
      </w:pPr>
      <w:r>
        <w:rPr>
          <w:rFonts w:hint="eastAsia"/>
          <w:color w:val="auto"/>
          <w:highlight w:val="none"/>
        </w:rPr>
        <w:t>16</w:t>
      </w:r>
      <w:r>
        <w:rPr>
          <w:rFonts w:hint="eastAsia"/>
          <w:color w:val="auto"/>
          <w:highlight w:val="none"/>
        </w:rPr>
        <w:tab/>
      </w:r>
      <w:r>
        <w:rPr>
          <w:rFonts w:hint="eastAsia"/>
          <w:color w:val="auto"/>
          <w:highlight w:val="none"/>
        </w:rPr>
        <w:t>史丹利农业集团股份有限公司</w:t>
      </w:r>
    </w:p>
    <w:p>
      <w:pPr>
        <w:rPr>
          <w:rFonts w:hint="eastAsia"/>
          <w:color w:val="auto"/>
          <w:highlight w:val="none"/>
        </w:rPr>
      </w:pPr>
      <w:r>
        <w:rPr>
          <w:rFonts w:hint="eastAsia"/>
          <w:color w:val="auto"/>
          <w:highlight w:val="none"/>
        </w:rPr>
        <w:t>17</w:t>
      </w:r>
      <w:r>
        <w:rPr>
          <w:rFonts w:hint="eastAsia"/>
          <w:color w:val="auto"/>
          <w:highlight w:val="none"/>
        </w:rPr>
        <w:tab/>
      </w:r>
      <w:r>
        <w:rPr>
          <w:rFonts w:hint="eastAsia"/>
          <w:color w:val="auto"/>
          <w:highlight w:val="none"/>
        </w:rPr>
        <w:t>中海石油化学股份有限公司</w:t>
      </w:r>
    </w:p>
    <w:p>
      <w:pPr>
        <w:rPr>
          <w:rFonts w:hint="eastAsia"/>
          <w:color w:val="auto"/>
          <w:highlight w:val="none"/>
        </w:rPr>
      </w:pPr>
      <w:r>
        <w:rPr>
          <w:rFonts w:hint="eastAsia"/>
          <w:color w:val="auto"/>
          <w:highlight w:val="none"/>
        </w:rPr>
        <w:t>18</w:t>
      </w:r>
      <w:r>
        <w:rPr>
          <w:rFonts w:hint="eastAsia"/>
          <w:color w:val="auto"/>
          <w:highlight w:val="none"/>
        </w:rPr>
        <w:tab/>
      </w:r>
      <w:r>
        <w:rPr>
          <w:rFonts w:hint="eastAsia"/>
          <w:color w:val="auto"/>
          <w:highlight w:val="none"/>
        </w:rPr>
        <w:t>湖北鄂中生态工程股份有限公司</w:t>
      </w:r>
    </w:p>
    <w:p>
      <w:pPr>
        <w:rPr>
          <w:rFonts w:hint="eastAsia"/>
          <w:color w:val="auto"/>
          <w:highlight w:val="none"/>
        </w:rPr>
      </w:pPr>
      <w:r>
        <w:rPr>
          <w:rFonts w:hint="eastAsia"/>
          <w:color w:val="auto"/>
          <w:highlight w:val="none"/>
        </w:rPr>
        <w:t>19</w:t>
      </w:r>
      <w:r>
        <w:rPr>
          <w:rFonts w:hint="eastAsia"/>
          <w:color w:val="auto"/>
          <w:highlight w:val="none"/>
        </w:rPr>
        <w:tab/>
      </w:r>
      <w:r>
        <w:rPr>
          <w:rFonts w:hint="eastAsia"/>
          <w:color w:val="auto"/>
          <w:highlight w:val="none"/>
        </w:rPr>
        <w:t>湖北祥云(集团)化工股份有限公司</w:t>
      </w:r>
    </w:p>
    <w:p>
      <w:pPr>
        <w:rPr>
          <w:rFonts w:hint="eastAsia"/>
          <w:color w:val="auto"/>
          <w:highlight w:val="none"/>
        </w:rPr>
      </w:pPr>
      <w:r>
        <w:rPr>
          <w:rFonts w:hint="eastAsia"/>
          <w:color w:val="auto"/>
          <w:highlight w:val="none"/>
        </w:rPr>
        <w:t>20</w:t>
      </w:r>
      <w:r>
        <w:rPr>
          <w:rFonts w:hint="eastAsia"/>
          <w:color w:val="auto"/>
          <w:highlight w:val="none"/>
        </w:rPr>
        <w:tab/>
      </w:r>
      <w:r>
        <w:rPr>
          <w:rFonts w:hint="eastAsia"/>
          <w:color w:val="auto"/>
          <w:highlight w:val="none"/>
        </w:rPr>
        <w:t>爱普控股集团有限公司</w:t>
      </w:r>
    </w:p>
    <w:p>
      <w:pPr>
        <w:rPr>
          <w:rFonts w:hint="eastAsia"/>
          <w:color w:val="auto"/>
          <w:highlight w:val="none"/>
        </w:rPr>
      </w:pPr>
      <w:r>
        <w:rPr>
          <w:rFonts w:hint="eastAsia"/>
          <w:color w:val="auto"/>
          <w:highlight w:val="none"/>
        </w:rPr>
        <w:t>21</w:t>
      </w:r>
      <w:r>
        <w:rPr>
          <w:rFonts w:hint="eastAsia"/>
          <w:color w:val="auto"/>
          <w:highlight w:val="none"/>
        </w:rPr>
        <w:tab/>
      </w:r>
      <w:r>
        <w:rPr>
          <w:rFonts w:hint="eastAsia"/>
          <w:color w:val="auto"/>
          <w:highlight w:val="none"/>
        </w:rPr>
        <w:t>藏格矿业股份有限公司</w:t>
      </w:r>
    </w:p>
    <w:p>
      <w:pPr>
        <w:rPr>
          <w:rFonts w:hint="eastAsia"/>
          <w:color w:val="auto"/>
          <w:highlight w:val="none"/>
        </w:rPr>
      </w:pPr>
      <w:r>
        <w:rPr>
          <w:rFonts w:hint="eastAsia"/>
          <w:color w:val="auto"/>
          <w:highlight w:val="none"/>
        </w:rPr>
        <w:t>22</w:t>
      </w:r>
      <w:r>
        <w:rPr>
          <w:rFonts w:hint="eastAsia"/>
          <w:color w:val="auto"/>
          <w:highlight w:val="none"/>
        </w:rPr>
        <w:tab/>
      </w:r>
      <w:r>
        <w:rPr>
          <w:rFonts w:hint="eastAsia"/>
          <w:color w:val="auto"/>
          <w:highlight w:val="none"/>
        </w:rPr>
        <w:t>烟台华海国际贸易有限公司</w:t>
      </w:r>
    </w:p>
    <w:p>
      <w:pPr>
        <w:rPr>
          <w:rFonts w:hint="eastAsia"/>
          <w:color w:val="auto"/>
          <w:highlight w:val="none"/>
        </w:rPr>
      </w:pPr>
      <w:r>
        <w:rPr>
          <w:rFonts w:hint="eastAsia"/>
          <w:color w:val="auto"/>
          <w:highlight w:val="none"/>
        </w:rPr>
        <w:t>23</w:t>
      </w:r>
      <w:r>
        <w:rPr>
          <w:rFonts w:hint="eastAsia"/>
          <w:color w:val="auto"/>
          <w:highlight w:val="none"/>
        </w:rPr>
        <w:tab/>
      </w:r>
      <w:r>
        <w:rPr>
          <w:rFonts w:hint="eastAsia"/>
          <w:color w:val="auto"/>
          <w:highlight w:val="none"/>
        </w:rPr>
        <w:t>九禾股份有限公司</w:t>
      </w:r>
    </w:p>
    <w:p>
      <w:pPr>
        <w:rPr>
          <w:rFonts w:hint="eastAsia"/>
          <w:color w:val="auto"/>
          <w:highlight w:val="none"/>
        </w:rPr>
      </w:pPr>
      <w:r>
        <w:rPr>
          <w:rFonts w:hint="eastAsia"/>
          <w:color w:val="auto"/>
          <w:highlight w:val="none"/>
        </w:rPr>
        <w:t>24</w:t>
      </w:r>
      <w:r>
        <w:rPr>
          <w:rFonts w:hint="eastAsia"/>
          <w:color w:val="auto"/>
          <w:highlight w:val="none"/>
        </w:rPr>
        <w:tab/>
      </w:r>
      <w:r>
        <w:rPr>
          <w:rFonts w:hint="eastAsia"/>
          <w:color w:val="auto"/>
          <w:highlight w:val="none"/>
        </w:rPr>
        <w:t>国投新疆罗布泊钾盐有限责任公司</w:t>
      </w:r>
    </w:p>
    <w:p>
      <w:pPr>
        <w:rPr>
          <w:rFonts w:hint="eastAsia"/>
          <w:color w:val="auto"/>
          <w:highlight w:val="none"/>
        </w:rPr>
      </w:pPr>
      <w:r>
        <w:rPr>
          <w:rFonts w:hint="eastAsia"/>
          <w:color w:val="auto"/>
          <w:highlight w:val="none"/>
        </w:rPr>
        <w:t>25</w:t>
      </w:r>
      <w:r>
        <w:rPr>
          <w:rFonts w:hint="eastAsia"/>
          <w:color w:val="auto"/>
          <w:highlight w:val="none"/>
        </w:rPr>
        <w:tab/>
      </w:r>
      <w:r>
        <w:rPr>
          <w:rFonts w:hint="eastAsia"/>
          <w:color w:val="auto"/>
          <w:highlight w:val="none"/>
        </w:rPr>
        <w:t>米高集团有限公司</w:t>
      </w:r>
    </w:p>
    <w:p>
      <w:pPr>
        <w:rPr>
          <w:rFonts w:hint="eastAsia"/>
          <w:color w:val="auto"/>
          <w:highlight w:val="none"/>
        </w:rPr>
      </w:pPr>
      <w:r>
        <w:rPr>
          <w:rFonts w:hint="eastAsia"/>
          <w:color w:val="auto"/>
          <w:highlight w:val="none"/>
        </w:rPr>
        <w:t>26</w:t>
      </w:r>
      <w:r>
        <w:rPr>
          <w:rFonts w:hint="eastAsia"/>
          <w:color w:val="auto"/>
          <w:highlight w:val="none"/>
        </w:rPr>
        <w:tab/>
      </w:r>
      <w:r>
        <w:rPr>
          <w:rFonts w:hint="eastAsia"/>
          <w:color w:val="auto"/>
          <w:highlight w:val="none"/>
        </w:rPr>
        <w:t>明泉集团股份有限公司</w:t>
      </w:r>
    </w:p>
    <w:p>
      <w:pPr>
        <w:rPr>
          <w:rFonts w:hint="eastAsia"/>
          <w:color w:val="auto"/>
          <w:highlight w:val="none"/>
        </w:rPr>
      </w:pPr>
      <w:r>
        <w:rPr>
          <w:rFonts w:hint="eastAsia"/>
          <w:color w:val="auto"/>
          <w:highlight w:val="none"/>
        </w:rPr>
        <w:t>27</w:t>
      </w:r>
      <w:r>
        <w:rPr>
          <w:rFonts w:hint="eastAsia"/>
          <w:color w:val="auto"/>
          <w:highlight w:val="none"/>
        </w:rPr>
        <w:tab/>
      </w:r>
      <w:r>
        <w:rPr>
          <w:rFonts w:hint="eastAsia"/>
          <w:color w:val="auto"/>
          <w:highlight w:val="none"/>
        </w:rPr>
        <w:t>山东华鲁恒升化工股份有限公司</w:t>
      </w:r>
    </w:p>
    <w:p>
      <w:pPr>
        <w:rPr>
          <w:rFonts w:hint="eastAsia"/>
          <w:color w:val="auto"/>
          <w:highlight w:val="none"/>
        </w:rPr>
      </w:pPr>
      <w:r>
        <w:rPr>
          <w:rFonts w:hint="eastAsia"/>
          <w:color w:val="auto"/>
          <w:highlight w:val="none"/>
        </w:rPr>
        <w:t>28</w:t>
      </w:r>
      <w:r>
        <w:rPr>
          <w:rFonts w:hint="eastAsia"/>
          <w:color w:val="auto"/>
          <w:highlight w:val="none"/>
        </w:rPr>
        <w:tab/>
      </w:r>
      <w:r>
        <w:rPr>
          <w:rFonts w:hint="eastAsia"/>
          <w:color w:val="auto"/>
          <w:highlight w:val="none"/>
        </w:rPr>
        <w:t>湖北兴发化工集团股份有限公司</w:t>
      </w:r>
    </w:p>
    <w:p>
      <w:pPr>
        <w:rPr>
          <w:rFonts w:hint="eastAsia"/>
          <w:color w:val="auto"/>
          <w:highlight w:val="none"/>
        </w:rPr>
      </w:pPr>
      <w:r>
        <w:rPr>
          <w:rFonts w:hint="eastAsia"/>
          <w:color w:val="auto"/>
          <w:highlight w:val="none"/>
        </w:rPr>
        <w:t>29</w:t>
      </w:r>
      <w:r>
        <w:rPr>
          <w:rFonts w:hint="eastAsia"/>
          <w:color w:val="auto"/>
          <w:highlight w:val="none"/>
        </w:rPr>
        <w:tab/>
      </w:r>
      <w:r>
        <w:rPr>
          <w:rFonts w:hint="eastAsia"/>
          <w:color w:val="auto"/>
          <w:highlight w:val="none"/>
        </w:rPr>
        <w:t>华强化工集团股份有限公司</w:t>
      </w:r>
    </w:p>
    <w:p>
      <w:pPr>
        <w:rPr>
          <w:rFonts w:hint="eastAsia"/>
          <w:color w:val="auto"/>
          <w:highlight w:val="none"/>
        </w:rPr>
      </w:pPr>
      <w:r>
        <w:rPr>
          <w:rFonts w:hint="eastAsia"/>
          <w:color w:val="auto"/>
          <w:highlight w:val="none"/>
        </w:rPr>
        <w:t>30</w:t>
      </w:r>
      <w:r>
        <w:rPr>
          <w:rFonts w:hint="eastAsia"/>
          <w:color w:val="auto"/>
          <w:highlight w:val="none"/>
        </w:rPr>
        <w:tab/>
      </w:r>
      <w:r>
        <w:rPr>
          <w:rFonts w:hint="eastAsia"/>
          <w:color w:val="auto"/>
          <w:highlight w:val="none"/>
        </w:rPr>
        <w:t>安徽省司尔特肥业股份有限公司</w:t>
      </w:r>
    </w:p>
    <w:p>
      <w:pPr>
        <w:rPr>
          <w:rFonts w:hint="eastAsia"/>
          <w:color w:val="auto"/>
          <w:highlight w:val="none"/>
        </w:rPr>
      </w:pPr>
      <w:r>
        <w:rPr>
          <w:rFonts w:hint="eastAsia"/>
          <w:color w:val="auto"/>
          <w:highlight w:val="none"/>
        </w:rPr>
        <w:t>31</w:t>
      </w:r>
      <w:r>
        <w:rPr>
          <w:rFonts w:hint="eastAsia"/>
          <w:color w:val="auto"/>
          <w:highlight w:val="none"/>
        </w:rPr>
        <w:tab/>
      </w:r>
      <w:r>
        <w:rPr>
          <w:rFonts w:hint="eastAsia"/>
          <w:color w:val="auto"/>
          <w:highlight w:val="none"/>
        </w:rPr>
        <w:t>四川美丰化工股份有限公司</w:t>
      </w:r>
    </w:p>
    <w:p>
      <w:pPr>
        <w:rPr>
          <w:rFonts w:hint="eastAsia"/>
          <w:color w:val="auto"/>
          <w:highlight w:val="none"/>
        </w:rPr>
      </w:pPr>
      <w:r>
        <w:rPr>
          <w:rFonts w:hint="eastAsia"/>
          <w:color w:val="auto"/>
          <w:highlight w:val="none"/>
        </w:rPr>
        <w:t>32</w:t>
      </w:r>
      <w:r>
        <w:rPr>
          <w:rFonts w:hint="eastAsia"/>
          <w:color w:val="auto"/>
          <w:highlight w:val="none"/>
        </w:rPr>
        <w:tab/>
      </w:r>
      <w:r>
        <w:rPr>
          <w:rFonts w:hint="eastAsia"/>
          <w:color w:val="auto"/>
          <w:highlight w:val="none"/>
        </w:rPr>
        <w:t>云南解化清洁能源开发有限公司解化化工分公司</w:t>
      </w:r>
    </w:p>
    <w:p>
      <w:pPr>
        <w:rPr>
          <w:rFonts w:hint="eastAsia"/>
          <w:color w:val="auto"/>
          <w:highlight w:val="none"/>
        </w:rPr>
      </w:pPr>
      <w:r>
        <w:rPr>
          <w:rFonts w:hint="eastAsia"/>
          <w:color w:val="auto"/>
          <w:highlight w:val="none"/>
        </w:rPr>
        <w:t>33</w:t>
      </w:r>
      <w:r>
        <w:rPr>
          <w:rFonts w:hint="eastAsia"/>
          <w:color w:val="auto"/>
          <w:highlight w:val="none"/>
        </w:rPr>
        <w:tab/>
      </w:r>
      <w:r>
        <w:rPr>
          <w:rFonts w:hint="eastAsia"/>
          <w:color w:val="auto"/>
          <w:highlight w:val="none"/>
        </w:rPr>
        <w:t>湖北省黄麦岭控股集团有限公司</w:t>
      </w:r>
    </w:p>
    <w:p>
      <w:pPr>
        <w:rPr>
          <w:rFonts w:hint="eastAsia"/>
          <w:color w:val="auto"/>
          <w:highlight w:val="none"/>
        </w:rPr>
      </w:pPr>
      <w:r>
        <w:rPr>
          <w:rFonts w:hint="eastAsia"/>
          <w:color w:val="auto"/>
          <w:highlight w:val="none"/>
        </w:rPr>
        <w:t>34</w:t>
      </w:r>
      <w:r>
        <w:rPr>
          <w:rFonts w:hint="eastAsia"/>
          <w:color w:val="auto"/>
          <w:highlight w:val="none"/>
        </w:rPr>
        <w:tab/>
      </w:r>
      <w:r>
        <w:rPr>
          <w:rFonts w:hint="eastAsia"/>
          <w:color w:val="auto"/>
          <w:highlight w:val="none"/>
        </w:rPr>
        <w:t>江西开门子肥业股份有限公司</w:t>
      </w:r>
    </w:p>
    <w:p>
      <w:pPr>
        <w:rPr>
          <w:rFonts w:hint="eastAsia"/>
          <w:color w:val="auto"/>
          <w:highlight w:val="none"/>
        </w:rPr>
      </w:pPr>
      <w:r>
        <w:rPr>
          <w:rFonts w:hint="eastAsia"/>
          <w:color w:val="auto"/>
          <w:highlight w:val="none"/>
        </w:rPr>
        <w:t>35</w:t>
      </w:r>
      <w:r>
        <w:rPr>
          <w:rFonts w:hint="eastAsia"/>
          <w:color w:val="auto"/>
          <w:highlight w:val="none"/>
        </w:rPr>
        <w:tab/>
      </w:r>
      <w:r>
        <w:rPr>
          <w:rFonts w:hint="eastAsia"/>
          <w:color w:val="auto"/>
          <w:highlight w:val="none"/>
        </w:rPr>
        <w:t>辽宁西洋复合肥有限责任公司</w:t>
      </w:r>
    </w:p>
    <w:p>
      <w:pPr>
        <w:rPr>
          <w:rFonts w:hint="eastAsia"/>
          <w:color w:val="auto"/>
          <w:highlight w:val="none"/>
        </w:rPr>
      </w:pPr>
      <w:r>
        <w:rPr>
          <w:rFonts w:hint="eastAsia"/>
          <w:color w:val="auto"/>
          <w:highlight w:val="none"/>
        </w:rPr>
        <w:t>36</w:t>
      </w:r>
      <w:r>
        <w:rPr>
          <w:rFonts w:hint="eastAsia"/>
          <w:color w:val="auto"/>
          <w:highlight w:val="none"/>
        </w:rPr>
        <w:tab/>
      </w:r>
      <w:r>
        <w:rPr>
          <w:rFonts w:hint="eastAsia"/>
          <w:color w:val="auto"/>
          <w:highlight w:val="none"/>
        </w:rPr>
        <w:t>湖北茂盛生物有限公司</w:t>
      </w:r>
    </w:p>
    <w:p>
      <w:pPr>
        <w:rPr>
          <w:rFonts w:hint="eastAsia"/>
          <w:color w:val="auto"/>
          <w:highlight w:val="none"/>
        </w:rPr>
      </w:pPr>
      <w:r>
        <w:rPr>
          <w:rFonts w:hint="eastAsia"/>
          <w:color w:val="auto"/>
          <w:highlight w:val="none"/>
        </w:rPr>
        <w:t>37</w:t>
      </w:r>
      <w:r>
        <w:rPr>
          <w:rFonts w:hint="eastAsia"/>
          <w:color w:val="auto"/>
          <w:highlight w:val="none"/>
        </w:rPr>
        <w:tab/>
      </w:r>
      <w:r>
        <w:rPr>
          <w:rFonts w:hint="eastAsia"/>
          <w:color w:val="auto"/>
          <w:highlight w:val="none"/>
        </w:rPr>
        <w:t>灵谷化工集团有限公司</w:t>
      </w:r>
    </w:p>
    <w:p>
      <w:pPr>
        <w:rPr>
          <w:rFonts w:hint="eastAsia"/>
          <w:color w:val="auto"/>
          <w:highlight w:val="none"/>
        </w:rPr>
      </w:pPr>
      <w:r>
        <w:rPr>
          <w:rFonts w:hint="eastAsia"/>
          <w:color w:val="auto"/>
          <w:highlight w:val="none"/>
        </w:rPr>
        <w:t>38</w:t>
      </w:r>
      <w:r>
        <w:rPr>
          <w:rFonts w:hint="eastAsia"/>
          <w:color w:val="auto"/>
          <w:highlight w:val="none"/>
        </w:rPr>
        <w:tab/>
      </w:r>
      <w:r>
        <w:rPr>
          <w:rFonts w:hint="eastAsia"/>
          <w:color w:val="auto"/>
          <w:highlight w:val="none"/>
        </w:rPr>
        <w:t>开封青上化肥有限公司</w:t>
      </w:r>
    </w:p>
    <w:p>
      <w:pPr>
        <w:rPr>
          <w:rFonts w:hint="eastAsia"/>
          <w:color w:val="auto"/>
          <w:highlight w:val="none"/>
        </w:rPr>
      </w:pPr>
      <w:r>
        <w:rPr>
          <w:rFonts w:hint="eastAsia"/>
          <w:color w:val="auto"/>
          <w:highlight w:val="none"/>
        </w:rPr>
        <w:t>39</w:t>
      </w:r>
      <w:r>
        <w:rPr>
          <w:rFonts w:hint="eastAsia"/>
          <w:color w:val="auto"/>
          <w:highlight w:val="none"/>
        </w:rPr>
        <w:tab/>
      </w:r>
      <w:r>
        <w:rPr>
          <w:rFonts w:hint="eastAsia"/>
          <w:color w:val="auto"/>
          <w:highlight w:val="none"/>
        </w:rPr>
        <w:t>中盐安徽红四方肥业股份有限公司</w:t>
      </w:r>
    </w:p>
    <w:p>
      <w:pPr>
        <w:rPr>
          <w:rFonts w:hint="eastAsia"/>
          <w:color w:val="auto"/>
          <w:highlight w:val="none"/>
        </w:rPr>
      </w:pPr>
      <w:r>
        <w:rPr>
          <w:rFonts w:hint="eastAsia"/>
          <w:color w:val="auto"/>
          <w:highlight w:val="none"/>
        </w:rPr>
        <w:t>40</w:t>
      </w:r>
      <w:r>
        <w:rPr>
          <w:rFonts w:hint="eastAsia"/>
          <w:color w:val="auto"/>
          <w:highlight w:val="none"/>
        </w:rPr>
        <w:tab/>
      </w:r>
      <w:r>
        <w:rPr>
          <w:rFonts w:hint="eastAsia"/>
          <w:color w:val="auto"/>
          <w:highlight w:val="none"/>
        </w:rPr>
        <w:t>山西中农化生物技术股份有限公司</w:t>
      </w:r>
    </w:p>
    <w:p>
      <w:pPr>
        <w:rPr>
          <w:rFonts w:hint="eastAsia"/>
          <w:color w:val="auto"/>
          <w:highlight w:val="none"/>
        </w:rPr>
      </w:pPr>
      <w:r>
        <w:rPr>
          <w:rFonts w:hint="eastAsia"/>
          <w:color w:val="auto"/>
          <w:highlight w:val="none"/>
        </w:rPr>
        <w:t>41</w:t>
      </w:r>
      <w:r>
        <w:rPr>
          <w:rFonts w:hint="eastAsia"/>
          <w:color w:val="auto"/>
          <w:highlight w:val="none"/>
        </w:rPr>
        <w:tab/>
      </w:r>
      <w:r>
        <w:rPr>
          <w:rFonts w:hint="eastAsia"/>
          <w:color w:val="auto"/>
          <w:highlight w:val="none"/>
        </w:rPr>
        <w:t>河北冀衡集团有限公司</w:t>
      </w:r>
    </w:p>
    <w:p>
      <w:pPr>
        <w:rPr>
          <w:rFonts w:hint="eastAsia"/>
          <w:color w:val="auto"/>
          <w:highlight w:val="none"/>
        </w:rPr>
      </w:pPr>
      <w:r>
        <w:rPr>
          <w:rFonts w:hint="eastAsia"/>
          <w:color w:val="auto"/>
          <w:highlight w:val="none"/>
        </w:rPr>
        <w:t>42</w:t>
      </w:r>
      <w:r>
        <w:rPr>
          <w:rFonts w:hint="eastAsia"/>
          <w:color w:val="auto"/>
          <w:highlight w:val="none"/>
        </w:rPr>
        <w:tab/>
      </w:r>
      <w:r>
        <w:rPr>
          <w:rFonts w:hint="eastAsia"/>
          <w:color w:val="auto"/>
          <w:highlight w:val="none"/>
        </w:rPr>
        <w:t>泸天化(集团)有限责任公司</w:t>
      </w:r>
    </w:p>
    <w:p>
      <w:pPr>
        <w:rPr>
          <w:rFonts w:hint="eastAsia"/>
          <w:color w:val="auto"/>
          <w:highlight w:val="none"/>
        </w:rPr>
      </w:pPr>
      <w:r>
        <w:rPr>
          <w:rFonts w:hint="eastAsia"/>
          <w:color w:val="auto"/>
          <w:highlight w:val="none"/>
        </w:rPr>
        <w:t>43</w:t>
      </w:r>
      <w:r>
        <w:rPr>
          <w:rFonts w:hint="eastAsia"/>
          <w:color w:val="auto"/>
          <w:highlight w:val="none"/>
        </w:rPr>
        <w:tab/>
      </w:r>
      <w:r>
        <w:rPr>
          <w:rFonts w:hint="eastAsia"/>
          <w:color w:val="auto"/>
          <w:highlight w:val="none"/>
        </w:rPr>
        <w:t>山东圣粮生态工程有限公司</w:t>
      </w:r>
    </w:p>
    <w:p>
      <w:pPr>
        <w:rPr>
          <w:rFonts w:hint="eastAsia"/>
          <w:color w:val="auto"/>
          <w:highlight w:val="none"/>
        </w:rPr>
      </w:pPr>
      <w:r>
        <w:rPr>
          <w:rFonts w:hint="eastAsia"/>
          <w:color w:val="auto"/>
          <w:highlight w:val="none"/>
        </w:rPr>
        <w:t>44</w:t>
      </w:r>
      <w:r>
        <w:rPr>
          <w:rFonts w:hint="eastAsia"/>
          <w:color w:val="auto"/>
          <w:highlight w:val="none"/>
        </w:rPr>
        <w:tab/>
      </w:r>
      <w:r>
        <w:rPr>
          <w:rFonts w:hint="eastAsia"/>
          <w:color w:val="auto"/>
          <w:highlight w:val="none"/>
        </w:rPr>
        <w:t>陕西陕化煤化工集团有限公司</w:t>
      </w:r>
    </w:p>
    <w:p>
      <w:pPr>
        <w:rPr>
          <w:rFonts w:hint="eastAsia"/>
          <w:color w:val="auto"/>
          <w:highlight w:val="none"/>
        </w:rPr>
      </w:pPr>
      <w:r>
        <w:rPr>
          <w:rFonts w:hint="eastAsia"/>
          <w:color w:val="auto"/>
          <w:highlight w:val="none"/>
        </w:rPr>
        <w:t>45</w:t>
      </w:r>
      <w:r>
        <w:rPr>
          <w:rFonts w:hint="eastAsia"/>
          <w:color w:val="auto"/>
          <w:highlight w:val="none"/>
        </w:rPr>
        <w:tab/>
      </w:r>
      <w:r>
        <w:rPr>
          <w:rFonts w:hint="eastAsia"/>
          <w:color w:val="auto"/>
          <w:highlight w:val="none"/>
        </w:rPr>
        <w:t>山东鲁北化工股份有限公司</w:t>
      </w:r>
    </w:p>
    <w:p>
      <w:pPr>
        <w:rPr>
          <w:rFonts w:hint="eastAsia"/>
          <w:color w:val="auto"/>
          <w:highlight w:val="none"/>
        </w:rPr>
      </w:pPr>
      <w:r>
        <w:rPr>
          <w:rFonts w:hint="eastAsia"/>
          <w:color w:val="auto"/>
          <w:highlight w:val="none"/>
        </w:rPr>
        <w:t>46</w:t>
      </w:r>
      <w:r>
        <w:rPr>
          <w:rFonts w:hint="eastAsia"/>
          <w:color w:val="auto"/>
          <w:highlight w:val="none"/>
        </w:rPr>
        <w:tab/>
      </w:r>
      <w:r>
        <w:rPr>
          <w:rFonts w:hint="eastAsia"/>
          <w:color w:val="auto"/>
          <w:highlight w:val="none"/>
        </w:rPr>
        <w:t>烟台众德集团有限公司</w:t>
      </w:r>
    </w:p>
    <w:p>
      <w:pPr>
        <w:rPr>
          <w:rFonts w:hint="eastAsia"/>
          <w:color w:val="auto"/>
          <w:highlight w:val="none"/>
        </w:rPr>
      </w:pPr>
      <w:r>
        <w:rPr>
          <w:rFonts w:hint="eastAsia"/>
          <w:color w:val="auto"/>
          <w:highlight w:val="none"/>
        </w:rPr>
        <w:t>47</w:t>
      </w:r>
      <w:r>
        <w:rPr>
          <w:rFonts w:hint="eastAsia"/>
          <w:color w:val="auto"/>
          <w:highlight w:val="none"/>
        </w:rPr>
        <w:tab/>
      </w:r>
      <w:r>
        <w:rPr>
          <w:rFonts w:hint="eastAsia"/>
          <w:color w:val="auto"/>
          <w:highlight w:val="none"/>
        </w:rPr>
        <w:t>江苏华昌化工股份有限公司</w:t>
      </w:r>
    </w:p>
    <w:p>
      <w:pPr>
        <w:rPr>
          <w:rFonts w:hint="eastAsia"/>
          <w:color w:val="auto"/>
          <w:highlight w:val="none"/>
        </w:rPr>
      </w:pPr>
      <w:r>
        <w:rPr>
          <w:rFonts w:hint="eastAsia"/>
          <w:color w:val="auto"/>
          <w:highlight w:val="none"/>
        </w:rPr>
        <w:t>48</w:t>
      </w:r>
      <w:r>
        <w:rPr>
          <w:rFonts w:hint="eastAsia"/>
          <w:color w:val="auto"/>
          <w:highlight w:val="none"/>
        </w:rPr>
        <w:tab/>
      </w:r>
      <w:r>
        <w:rPr>
          <w:rFonts w:hint="eastAsia"/>
          <w:color w:val="auto"/>
          <w:highlight w:val="none"/>
        </w:rPr>
        <w:t>安徽昊源化工集团有限公司</w:t>
      </w:r>
    </w:p>
    <w:p>
      <w:pPr>
        <w:rPr>
          <w:rFonts w:hint="eastAsia"/>
          <w:color w:val="auto"/>
          <w:highlight w:val="none"/>
        </w:rPr>
      </w:pPr>
      <w:r>
        <w:rPr>
          <w:rFonts w:hint="eastAsia"/>
          <w:color w:val="auto"/>
          <w:highlight w:val="none"/>
        </w:rPr>
        <w:t>49</w:t>
      </w:r>
      <w:r>
        <w:rPr>
          <w:rFonts w:hint="eastAsia"/>
          <w:color w:val="auto"/>
          <w:highlight w:val="none"/>
        </w:rPr>
        <w:tab/>
      </w:r>
      <w:r>
        <w:rPr>
          <w:rFonts w:hint="eastAsia"/>
          <w:color w:val="auto"/>
          <w:highlight w:val="none"/>
        </w:rPr>
        <w:t>亚钾国际投资(广州)股份有限公司</w:t>
      </w:r>
    </w:p>
    <w:p>
      <w:pPr>
        <w:rPr>
          <w:rFonts w:hint="eastAsia"/>
          <w:color w:val="auto"/>
          <w:highlight w:val="none"/>
        </w:rPr>
      </w:pPr>
      <w:r>
        <w:rPr>
          <w:rFonts w:hint="eastAsia"/>
          <w:color w:val="auto"/>
          <w:highlight w:val="none"/>
        </w:rPr>
        <w:t>50</w:t>
      </w:r>
      <w:r>
        <w:rPr>
          <w:rFonts w:hint="eastAsia"/>
          <w:color w:val="auto"/>
          <w:highlight w:val="none"/>
        </w:rPr>
        <w:tab/>
      </w:r>
      <w:r>
        <w:rPr>
          <w:rFonts w:hint="eastAsia"/>
          <w:color w:val="auto"/>
          <w:highlight w:val="none"/>
        </w:rPr>
        <w:t>河北省东光化工有限责任公司</w:t>
      </w:r>
    </w:p>
    <w:p>
      <w:pPr>
        <w:rPr>
          <w:rFonts w:hint="eastAsia"/>
          <w:color w:val="auto"/>
          <w:highlight w:val="none"/>
        </w:rPr>
      </w:pPr>
      <w:r>
        <w:rPr>
          <w:rFonts w:hint="eastAsia"/>
          <w:color w:val="auto"/>
          <w:highlight w:val="none"/>
        </w:rPr>
        <w:t>51</w:t>
      </w:r>
      <w:r>
        <w:rPr>
          <w:rFonts w:hint="eastAsia"/>
          <w:color w:val="auto"/>
          <w:highlight w:val="none"/>
        </w:rPr>
        <w:tab/>
      </w:r>
      <w:r>
        <w:rPr>
          <w:rFonts w:hint="eastAsia"/>
          <w:color w:val="auto"/>
          <w:highlight w:val="none"/>
        </w:rPr>
        <w:t>河北天人化工股份有限公司</w:t>
      </w:r>
    </w:p>
    <w:p>
      <w:pPr>
        <w:rPr>
          <w:rFonts w:hint="eastAsia"/>
          <w:color w:val="auto"/>
          <w:highlight w:val="none"/>
        </w:rPr>
      </w:pPr>
      <w:r>
        <w:rPr>
          <w:rFonts w:hint="eastAsia"/>
          <w:color w:val="auto"/>
          <w:highlight w:val="none"/>
        </w:rPr>
        <w:t>52</w:t>
      </w:r>
      <w:r>
        <w:rPr>
          <w:rFonts w:hint="eastAsia"/>
          <w:color w:val="auto"/>
          <w:highlight w:val="none"/>
        </w:rPr>
        <w:tab/>
      </w:r>
      <w:r>
        <w:rPr>
          <w:rFonts w:hint="eastAsia"/>
          <w:color w:val="auto"/>
          <w:highlight w:val="none"/>
        </w:rPr>
        <w:t>迪斯科化工集团股份有限公司</w:t>
      </w:r>
    </w:p>
    <w:p>
      <w:pPr>
        <w:rPr>
          <w:rFonts w:hint="eastAsia"/>
          <w:color w:val="auto"/>
          <w:highlight w:val="none"/>
        </w:rPr>
      </w:pPr>
      <w:r>
        <w:rPr>
          <w:rFonts w:hint="eastAsia"/>
          <w:color w:val="auto"/>
          <w:highlight w:val="none"/>
        </w:rPr>
        <w:t>53</w:t>
      </w:r>
      <w:r>
        <w:rPr>
          <w:rFonts w:hint="eastAsia"/>
          <w:color w:val="auto"/>
          <w:highlight w:val="none"/>
        </w:rPr>
        <w:tab/>
      </w:r>
      <w:r>
        <w:rPr>
          <w:rFonts w:hint="eastAsia"/>
          <w:color w:val="auto"/>
          <w:highlight w:val="none"/>
        </w:rPr>
        <w:t>河南晋开化工投资控股集团有限责任公司</w:t>
      </w:r>
    </w:p>
    <w:p>
      <w:pPr>
        <w:rPr>
          <w:rFonts w:hint="eastAsia"/>
          <w:color w:val="auto"/>
          <w:highlight w:val="none"/>
        </w:rPr>
      </w:pPr>
      <w:r>
        <w:rPr>
          <w:rFonts w:hint="eastAsia"/>
          <w:color w:val="auto"/>
          <w:highlight w:val="none"/>
        </w:rPr>
        <w:t>54</w:t>
      </w:r>
      <w:r>
        <w:rPr>
          <w:rFonts w:hint="eastAsia"/>
          <w:color w:val="auto"/>
          <w:highlight w:val="none"/>
        </w:rPr>
        <w:tab/>
      </w:r>
      <w:r>
        <w:rPr>
          <w:rFonts w:hint="eastAsia"/>
          <w:color w:val="auto"/>
          <w:highlight w:val="none"/>
        </w:rPr>
        <w:t>贵州西洋实业有限公司</w:t>
      </w:r>
    </w:p>
    <w:p>
      <w:pPr>
        <w:rPr>
          <w:rFonts w:hint="eastAsia"/>
          <w:color w:val="auto"/>
          <w:highlight w:val="none"/>
        </w:rPr>
      </w:pPr>
      <w:r>
        <w:rPr>
          <w:rFonts w:hint="eastAsia"/>
          <w:color w:val="auto"/>
          <w:highlight w:val="none"/>
        </w:rPr>
        <w:t>55</w:t>
      </w:r>
      <w:r>
        <w:rPr>
          <w:rFonts w:hint="eastAsia"/>
          <w:color w:val="auto"/>
          <w:highlight w:val="none"/>
        </w:rPr>
        <w:tab/>
      </w:r>
      <w:r>
        <w:rPr>
          <w:rFonts w:hint="eastAsia"/>
          <w:color w:val="auto"/>
          <w:highlight w:val="none"/>
        </w:rPr>
        <w:t>深圳市芭田生态工程股份有限公司</w:t>
      </w:r>
    </w:p>
    <w:p>
      <w:pPr>
        <w:rPr>
          <w:rFonts w:hint="eastAsia"/>
          <w:color w:val="auto"/>
          <w:highlight w:val="none"/>
        </w:rPr>
      </w:pPr>
      <w:r>
        <w:rPr>
          <w:rFonts w:hint="eastAsia"/>
          <w:color w:val="auto"/>
          <w:highlight w:val="none"/>
        </w:rPr>
        <w:t>56</w:t>
      </w:r>
      <w:r>
        <w:rPr>
          <w:rFonts w:hint="eastAsia"/>
          <w:color w:val="auto"/>
          <w:highlight w:val="none"/>
        </w:rPr>
        <w:tab/>
      </w:r>
      <w:r>
        <w:rPr>
          <w:rFonts w:hint="eastAsia"/>
          <w:color w:val="auto"/>
          <w:highlight w:val="none"/>
        </w:rPr>
        <w:t>安阳中盈化肥有限公司</w:t>
      </w:r>
    </w:p>
    <w:p>
      <w:pPr>
        <w:rPr>
          <w:rFonts w:hint="eastAsia"/>
          <w:color w:val="auto"/>
          <w:highlight w:val="none"/>
        </w:rPr>
      </w:pPr>
      <w:r>
        <w:rPr>
          <w:rFonts w:hint="eastAsia"/>
          <w:color w:val="auto"/>
          <w:highlight w:val="none"/>
        </w:rPr>
        <w:t>57</w:t>
      </w:r>
      <w:r>
        <w:rPr>
          <w:rFonts w:hint="eastAsia"/>
          <w:color w:val="auto"/>
          <w:highlight w:val="none"/>
        </w:rPr>
        <w:tab/>
      </w:r>
      <w:r>
        <w:rPr>
          <w:rFonts w:hint="eastAsia"/>
          <w:color w:val="auto"/>
          <w:highlight w:val="none"/>
        </w:rPr>
        <w:t>山东齐丰农业科技有限公司</w:t>
      </w:r>
    </w:p>
    <w:p>
      <w:pPr>
        <w:rPr>
          <w:rFonts w:hint="eastAsia"/>
          <w:color w:val="auto"/>
          <w:highlight w:val="none"/>
        </w:rPr>
      </w:pPr>
      <w:r>
        <w:rPr>
          <w:rFonts w:hint="eastAsia"/>
          <w:color w:val="auto"/>
          <w:highlight w:val="none"/>
        </w:rPr>
        <w:t>58</w:t>
      </w:r>
      <w:r>
        <w:rPr>
          <w:rFonts w:hint="eastAsia"/>
          <w:color w:val="auto"/>
          <w:highlight w:val="none"/>
        </w:rPr>
        <w:tab/>
      </w:r>
      <w:r>
        <w:rPr>
          <w:rFonts w:hint="eastAsia"/>
          <w:color w:val="auto"/>
          <w:highlight w:val="none"/>
        </w:rPr>
        <w:t>内蒙古天宇汇景集团</w:t>
      </w:r>
    </w:p>
    <w:p>
      <w:pPr>
        <w:rPr>
          <w:rFonts w:hint="eastAsia"/>
          <w:color w:val="auto"/>
          <w:highlight w:val="none"/>
        </w:rPr>
      </w:pPr>
      <w:r>
        <w:rPr>
          <w:rFonts w:hint="eastAsia"/>
          <w:color w:val="auto"/>
          <w:highlight w:val="none"/>
        </w:rPr>
        <w:t>59</w:t>
      </w:r>
      <w:r>
        <w:rPr>
          <w:rFonts w:hint="eastAsia"/>
          <w:color w:val="auto"/>
          <w:highlight w:val="none"/>
        </w:rPr>
        <w:tab/>
      </w:r>
      <w:r>
        <w:rPr>
          <w:rFonts w:hint="eastAsia"/>
          <w:color w:val="auto"/>
          <w:highlight w:val="none"/>
        </w:rPr>
        <w:t>河北百禾丰化肥有限公司</w:t>
      </w:r>
    </w:p>
    <w:p>
      <w:pPr>
        <w:rPr>
          <w:rFonts w:hint="eastAsia"/>
          <w:color w:val="auto"/>
          <w:highlight w:val="none"/>
        </w:rPr>
      </w:pPr>
      <w:r>
        <w:rPr>
          <w:rFonts w:hint="eastAsia"/>
          <w:color w:val="auto"/>
          <w:highlight w:val="none"/>
        </w:rPr>
        <w:t>60</w:t>
      </w:r>
      <w:r>
        <w:rPr>
          <w:rFonts w:hint="eastAsia"/>
          <w:color w:val="auto"/>
          <w:highlight w:val="none"/>
        </w:rPr>
        <w:tab/>
      </w:r>
      <w:r>
        <w:rPr>
          <w:rFonts w:hint="eastAsia"/>
          <w:color w:val="auto"/>
          <w:highlight w:val="none"/>
        </w:rPr>
        <w:t>内蒙古博大实地化学有限公司</w:t>
      </w:r>
    </w:p>
    <w:p>
      <w:pPr>
        <w:rPr>
          <w:rFonts w:hint="eastAsia"/>
          <w:color w:val="auto"/>
          <w:highlight w:val="none"/>
        </w:rPr>
      </w:pPr>
      <w:r>
        <w:rPr>
          <w:rFonts w:hint="eastAsia"/>
          <w:color w:val="auto"/>
          <w:highlight w:val="none"/>
        </w:rPr>
        <w:t>61</w:t>
      </w:r>
      <w:r>
        <w:rPr>
          <w:rFonts w:hint="eastAsia"/>
          <w:color w:val="auto"/>
          <w:highlight w:val="none"/>
        </w:rPr>
        <w:tab/>
      </w:r>
      <w:r>
        <w:rPr>
          <w:rFonts w:hint="eastAsia"/>
          <w:color w:val="auto"/>
          <w:highlight w:val="none"/>
        </w:rPr>
        <w:t>云南鸿泰博新材料股份有限公司</w:t>
      </w:r>
    </w:p>
    <w:p>
      <w:pPr>
        <w:rPr>
          <w:rFonts w:hint="eastAsia"/>
          <w:color w:val="auto"/>
          <w:highlight w:val="none"/>
        </w:rPr>
      </w:pPr>
      <w:r>
        <w:rPr>
          <w:rFonts w:hint="eastAsia"/>
          <w:color w:val="auto"/>
          <w:highlight w:val="none"/>
        </w:rPr>
        <w:t>62</w:t>
      </w:r>
      <w:r>
        <w:rPr>
          <w:rFonts w:hint="eastAsia"/>
          <w:color w:val="auto"/>
          <w:highlight w:val="none"/>
        </w:rPr>
        <w:tab/>
      </w:r>
      <w:r>
        <w:rPr>
          <w:rFonts w:hint="eastAsia"/>
          <w:color w:val="auto"/>
          <w:highlight w:val="none"/>
        </w:rPr>
        <w:t>山西新核能肥业有限公司</w:t>
      </w:r>
    </w:p>
    <w:p>
      <w:pPr>
        <w:rPr>
          <w:rFonts w:hint="eastAsia"/>
          <w:color w:val="auto"/>
          <w:highlight w:val="none"/>
        </w:rPr>
      </w:pPr>
      <w:r>
        <w:rPr>
          <w:rFonts w:hint="eastAsia"/>
          <w:color w:val="auto"/>
          <w:highlight w:val="none"/>
        </w:rPr>
        <w:t>63</w:t>
      </w:r>
      <w:r>
        <w:rPr>
          <w:rFonts w:hint="eastAsia"/>
          <w:color w:val="auto"/>
          <w:highlight w:val="none"/>
        </w:rPr>
        <w:tab/>
      </w:r>
      <w:r>
        <w:rPr>
          <w:rFonts w:hint="eastAsia"/>
          <w:color w:val="auto"/>
          <w:highlight w:val="none"/>
        </w:rPr>
        <w:t>湖北源丰化工有限公司</w:t>
      </w:r>
    </w:p>
    <w:p>
      <w:pPr>
        <w:rPr>
          <w:rFonts w:hint="eastAsia"/>
          <w:color w:val="auto"/>
          <w:highlight w:val="none"/>
        </w:rPr>
      </w:pPr>
      <w:r>
        <w:rPr>
          <w:rFonts w:hint="eastAsia"/>
          <w:color w:val="auto"/>
          <w:highlight w:val="none"/>
        </w:rPr>
        <w:t>64</w:t>
      </w:r>
      <w:r>
        <w:rPr>
          <w:rFonts w:hint="eastAsia"/>
          <w:color w:val="auto"/>
          <w:highlight w:val="none"/>
        </w:rPr>
        <w:tab/>
      </w:r>
      <w:r>
        <w:rPr>
          <w:rFonts w:hint="eastAsia"/>
          <w:color w:val="auto"/>
          <w:highlight w:val="none"/>
        </w:rPr>
        <w:t>天脊煤化工集团股份有限公司</w:t>
      </w:r>
    </w:p>
    <w:p>
      <w:pPr>
        <w:rPr>
          <w:rFonts w:hint="eastAsia"/>
          <w:color w:val="auto"/>
          <w:highlight w:val="none"/>
        </w:rPr>
      </w:pPr>
      <w:r>
        <w:rPr>
          <w:rFonts w:hint="eastAsia"/>
          <w:color w:val="auto"/>
          <w:highlight w:val="none"/>
        </w:rPr>
        <w:t>65</w:t>
      </w:r>
      <w:r>
        <w:rPr>
          <w:rFonts w:hint="eastAsia"/>
          <w:color w:val="auto"/>
          <w:highlight w:val="none"/>
        </w:rPr>
        <w:tab/>
      </w:r>
      <w:r>
        <w:rPr>
          <w:rFonts w:hint="eastAsia"/>
          <w:color w:val="auto"/>
          <w:highlight w:val="none"/>
        </w:rPr>
        <w:t>联合惠农农资(北京)有限公司</w:t>
      </w:r>
    </w:p>
    <w:p>
      <w:pPr>
        <w:rPr>
          <w:rFonts w:hint="eastAsia"/>
          <w:color w:val="auto"/>
          <w:highlight w:val="none"/>
        </w:rPr>
      </w:pPr>
      <w:r>
        <w:rPr>
          <w:rFonts w:hint="eastAsia"/>
          <w:color w:val="auto"/>
          <w:highlight w:val="none"/>
        </w:rPr>
        <w:t>66</w:t>
      </w:r>
      <w:r>
        <w:rPr>
          <w:rFonts w:hint="eastAsia"/>
          <w:color w:val="auto"/>
          <w:highlight w:val="none"/>
        </w:rPr>
        <w:tab/>
      </w:r>
      <w:r>
        <w:rPr>
          <w:rFonts w:hint="eastAsia"/>
          <w:color w:val="auto"/>
          <w:highlight w:val="none"/>
        </w:rPr>
        <w:t>福建省三明市浩伦园艺植保有限公司</w:t>
      </w:r>
    </w:p>
    <w:p>
      <w:pPr>
        <w:rPr>
          <w:rFonts w:hint="eastAsia"/>
          <w:color w:val="auto"/>
          <w:highlight w:val="none"/>
        </w:rPr>
      </w:pPr>
      <w:r>
        <w:rPr>
          <w:rFonts w:hint="eastAsia"/>
          <w:color w:val="auto"/>
          <w:highlight w:val="none"/>
        </w:rPr>
        <w:t>67</w:t>
      </w:r>
      <w:r>
        <w:rPr>
          <w:rFonts w:hint="eastAsia"/>
          <w:color w:val="auto"/>
          <w:highlight w:val="none"/>
        </w:rPr>
        <w:tab/>
      </w:r>
      <w:r>
        <w:rPr>
          <w:rFonts w:hint="eastAsia"/>
          <w:color w:val="auto"/>
          <w:highlight w:val="none"/>
        </w:rPr>
        <w:t>河北渤天化化肥有限公司</w:t>
      </w:r>
    </w:p>
    <w:p>
      <w:pPr>
        <w:rPr>
          <w:rFonts w:hint="eastAsia"/>
          <w:color w:val="auto"/>
          <w:highlight w:val="none"/>
        </w:rPr>
      </w:pPr>
      <w:r>
        <w:rPr>
          <w:rFonts w:hint="eastAsia"/>
          <w:color w:val="auto"/>
          <w:highlight w:val="none"/>
        </w:rPr>
        <w:t>68</w:t>
      </w:r>
      <w:r>
        <w:rPr>
          <w:rFonts w:hint="eastAsia"/>
          <w:color w:val="auto"/>
          <w:highlight w:val="none"/>
        </w:rPr>
        <w:tab/>
      </w:r>
      <w:r>
        <w:rPr>
          <w:rFonts w:hint="eastAsia"/>
          <w:color w:val="auto"/>
          <w:highlight w:val="none"/>
        </w:rPr>
        <w:t>四川金象赛瑞化工股份有限公司</w:t>
      </w:r>
    </w:p>
    <w:p>
      <w:pPr>
        <w:rPr>
          <w:rFonts w:hint="eastAsia"/>
          <w:color w:val="auto"/>
          <w:highlight w:val="none"/>
        </w:rPr>
      </w:pPr>
      <w:r>
        <w:rPr>
          <w:rFonts w:hint="eastAsia"/>
          <w:color w:val="auto"/>
          <w:highlight w:val="none"/>
        </w:rPr>
        <w:t>69</w:t>
      </w:r>
      <w:r>
        <w:rPr>
          <w:rFonts w:hint="eastAsia"/>
          <w:color w:val="auto"/>
          <w:highlight w:val="none"/>
        </w:rPr>
        <w:tab/>
      </w:r>
      <w:r>
        <w:rPr>
          <w:rFonts w:hint="eastAsia"/>
          <w:color w:val="auto"/>
          <w:highlight w:val="none"/>
        </w:rPr>
        <w:t>山东三方化工集团有限公司</w:t>
      </w:r>
    </w:p>
    <w:p>
      <w:pPr>
        <w:rPr>
          <w:rFonts w:hint="eastAsia"/>
          <w:color w:val="auto"/>
          <w:highlight w:val="none"/>
        </w:rPr>
      </w:pPr>
      <w:r>
        <w:rPr>
          <w:rFonts w:hint="eastAsia"/>
          <w:color w:val="auto"/>
          <w:highlight w:val="none"/>
        </w:rPr>
        <w:t>70</w:t>
      </w:r>
      <w:r>
        <w:rPr>
          <w:rFonts w:hint="eastAsia"/>
          <w:color w:val="auto"/>
          <w:highlight w:val="none"/>
        </w:rPr>
        <w:tab/>
      </w:r>
      <w:r>
        <w:rPr>
          <w:rFonts w:hint="eastAsia"/>
          <w:color w:val="auto"/>
          <w:highlight w:val="none"/>
        </w:rPr>
        <w:t>济源市万洋肥业有限公司</w:t>
      </w:r>
    </w:p>
    <w:p>
      <w:pPr>
        <w:rPr>
          <w:rFonts w:hint="eastAsia"/>
          <w:color w:val="auto"/>
          <w:highlight w:val="none"/>
        </w:rPr>
      </w:pPr>
      <w:r>
        <w:rPr>
          <w:rFonts w:hint="eastAsia"/>
          <w:color w:val="auto"/>
          <w:highlight w:val="none"/>
        </w:rPr>
        <w:t>71</w:t>
      </w:r>
      <w:r>
        <w:rPr>
          <w:rFonts w:hint="eastAsia"/>
          <w:color w:val="auto"/>
          <w:highlight w:val="none"/>
        </w:rPr>
        <w:tab/>
      </w:r>
      <w:r>
        <w:rPr>
          <w:rFonts w:hint="eastAsia"/>
          <w:color w:val="auto"/>
          <w:highlight w:val="none"/>
        </w:rPr>
        <w:t>湖北浩斯特农业科技有限公司</w:t>
      </w:r>
    </w:p>
    <w:p>
      <w:pPr>
        <w:rPr>
          <w:rFonts w:hint="eastAsia"/>
          <w:color w:val="auto"/>
          <w:highlight w:val="none"/>
        </w:rPr>
      </w:pPr>
      <w:r>
        <w:rPr>
          <w:rFonts w:hint="eastAsia"/>
          <w:color w:val="auto"/>
          <w:highlight w:val="none"/>
        </w:rPr>
        <w:t>72</w:t>
      </w:r>
      <w:r>
        <w:rPr>
          <w:rFonts w:hint="eastAsia"/>
          <w:color w:val="auto"/>
          <w:highlight w:val="none"/>
        </w:rPr>
        <w:tab/>
      </w:r>
      <w:r>
        <w:rPr>
          <w:rFonts w:hint="eastAsia"/>
          <w:color w:val="auto"/>
          <w:highlight w:val="none"/>
        </w:rPr>
        <w:t>宁夏和宁化学有限公司</w:t>
      </w:r>
    </w:p>
    <w:p>
      <w:pPr>
        <w:rPr>
          <w:rFonts w:hint="eastAsia"/>
          <w:color w:val="auto"/>
          <w:highlight w:val="none"/>
        </w:rPr>
      </w:pPr>
      <w:r>
        <w:rPr>
          <w:rFonts w:hint="eastAsia"/>
          <w:color w:val="auto"/>
          <w:highlight w:val="none"/>
        </w:rPr>
        <w:t>73</w:t>
      </w:r>
      <w:r>
        <w:rPr>
          <w:rFonts w:hint="eastAsia"/>
          <w:color w:val="auto"/>
          <w:highlight w:val="none"/>
        </w:rPr>
        <w:tab/>
      </w:r>
      <w:r>
        <w:rPr>
          <w:rFonts w:hint="eastAsia"/>
          <w:color w:val="auto"/>
          <w:highlight w:val="none"/>
        </w:rPr>
        <w:t>山东天山丰耘生态肥业有限公司</w:t>
      </w:r>
    </w:p>
    <w:p>
      <w:pPr>
        <w:rPr>
          <w:rFonts w:hint="eastAsia"/>
          <w:color w:val="auto"/>
          <w:highlight w:val="none"/>
        </w:rPr>
      </w:pPr>
      <w:r>
        <w:rPr>
          <w:rFonts w:hint="eastAsia"/>
          <w:color w:val="auto"/>
          <w:highlight w:val="none"/>
        </w:rPr>
        <w:t>74</w:t>
      </w:r>
      <w:r>
        <w:rPr>
          <w:rFonts w:hint="eastAsia"/>
          <w:color w:val="auto"/>
          <w:highlight w:val="none"/>
        </w:rPr>
        <w:tab/>
      </w:r>
      <w:r>
        <w:rPr>
          <w:rFonts w:hint="eastAsia"/>
          <w:color w:val="auto"/>
          <w:highlight w:val="none"/>
        </w:rPr>
        <w:t>山东花乡肥业有限公司</w:t>
      </w:r>
    </w:p>
    <w:p>
      <w:pPr>
        <w:rPr>
          <w:rFonts w:hint="eastAsia"/>
          <w:color w:val="auto"/>
          <w:highlight w:val="none"/>
        </w:rPr>
      </w:pPr>
      <w:r>
        <w:rPr>
          <w:rFonts w:hint="eastAsia"/>
          <w:color w:val="auto"/>
          <w:highlight w:val="none"/>
        </w:rPr>
        <w:t>75</w:t>
      </w:r>
      <w:r>
        <w:rPr>
          <w:rFonts w:hint="eastAsia"/>
          <w:color w:val="auto"/>
          <w:highlight w:val="none"/>
        </w:rPr>
        <w:tab/>
      </w:r>
      <w:r>
        <w:rPr>
          <w:rFonts w:hint="eastAsia"/>
          <w:color w:val="auto"/>
          <w:highlight w:val="none"/>
        </w:rPr>
        <w:t>四川安达农森科技股份有限公司</w:t>
      </w:r>
    </w:p>
    <w:p>
      <w:pPr>
        <w:rPr>
          <w:rFonts w:hint="eastAsia"/>
          <w:color w:val="auto"/>
          <w:highlight w:val="none"/>
        </w:rPr>
      </w:pPr>
      <w:r>
        <w:rPr>
          <w:rFonts w:hint="eastAsia"/>
          <w:color w:val="auto"/>
          <w:highlight w:val="none"/>
        </w:rPr>
        <w:t>76</w:t>
      </w:r>
      <w:r>
        <w:rPr>
          <w:rFonts w:hint="eastAsia"/>
          <w:color w:val="auto"/>
          <w:highlight w:val="none"/>
        </w:rPr>
        <w:tab/>
      </w:r>
      <w:r>
        <w:rPr>
          <w:rFonts w:hint="eastAsia"/>
          <w:color w:val="auto"/>
          <w:highlight w:val="none"/>
        </w:rPr>
        <w:t>福建奥利高塔复合肥有限公司</w:t>
      </w:r>
    </w:p>
    <w:p>
      <w:pPr>
        <w:rPr>
          <w:rFonts w:hint="eastAsia"/>
          <w:color w:val="auto"/>
          <w:highlight w:val="none"/>
        </w:rPr>
      </w:pPr>
      <w:r>
        <w:rPr>
          <w:rFonts w:hint="eastAsia"/>
          <w:color w:val="auto"/>
          <w:highlight w:val="none"/>
        </w:rPr>
        <w:t>77</w:t>
      </w:r>
      <w:r>
        <w:rPr>
          <w:rFonts w:hint="eastAsia"/>
          <w:color w:val="auto"/>
          <w:highlight w:val="none"/>
        </w:rPr>
        <w:tab/>
      </w:r>
      <w:r>
        <w:rPr>
          <w:rFonts w:hint="eastAsia"/>
          <w:color w:val="auto"/>
          <w:highlight w:val="none"/>
        </w:rPr>
        <w:t>湖北施特富生物科技有限公司</w:t>
      </w:r>
    </w:p>
    <w:p>
      <w:pPr>
        <w:rPr>
          <w:rFonts w:hint="eastAsia"/>
          <w:color w:val="auto"/>
          <w:highlight w:val="none"/>
        </w:rPr>
      </w:pPr>
      <w:r>
        <w:rPr>
          <w:rFonts w:hint="eastAsia"/>
          <w:color w:val="auto"/>
          <w:highlight w:val="none"/>
        </w:rPr>
        <w:t>78</w:t>
      </w:r>
      <w:r>
        <w:rPr>
          <w:rFonts w:hint="eastAsia"/>
          <w:color w:val="auto"/>
          <w:highlight w:val="none"/>
        </w:rPr>
        <w:tab/>
      </w:r>
      <w:r>
        <w:rPr>
          <w:rFonts w:hint="eastAsia"/>
          <w:color w:val="auto"/>
          <w:highlight w:val="none"/>
        </w:rPr>
        <w:t>山东金沂蒙生态肥业有限公司</w:t>
      </w:r>
    </w:p>
    <w:p>
      <w:pPr>
        <w:rPr>
          <w:rFonts w:hint="eastAsia"/>
          <w:color w:val="auto"/>
          <w:highlight w:val="none"/>
        </w:rPr>
      </w:pPr>
      <w:r>
        <w:rPr>
          <w:rFonts w:hint="eastAsia"/>
          <w:color w:val="auto"/>
          <w:highlight w:val="none"/>
        </w:rPr>
        <w:t>79</w:t>
      </w:r>
      <w:r>
        <w:rPr>
          <w:rFonts w:hint="eastAsia"/>
          <w:color w:val="auto"/>
          <w:highlight w:val="none"/>
        </w:rPr>
        <w:tab/>
      </w:r>
      <w:r>
        <w:rPr>
          <w:rFonts w:hint="eastAsia"/>
          <w:color w:val="auto"/>
          <w:highlight w:val="none"/>
        </w:rPr>
        <w:t>根力多生物科技股份有限公司</w:t>
      </w:r>
    </w:p>
    <w:p>
      <w:pPr>
        <w:rPr>
          <w:rFonts w:hint="eastAsia"/>
          <w:color w:val="auto"/>
          <w:highlight w:val="none"/>
        </w:rPr>
      </w:pPr>
      <w:r>
        <w:rPr>
          <w:rFonts w:hint="eastAsia"/>
          <w:color w:val="auto"/>
          <w:highlight w:val="none"/>
        </w:rPr>
        <w:t>80</w:t>
      </w:r>
      <w:r>
        <w:rPr>
          <w:rFonts w:hint="eastAsia"/>
          <w:color w:val="auto"/>
          <w:highlight w:val="none"/>
        </w:rPr>
        <w:tab/>
      </w:r>
      <w:r>
        <w:rPr>
          <w:rFonts w:hint="eastAsia"/>
          <w:color w:val="auto"/>
          <w:highlight w:val="none"/>
        </w:rPr>
        <w:t>焦作市地丰肥业股份有限公司</w:t>
      </w:r>
    </w:p>
    <w:p>
      <w:pPr>
        <w:rPr>
          <w:rFonts w:hint="eastAsia"/>
          <w:color w:val="auto"/>
          <w:highlight w:val="none"/>
        </w:rPr>
      </w:pPr>
      <w:r>
        <w:rPr>
          <w:rFonts w:hint="eastAsia"/>
          <w:color w:val="auto"/>
          <w:highlight w:val="none"/>
        </w:rPr>
        <w:t>81</w:t>
      </w:r>
      <w:r>
        <w:rPr>
          <w:rFonts w:hint="eastAsia"/>
          <w:color w:val="auto"/>
          <w:highlight w:val="none"/>
        </w:rPr>
        <w:tab/>
      </w:r>
      <w:r>
        <w:rPr>
          <w:rFonts w:hint="eastAsia"/>
          <w:color w:val="auto"/>
          <w:highlight w:val="none"/>
        </w:rPr>
        <w:t>山东巴顿化肥有限公司</w:t>
      </w:r>
    </w:p>
    <w:p>
      <w:pPr>
        <w:rPr>
          <w:rFonts w:hint="eastAsia"/>
          <w:color w:val="auto"/>
          <w:highlight w:val="none"/>
        </w:rPr>
      </w:pPr>
      <w:r>
        <w:rPr>
          <w:rFonts w:hint="eastAsia"/>
          <w:color w:val="auto"/>
          <w:highlight w:val="none"/>
        </w:rPr>
        <w:t>82</w:t>
      </w:r>
      <w:r>
        <w:rPr>
          <w:rFonts w:hint="eastAsia"/>
          <w:color w:val="auto"/>
          <w:highlight w:val="none"/>
        </w:rPr>
        <w:tab/>
      </w:r>
      <w:r>
        <w:rPr>
          <w:rFonts w:hint="eastAsia"/>
          <w:color w:val="auto"/>
          <w:highlight w:val="none"/>
        </w:rPr>
        <w:t>石家庄市中嘉化肥有限公司</w:t>
      </w:r>
    </w:p>
    <w:p>
      <w:pPr>
        <w:rPr>
          <w:rFonts w:hint="eastAsia"/>
          <w:color w:val="auto"/>
          <w:highlight w:val="none"/>
        </w:rPr>
      </w:pPr>
      <w:r>
        <w:rPr>
          <w:rFonts w:hint="eastAsia"/>
          <w:color w:val="auto"/>
          <w:highlight w:val="none"/>
        </w:rPr>
        <w:t>83</w:t>
      </w:r>
      <w:r>
        <w:rPr>
          <w:rFonts w:hint="eastAsia"/>
          <w:color w:val="auto"/>
          <w:highlight w:val="none"/>
        </w:rPr>
        <w:tab/>
      </w:r>
      <w:r>
        <w:rPr>
          <w:rFonts w:hint="eastAsia"/>
          <w:color w:val="auto"/>
          <w:highlight w:val="none"/>
        </w:rPr>
        <w:t>住商肥料(青岛)有限公司</w:t>
      </w:r>
    </w:p>
    <w:p>
      <w:pPr>
        <w:rPr>
          <w:rFonts w:hint="eastAsia"/>
          <w:color w:val="auto"/>
          <w:highlight w:val="none"/>
        </w:rPr>
      </w:pPr>
      <w:r>
        <w:rPr>
          <w:rFonts w:hint="eastAsia"/>
          <w:color w:val="auto"/>
          <w:highlight w:val="none"/>
        </w:rPr>
        <w:t>84</w:t>
      </w:r>
      <w:r>
        <w:rPr>
          <w:rFonts w:hint="eastAsia"/>
          <w:color w:val="auto"/>
          <w:highlight w:val="none"/>
        </w:rPr>
        <w:tab/>
      </w:r>
      <w:r>
        <w:rPr>
          <w:rFonts w:hint="eastAsia"/>
          <w:color w:val="auto"/>
          <w:highlight w:val="none"/>
        </w:rPr>
        <w:t>广东福利龙复合肥有限公司</w:t>
      </w:r>
    </w:p>
    <w:p>
      <w:pPr>
        <w:rPr>
          <w:rFonts w:hint="eastAsia"/>
          <w:color w:val="auto"/>
          <w:highlight w:val="none"/>
        </w:rPr>
      </w:pPr>
      <w:r>
        <w:rPr>
          <w:rFonts w:hint="eastAsia"/>
          <w:color w:val="auto"/>
          <w:highlight w:val="none"/>
        </w:rPr>
        <w:t>85</w:t>
      </w:r>
      <w:r>
        <w:rPr>
          <w:rFonts w:hint="eastAsia"/>
          <w:color w:val="auto"/>
          <w:highlight w:val="none"/>
        </w:rPr>
        <w:tab/>
      </w:r>
      <w:r>
        <w:rPr>
          <w:rFonts w:hint="eastAsia"/>
          <w:color w:val="auto"/>
          <w:highlight w:val="none"/>
        </w:rPr>
        <w:t>沧州天化肥业有限公司</w:t>
      </w:r>
    </w:p>
    <w:p>
      <w:pPr>
        <w:rPr>
          <w:rFonts w:hint="eastAsia"/>
          <w:color w:val="auto"/>
          <w:highlight w:val="none"/>
        </w:rPr>
      </w:pPr>
      <w:r>
        <w:rPr>
          <w:rFonts w:hint="eastAsia"/>
          <w:color w:val="auto"/>
          <w:highlight w:val="none"/>
        </w:rPr>
        <w:t>86</w:t>
      </w:r>
      <w:r>
        <w:rPr>
          <w:rFonts w:hint="eastAsia"/>
          <w:color w:val="auto"/>
          <w:highlight w:val="none"/>
        </w:rPr>
        <w:tab/>
      </w:r>
      <w:r>
        <w:rPr>
          <w:rFonts w:hint="eastAsia"/>
          <w:color w:val="auto"/>
          <w:highlight w:val="none"/>
        </w:rPr>
        <w:t>安徽伽雅生态工程有限公司</w:t>
      </w:r>
    </w:p>
    <w:p>
      <w:pPr>
        <w:rPr>
          <w:rFonts w:hint="eastAsia"/>
          <w:color w:val="auto"/>
          <w:highlight w:val="none"/>
        </w:rPr>
      </w:pPr>
      <w:r>
        <w:rPr>
          <w:rFonts w:hint="eastAsia"/>
          <w:color w:val="auto"/>
          <w:highlight w:val="none"/>
        </w:rPr>
        <w:t>87</w:t>
      </w:r>
      <w:r>
        <w:rPr>
          <w:rFonts w:hint="eastAsia"/>
          <w:color w:val="auto"/>
          <w:highlight w:val="none"/>
        </w:rPr>
        <w:tab/>
      </w:r>
      <w:r>
        <w:rPr>
          <w:rFonts w:hint="eastAsia"/>
          <w:color w:val="auto"/>
          <w:highlight w:val="none"/>
        </w:rPr>
        <w:t>广州凯米瑞化肥有限公司</w:t>
      </w:r>
    </w:p>
    <w:p>
      <w:pPr>
        <w:rPr>
          <w:rFonts w:hint="eastAsia"/>
          <w:color w:val="auto"/>
          <w:highlight w:val="none"/>
        </w:rPr>
      </w:pPr>
      <w:r>
        <w:rPr>
          <w:rFonts w:hint="eastAsia"/>
          <w:color w:val="auto"/>
          <w:highlight w:val="none"/>
        </w:rPr>
        <w:t>88</w:t>
      </w:r>
      <w:r>
        <w:rPr>
          <w:rFonts w:hint="eastAsia"/>
          <w:color w:val="auto"/>
          <w:highlight w:val="none"/>
        </w:rPr>
        <w:tab/>
      </w:r>
      <w:r>
        <w:rPr>
          <w:rFonts w:hint="eastAsia"/>
          <w:color w:val="auto"/>
          <w:highlight w:val="none"/>
        </w:rPr>
        <w:t>上海惠尔利农资有限公司</w:t>
      </w:r>
    </w:p>
    <w:p>
      <w:pPr>
        <w:rPr>
          <w:rFonts w:hint="eastAsia"/>
          <w:color w:val="auto"/>
          <w:highlight w:val="none"/>
        </w:rPr>
      </w:pPr>
      <w:r>
        <w:rPr>
          <w:rFonts w:hint="eastAsia"/>
          <w:color w:val="auto"/>
          <w:highlight w:val="none"/>
        </w:rPr>
        <w:t>89</w:t>
      </w:r>
      <w:r>
        <w:rPr>
          <w:rFonts w:hint="eastAsia"/>
          <w:color w:val="auto"/>
          <w:highlight w:val="none"/>
        </w:rPr>
        <w:tab/>
      </w:r>
      <w:r>
        <w:rPr>
          <w:rFonts w:hint="eastAsia"/>
          <w:color w:val="auto"/>
          <w:highlight w:val="none"/>
        </w:rPr>
        <w:t>青岛三农富康肥料有限公司</w:t>
      </w:r>
    </w:p>
    <w:p>
      <w:pPr>
        <w:rPr>
          <w:rFonts w:hint="eastAsia"/>
          <w:color w:val="auto"/>
          <w:highlight w:val="none"/>
        </w:rPr>
      </w:pPr>
      <w:r>
        <w:rPr>
          <w:rFonts w:hint="eastAsia"/>
          <w:color w:val="auto"/>
          <w:highlight w:val="none"/>
        </w:rPr>
        <w:t>90</w:t>
      </w:r>
      <w:r>
        <w:rPr>
          <w:rFonts w:hint="eastAsia"/>
          <w:color w:val="auto"/>
          <w:highlight w:val="none"/>
        </w:rPr>
        <w:tab/>
      </w:r>
      <w:r>
        <w:rPr>
          <w:rFonts w:hint="eastAsia"/>
          <w:color w:val="auto"/>
          <w:highlight w:val="none"/>
        </w:rPr>
        <w:t>中农美盛国际化肥进出口(深圳)有限公司</w:t>
      </w:r>
    </w:p>
    <w:p>
      <w:pPr>
        <w:rPr>
          <w:rFonts w:hint="eastAsia"/>
          <w:color w:val="auto"/>
          <w:highlight w:val="none"/>
        </w:rPr>
      </w:pPr>
      <w:r>
        <w:rPr>
          <w:rFonts w:hint="eastAsia"/>
          <w:color w:val="auto"/>
          <w:highlight w:val="none"/>
        </w:rPr>
        <w:t>91</w:t>
      </w:r>
      <w:r>
        <w:rPr>
          <w:rFonts w:hint="eastAsia"/>
          <w:color w:val="auto"/>
          <w:highlight w:val="none"/>
        </w:rPr>
        <w:tab/>
      </w:r>
      <w:r>
        <w:rPr>
          <w:rFonts w:hint="eastAsia"/>
          <w:color w:val="auto"/>
          <w:highlight w:val="none"/>
        </w:rPr>
        <w:t>中仓生态农业有限公司</w:t>
      </w:r>
    </w:p>
    <w:p>
      <w:pPr>
        <w:rPr>
          <w:rFonts w:hint="eastAsia"/>
          <w:color w:val="auto"/>
          <w:highlight w:val="none"/>
        </w:rPr>
      </w:pPr>
      <w:r>
        <w:rPr>
          <w:rFonts w:hint="eastAsia"/>
          <w:color w:val="auto"/>
          <w:highlight w:val="none"/>
        </w:rPr>
        <w:t>92</w:t>
      </w:r>
      <w:r>
        <w:rPr>
          <w:rFonts w:hint="eastAsia"/>
          <w:color w:val="auto"/>
          <w:highlight w:val="none"/>
        </w:rPr>
        <w:tab/>
      </w:r>
      <w:r>
        <w:rPr>
          <w:rFonts w:hint="eastAsia"/>
          <w:color w:val="auto"/>
          <w:highlight w:val="none"/>
        </w:rPr>
        <w:t>金昌正裕化工有限公司</w:t>
      </w:r>
    </w:p>
    <w:p>
      <w:pPr>
        <w:rPr>
          <w:rFonts w:hint="eastAsia"/>
          <w:color w:val="auto"/>
          <w:highlight w:val="none"/>
        </w:rPr>
      </w:pPr>
      <w:r>
        <w:rPr>
          <w:rFonts w:hint="eastAsia"/>
          <w:color w:val="auto"/>
          <w:highlight w:val="none"/>
        </w:rPr>
        <w:t>93</w:t>
      </w:r>
      <w:r>
        <w:rPr>
          <w:rFonts w:hint="eastAsia"/>
          <w:color w:val="auto"/>
          <w:highlight w:val="none"/>
        </w:rPr>
        <w:tab/>
      </w:r>
      <w:r>
        <w:rPr>
          <w:rFonts w:hint="eastAsia"/>
          <w:color w:val="auto"/>
          <w:highlight w:val="none"/>
        </w:rPr>
        <w:t>山东合力泰化工有限公司</w:t>
      </w:r>
    </w:p>
    <w:p>
      <w:pPr>
        <w:rPr>
          <w:rFonts w:hint="eastAsia"/>
          <w:color w:val="auto"/>
          <w:highlight w:val="none"/>
        </w:rPr>
      </w:pPr>
      <w:r>
        <w:rPr>
          <w:rFonts w:hint="eastAsia"/>
          <w:color w:val="auto"/>
          <w:highlight w:val="none"/>
        </w:rPr>
        <w:t>94</w:t>
      </w:r>
      <w:r>
        <w:rPr>
          <w:rFonts w:hint="eastAsia"/>
          <w:color w:val="auto"/>
          <w:highlight w:val="none"/>
        </w:rPr>
        <w:tab/>
      </w:r>
      <w:r>
        <w:rPr>
          <w:rFonts w:hint="eastAsia"/>
          <w:color w:val="auto"/>
          <w:highlight w:val="none"/>
        </w:rPr>
        <w:t>唐山燕丰复合肥有限公司</w:t>
      </w:r>
    </w:p>
    <w:p>
      <w:pPr>
        <w:rPr>
          <w:rFonts w:hint="eastAsia"/>
          <w:color w:val="auto"/>
          <w:highlight w:val="none"/>
        </w:rPr>
      </w:pPr>
      <w:r>
        <w:rPr>
          <w:rFonts w:hint="eastAsia"/>
          <w:color w:val="auto"/>
          <w:highlight w:val="none"/>
        </w:rPr>
        <w:t>95</w:t>
      </w:r>
      <w:r>
        <w:rPr>
          <w:rFonts w:hint="eastAsia"/>
          <w:color w:val="auto"/>
          <w:highlight w:val="none"/>
        </w:rPr>
        <w:tab/>
      </w:r>
      <w:r>
        <w:rPr>
          <w:rFonts w:hint="eastAsia"/>
          <w:color w:val="auto"/>
          <w:highlight w:val="none"/>
        </w:rPr>
        <w:t>山东奇立伟肥业股份有限公司</w:t>
      </w:r>
    </w:p>
    <w:p>
      <w:pPr>
        <w:rPr>
          <w:rFonts w:hint="eastAsia"/>
          <w:color w:val="auto"/>
          <w:highlight w:val="none"/>
        </w:rPr>
      </w:pPr>
      <w:r>
        <w:rPr>
          <w:rFonts w:hint="eastAsia"/>
          <w:color w:val="auto"/>
          <w:highlight w:val="none"/>
        </w:rPr>
        <w:t>96</w:t>
      </w:r>
      <w:r>
        <w:rPr>
          <w:rFonts w:hint="eastAsia"/>
          <w:color w:val="auto"/>
          <w:highlight w:val="none"/>
        </w:rPr>
        <w:tab/>
      </w:r>
      <w:r>
        <w:rPr>
          <w:rFonts w:hint="eastAsia"/>
          <w:color w:val="auto"/>
          <w:highlight w:val="none"/>
        </w:rPr>
        <w:t>安阳中盛肥业科技有限责任公司</w:t>
      </w:r>
    </w:p>
    <w:p>
      <w:pPr>
        <w:rPr>
          <w:rFonts w:hint="eastAsia"/>
          <w:color w:val="auto"/>
          <w:highlight w:val="none"/>
        </w:rPr>
      </w:pPr>
      <w:r>
        <w:rPr>
          <w:rFonts w:hint="eastAsia"/>
          <w:color w:val="auto"/>
          <w:highlight w:val="none"/>
        </w:rPr>
        <w:t>97</w:t>
      </w:r>
      <w:r>
        <w:rPr>
          <w:rFonts w:hint="eastAsia"/>
          <w:color w:val="auto"/>
          <w:highlight w:val="none"/>
        </w:rPr>
        <w:tab/>
      </w:r>
      <w:r>
        <w:rPr>
          <w:rFonts w:hint="eastAsia"/>
          <w:color w:val="auto"/>
          <w:highlight w:val="none"/>
        </w:rPr>
        <w:t>上海永通生态工程股份有限公司</w:t>
      </w:r>
    </w:p>
    <w:p>
      <w:pPr>
        <w:rPr>
          <w:rFonts w:hint="eastAsia"/>
          <w:color w:val="auto"/>
          <w:highlight w:val="none"/>
        </w:rPr>
      </w:pPr>
      <w:r>
        <w:rPr>
          <w:rFonts w:hint="eastAsia"/>
          <w:color w:val="auto"/>
          <w:highlight w:val="none"/>
        </w:rPr>
        <w:t>98</w:t>
      </w:r>
      <w:r>
        <w:rPr>
          <w:rFonts w:hint="eastAsia"/>
          <w:color w:val="auto"/>
          <w:highlight w:val="none"/>
        </w:rPr>
        <w:tab/>
      </w:r>
      <w:r>
        <w:rPr>
          <w:rFonts w:hint="eastAsia"/>
          <w:color w:val="auto"/>
          <w:highlight w:val="none"/>
        </w:rPr>
        <w:t>昆明市农业生产资料有限公司</w:t>
      </w:r>
    </w:p>
    <w:p>
      <w:pPr>
        <w:rPr>
          <w:rFonts w:hint="eastAsia"/>
          <w:color w:val="auto"/>
          <w:highlight w:val="none"/>
        </w:rPr>
      </w:pPr>
      <w:r>
        <w:rPr>
          <w:rFonts w:hint="eastAsia"/>
          <w:color w:val="auto"/>
          <w:highlight w:val="none"/>
        </w:rPr>
        <w:t>99</w:t>
      </w:r>
      <w:r>
        <w:rPr>
          <w:rFonts w:hint="eastAsia"/>
          <w:color w:val="auto"/>
          <w:highlight w:val="none"/>
        </w:rPr>
        <w:tab/>
      </w:r>
      <w:r>
        <w:rPr>
          <w:rFonts w:hint="eastAsia"/>
          <w:color w:val="auto"/>
          <w:highlight w:val="none"/>
        </w:rPr>
        <w:t>江苏省恒康肥业有限公司</w:t>
      </w:r>
    </w:p>
    <w:p>
      <w:pPr>
        <w:rPr>
          <w:color w:val="auto"/>
          <w:highlight w:val="none"/>
        </w:rPr>
      </w:pPr>
      <w:r>
        <w:rPr>
          <w:rFonts w:hint="eastAsia"/>
          <w:color w:val="auto"/>
          <w:highlight w:val="none"/>
        </w:rPr>
        <w:t>100</w:t>
      </w:r>
      <w:r>
        <w:rPr>
          <w:rFonts w:hint="eastAsia"/>
          <w:color w:val="auto"/>
          <w:highlight w:val="none"/>
        </w:rPr>
        <w:tab/>
      </w:r>
      <w:r>
        <w:rPr>
          <w:rFonts w:hint="eastAsia"/>
          <w:color w:val="auto"/>
          <w:highlight w:val="none"/>
        </w:rPr>
        <w:t>河南天喜丰化肥有限公司</w:t>
      </w:r>
    </w:p>
    <w:p>
      <w:pPr>
        <w:pStyle w:val="2"/>
        <w:rPr>
          <w:rFonts w:hint="default"/>
          <w:color w:val="auto"/>
          <w:highlight w:val="none"/>
          <w:lang w:val="en-US" w:eastAsia="zh-CN"/>
        </w:rPr>
      </w:pPr>
    </w:p>
    <w:p>
      <w:pPr>
        <w:rPr>
          <w:rFonts w:hint="eastAsia" w:ascii="宋体" w:hAnsi="宋体" w:eastAsia="宋体" w:cs="宋体"/>
          <w:b/>
          <w:color w:val="auto"/>
          <w:sz w:val="28"/>
          <w:szCs w:val="28"/>
          <w:highlight w:val="none"/>
        </w:rPr>
      </w:pP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一、评标须知</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1.关于评标方案</w:t>
      </w:r>
    </w:p>
    <w:p>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（1）评标委员会的每位成员（简称评委）应认真地阅读并确认已经正确理解了评标方案；</w:t>
      </w:r>
    </w:p>
    <w:p>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（2）评委如对评标方案有异议，应在评标开始前提出。</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2.关于评标纪律</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（一）确定参与评标至评标结束前私自接触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提出的与投标文件不一致的澄清或者说明；</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（三）违反评标纪律发表倾向性意见或者征询采购人的倾向性意见；</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（四）对需要专业判断的主观评审因素协商评分；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（五）在评标过程中擅离职守，影响评标程序正常进行的；</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（六）记录、复制或者带走任何评标资料；</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（七）其他不遵守评标纪律的行为。</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评标委员会成员有前款第一至五项行为之一的，其评审意见无效，并不得获取评审劳务报酬和报销异地评审差旅费。</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3.关于评标责任</w:t>
      </w:r>
    </w:p>
    <w:p>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（1）评委应在其书面评审意见上签字确认；</w:t>
      </w:r>
    </w:p>
    <w:p>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（2）评委对其所提出的评审意见承担个人责任。</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4.关于回避</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有下列情形之一的，不得担任评标委员会成员，如事先不知情的，应在宣读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名单及评标纪律后主动提出回避：</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主要负责人的近亲属；</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（2）项目主管部门或者行政监督部门的人员；</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有经济利益关系，可能影响对投标公正评审的；</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（4）曾因在招标、评标以及其他与招标投标有关活动中从事违法行为而受过行政处罚或刑事处罚的；</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有其他利害关系。</w:t>
      </w:r>
    </w:p>
    <w:p>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5.关于保密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评标委员会成员和与评标活动有关的工作人员不得透露对投标文件的评审和比较、中标候选人的推荐情况以及评标有关的其他情况。</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前款所称与评标活动有关的工作人员，是指评标委员会成员以外的因参与评标监督工作或者事务性工作而知悉有关评标情况的所有人员。</w:t>
      </w:r>
    </w:p>
    <w:p>
      <w:pPr>
        <w:keepNext w:val="0"/>
        <w:keepLines w:val="0"/>
        <w:pageBreakBefore w:val="0"/>
        <w:widowControl w:val="0"/>
        <w:kinsoku/>
        <w:wordWrap w:val="0"/>
        <w:overflowPunct/>
        <w:topLinePunct w:val="0"/>
        <w:autoSpaceDE/>
        <w:autoSpaceDN/>
        <w:bidi w:val="0"/>
        <w:spacing w:line="44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二、评标原则</w:t>
      </w:r>
    </w:p>
    <w:p>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为排名第一的中标候选人，依次排列。提供相同品牌产品且通过资格审查、符合性审查的不同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参加同一合同项下投标的，按一家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计算，评审后得分最高的同品牌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推荐资格；得分相同的，按投标报价最低的同品牌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推荐资格；得分且投标报价也相同的，按技术标评审得分最高的同品牌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w:t>
      </w:r>
    </w:p>
    <w:p>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18" w:name="_Toc22499"/>
      <w:bookmarkStart w:id="19" w:name="_Toc29384712"/>
      <w:bookmarkStart w:id="20" w:name="_Toc16369"/>
      <w:r>
        <w:rPr>
          <w:rFonts w:hint="eastAsia" w:ascii="宋体" w:hAnsi="宋体" w:eastAsia="宋体" w:cs="宋体"/>
          <w:b/>
          <w:color w:val="auto"/>
          <w:sz w:val="24"/>
          <w:szCs w:val="24"/>
          <w:highlight w:val="none"/>
        </w:rPr>
        <w:t>2.评审标准</w:t>
      </w:r>
      <w:bookmarkEnd w:id="18"/>
      <w:bookmarkEnd w:id="19"/>
      <w:bookmarkEnd w:id="20"/>
    </w:p>
    <w:p>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21" w:name="_Toc29384713"/>
      <w:bookmarkStart w:id="22" w:name="_Toc22191"/>
      <w:bookmarkStart w:id="23" w:name="_Toc26592"/>
      <w:r>
        <w:rPr>
          <w:rFonts w:hint="eastAsia" w:ascii="宋体" w:hAnsi="宋体" w:eastAsia="宋体" w:cs="宋体"/>
          <w:b/>
          <w:bCs/>
          <w:color w:val="auto"/>
          <w:sz w:val="24"/>
          <w:szCs w:val="24"/>
          <w:highlight w:val="none"/>
        </w:rPr>
        <w:t>2.1 初步评审标准</w:t>
      </w:r>
      <w:bookmarkEnd w:id="21"/>
      <w:bookmarkEnd w:id="22"/>
      <w:bookmarkEnd w:id="23"/>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资格评审标准：见评标办法前附表。</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2.1.2 </w:t>
      </w:r>
      <w:r>
        <w:rPr>
          <w:rFonts w:hint="eastAsia" w:ascii="宋体" w:hAnsi="宋体" w:cs="宋体"/>
          <w:color w:val="auto"/>
          <w:kern w:val="0"/>
          <w:sz w:val="24"/>
          <w:szCs w:val="24"/>
          <w:highlight w:val="none"/>
          <w:lang w:val="en-US" w:eastAsia="zh-CN"/>
        </w:rPr>
        <w:t>符合</w:t>
      </w:r>
      <w:r>
        <w:rPr>
          <w:rFonts w:hint="eastAsia" w:ascii="宋体" w:hAnsi="宋体" w:eastAsia="宋体" w:cs="宋体"/>
          <w:color w:val="auto"/>
          <w:kern w:val="0"/>
          <w:sz w:val="24"/>
          <w:szCs w:val="24"/>
          <w:highlight w:val="none"/>
        </w:rPr>
        <w:t>性评审标准：见评标办法前附表。</w:t>
      </w:r>
    </w:p>
    <w:p>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24" w:name="_Toc31207"/>
      <w:bookmarkStart w:id="25" w:name="_Toc16309"/>
      <w:bookmarkStart w:id="26" w:name="_Toc29384714"/>
      <w:r>
        <w:rPr>
          <w:rFonts w:hint="eastAsia" w:ascii="宋体" w:hAnsi="宋体" w:eastAsia="宋体" w:cs="宋体"/>
          <w:b/>
          <w:bCs/>
          <w:color w:val="auto"/>
          <w:sz w:val="24"/>
          <w:szCs w:val="24"/>
          <w:highlight w:val="none"/>
        </w:rPr>
        <w:t>2.2 分值构成与评分标准</w:t>
      </w:r>
      <w:bookmarkEnd w:id="24"/>
      <w:bookmarkEnd w:id="25"/>
      <w:bookmarkEnd w:id="26"/>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 分值构成</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（1）商务部分：见评标办法前附表；</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（2）技术部分：见评标办法前附表；</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 评标基准价计算</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评标基准价计算方法：见评标办法前附表。</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 评分标准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（1）商务部分评分标准：见评标办法前附表；</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（2）技术部分评分标准：见评标办法前附表；</w:t>
      </w:r>
    </w:p>
    <w:p>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27" w:name="_Toc17939"/>
      <w:bookmarkStart w:id="28" w:name="_Toc29384715"/>
      <w:bookmarkStart w:id="29" w:name="_Toc25483"/>
      <w:r>
        <w:rPr>
          <w:rFonts w:hint="eastAsia" w:ascii="宋体" w:hAnsi="宋体" w:eastAsia="宋体" w:cs="宋体"/>
          <w:b/>
          <w:color w:val="auto"/>
          <w:sz w:val="24"/>
          <w:szCs w:val="24"/>
          <w:highlight w:val="none"/>
        </w:rPr>
        <w:t>3.评标程序</w:t>
      </w:r>
      <w:bookmarkEnd w:id="27"/>
      <w:bookmarkEnd w:id="28"/>
      <w:bookmarkEnd w:id="29"/>
    </w:p>
    <w:p>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30" w:name="_Toc21277"/>
      <w:bookmarkStart w:id="31" w:name="_Toc29384716"/>
      <w:bookmarkStart w:id="32" w:name="_Toc22121"/>
      <w:r>
        <w:rPr>
          <w:rFonts w:hint="eastAsia" w:ascii="宋体" w:hAnsi="宋体" w:eastAsia="宋体" w:cs="宋体"/>
          <w:b/>
          <w:bCs/>
          <w:color w:val="auto"/>
          <w:sz w:val="24"/>
          <w:szCs w:val="24"/>
          <w:highlight w:val="none"/>
        </w:rPr>
        <w:t>3.1 初步评审</w:t>
      </w:r>
      <w:bookmarkEnd w:id="30"/>
      <w:bookmarkEnd w:id="31"/>
      <w:bookmarkEnd w:id="32"/>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有以下情形之一的，评标委员会应当否决其投标：</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须知”前附表及正文规定的任何一种投标无效、废标、否决投标的情况；</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(2)串通投标或弄虚作假或有其他违法行为的：</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(3)不按评标委员会要求澄清、说明或补正的。</w:t>
      </w:r>
    </w:p>
    <w:p>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auto"/>
          <w:sz w:val="24"/>
          <w:szCs w:val="24"/>
          <w:highlight w:val="none"/>
        </w:rPr>
      </w:pPr>
      <w:bookmarkStart w:id="33" w:name="_Toc415"/>
      <w:bookmarkStart w:id="34" w:name="_Toc29384717"/>
      <w:bookmarkStart w:id="35" w:name="_Toc24126"/>
      <w:r>
        <w:rPr>
          <w:rFonts w:hint="eastAsia" w:ascii="宋体" w:hAnsi="宋体" w:eastAsia="宋体" w:cs="宋体"/>
          <w:b/>
          <w:bCs/>
          <w:color w:val="auto"/>
          <w:sz w:val="24"/>
          <w:szCs w:val="24"/>
          <w:highlight w:val="none"/>
        </w:rPr>
        <w:t>3.2 详细评审</w:t>
      </w:r>
      <w:bookmarkEnd w:id="33"/>
      <w:bookmarkEnd w:id="34"/>
      <w:bookmarkEnd w:id="35"/>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评标委员会按本章第 2.2 款规定的量化因素和分值进行打分，并计算出综合评估得分。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（1）按本章第 2.2.3（1）目规定的评审因素和分值对商务部分计算出得分 A；</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（2）按本章第 2.2.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（2）目规定的评审因素和分值对技术部分计算出得分 B；</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评分分值计算保留小数点后两位，小数点后第三位“四舍五入”。</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得分=A+B。</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评标委员会发现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不能证明其报价合理性的，评标委员会应当将其作为无效投标处理。以低于成本报价竞标，其投标将被否决。</w:t>
      </w:r>
    </w:p>
    <w:p>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36" w:name="_Toc11784"/>
      <w:bookmarkStart w:id="37" w:name="_Toc29384718"/>
      <w:bookmarkStart w:id="38" w:name="_Toc31488"/>
      <w:r>
        <w:rPr>
          <w:rFonts w:hint="eastAsia" w:ascii="宋体" w:hAnsi="宋体" w:eastAsia="宋体" w:cs="宋体"/>
          <w:b/>
          <w:bCs/>
          <w:color w:val="auto"/>
          <w:sz w:val="24"/>
          <w:szCs w:val="24"/>
          <w:highlight w:val="none"/>
        </w:rPr>
        <w:t>3.3 投标文件的澄清</w:t>
      </w:r>
      <w:bookmarkEnd w:id="36"/>
      <w:bookmarkEnd w:id="37"/>
      <w:bookmarkEnd w:id="38"/>
      <w:r>
        <w:rPr>
          <w:rFonts w:hint="eastAsia" w:ascii="宋体" w:hAnsi="宋体" w:eastAsia="宋体" w:cs="宋体"/>
          <w:b/>
          <w:bCs/>
          <w:color w:val="auto"/>
          <w:sz w:val="24"/>
          <w:szCs w:val="24"/>
          <w:highlight w:val="none"/>
        </w:rPr>
        <w:t>和补正</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在评标过程中，评标委员会可以书面形式要求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主动提出的澄清、说明或补正。</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澄清、说明和补正不得改变投标文件的实质性内容(算术性错误修正的除外)。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的书面澄清、说明和补正属于投标文件的组成部分。</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评标委员会对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提交的澄清、说明或补正有疑问的，可以要求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进一步澄清、说明或补正，直至满足评标委员会的要求。</w:t>
      </w:r>
    </w:p>
    <w:p>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39" w:name="_Toc19075"/>
      <w:bookmarkStart w:id="40" w:name="_Toc29384719"/>
      <w:bookmarkStart w:id="41" w:name="_Toc4950"/>
      <w:r>
        <w:rPr>
          <w:rFonts w:hint="eastAsia" w:ascii="宋体" w:hAnsi="宋体" w:eastAsia="宋体" w:cs="宋体"/>
          <w:b/>
          <w:bCs/>
          <w:color w:val="auto"/>
          <w:sz w:val="24"/>
          <w:szCs w:val="24"/>
          <w:highlight w:val="none"/>
        </w:rPr>
        <w:t>3.4 评标结果</w:t>
      </w:r>
      <w:bookmarkEnd w:id="39"/>
      <w:bookmarkEnd w:id="40"/>
      <w:bookmarkEnd w:id="41"/>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须知”前附表授权直接确定</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评标委员会完成评标后，应当向招标人提交书面评标报告和中标候选人名单。</w:t>
      </w:r>
    </w:p>
    <w:p>
      <w:pPr>
        <w:shd w:val="clear"/>
        <w:autoSpaceDE w:val="0"/>
        <w:autoSpaceDN w:val="0"/>
        <w:adjustRightInd w:val="0"/>
        <w:spacing w:line="400" w:lineRule="exact"/>
        <w:ind w:firstLine="420" w:firstLineChars="200"/>
        <w:rPr>
          <w:rFonts w:hint="eastAsia" w:ascii="宋体" w:hAnsi="宋体" w:cs="宋体"/>
          <w:color w:val="auto"/>
          <w:sz w:val="21"/>
          <w:szCs w:val="18"/>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pPr>
        <w:rPr>
          <w:rFonts w:hint="eastAsia" w:ascii="宋体" w:hAnsi="宋体" w:eastAsia="宋体" w:cs="宋体"/>
          <w:color w:val="auto"/>
          <w:highlight w:val="none"/>
        </w:rPr>
      </w:pPr>
    </w:p>
    <w:p>
      <w:pPr>
        <w:pStyle w:val="3"/>
        <w:keepNext/>
        <w:keepLines/>
        <w:pageBreakBefore w:val="0"/>
        <w:widowControl/>
        <w:numPr>
          <w:ilvl w:val="0"/>
          <w:numId w:val="5"/>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bookmarkStart w:id="42" w:name="_Toc13415"/>
      <w:r>
        <w:rPr>
          <w:rFonts w:hint="eastAsia" w:ascii="宋体" w:hAnsi="宋体" w:eastAsia="宋体" w:cs="宋体"/>
          <w:color w:val="auto"/>
          <w:sz w:val="36"/>
          <w:szCs w:val="36"/>
          <w:highlight w:val="none"/>
        </w:rPr>
        <w:t>采购需求</w:t>
      </w:r>
      <w:bookmarkEnd w:id="42"/>
      <w:bookmarkStart w:id="43" w:name="_第五部分__"/>
      <w:bookmarkEnd w:id="43"/>
    </w:p>
    <w:p>
      <w:pPr>
        <w:rPr>
          <w:rFonts w:hint="eastAsia"/>
          <w:color w:val="auto"/>
          <w:highlight w:val="none"/>
        </w:rPr>
      </w:pPr>
      <w:r>
        <w:rPr>
          <w:rFonts w:hint="eastAsia" w:ascii="宋体" w:hAnsi="宋体" w:cs="宋体"/>
          <w:color w:val="auto"/>
          <w:sz w:val="24"/>
          <w:highlight w:val="none"/>
          <w:lang w:val="zh-CN"/>
        </w:rPr>
        <w:t>12-18-15（N-P2O5-K2O总含量≥45%）硫基三元素，数量1544吨，单价3400元。喷浆造粒，50kg/袋。质量、包装符合GB/T 15063-2020 复合肥料标准。</w:t>
      </w:r>
    </w:p>
    <w:p>
      <w:pPr>
        <w:spacing w:line="360" w:lineRule="auto"/>
        <w:rPr>
          <w:rFonts w:hint="eastAsia" w:ascii="宋体" w:hAnsi="宋体" w:cs="宋体"/>
          <w:color w:val="auto"/>
          <w:sz w:val="24"/>
          <w:highlight w:val="none"/>
          <w:lang w:val="zh-CN"/>
        </w:rPr>
      </w:pPr>
      <w:r>
        <w:rPr>
          <w:color w:val="auto"/>
          <w:highlight w:val="none"/>
        </w:rPr>
        <w:drawing>
          <wp:inline distT="0" distB="0" distL="114300" distR="114300">
            <wp:extent cx="5810250" cy="792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810250" cy="7924800"/>
                    </a:xfrm>
                    <a:prstGeom prst="rect">
                      <a:avLst/>
                    </a:prstGeom>
                    <a:noFill/>
                    <a:ln>
                      <a:noFill/>
                    </a:ln>
                  </pic:spPr>
                </pic:pic>
              </a:graphicData>
            </a:graphic>
          </wp:inline>
        </w:drawing>
      </w:r>
    </w:p>
    <w:p>
      <w:pPr>
        <w:pStyle w:val="63"/>
        <w:rPr>
          <w:rFonts w:hint="eastAsia" w:ascii="宋体" w:hAnsi="宋体" w:eastAsia="宋体" w:cs="宋体"/>
          <w:color w:val="auto"/>
          <w:highlight w:val="none"/>
        </w:rPr>
      </w:pPr>
    </w:p>
    <w:p>
      <w:pPr>
        <w:rPr>
          <w:rFonts w:hint="eastAsia" w:ascii="宋体" w:hAnsi="宋体" w:eastAsia="宋体" w:cs="宋体"/>
          <w:color w:val="auto"/>
          <w:sz w:val="36"/>
          <w:szCs w:val="36"/>
          <w:highlight w:val="none"/>
        </w:rPr>
      </w:pPr>
      <w:bookmarkStart w:id="44" w:name="_Toc18914"/>
    </w:p>
    <w:p>
      <w:pPr>
        <w:pStyle w:val="2"/>
        <w:rPr>
          <w:rFonts w:hint="eastAsia"/>
          <w:color w:val="auto"/>
          <w:highlight w:val="none"/>
        </w:rPr>
      </w:pPr>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合同格式</w:t>
      </w:r>
      <w:bookmarkEnd w:id="44"/>
    </w:p>
    <w:p>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政府采购合同条款及格式</w:t>
      </w:r>
      <w:r>
        <w:rPr>
          <w:rFonts w:hint="eastAsia" w:ascii="宋体" w:hAnsi="宋体" w:eastAsia="宋体" w:cs="宋体"/>
          <w:color w:val="auto"/>
          <w:sz w:val="36"/>
          <w:szCs w:val="36"/>
          <w:highlight w:val="none"/>
          <w:lang w:eastAsia="zh-CN"/>
        </w:rPr>
        <w:t>（参考）</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合同编号：</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签订地点：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采购任务编号：</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（需方）需求的“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（货物名称）经</w:t>
      </w:r>
      <w:r>
        <w:rPr>
          <w:rFonts w:hint="eastAsia" w:ascii="宋体" w:hAnsi="宋体" w:eastAsia="宋体" w:cs="宋体"/>
          <w:bCs/>
          <w:color w:val="auto"/>
          <w:sz w:val="24"/>
          <w:szCs w:val="24"/>
          <w:highlight w:val="none"/>
          <w:u w:val="single"/>
        </w:rPr>
        <w:t xml:space="preserve">        以编号为      </w:t>
      </w:r>
      <w:r>
        <w:rPr>
          <w:rFonts w:hint="eastAsia" w:ascii="宋体" w:hAnsi="宋体" w:eastAsia="宋体" w:cs="宋体"/>
          <w:bCs/>
          <w:color w:val="auto"/>
          <w:sz w:val="24"/>
          <w:szCs w:val="24"/>
          <w:highlight w:val="none"/>
        </w:rPr>
        <w:t>的招标文件在国内公开招标，经评标委员会评定</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（供方）（包号）为中标单位。供需双方按照《中华人民共和国合同法》和有关法律法规，遵循平等、自愿、公平和诚实信用原则，同意按照下面的条款和条件订立本合同，共同信守。</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一、货物名称、品牌、规格、数量</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52" w:type="dxa"/>
            <w:vAlign w:val="center"/>
          </w:tcPr>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252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规格型号及配置</w:t>
            </w:r>
          </w:p>
        </w:tc>
        <w:tc>
          <w:tcPr>
            <w:tcW w:w="90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2004"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1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52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6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004"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1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52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6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004"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152"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52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90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60"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004" w:type="dxa"/>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二、合同价款</w:t>
      </w:r>
    </w:p>
    <w:p>
      <w:pPr>
        <w:keepNext w:val="0"/>
        <w:keepLines w:val="0"/>
        <w:pageBreakBefore w:val="0"/>
        <w:kinsoku/>
        <w:wordWrap/>
        <w:overflowPunct/>
        <w:topLinePunct w:val="0"/>
        <w:autoSpaceDE/>
        <w:autoSpaceDN/>
        <w:bidi w:val="0"/>
        <w:adjustRightInd/>
        <w:snapToGrid/>
        <w:spacing w:line="288"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2.1合同总价：人民币（大写）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三、交货地点及交货时间</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个工作日内，将相关设备送至需方指定位置，并负责相关要求安装调试。</w:t>
      </w:r>
      <w:r>
        <w:rPr>
          <w:rFonts w:hint="eastAsia" w:ascii="宋体" w:hAnsi="宋体" w:eastAsia="宋体" w:cs="宋体"/>
          <w:color w:val="auto"/>
          <w:sz w:val="24"/>
          <w:szCs w:val="24"/>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pPr>
        <w:pStyle w:val="94"/>
        <w:keepNext w:val="0"/>
        <w:keepLines w:val="0"/>
        <w:pageBreakBefore w:val="0"/>
        <w:numPr>
          <w:ilvl w:val="0"/>
          <w:numId w:val="6"/>
        </w:numPr>
        <w:kinsoku/>
        <w:wordWrap/>
        <w:overflowPunct/>
        <w:topLinePunct w:val="0"/>
        <w:autoSpaceDE/>
        <w:autoSpaceDN/>
        <w:bidi w:val="0"/>
        <w:adjustRightInd/>
        <w:snapToGrid/>
        <w:spacing w:line="288" w:lineRule="auto"/>
        <w:ind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付款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lang w:val="zh-CN"/>
        </w:rPr>
        <w:t xml:space="preserve"> 4.1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货到验收合格后付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货款</w:t>
      </w:r>
      <w:r>
        <w:rPr>
          <w:rFonts w:hint="eastAsia" w:ascii="宋体" w:hAnsi="宋体" w:eastAsia="宋体" w:cs="宋体"/>
          <w:color w:val="auto"/>
          <w:sz w:val="24"/>
          <w:szCs w:val="24"/>
          <w:highlight w:val="none"/>
          <w:lang w:val="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五、施工</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六、验收（严格执行国家相关标准和招标文件要求）。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七、知识产权及有关规定</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供方应保证需方在使用本合同项下的货物或其任何一部分时免受第三方提出侵犯其知识产权、商标权或工业设计权的起诉。如果发生此类问题，供方应负责交涉并承担一切费用和责任。</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供方应保证所供货物符合国家的有关规定。</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八、伴随服务</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8.1供方应提供所交付货物的全套技术文件资料，包括产品目录、图纸、操作手册、使用说明、维护手册和服务指南等。</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8.3上述伴随服务的费用应包含在合同价中，不单独进行支付。</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九、质量保证期及售后服务</w:t>
      </w:r>
    </w:p>
    <w:p>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9.1 质量保证期：  </w:t>
      </w:r>
    </w:p>
    <w:p>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 售后服务要求：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十、质量保证</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10.3在质量保证期内，供方在接到需方的通知后，应在本合同第八条约定的响应时间内,免费维修和/或更换有缺陷的货物或部件。</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十一、索赔</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11.1需方有权根据当地国家技术监督局、进出口商品检验局或其他具有法定资格的质检机构出具的检验证书向供方提出索赔。</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11.2如果供方对缺陷负有责任而需方提出索赔，供方应按照需方同意的下列一种或多种方式解决索赔事宜：</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（1）供方同意退货并用合同规定的货币将货款退还给需方，并承担由此发生的一切损失和费用，包括利息、银行手续费、运费、保险费、检验费、仓储费、装卸费以及为保护退回货物所需的其他必要费用。</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（2）根据货物低劣、损坏程度以及需方所遭受损失的金额，经过供需双方商定降低货物的价格。</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十二、供方履约延误</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供方应按照合同规定的时间、地点交货和提供服务。</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如供方无正当理由拖延交货或不按投标文件提供服务，将受到以下制裁：没收履约保证金、加收误期赔偿和／或违约终止合同。</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十三、误期赔偿</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13.2误期赔偿费可从应付货款和/或履约保证金中扣除。</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13.3收取误期赔偿费不影响需方采取合同规定的其他补救措施的权利。</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13.4供方如未能按本合同第九条规定进行售后服务，在收到需方县级远程办书面故障处理通知之日起一个月内仍未能解决故障，需方将按出现故障设备供货价格扣除质量保证金。</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13.5在收取误期赔偿费期间，需方有权决定是否终止合同。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十四、履约保证金</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中标供应商接到中标通知书后，合同签订前向采购人缴纳中标金额的5%做为履约保证金。</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履约金返还的时间和条件：</w:t>
      </w:r>
      <w:r>
        <w:rPr>
          <w:rFonts w:hint="eastAsia" w:ascii="宋体" w:hAnsi="宋体" w:cs="宋体"/>
          <w:color w:val="auto"/>
          <w:sz w:val="24"/>
          <w:szCs w:val="24"/>
          <w:highlight w:val="none"/>
          <w:lang w:val="en-US" w:eastAsia="zh-CN"/>
        </w:rPr>
        <w:t>按相关规定执行</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十五、不可抗力</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15.1 如果供需双方因不可抗力而导致合同实施延误或不能履行合同义务，不应该承担误期赔偿或不能履行合同义务的责任。</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十六、税费</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 根据现行法律规定对需方征收的与本合同有关的一切税费均由需方负担。</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16.2 根据现行法律规定对供方征收的与本合同有关的一切税费均由供方负担。</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在中国境外发生的与执行本合同有关的一切税费均由供方负担。</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十七、争端的解决</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17.1 供需双方应通过友好协商，解决在执行本合同过程中所发生的或与本合同有关的一切争端。如从协商开始十（10）天内仍不能解决，可以向有关合同管理部门提请调解。</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如果调解不成，供需双方的任何一方可以向人民法院提起诉讼。诉讼由合同签订地人民法院管辖。</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17.3诉讼费除法院另有裁决外均由败诉方负担。</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17.4在诉讼期间，除正在进行诉讼的部分外，本合同的其它部分应继续执行。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十八、违约终止合同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18.1 在需方因供方违约而按合同约定采取的任何补救措施不受影响的情况下，需方可在下列情况下向供方发出书面通知，提出终止部分或全部合同。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（1）如果供方未能在合同规定的限期或需方同意延长的限期内提供部分或全部货物和服务。</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（2）如果供方未能履行合同规定的其它任何义务。</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十九、破产终止合同</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如果供方破产或丧失清偿能力，需方可在任何时候以书面形式通知供方终止合同而不给供方补偿。该终止合同将不损害或影响需方已经采取或将要采取任何补救措施的权力。</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二十、合同转让和分包</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供方不得部分转让和分包或全部转让和分包其应履行的合同义务。</w:t>
      </w:r>
    </w:p>
    <w:p>
      <w:pPr>
        <w:keepNext w:val="0"/>
        <w:keepLines w:val="0"/>
        <w:pageBreakBefore w:val="0"/>
        <w:kinsoku/>
        <w:wordWrap/>
        <w:overflowPunct/>
        <w:topLinePunct w:val="0"/>
        <w:autoSpaceDE/>
        <w:autoSpaceDN/>
        <w:bidi w:val="0"/>
        <w:adjustRightInd/>
        <w:snapToGrid/>
        <w:spacing w:line="288" w:lineRule="auto"/>
        <w:ind w:right="-76" w:rightChars="-38"/>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二十一、需要补充的合同条款</w:t>
      </w:r>
    </w:p>
    <w:p>
      <w:pPr>
        <w:keepNext w:val="0"/>
        <w:keepLines w:val="0"/>
        <w:pageBreakBefore w:val="0"/>
        <w:kinsoku/>
        <w:wordWrap/>
        <w:overflowPunct/>
        <w:topLinePunct w:val="0"/>
        <w:autoSpaceDE/>
        <w:autoSpaceDN/>
        <w:bidi w:val="0"/>
        <w:adjustRightInd/>
        <w:snapToGrid/>
        <w:spacing w:line="288" w:lineRule="auto"/>
        <w:ind w:right="-76" w:rightChars="-38"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根据评标过程中或者商务谈判时商定的条款和条件在订立合同时标明。</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二十二、适用法律</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本合同按照中华人民共和国的现行法律进行解释。</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二十三、合同生效</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23.1 本合同在供需双方法定代表人或其授权代理人签字并加盖公章并且采购方收到供方提交的履约保证金后生效。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二十四、合同附件</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24.1下列文件构成本合同不可分割的组成部分，与本合同具有同等法律效力：</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1、招标文件及澄清、补充文件；</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2、供方的投标文件、在投标期间的书面承诺文件和售后服务承诺书；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3、产品样本、说明书、图纸（与合同配置不符之处，以合同为准）；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4、中标通知书；</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5、政府采购验收报告单；</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6、合同的其他附件：</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上述合同附件如果有不一致之处，以日期在后的和对需方有利的为准。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二十五、合同修改</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25.1除供需双方和采购方签署书面修改、补充协议，并成为本合同不可分割的一部分之外，本合同条件不得有任何变化或修改。</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二十六、合同备案</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26.1自本合同订立之日起七个工作日内，向本级政府采购监督管理部门备案。</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二十七、政府采购法对政府采购合同变更终止的规定：</w:t>
      </w:r>
      <w:r>
        <w:rPr>
          <w:rFonts w:hint="eastAsia" w:ascii="宋体" w:hAnsi="宋体" w:eastAsia="宋体" w:cs="宋体"/>
          <w:color w:val="auto"/>
          <w:sz w:val="24"/>
          <w:szCs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                                  供方：</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                           法定代表人 :              </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或授权委托人：                          或授权代理人：</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                              签字日期：</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帐户名称:                               帐户名称：</w:t>
      </w:r>
    </w:p>
    <w:p>
      <w:pPr>
        <w:keepNext w:val="0"/>
        <w:keepLines w:val="0"/>
        <w:pageBreakBefore w:val="0"/>
        <w:kinsoku/>
        <w:wordWrap/>
        <w:overflowPunct/>
        <w:topLinePunct w:val="0"/>
        <w:autoSpaceDE/>
        <w:autoSpaceDN/>
        <w:bidi w:val="0"/>
        <w:adjustRightInd/>
        <w:snapToGrid/>
        <w:spacing w:line="288" w:lineRule="auto"/>
        <w:ind w:firstLine="240" w:firstLineChars="100"/>
        <w:textAlignment w:val="auto"/>
        <w:rPr>
          <w:rFonts w:hint="eastAsia" w:ascii="宋体" w:hAnsi="宋体" w:eastAsia="宋体" w:cs="宋体"/>
          <w:b/>
          <w:color w:val="auto"/>
          <w:kern w:val="44"/>
          <w:sz w:val="24"/>
          <w:szCs w:val="24"/>
          <w:highlight w:val="none"/>
        </w:rPr>
      </w:pPr>
      <w:r>
        <w:rPr>
          <w:rFonts w:hint="eastAsia" w:ascii="宋体" w:hAnsi="宋体" w:eastAsia="宋体" w:cs="宋体"/>
          <w:color w:val="auto"/>
          <w:sz w:val="24"/>
          <w:szCs w:val="24"/>
          <w:highlight w:val="none"/>
        </w:rPr>
        <w:t>帐号：                                  帐号：</w:t>
      </w:r>
    </w:p>
    <w:p>
      <w:pPr>
        <w:rPr>
          <w:rFonts w:hint="eastAsia" w:ascii="宋体" w:hAnsi="宋体" w:eastAsia="宋体" w:cs="宋体"/>
          <w:b/>
          <w:color w:val="auto"/>
          <w:kern w:val="44"/>
          <w:sz w:val="24"/>
          <w:szCs w:val="24"/>
          <w:highlight w:val="none"/>
          <w:lang w:eastAsia="zh-CN"/>
        </w:rPr>
      </w:pPr>
    </w:p>
    <w:p>
      <w:pPr>
        <w:rPr>
          <w:rFonts w:hint="eastAsia" w:ascii="宋体" w:hAnsi="宋体" w:eastAsia="宋体" w:cs="宋体"/>
          <w:b/>
          <w:color w:val="auto"/>
          <w:kern w:val="44"/>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kern w:val="44"/>
          <w:sz w:val="24"/>
          <w:szCs w:val="24"/>
          <w:highlight w:val="none"/>
          <w:lang w:eastAsia="zh-CN"/>
        </w:rPr>
      </w:pPr>
      <w:r>
        <w:rPr>
          <w:rFonts w:hint="eastAsia" w:ascii="宋体" w:hAnsi="宋体" w:eastAsia="宋体" w:cs="宋体"/>
          <w:b/>
          <w:color w:val="auto"/>
          <w:kern w:val="44"/>
          <w:sz w:val="24"/>
          <w:szCs w:val="24"/>
          <w:highlight w:val="none"/>
          <w:lang w:eastAsia="zh-CN"/>
        </w:rPr>
        <w:t>注：此合同为参考模板，具体以双方实际签订为准。</w:t>
      </w: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pPr>
        <w:pStyle w:val="3"/>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36"/>
          <w:szCs w:val="36"/>
          <w:highlight w:val="none"/>
        </w:rPr>
      </w:pP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45" w:name="_Toc19534"/>
      <w:r>
        <w:rPr>
          <w:rFonts w:hint="eastAsia" w:ascii="宋体" w:hAnsi="宋体" w:eastAsia="宋体" w:cs="宋体"/>
          <w:color w:val="auto"/>
          <w:sz w:val="36"/>
          <w:szCs w:val="36"/>
          <w:highlight w:val="none"/>
        </w:rPr>
        <w:t xml:space="preserve">第六部分  </w:t>
      </w:r>
      <w:bookmarkEnd w:id="14"/>
      <w:r>
        <w:rPr>
          <w:rFonts w:hint="eastAsia" w:ascii="宋体" w:hAnsi="宋体" w:eastAsia="宋体" w:cs="宋体"/>
          <w:color w:val="auto"/>
          <w:sz w:val="36"/>
          <w:szCs w:val="36"/>
          <w:highlight w:val="none"/>
        </w:rPr>
        <w:t>投标文件格式</w:t>
      </w:r>
      <w:bookmarkEnd w:id="45"/>
    </w:p>
    <w:p>
      <w:pPr>
        <w:spacing w:line="440" w:lineRule="exact"/>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3"/>
        <w:rPr>
          <w:rFonts w:hint="eastAsia" w:ascii="宋体" w:hAnsi="宋体" w:eastAsia="宋体" w:cs="宋体"/>
          <w:color w:val="auto"/>
          <w:highlight w:val="none"/>
        </w:rPr>
      </w:pPr>
    </w:p>
    <w:p>
      <w:pPr>
        <w:spacing w:line="440" w:lineRule="exact"/>
        <w:rPr>
          <w:rFonts w:hint="eastAsia" w:ascii="宋体" w:hAnsi="宋体" w:eastAsia="宋体" w:cs="宋体"/>
          <w:color w:val="auto"/>
          <w:highlight w:val="none"/>
        </w:rPr>
      </w:pPr>
    </w:p>
    <w:p>
      <w:pPr>
        <w:pStyle w:val="63"/>
        <w:jc w:val="righ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正</w:t>
      </w:r>
      <w:r>
        <w:rPr>
          <w:rFonts w:hint="eastAsia" w:ascii="宋体" w:hAnsi="宋体" w:eastAsia="宋体" w:cs="宋体"/>
          <w:b/>
          <w:bCs/>
          <w:color w:val="auto"/>
          <w:sz w:val="36"/>
          <w:szCs w:val="36"/>
          <w:highlight w:val="none"/>
          <w:lang w:val="en-US" w:eastAsia="zh-CN"/>
        </w:rPr>
        <w:t>/副本</w:t>
      </w:r>
    </w:p>
    <w:p>
      <w:pPr>
        <w:pStyle w:val="63"/>
        <w:rPr>
          <w:rFonts w:hint="eastAsia" w:ascii="宋体" w:hAnsi="宋体" w:eastAsia="宋体" w:cs="宋体"/>
          <w:color w:val="auto"/>
          <w:highlight w:val="none"/>
        </w:rPr>
      </w:pPr>
    </w:p>
    <w:p>
      <w:pPr>
        <w:pStyle w:val="63"/>
        <w:rPr>
          <w:rFonts w:hint="eastAsia" w:ascii="宋体" w:hAnsi="宋体" w:eastAsia="宋体" w:cs="宋体"/>
          <w:color w:val="auto"/>
          <w:highlight w:val="none"/>
        </w:rPr>
      </w:pPr>
    </w:p>
    <w:p>
      <w:pPr>
        <w:spacing w:line="440" w:lineRule="exact"/>
        <w:rPr>
          <w:rFonts w:hint="eastAsia" w:ascii="宋体" w:hAnsi="宋体" w:eastAsia="宋体" w:cs="宋体"/>
          <w:color w:val="auto"/>
          <w:highlight w:val="none"/>
        </w:rPr>
      </w:pPr>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（项目名称）</w:t>
      </w:r>
    </w:p>
    <w:p>
      <w:pPr>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3"/>
        <w:rPr>
          <w:rFonts w:hint="eastAsia" w:ascii="宋体" w:hAnsi="宋体" w:eastAsia="宋体" w:cs="宋体"/>
          <w:color w:val="auto"/>
          <w:highlight w:val="none"/>
        </w:rPr>
      </w:pPr>
    </w:p>
    <w:p>
      <w:pPr>
        <w:jc w:val="center"/>
        <w:rPr>
          <w:rFonts w:hint="eastAsia" w:ascii="宋体" w:hAnsi="宋体" w:eastAsia="宋体" w:cs="宋体"/>
          <w:color w:val="auto"/>
          <w:sz w:val="144"/>
          <w:szCs w:val="144"/>
          <w:highlight w:val="none"/>
        </w:rPr>
      </w:pPr>
      <w:r>
        <w:rPr>
          <w:rFonts w:hint="eastAsia" w:ascii="宋体" w:hAnsi="宋体" w:eastAsia="宋体" w:cs="宋体"/>
          <w:color w:val="auto"/>
          <w:sz w:val="144"/>
          <w:szCs w:val="144"/>
          <w:highlight w:val="none"/>
        </w:rPr>
        <w:t>投标文件</w:t>
      </w: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编号：</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bookmarkEnd w:id="15"/>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pPr>
        <w:spacing w:line="360" w:lineRule="auto"/>
        <w:ind w:firstLine="480" w:firstLineChars="200"/>
        <w:jc w:val="both"/>
        <w:rPr>
          <w:rFonts w:hint="eastAsia" w:ascii="宋体" w:hAnsi="宋体" w:eastAsia="宋体" w:cs="宋体"/>
          <w:color w:val="auto"/>
          <w:sz w:val="24"/>
          <w:highlight w:val="none"/>
        </w:rPr>
      </w:pP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76" w:firstLineChars="17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投标明细报价表</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供应商基本情况说明</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商务偏离表</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企业业绩表</w:t>
      </w:r>
    </w:p>
    <w:p>
      <w:pPr>
        <w:pStyle w:val="135"/>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资格声明</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技术参数偏离表</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技术参数承诺书</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528"/>
        <w:textAlignment w:val="auto"/>
        <w:rPr>
          <w:rFonts w:hint="eastAsia" w:ascii="宋体" w:hAnsi="宋体" w:eastAsia="宋体" w:cs="宋体"/>
          <w:color w:val="auto"/>
          <w:sz w:val="24"/>
          <w:szCs w:val="24"/>
          <w:highlight w:val="none"/>
        </w:rPr>
      </w:pPr>
      <w:r>
        <w:rPr>
          <w:rStyle w:val="47"/>
          <w:rFonts w:hint="eastAsia" w:ascii="宋体" w:hAnsi="宋体" w:eastAsia="宋体" w:cs="宋体"/>
          <w:b w:val="0"/>
          <w:color w:val="auto"/>
          <w:spacing w:val="12"/>
          <w:sz w:val="24"/>
          <w:szCs w:val="24"/>
          <w:highlight w:val="none"/>
        </w:rPr>
        <w:t>投标货物详细说明</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具备履行合同所必需设备和专业技术能力承诺书</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项目实施方案</w:t>
      </w:r>
      <w:r>
        <w:rPr>
          <w:rFonts w:hint="eastAsia" w:ascii="宋体" w:hAnsi="宋体" w:eastAsia="宋体" w:cs="宋体"/>
          <w:color w:val="auto"/>
          <w:sz w:val="24"/>
          <w:szCs w:val="24"/>
          <w:highlight w:val="none"/>
        </w:rPr>
        <w:t>（供应商自行编写）</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投标保证金汇入情况说明</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供应商认为有必要提供的其他材料</w:t>
      </w:r>
    </w:p>
    <w:p>
      <w:pPr>
        <w:pStyle w:val="94"/>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附：百强名单</w:t>
      </w:r>
    </w:p>
    <w:p>
      <w:pPr>
        <w:spacing w:line="360" w:lineRule="auto"/>
        <w:rPr>
          <w:rFonts w:hint="eastAsia" w:ascii="宋体" w:hAnsi="宋体" w:eastAsia="宋体" w:cs="宋体"/>
          <w:color w:val="auto"/>
          <w:szCs w:val="21"/>
          <w:highlight w:val="none"/>
        </w:rPr>
      </w:pPr>
    </w:p>
    <w:p>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pPr>
        <w:spacing w:line="360" w:lineRule="auto"/>
        <w:jc w:val="center"/>
        <w:rPr>
          <w:rFonts w:hint="eastAsia" w:ascii="宋体" w:hAnsi="宋体" w:eastAsia="宋体" w:cs="宋体"/>
          <w:b/>
          <w:color w:val="auto"/>
          <w:sz w:val="36"/>
          <w:szCs w:val="36"/>
          <w:highlight w:val="none"/>
          <w:lang w:val="zh-CN"/>
        </w:rPr>
      </w:pPr>
    </w:p>
    <w:p>
      <w:pPr>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zh-CN"/>
        </w:rPr>
        <w:t>一、</w:t>
      </w:r>
      <w:r>
        <w:rPr>
          <w:rFonts w:hint="eastAsia" w:ascii="宋体" w:hAnsi="宋体" w:eastAsia="宋体" w:cs="宋体"/>
          <w:b/>
          <w:color w:val="auto"/>
          <w:sz w:val="36"/>
          <w:szCs w:val="36"/>
          <w:highlight w:val="none"/>
        </w:rPr>
        <w:t>开 标 一 览 表</w:t>
      </w:r>
    </w:p>
    <w:p>
      <w:pPr>
        <w:rPr>
          <w:rFonts w:hint="eastAsia" w:ascii="宋体" w:hAnsi="宋体" w:eastAsia="宋体" w:cs="宋体"/>
          <w:color w:val="auto"/>
          <w:szCs w:val="21"/>
          <w:highlight w:val="none"/>
        </w:rPr>
      </w:pPr>
    </w:p>
    <w:p>
      <w:pPr>
        <w:ind w:left="152" w:leftChars="-109" w:hanging="370" w:hangingChars="185"/>
        <w:rPr>
          <w:rFonts w:hint="eastAsia" w:ascii="宋体" w:hAnsi="宋体" w:eastAsia="宋体" w:cs="宋体"/>
          <w:color w:val="auto"/>
          <w:szCs w:val="21"/>
          <w:highlight w:val="none"/>
        </w:rPr>
      </w:pP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项目名称：     </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开标时间：</w:t>
      </w:r>
    </w:p>
    <w:tbl>
      <w:tblPr>
        <w:tblStyle w:val="44"/>
        <w:tblW w:w="9180" w:type="dxa"/>
        <w:tblInd w:w="80" w:type="dxa"/>
        <w:tblLayout w:type="fixed"/>
        <w:tblCellMar>
          <w:top w:w="0" w:type="dxa"/>
          <w:left w:w="108" w:type="dxa"/>
          <w:bottom w:w="0" w:type="dxa"/>
          <w:right w:w="108" w:type="dxa"/>
        </w:tblCellMar>
      </w:tblPr>
      <w:tblGrid>
        <w:gridCol w:w="1731"/>
        <w:gridCol w:w="1488"/>
        <w:gridCol w:w="1416"/>
        <w:gridCol w:w="1506"/>
        <w:gridCol w:w="1254"/>
        <w:gridCol w:w="1785"/>
      </w:tblGrid>
      <w:tr>
        <w:tblPrEx>
          <w:tblCellMar>
            <w:top w:w="0" w:type="dxa"/>
            <w:left w:w="108" w:type="dxa"/>
            <w:bottom w:w="0" w:type="dxa"/>
            <w:right w:w="108" w:type="dxa"/>
          </w:tblCellMar>
        </w:tblPrEx>
        <w:trPr>
          <w:trHeight w:val="724"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总</w:t>
            </w:r>
            <w:r>
              <w:rPr>
                <w:rFonts w:hint="eastAsia" w:ascii="宋体" w:hAnsi="宋体" w:eastAsia="宋体" w:cs="宋体"/>
                <w:color w:val="auto"/>
                <w:sz w:val="24"/>
                <w:szCs w:val="24"/>
                <w:highlight w:val="none"/>
              </w:rPr>
              <w:t>投标报价</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5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供货期</w:t>
            </w:r>
          </w:p>
        </w:tc>
        <w:tc>
          <w:tcPr>
            <w:tcW w:w="12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备注</w:t>
            </w:r>
          </w:p>
        </w:tc>
      </w:tr>
      <w:tr>
        <w:tblPrEx>
          <w:tblCellMar>
            <w:top w:w="0" w:type="dxa"/>
            <w:left w:w="108" w:type="dxa"/>
            <w:bottom w:w="0" w:type="dxa"/>
            <w:right w:w="108" w:type="dxa"/>
          </w:tblCellMar>
        </w:tblPrEx>
        <w:trPr>
          <w:trHeight w:val="1003"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w:t>
            </w:r>
          </w:p>
        </w:tc>
        <w:tc>
          <w:tcPr>
            <w:tcW w:w="15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2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7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注：1、本表只作唱标用，但本表的一切内容均具有法律效力，不得更改；</w:t>
      </w:r>
    </w:p>
    <w:p>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2、投标报价</w:t>
      </w:r>
      <w:r>
        <w:rPr>
          <w:rFonts w:hint="eastAsia" w:ascii="宋体" w:hAnsi="宋体" w:eastAsia="宋体" w:cs="宋体"/>
          <w:b/>
          <w:color w:val="auto"/>
          <w:sz w:val="24"/>
          <w:szCs w:val="24"/>
          <w:highlight w:val="none"/>
        </w:rPr>
        <w:t>不超过</w:t>
      </w:r>
      <w:r>
        <w:rPr>
          <w:rFonts w:hint="eastAsia" w:ascii="宋体" w:hAnsi="宋体" w:eastAsia="宋体" w:cs="宋体"/>
          <w:b/>
          <w:color w:val="auto"/>
          <w:sz w:val="24"/>
          <w:szCs w:val="24"/>
          <w:highlight w:val="none"/>
          <w:lang w:val="zh-CN"/>
        </w:rPr>
        <w:t>预算金额</w:t>
      </w:r>
      <w:r>
        <w:rPr>
          <w:rFonts w:hint="eastAsia" w:ascii="宋体" w:hAnsi="宋体" w:eastAsia="宋体" w:cs="宋体"/>
          <w:b/>
          <w:color w:val="auto"/>
          <w:sz w:val="24"/>
          <w:szCs w:val="24"/>
          <w:highlight w:val="none"/>
        </w:rPr>
        <w:t>，超过为无效报价。</w:t>
      </w:r>
      <w:r>
        <w:rPr>
          <w:rFonts w:hint="eastAsia" w:ascii="宋体" w:hAnsi="宋体" w:eastAsia="宋体" w:cs="宋体"/>
          <w:b/>
          <w:bCs/>
          <w:color w:val="auto"/>
          <w:sz w:val="24"/>
          <w:szCs w:val="24"/>
          <w:highlight w:val="none"/>
        </w:rPr>
        <w:t>本表中填写的投标报价应与投标函中填写的投标报价相一致，如果不一致</w:t>
      </w:r>
      <w:r>
        <w:rPr>
          <w:rFonts w:hint="eastAsia" w:ascii="宋体" w:hAnsi="宋体" w:cs="宋体"/>
          <w:b/>
          <w:bCs/>
          <w:color w:val="auto"/>
          <w:sz w:val="24"/>
          <w:szCs w:val="24"/>
          <w:highlight w:val="none"/>
          <w:lang w:eastAsia="zh-CN"/>
        </w:rPr>
        <w:t>以本表为准</w:t>
      </w:r>
      <w:r>
        <w:rPr>
          <w:rFonts w:hint="eastAsia" w:ascii="宋体" w:hAnsi="宋体" w:eastAsia="宋体" w:cs="宋体"/>
          <w:b/>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投标报价保留至小数点后</w:t>
      </w:r>
      <w:r>
        <w:rPr>
          <w:rFonts w:hint="eastAsia" w:ascii="宋体" w:hAnsi="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lang w:eastAsia="zh-CN"/>
        </w:rPr>
        <w:t>位。</w:t>
      </w:r>
    </w:p>
    <w:p>
      <w:pPr>
        <w:pStyle w:val="63"/>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（签字）  </w:t>
      </w:r>
    </w:p>
    <w:p>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6480" w:firstLineChars="2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日　　期：</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二、投标明细报价表</w:t>
      </w:r>
    </w:p>
    <w:tbl>
      <w:tblPr>
        <w:tblStyle w:val="44"/>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623"/>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6"/>
            <w:vAlign w:val="center"/>
          </w:tcPr>
          <w:p>
            <w:pPr>
              <w:keepNext w:val="0"/>
              <w:keepLines w:val="0"/>
              <w:pageBreakBefore w:val="0"/>
              <w:kinsoku/>
              <w:wordWrap/>
              <w:topLinePunct w:val="0"/>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6"/>
            <w:vAlign w:val="center"/>
          </w:tcPr>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货物明细表：（单位：元）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81"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75"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w:t>
            </w:r>
          </w:p>
        </w:tc>
        <w:tc>
          <w:tcPr>
            <w:tcW w:w="1180"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23"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2249"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81"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075"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180"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81"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075"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180"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81"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75"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180"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6"/>
            <w:vAlign w:val="center"/>
          </w:tcPr>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其他费用明细表：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81"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255" w:type="dxa"/>
            <w:gridSpan w:val="2"/>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内容和标准</w:t>
            </w:r>
          </w:p>
        </w:tc>
        <w:tc>
          <w:tcPr>
            <w:tcW w:w="1623"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2249"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81"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55" w:type="dxa"/>
            <w:gridSpan w:val="2"/>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81"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55" w:type="dxa"/>
            <w:gridSpan w:val="2"/>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1623"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c>
          <w:tcPr>
            <w:tcW w:w="2249" w:type="dxa"/>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6"/>
            <w:vAlign w:val="center"/>
          </w:tcPr>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明细报价汇总表：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pPr>
              <w:keepNext w:val="0"/>
              <w:keepLines w:val="0"/>
              <w:pageBreakBefore w:val="0"/>
              <w:kinsoku/>
              <w:wordWrap/>
              <w:topLinePunct w:val="0"/>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报价总计（货物报价合计+其他费用合计）</w:t>
            </w:r>
          </w:p>
        </w:tc>
        <w:tc>
          <w:tcPr>
            <w:tcW w:w="3872" w:type="dxa"/>
            <w:gridSpan w:val="2"/>
            <w:vAlign w:val="center"/>
          </w:tcPr>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元</w:t>
            </w:r>
          </w:p>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小写：￥ </w:t>
            </w:r>
            <w:r>
              <w:rPr>
                <w:rFonts w:hint="eastAsia" w:ascii="宋体" w:hAnsi="宋体" w:eastAsia="宋体" w:cs="宋体"/>
                <w:color w:val="auto"/>
                <w:sz w:val="24"/>
                <w:szCs w:val="24"/>
                <w:highlight w:val="none"/>
                <w:u w:val="single"/>
              </w:rPr>
              <w:t xml:space="preserve">             元</w:t>
            </w:r>
          </w:p>
        </w:tc>
      </w:tr>
    </w:tbl>
    <w:p>
      <w:pPr>
        <w:keepNext w:val="0"/>
        <w:keepLines w:val="0"/>
        <w:pageBreakBefore w:val="0"/>
        <w:kinsoku/>
        <w:wordWrap/>
        <w:topLinePunct w:val="0"/>
        <w:bidi w:val="0"/>
        <w:snapToGrid/>
        <w:spacing w:before="240" w:beforeLines="10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pPr>
        <w:pStyle w:val="94"/>
        <w:keepNext w:val="0"/>
        <w:keepLines w:val="0"/>
        <w:pageBreakBefore w:val="0"/>
        <w:numPr>
          <w:ilvl w:val="0"/>
          <w:numId w:val="8"/>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此表为报价总表的明细表。</w:t>
      </w:r>
    </w:p>
    <w:p>
      <w:pPr>
        <w:pStyle w:val="94"/>
        <w:keepNext w:val="0"/>
        <w:keepLines w:val="0"/>
        <w:pageBreakBefore w:val="0"/>
        <w:numPr>
          <w:ilvl w:val="0"/>
          <w:numId w:val="8"/>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如果单价和总价不符时，以单价为准，修正总价。</w:t>
      </w:r>
    </w:p>
    <w:p>
      <w:pPr>
        <w:pStyle w:val="94"/>
        <w:keepNext w:val="0"/>
        <w:keepLines w:val="0"/>
        <w:pageBreakBefore w:val="0"/>
        <w:numPr>
          <w:ilvl w:val="0"/>
          <w:numId w:val="8"/>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供应商应列明按“采购需求”所要求提供的所有报价项的价格明细。</w:t>
      </w:r>
    </w:p>
    <w:p>
      <w:pPr>
        <w:pStyle w:val="94"/>
        <w:keepNext w:val="0"/>
        <w:keepLines w:val="0"/>
        <w:pageBreakBefore w:val="0"/>
        <w:numPr>
          <w:ilvl w:val="0"/>
          <w:numId w:val="8"/>
        </w:numPr>
        <w:kinsoku/>
        <w:wordWrap/>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货物名称与产品注册证登记名称保持一致。</w:t>
      </w:r>
    </w:p>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tbl>
      <w:tblPr>
        <w:tblStyle w:val="44"/>
        <w:tblW w:w="9345" w:type="dxa"/>
        <w:tblInd w:w="0" w:type="dxa"/>
        <w:tblLayout w:type="fixed"/>
        <w:tblCellMar>
          <w:top w:w="0" w:type="dxa"/>
          <w:left w:w="108" w:type="dxa"/>
          <w:bottom w:w="0" w:type="dxa"/>
          <w:right w:w="108" w:type="dxa"/>
        </w:tblCellMar>
      </w:tblPr>
      <w:tblGrid>
        <w:gridCol w:w="5353"/>
        <w:gridCol w:w="3992"/>
      </w:tblGrid>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overflowPunct w:val="0"/>
              <w:topLinePunct w:val="0"/>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992" w:type="dxa"/>
            <w:shd w:val="clear" w:color="auto" w:fill="auto"/>
          </w:tcPr>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992" w:type="dxa"/>
            <w:shd w:val="clear" w:color="auto" w:fill="auto"/>
          </w:tcPr>
          <w:p>
            <w:pPr>
              <w:keepNext w:val="0"/>
              <w:keepLines w:val="0"/>
              <w:pageBreakBefore w:val="0"/>
              <w:kinsoku/>
              <w:wordWrap/>
              <w:topLinePunct w:val="0"/>
              <w:bidi w:val="0"/>
              <w:snapToGrid/>
              <w:spacing w:line="288" w:lineRule="auto"/>
              <w:textAlignment w:val="auto"/>
              <w:rPr>
                <w:rFonts w:hint="eastAsia" w:ascii="宋体" w:hAnsi="宋体" w:eastAsia="宋体" w:cs="宋体"/>
                <w:color w:val="auto"/>
                <w:sz w:val="24"/>
                <w:szCs w:val="24"/>
                <w:highlight w:val="none"/>
              </w:rPr>
            </w:pPr>
          </w:p>
        </w:tc>
      </w:tr>
    </w:tbl>
    <w:p>
      <w:pPr>
        <w:keepNext w:val="0"/>
        <w:keepLines w:val="0"/>
        <w:pageBreakBefore w:val="0"/>
        <w:kinsoku/>
        <w:wordWrap/>
        <w:topLinePunct w:val="0"/>
        <w:autoSpaceDE w:val="0"/>
        <w:autoSpaceDN w:val="0"/>
        <w:bidi w:val="0"/>
        <w:adjustRightInd w:val="0"/>
        <w:snapToGrid/>
        <w:spacing w:before="120" w:beforeLines="50" w:after="120" w:afterLines="50" w:line="288" w:lineRule="auto"/>
        <w:jc w:val="center"/>
        <w:textAlignment w:val="auto"/>
        <w:rPr>
          <w:rFonts w:hint="eastAsia" w:ascii="宋体" w:hAnsi="宋体" w:eastAsia="宋体" w:cs="宋体"/>
          <w:b/>
          <w:color w:val="auto"/>
          <w:sz w:val="24"/>
          <w:szCs w:val="24"/>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三、投标函</w:t>
      </w:r>
    </w:p>
    <w:p>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依据贵方</w:t>
      </w:r>
      <w:r>
        <w:rPr>
          <w:rFonts w:hint="eastAsia" w:ascii="宋体" w:hAnsi="宋体" w:eastAsia="宋体" w:cs="宋体"/>
          <w:b/>
          <w:bCs/>
          <w:color w:val="auto"/>
          <w:sz w:val="24"/>
          <w:szCs w:val="24"/>
          <w:highlight w:val="none"/>
          <w:u w:val="single"/>
        </w:rPr>
        <w:t>项目名称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
          <w:bCs/>
          <w:color w:val="auto"/>
          <w:sz w:val="24"/>
          <w:szCs w:val="24"/>
          <w:highlight w:val="none"/>
          <w:u w:val="single"/>
        </w:rPr>
        <w:t>项目编号：</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招标货物及服务的投标，我方代表</w:t>
      </w:r>
      <w:r>
        <w:rPr>
          <w:rFonts w:hint="eastAsia" w:ascii="宋体" w:hAnsi="宋体" w:eastAsia="宋体" w:cs="宋体"/>
          <w:b/>
          <w:bCs/>
          <w:color w:val="auto"/>
          <w:sz w:val="24"/>
          <w:szCs w:val="24"/>
          <w:highlight w:val="none"/>
          <w:u w:val="single"/>
        </w:rPr>
        <w:t>（姓名、职务）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bCs/>
          <w:color w:val="auto"/>
          <w:sz w:val="24"/>
          <w:szCs w:val="24"/>
          <w:highlight w:val="none"/>
        </w:rPr>
        <w:t>提交开标一览表、投标文件。</w:t>
      </w:r>
    </w:p>
    <w:p>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投标报价：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元；供货期：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pPr>
        <w:pStyle w:val="94"/>
        <w:keepNext w:val="0"/>
        <w:keepLines w:val="0"/>
        <w:pageBreakBefore w:val="0"/>
        <w:numPr>
          <w:ilvl w:val="0"/>
          <w:numId w:val="9"/>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同意并接受招标文件的各项要求，遵守招标文件中的各项规定，按招标文件的要求提供报价</w:t>
      </w:r>
      <w:r>
        <w:rPr>
          <w:rFonts w:hint="eastAsia" w:ascii="宋体" w:hAnsi="宋体" w:eastAsia="宋体" w:cs="宋体"/>
          <w:color w:val="auto"/>
          <w:sz w:val="24"/>
          <w:szCs w:val="24"/>
          <w:highlight w:val="none"/>
        </w:rPr>
        <w:t>。</w:t>
      </w:r>
    </w:p>
    <w:p>
      <w:pPr>
        <w:pStyle w:val="94"/>
        <w:keepNext w:val="0"/>
        <w:keepLines w:val="0"/>
        <w:pageBreakBefore w:val="0"/>
        <w:numPr>
          <w:ilvl w:val="0"/>
          <w:numId w:val="9"/>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投标有效期为递交投标文件截止日后90天，中标人投标有效期延至合同验收之日。</w:t>
      </w:r>
    </w:p>
    <w:p>
      <w:pPr>
        <w:pStyle w:val="94"/>
        <w:keepNext w:val="0"/>
        <w:keepLines w:val="0"/>
        <w:pageBreakBefore w:val="0"/>
        <w:numPr>
          <w:ilvl w:val="0"/>
          <w:numId w:val="9"/>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pPr>
        <w:pStyle w:val="94"/>
        <w:keepNext w:val="0"/>
        <w:keepLines w:val="0"/>
        <w:pageBreakBefore w:val="0"/>
        <w:numPr>
          <w:ilvl w:val="0"/>
          <w:numId w:val="9"/>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我方已毫无保留地向贵方提供一切所需的证明材料。</w:t>
      </w:r>
    </w:p>
    <w:p>
      <w:pPr>
        <w:pStyle w:val="94"/>
        <w:keepNext w:val="0"/>
        <w:keepLines w:val="0"/>
        <w:pageBreakBefore w:val="0"/>
        <w:numPr>
          <w:ilvl w:val="0"/>
          <w:numId w:val="9"/>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我方承诺在本次投标文件中提供的一切文件，无论是原件还是复印件均为真实和准确的，绝无任何虚假、伪造和夸大的成份，否则，愿承担相应的后果和法律责任。</w:t>
      </w:r>
    </w:p>
    <w:p>
      <w:pPr>
        <w:pStyle w:val="94"/>
        <w:keepNext w:val="0"/>
        <w:keepLines w:val="0"/>
        <w:pageBreakBefore w:val="0"/>
        <w:numPr>
          <w:ilvl w:val="0"/>
          <w:numId w:val="9"/>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我方完全服从和尊重评委会所作的评定结果，同时清楚理解到报价最低并非意味着必定获得中标资格。</w:t>
      </w:r>
    </w:p>
    <w:p>
      <w:pPr>
        <w:pStyle w:val="94"/>
        <w:keepNext w:val="0"/>
        <w:keepLines w:val="0"/>
        <w:pageBreakBefore w:val="0"/>
        <w:numPr>
          <w:ilvl w:val="0"/>
          <w:numId w:val="9"/>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我方同意按招标文件规定向采购代理机构缴纳中标服务费。</w:t>
      </w:r>
    </w:p>
    <w:p>
      <w:pPr>
        <w:pStyle w:val="94"/>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auto"/>
          <w:sz w:val="24"/>
          <w:szCs w:val="24"/>
          <w:highlight w:val="none"/>
        </w:rPr>
      </w:pPr>
    </w:p>
    <w:tbl>
      <w:tblPr>
        <w:tblStyle w:val="44"/>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shd w:val="clear" w:color="auto" w:fill="auto"/>
          </w:tcPr>
          <w:p>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4264" w:type="dxa"/>
            <w:shd w:val="clear" w:color="auto" w:fill="auto"/>
          </w:tcPr>
          <w:p>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tblPrEx>
          <w:tblCellMar>
            <w:top w:w="0" w:type="dxa"/>
            <w:left w:w="108" w:type="dxa"/>
            <w:bottom w:w="0" w:type="dxa"/>
            <w:right w:w="108" w:type="dxa"/>
          </w:tblCellMar>
        </w:tblPrEx>
        <w:trPr>
          <w:jc w:val="center"/>
        </w:trPr>
        <w:tc>
          <w:tcPr>
            <w:tcW w:w="4264" w:type="dxa"/>
            <w:shd w:val="clear" w:color="auto" w:fill="auto"/>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264" w:type="dxa"/>
            <w:shd w:val="clear" w:color="auto" w:fill="auto"/>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tblPrEx>
          <w:tblCellMar>
            <w:top w:w="0" w:type="dxa"/>
            <w:left w:w="108" w:type="dxa"/>
            <w:bottom w:w="0" w:type="dxa"/>
            <w:right w:w="108" w:type="dxa"/>
          </w:tblCellMar>
        </w:tblPrEx>
        <w:trPr>
          <w:jc w:val="center"/>
        </w:trPr>
        <w:tc>
          <w:tcPr>
            <w:tcW w:w="4264" w:type="dxa"/>
            <w:shd w:val="clear" w:color="auto" w:fill="auto"/>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4264" w:type="dxa"/>
            <w:shd w:val="clear" w:color="auto" w:fill="auto"/>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r>
      <w:tr>
        <w:tblPrEx>
          <w:tblCellMar>
            <w:top w:w="0" w:type="dxa"/>
            <w:left w:w="108" w:type="dxa"/>
            <w:bottom w:w="0" w:type="dxa"/>
            <w:right w:w="108" w:type="dxa"/>
          </w:tblCellMar>
        </w:tblPrEx>
        <w:trPr>
          <w:jc w:val="center"/>
        </w:trPr>
        <w:tc>
          <w:tcPr>
            <w:tcW w:w="8528" w:type="dxa"/>
            <w:gridSpan w:val="2"/>
            <w:shd w:val="clear" w:color="auto" w:fill="auto"/>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tblPrEx>
          <w:tblCellMar>
            <w:top w:w="0" w:type="dxa"/>
            <w:left w:w="108" w:type="dxa"/>
            <w:bottom w:w="0" w:type="dxa"/>
            <w:right w:w="108" w:type="dxa"/>
          </w:tblCellMar>
        </w:tblPrEx>
        <w:trPr>
          <w:jc w:val="center"/>
        </w:trPr>
        <w:tc>
          <w:tcPr>
            <w:tcW w:w="8528" w:type="dxa"/>
            <w:gridSpan w:val="2"/>
            <w:shd w:val="clear" w:color="auto" w:fill="auto"/>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供应商法定代表人或被授权人（签名或盖章）：</w:t>
            </w:r>
          </w:p>
        </w:tc>
      </w:tr>
      <w:tr>
        <w:tblPrEx>
          <w:tblCellMar>
            <w:top w:w="0" w:type="dxa"/>
            <w:left w:w="108" w:type="dxa"/>
            <w:bottom w:w="0" w:type="dxa"/>
            <w:right w:w="108" w:type="dxa"/>
          </w:tblCellMar>
        </w:tblPrEx>
        <w:trPr>
          <w:jc w:val="center"/>
        </w:trPr>
        <w:tc>
          <w:tcPr>
            <w:tcW w:w="8528" w:type="dxa"/>
            <w:gridSpan w:val="2"/>
            <w:shd w:val="clear" w:color="auto" w:fill="auto"/>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pPr>
        <w:spacing w:before="120" w:beforeLines="50" w:after="120" w:afterLines="50" w:line="360" w:lineRule="auto"/>
        <w:jc w:val="center"/>
        <w:rPr>
          <w:rFonts w:hint="eastAsia" w:ascii="宋体" w:hAnsi="宋体" w:eastAsia="宋体" w:cs="宋体"/>
          <w:b/>
          <w:color w:val="auto"/>
          <w:spacing w:val="20"/>
          <w:sz w:val="30"/>
          <w:szCs w:val="30"/>
          <w:highlight w:val="none"/>
        </w:rPr>
      </w:pPr>
    </w:p>
    <w:p>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四、法定代表人身份证明书</w:t>
      </w:r>
    </w:p>
    <w:p>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tblPrEx>
          <w:tblCellMar>
            <w:top w:w="0" w:type="dxa"/>
            <w:left w:w="108" w:type="dxa"/>
            <w:bottom w:w="0" w:type="dxa"/>
            <w:right w:w="108" w:type="dxa"/>
          </w:tblCellMar>
        </w:tblPrEx>
        <w:trPr>
          <w:jc w:val="center"/>
        </w:trPr>
        <w:tc>
          <w:tcPr>
            <w:tcW w:w="8528" w:type="dxa"/>
            <w:gridSpan w:val="3"/>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同志，现任我单位职务，为法定代表人，特此证明。</w:t>
            </w:r>
          </w:p>
        </w:tc>
      </w:tr>
      <w:tr>
        <w:tblPrEx>
          <w:tblCellMar>
            <w:top w:w="0" w:type="dxa"/>
            <w:left w:w="108" w:type="dxa"/>
            <w:bottom w:w="0" w:type="dxa"/>
            <w:right w:w="108" w:type="dxa"/>
          </w:tblCellMar>
        </w:tblPrEx>
        <w:trPr>
          <w:jc w:val="center"/>
        </w:trPr>
        <w:tc>
          <w:tcPr>
            <w:tcW w:w="8528" w:type="dxa"/>
            <w:gridSpan w:val="3"/>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r>
      <w:tr>
        <w:tblPrEx>
          <w:tblCellMar>
            <w:top w:w="0" w:type="dxa"/>
            <w:left w:w="108" w:type="dxa"/>
            <w:bottom w:w="0" w:type="dxa"/>
            <w:right w:w="108" w:type="dxa"/>
          </w:tblCellMar>
        </w:tblPrEx>
        <w:trPr>
          <w:jc w:val="center"/>
        </w:trPr>
        <w:tc>
          <w:tcPr>
            <w:tcW w:w="8528" w:type="dxa"/>
            <w:gridSpan w:val="3"/>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tblPrEx>
          <w:tblCellMar>
            <w:top w:w="0" w:type="dxa"/>
            <w:left w:w="108" w:type="dxa"/>
            <w:bottom w:w="0" w:type="dxa"/>
            <w:right w:w="108" w:type="dxa"/>
          </w:tblCellMar>
        </w:tblPrEx>
        <w:trPr>
          <w:jc w:val="center"/>
        </w:trPr>
        <w:tc>
          <w:tcPr>
            <w:tcW w:w="4264" w:type="dxa"/>
            <w:gridSpan w:val="2"/>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代表人姓名：</w:t>
            </w:r>
          </w:p>
        </w:tc>
        <w:tc>
          <w:tcPr>
            <w:tcW w:w="4264"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代表人联系电话：</w:t>
            </w:r>
          </w:p>
        </w:tc>
      </w:tr>
      <w:tr>
        <w:tblPrEx>
          <w:tblCellMar>
            <w:top w:w="0" w:type="dxa"/>
            <w:left w:w="108" w:type="dxa"/>
            <w:bottom w:w="0" w:type="dxa"/>
            <w:right w:w="108" w:type="dxa"/>
          </w:tblCellMar>
        </w:tblPrEx>
        <w:trPr>
          <w:jc w:val="center"/>
        </w:trPr>
        <w:tc>
          <w:tcPr>
            <w:tcW w:w="4264" w:type="dxa"/>
            <w:gridSpan w:val="2"/>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tc>
        <w:tc>
          <w:tcPr>
            <w:tcW w:w="4264"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代表人年龄：</w:t>
            </w:r>
          </w:p>
        </w:tc>
      </w:tr>
      <w:tr>
        <w:tblPrEx>
          <w:tblCellMar>
            <w:top w:w="0" w:type="dxa"/>
            <w:left w:w="108" w:type="dxa"/>
            <w:bottom w:w="0" w:type="dxa"/>
            <w:right w:w="108" w:type="dxa"/>
          </w:tblCellMar>
        </w:tblPrEx>
        <w:trPr>
          <w:jc w:val="center"/>
        </w:trPr>
        <w:tc>
          <w:tcPr>
            <w:tcW w:w="4264" w:type="dxa"/>
            <w:gridSpan w:val="2"/>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代表人身份证号码：</w:t>
            </w:r>
          </w:p>
        </w:tc>
        <w:tc>
          <w:tcPr>
            <w:tcW w:w="4264"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营业执照或事业单位法人证书号码：</w:t>
            </w:r>
          </w:p>
        </w:tc>
      </w:tr>
      <w:tr>
        <w:tblPrEx>
          <w:tblCellMar>
            <w:top w:w="0" w:type="dxa"/>
            <w:left w:w="108" w:type="dxa"/>
            <w:bottom w:w="0" w:type="dxa"/>
            <w:right w:w="108" w:type="dxa"/>
          </w:tblCellMar>
        </w:tblPrEx>
        <w:trPr>
          <w:jc w:val="center"/>
        </w:trPr>
        <w:tc>
          <w:tcPr>
            <w:tcW w:w="4264" w:type="dxa"/>
            <w:gridSpan w:val="2"/>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4264"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tc>
      </w:tr>
      <w:tr>
        <w:tblPrEx>
          <w:tblCellMar>
            <w:top w:w="0" w:type="dxa"/>
            <w:left w:w="108" w:type="dxa"/>
            <w:bottom w:w="0" w:type="dxa"/>
            <w:right w:w="108" w:type="dxa"/>
          </w:tblCellMar>
        </w:tblPrEx>
        <w:trPr>
          <w:jc w:val="center"/>
        </w:trPr>
        <w:tc>
          <w:tcPr>
            <w:tcW w:w="8528" w:type="dxa"/>
            <w:gridSpan w:val="3"/>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主营（产）：</w:t>
            </w:r>
          </w:p>
        </w:tc>
      </w:tr>
      <w:tr>
        <w:tblPrEx>
          <w:tblCellMar>
            <w:top w:w="0" w:type="dxa"/>
            <w:left w:w="108" w:type="dxa"/>
            <w:bottom w:w="0" w:type="dxa"/>
            <w:right w:w="108" w:type="dxa"/>
          </w:tblCellMar>
        </w:tblPrEx>
        <w:trPr>
          <w:jc w:val="center"/>
        </w:trPr>
        <w:tc>
          <w:tcPr>
            <w:tcW w:w="8528" w:type="dxa"/>
            <w:gridSpan w:val="3"/>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兼营（产）：</w:t>
            </w:r>
          </w:p>
        </w:tc>
      </w:tr>
      <w:tr>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c>
      </w:tr>
      <w:tr>
        <w:tblPrEx>
          <w:tblCellMar>
            <w:top w:w="0" w:type="dxa"/>
            <w:left w:w="108" w:type="dxa"/>
            <w:bottom w:w="0" w:type="dxa"/>
            <w:right w:w="108" w:type="dxa"/>
          </w:tblCellMar>
        </w:tblPrEx>
        <w:trPr>
          <w:jc w:val="center"/>
        </w:trPr>
        <w:tc>
          <w:tcPr>
            <w:tcW w:w="2802"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tblPrEx>
          <w:tblCellMar>
            <w:top w:w="0" w:type="dxa"/>
            <w:left w:w="108" w:type="dxa"/>
            <w:bottom w:w="0" w:type="dxa"/>
            <w:right w:w="108" w:type="dxa"/>
          </w:tblCellMar>
        </w:tblPrEx>
        <w:trPr>
          <w:jc w:val="center"/>
        </w:trPr>
        <w:tc>
          <w:tcPr>
            <w:tcW w:w="2802"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tblPrEx>
          <w:tblCellMar>
            <w:top w:w="0" w:type="dxa"/>
            <w:left w:w="108" w:type="dxa"/>
            <w:bottom w:w="0" w:type="dxa"/>
            <w:right w:w="108" w:type="dxa"/>
          </w:tblCellMar>
        </w:tblPrEx>
        <w:trPr>
          <w:jc w:val="center"/>
        </w:trPr>
        <w:tc>
          <w:tcPr>
            <w:tcW w:w="2802"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24"/>
          <w:szCs w:val="24"/>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五、法定代表人授权委托书</w:t>
      </w:r>
    </w:p>
    <w:p>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pPr>
        <w:pStyle w:val="135"/>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为我方合法代理人。代理人根据授权，以我方名义签署、澄清、说明、补正、递交、撤回、修改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）投标文件、签订合同和处理有关事宜，其法律后果由我方承担。</w:t>
      </w:r>
    </w:p>
    <w:p>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本委托书于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日签字生效，特此证明。</w:t>
      </w:r>
    </w:p>
    <w:p>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w:t>
      </w:r>
    </w:p>
    <w:p>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tbl>
      <w:tblPr>
        <w:tblStyle w:val="44"/>
        <w:tblW w:w="5726" w:type="dxa"/>
        <w:tblInd w:w="0" w:type="dxa"/>
        <w:tblLayout w:type="fixed"/>
        <w:tblCellMar>
          <w:top w:w="0" w:type="dxa"/>
          <w:left w:w="108" w:type="dxa"/>
          <w:bottom w:w="0" w:type="dxa"/>
          <w:right w:w="108" w:type="dxa"/>
        </w:tblCellMar>
      </w:tblPr>
      <w:tblGrid>
        <w:gridCol w:w="5726"/>
      </w:tblGrid>
      <w:tr>
        <w:tblPrEx>
          <w:tblCellMar>
            <w:top w:w="0" w:type="dxa"/>
            <w:left w:w="108" w:type="dxa"/>
            <w:bottom w:w="0" w:type="dxa"/>
            <w:right w:w="108" w:type="dxa"/>
          </w:tblCellMar>
        </w:tblPrEx>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tblPrEx>
          <w:tblCellMar>
            <w:top w:w="0" w:type="dxa"/>
            <w:left w:w="108" w:type="dxa"/>
            <w:bottom w:w="0" w:type="dxa"/>
            <w:right w:w="108" w:type="dxa"/>
          </w:tblCellMar>
        </w:tblPrEx>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tblPrEx>
          <w:tblCellMar>
            <w:top w:w="0" w:type="dxa"/>
            <w:left w:w="108" w:type="dxa"/>
            <w:bottom w:w="0" w:type="dxa"/>
            <w:right w:w="108" w:type="dxa"/>
          </w:tblCellMar>
        </w:tblPrEx>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tblPrEx>
          <w:tblCellMar>
            <w:top w:w="0" w:type="dxa"/>
            <w:left w:w="108" w:type="dxa"/>
            <w:bottom w:w="0" w:type="dxa"/>
            <w:right w:w="108" w:type="dxa"/>
          </w:tblCellMar>
        </w:tblPrEx>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被授权人（签名或盖章）：</w:t>
            </w:r>
          </w:p>
        </w:tc>
      </w:tr>
      <w:tr>
        <w:tblPrEx>
          <w:tblCellMar>
            <w:top w:w="0" w:type="dxa"/>
            <w:left w:w="108" w:type="dxa"/>
            <w:bottom w:w="0" w:type="dxa"/>
            <w:right w:w="108" w:type="dxa"/>
          </w:tblCellMar>
        </w:tblPrEx>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tblPrEx>
          <w:tblCellMar>
            <w:top w:w="0" w:type="dxa"/>
            <w:left w:w="108" w:type="dxa"/>
            <w:bottom w:w="0" w:type="dxa"/>
            <w:right w:w="108" w:type="dxa"/>
          </w:tblCellMar>
        </w:tblPrEx>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tc>
      </w:tr>
    </w:tbl>
    <w:p>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六、供应商基本情况说明</w:t>
      </w:r>
    </w:p>
    <w:p>
      <w:pPr>
        <w:pStyle w:val="94"/>
        <w:keepNext w:val="0"/>
        <w:keepLines w:val="0"/>
        <w:pageBreakBefore w:val="0"/>
        <w:numPr>
          <w:ilvl w:val="0"/>
          <w:numId w:val="10"/>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tblPrEx>
          <w:tblCellMar>
            <w:top w:w="0" w:type="dxa"/>
            <w:left w:w="108" w:type="dxa"/>
            <w:bottom w:w="0" w:type="dxa"/>
            <w:right w:w="108" w:type="dxa"/>
          </w:tblCellMar>
        </w:tblPrEx>
        <w:trPr>
          <w:jc w:val="center"/>
        </w:trPr>
        <w:tc>
          <w:tcPr>
            <w:tcW w:w="5525" w:type="dxa"/>
            <w:gridSpan w:val="3"/>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3571" w:type="dxa"/>
            <w:gridSpan w:val="2"/>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公司固话：</w:t>
            </w:r>
          </w:p>
        </w:tc>
      </w:tr>
      <w:tr>
        <w:tblPrEx>
          <w:tblCellMar>
            <w:top w:w="0" w:type="dxa"/>
            <w:left w:w="108" w:type="dxa"/>
            <w:bottom w:w="0" w:type="dxa"/>
            <w:right w:w="108" w:type="dxa"/>
          </w:tblCellMar>
        </w:tblPrEx>
        <w:trPr>
          <w:jc w:val="center"/>
        </w:trPr>
        <w:tc>
          <w:tcPr>
            <w:tcW w:w="5525" w:type="dxa"/>
            <w:gridSpan w:val="3"/>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3571" w:type="dxa"/>
            <w:gridSpan w:val="2"/>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公司传真：</w:t>
            </w:r>
          </w:p>
        </w:tc>
      </w:tr>
      <w:tr>
        <w:tblPrEx>
          <w:tblCellMar>
            <w:top w:w="0" w:type="dxa"/>
            <w:left w:w="108" w:type="dxa"/>
            <w:bottom w:w="0" w:type="dxa"/>
            <w:right w:w="108" w:type="dxa"/>
          </w:tblCellMar>
        </w:tblPrEx>
        <w:trPr>
          <w:jc w:val="center"/>
        </w:trPr>
        <w:tc>
          <w:tcPr>
            <w:tcW w:w="5525" w:type="dxa"/>
            <w:gridSpan w:val="3"/>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571" w:type="dxa"/>
            <w:gridSpan w:val="2"/>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r>
      <w:tr>
        <w:tblPrEx>
          <w:tblCellMar>
            <w:top w:w="0" w:type="dxa"/>
            <w:left w:w="108" w:type="dxa"/>
            <w:bottom w:w="0" w:type="dxa"/>
            <w:right w:w="108" w:type="dxa"/>
          </w:tblCellMar>
        </w:tblPrEx>
        <w:trPr>
          <w:jc w:val="center"/>
        </w:trPr>
        <w:tc>
          <w:tcPr>
            <w:tcW w:w="5525" w:type="dxa"/>
            <w:gridSpan w:val="3"/>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公司开户银行名称：</w:t>
            </w:r>
          </w:p>
        </w:tc>
        <w:tc>
          <w:tcPr>
            <w:tcW w:w="3571" w:type="dxa"/>
            <w:gridSpan w:val="2"/>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tc>
      </w:tr>
      <w:tr>
        <w:tblPrEx>
          <w:tblCellMar>
            <w:top w:w="0" w:type="dxa"/>
            <w:left w:w="108" w:type="dxa"/>
            <w:bottom w:w="0" w:type="dxa"/>
            <w:right w:w="108" w:type="dxa"/>
          </w:tblCellMar>
        </w:tblPrEx>
        <w:trPr>
          <w:jc w:val="center"/>
        </w:trPr>
        <w:tc>
          <w:tcPr>
            <w:tcW w:w="9096" w:type="dxa"/>
            <w:gridSpan w:val="5"/>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营业注册执照或事业单位法人证书号：</w:t>
            </w:r>
          </w:p>
        </w:tc>
      </w:tr>
      <w:tr>
        <w:tblPrEx>
          <w:tblCellMar>
            <w:top w:w="0" w:type="dxa"/>
            <w:left w:w="108" w:type="dxa"/>
            <w:bottom w:w="0" w:type="dxa"/>
            <w:right w:w="108" w:type="dxa"/>
          </w:tblCellMar>
        </w:tblPrEx>
        <w:trPr>
          <w:trHeight w:val="583" w:hRule="atLeast"/>
          <w:jc w:val="center"/>
        </w:trPr>
        <w:tc>
          <w:tcPr>
            <w:tcW w:w="9096" w:type="dxa"/>
            <w:gridSpan w:val="5"/>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公司财务状况：（如需）                            【价格单位：（人民币）元】</w:t>
            </w:r>
          </w:p>
        </w:tc>
      </w:tr>
      <w:tr>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年净利润（元）</w:t>
            </w:r>
          </w:p>
        </w:tc>
      </w:tr>
      <w:tr>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pP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七、承诺书</w:t>
      </w:r>
    </w:p>
    <w:p>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bookmarkStart w:id="46" w:name="_Toc313537922"/>
      <w:r>
        <w:rPr>
          <w:rFonts w:hint="eastAsia" w:ascii="宋体" w:hAnsi="宋体" w:eastAsia="宋体" w:cs="宋体"/>
          <w:color w:val="auto"/>
          <w:spacing w:val="2"/>
          <w:sz w:val="24"/>
          <w:szCs w:val="24"/>
          <w:highlight w:val="none"/>
        </w:rPr>
        <w:t>我方已完整阅读了</w:t>
      </w:r>
      <w:r>
        <w:rPr>
          <w:rFonts w:hint="eastAsia" w:ascii="宋体" w:hAnsi="宋体" w:eastAsia="宋体" w:cs="宋体"/>
          <w:color w:val="auto"/>
          <w:spacing w:val="2"/>
          <w:sz w:val="24"/>
          <w:szCs w:val="24"/>
          <w:highlight w:val="none"/>
          <w:u w:val="single"/>
        </w:rPr>
        <w:t>（</w:t>
      </w:r>
      <w:r>
        <w:rPr>
          <w:rFonts w:hint="eastAsia" w:ascii="宋体" w:hAnsi="宋体" w:eastAsia="宋体" w:cs="宋体"/>
          <w:b/>
          <w:color w:val="auto"/>
          <w:spacing w:val="2"/>
          <w:sz w:val="24"/>
          <w:szCs w:val="24"/>
          <w:highlight w:val="none"/>
          <w:u w:val="single"/>
        </w:rPr>
        <w:t>项目名称</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（项目编号：</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）招标文件的所有内容（包括澄清，以及所有已提供的参考资料和有关附件），并完全理解上述文件所表达的意思，该项目递交投标文件时间截止后，我方承诺不再对上述文件内容进行询问或质疑。</w:t>
      </w:r>
      <w:bookmarkEnd w:id="46"/>
      <w:r>
        <w:rPr>
          <w:rFonts w:hint="eastAsia" w:ascii="宋体" w:hAnsi="宋体" w:eastAsia="宋体" w:cs="宋体"/>
          <w:color w:val="auto"/>
          <w:spacing w:val="2"/>
          <w:sz w:val="24"/>
          <w:szCs w:val="24"/>
          <w:highlight w:val="none"/>
        </w:rPr>
        <w:cr/>
      </w:r>
    </w:p>
    <w:p>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pacing w:val="2"/>
          <w:sz w:val="24"/>
          <w:szCs w:val="24"/>
          <w:highlight w:val="none"/>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2802"/>
        <w:gridCol w:w="5726"/>
      </w:tblGrid>
      <w:tr>
        <w:tblPrEx>
          <w:tblCellMar>
            <w:top w:w="0" w:type="dxa"/>
            <w:left w:w="108" w:type="dxa"/>
            <w:bottom w:w="0" w:type="dxa"/>
            <w:right w:w="108" w:type="dxa"/>
          </w:tblCellMar>
        </w:tblPrEx>
        <w:tc>
          <w:tcPr>
            <w:tcW w:w="2802"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tblPrEx>
          <w:tblCellMar>
            <w:top w:w="0" w:type="dxa"/>
            <w:left w:w="108" w:type="dxa"/>
            <w:bottom w:w="0" w:type="dxa"/>
            <w:right w:w="108" w:type="dxa"/>
          </w:tblCellMar>
        </w:tblPrEx>
        <w:tc>
          <w:tcPr>
            <w:tcW w:w="2802"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tblPrEx>
          <w:tblCellMar>
            <w:top w:w="0" w:type="dxa"/>
            <w:left w:w="108" w:type="dxa"/>
            <w:bottom w:w="0" w:type="dxa"/>
            <w:right w:w="108" w:type="dxa"/>
          </w:tblCellMar>
        </w:tblPrEx>
        <w:tc>
          <w:tcPr>
            <w:tcW w:w="2802"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pPr>
        <w:spacing w:line="360" w:lineRule="auto"/>
        <w:rPr>
          <w:rFonts w:hint="eastAsia" w:ascii="宋体" w:hAnsi="宋体" w:eastAsia="宋体" w:cs="宋体"/>
          <w:color w:val="auto"/>
          <w:szCs w:val="21"/>
          <w:highlight w:val="none"/>
        </w:rPr>
      </w:pPr>
    </w:p>
    <w:p>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67"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招标文件要求</w:t>
            </w:r>
          </w:p>
        </w:tc>
        <w:tc>
          <w:tcPr>
            <w:tcW w:w="27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40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85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pPr>
              <w:pStyle w:val="29"/>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pPr>
        <w:pStyle w:val="94"/>
        <w:keepNext w:val="0"/>
        <w:keepLines w:val="0"/>
        <w:pageBreakBefore w:val="0"/>
        <w:numPr>
          <w:ilvl w:val="0"/>
          <w:numId w:val="11"/>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偏离情况项填写“正”、“负”或“无”，说明项中填写原因。</w:t>
      </w:r>
    </w:p>
    <w:p>
      <w:pPr>
        <w:pStyle w:val="94"/>
        <w:keepNext w:val="0"/>
        <w:keepLines w:val="0"/>
        <w:pageBreakBefore w:val="0"/>
        <w:numPr>
          <w:ilvl w:val="0"/>
          <w:numId w:val="11"/>
        </w:numPr>
        <w:kinsoku/>
        <w:wordWrap/>
        <w:topLinePunct w:val="0"/>
        <w:autoSpaceDE/>
        <w:autoSpaceDN/>
        <w:bidi w:val="0"/>
        <w:snapToGrid/>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1"/>
          <w:szCs w:val="21"/>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pacing w:val="20"/>
          <w:sz w:val="30"/>
          <w:szCs w:val="30"/>
          <w:highlight w:val="none"/>
        </w:rPr>
        <w:br w:type="page"/>
      </w:r>
    </w:p>
    <w:p>
      <w:pPr>
        <w:pStyle w:val="17"/>
        <w:spacing w:after="0" w:line="360" w:lineRule="auto"/>
        <w:ind w:firstLine="723" w:firstLineChars="400"/>
        <w:rPr>
          <w:rFonts w:hint="eastAsia" w:ascii="宋体" w:hAnsi="宋体"/>
          <w:b/>
          <w:bCs/>
          <w:color w:val="auto"/>
          <w:sz w:val="18"/>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九</w:t>
      </w:r>
      <w:r>
        <w:rPr>
          <w:rFonts w:hint="eastAsia" w:ascii="宋体" w:hAnsi="宋体" w:eastAsia="宋体" w:cs="宋体"/>
          <w:b/>
          <w:color w:val="auto"/>
          <w:sz w:val="36"/>
          <w:szCs w:val="36"/>
          <w:highlight w:val="none"/>
        </w:rPr>
        <w:t>、近三年（</w:t>
      </w:r>
      <w:r>
        <w:rPr>
          <w:rFonts w:hint="eastAsia" w:ascii="宋体" w:hAnsi="宋体" w:cs="宋体"/>
          <w:b/>
          <w:color w:val="auto"/>
          <w:sz w:val="36"/>
          <w:szCs w:val="36"/>
          <w:highlight w:val="none"/>
          <w:lang w:val="en-US" w:eastAsia="zh-CN"/>
        </w:rPr>
        <w:t>2022</w:t>
      </w:r>
      <w:r>
        <w:rPr>
          <w:rFonts w:hint="eastAsia" w:ascii="宋体" w:hAnsi="宋体" w:eastAsia="宋体" w:cs="宋体"/>
          <w:b/>
          <w:color w:val="auto"/>
          <w:sz w:val="36"/>
          <w:szCs w:val="36"/>
          <w:highlight w:val="none"/>
        </w:rPr>
        <w:t>-至今）企业业绩表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签约时间</w:t>
            </w: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完成情况</w:t>
            </w: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如有时</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pPr>
        <w:pStyle w:val="4"/>
        <w:rPr>
          <w:rFonts w:hint="eastAsia"/>
          <w:color w:val="auto"/>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shd w:val="clear" w:color="auto" w:fill="auto"/>
          </w:tcPr>
          <w:p>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5353" w:type="dxa"/>
            <w:shd w:val="clear" w:color="auto" w:fill="auto"/>
          </w:tcPr>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Cs w:val="21"/>
          <w:highlight w:val="none"/>
        </w:rPr>
      </w:pPr>
    </w:p>
    <w:p>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十、资格声明</w:t>
      </w:r>
    </w:p>
    <w:p>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（采购代理机构）</w:t>
      </w:r>
      <w:r>
        <w:rPr>
          <w:rFonts w:hint="eastAsia" w:ascii="宋体" w:hAnsi="宋体" w:eastAsia="宋体" w:cs="宋体"/>
          <w:b/>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我方愿响应贵方关于</w:t>
      </w:r>
      <w:r>
        <w:rPr>
          <w:rFonts w:hint="eastAsia" w:ascii="宋体" w:hAnsi="宋体" w:eastAsia="宋体" w:cs="宋体"/>
          <w:b/>
          <w:bCs/>
          <w:color w:val="auto"/>
          <w:sz w:val="24"/>
          <w:szCs w:val="24"/>
          <w:highlight w:val="none"/>
          <w:u w:val="single"/>
        </w:rPr>
        <w:t xml:space="preserve">    （项目名称）    </w:t>
      </w:r>
      <w:r>
        <w:rPr>
          <w:rFonts w:hint="eastAsia" w:ascii="宋体" w:hAnsi="宋体" w:eastAsia="宋体" w:cs="宋体"/>
          <w:b/>
          <w:bCs/>
          <w:color w:val="auto"/>
          <w:sz w:val="24"/>
          <w:szCs w:val="24"/>
          <w:highlight w:val="none"/>
        </w:rPr>
        <w:t>（项目编号：</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）的投标，参与投标，提供用户需求书中规定的货物及相关服务，并按招标文件要求提交所附资格文件且声明和保证如下：</w:t>
      </w:r>
    </w:p>
    <w:p>
      <w:pPr>
        <w:keepNext w:val="0"/>
        <w:keepLines w:val="0"/>
        <w:pageBreakBefore w:val="0"/>
        <w:kinsoku/>
        <w:wordWrap/>
        <w:overflowPunct/>
        <w:topLinePunct w:val="0"/>
        <w:autoSpaceDE/>
        <w:autoSpaceDN/>
        <w:bidi w:val="0"/>
        <w:adjustRightInd w:val="0"/>
        <w:snapToGrid w:val="0"/>
        <w:spacing w:line="288" w:lineRule="auto"/>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本公司（企业）</w:t>
      </w:r>
      <w:r>
        <w:rPr>
          <w:rFonts w:hint="eastAsia" w:ascii="宋体" w:hAnsi="宋体" w:eastAsia="宋体" w:cs="宋体"/>
          <w:bCs/>
          <w:color w:val="auto"/>
          <w:sz w:val="24"/>
          <w:szCs w:val="24"/>
          <w:highlight w:val="none"/>
        </w:rPr>
        <w:t>具备招标文件中资格要求。</w:t>
      </w:r>
    </w:p>
    <w:p>
      <w:pPr>
        <w:pStyle w:val="94"/>
        <w:keepNext w:val="0"/>
        <w:keepLines w:val="0"/>
        <w:pageBreakBefore w:val="0"/>
        <w:numPr>
          <w:ilvl w:val="0"/>
          <w:numId w:val="12"/>
        </w:numPr>
        <w:kinsoku/>
        <w:wordWrap/>
        <w:overflowPunct/>
        <w:topLinePunct w:val="0"/>
        <w:autoSpaceDE/>
        <w:autoSpaceDN/>
        <w:bidi w:val="0"/>
        <w:adjustRightInd w:val="0"/>
        <w:snapToGrid w:val="0"/>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根据《中华人民共和国政府采购法实施条例》的规定，本公司（企业）如为招标项目提供整体设计、规范编制或者项目管理、监理、检测等服务的供应商，不再参加该招标项目的其他招标活动。</w:t>
      </w:r>
    </w:p>
    <w:p>
      <w:pPr>
        <w:pStyle w:val="94"/>
        <w:keepNext w:val="0"/>
        <w:keepLines w:val="0"/>
        <w:pageBreakBefore w:val="0"/>
        <w:numPr>
          <w:ilvl w:val="0"/>
          <w:numId w:val="12"/>
        </w:numPr>
        <w:kinsoku/>
        <w:wordWrap/>
        <w:overflowPunct/>
        <w:topLinePunct w:val="0"/>
        <w:autoSpaceDE/>
        <w:autoSpaceDN/>
        <w:bidi w:val="0"/>
        <w:adjustRightInd w:val="0"/>
        <w:snapToGrid w:val="0"/>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val="0"/>
        <w:snapToGrid w:val="0"/>
        <w:spacing w:line="288"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本公司（企业）承诺在本次招标招标活动中，如有违法、违规、弄虚作假行为，所造成的损失、不良后果及法律责任，一律由我公司（企业）承担。</w:t>
      </w:r>
    </w:p>
    <w:p>
      <w:pPr>
        <w:keepNext w:val="0"/>
        <w:keepLines w:val="0"/>
        <w:pageBreakBefore w:val="0"/>
        <w:kinsoku/>
        <w:wordWrap/>
        <w:overflowPunct/>
        <w:topLinePunct w:val="0"/>
        <w:autoSpaceDE/>
        <w:autoSpaceDN/>
        <w:bidi w:val="0"/>
        <w:adjustRightInd w:val="0"/>
        <w:snapToGrid w:val="0"/>
        <w:spacing w:line="288"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kinsoku/>
        <w:wordWrap/>
        <w:overflowPunct/>
        <w:topLinePunct w:val="0"/>
        <w:autoSpaceDE/>
        <w:autoSpaceDN/>
        <w:bidi w:val="0"/>
        <w:adjustRightInd w:val="0"/>
        <w:snapToGrid w:val="0"/>
        <w:spacing w:before="240" w:beforeLines="100" w:line="288" w:lineRule="auto"/>
        <w:ind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备注：1.本声明函必须提供且内容不得擅自删改，否则视为无效投标。</w:t>
      </w:r>
    </w:p>
    <w:p>
      <w:pPr>
        <w:keepNext w:val="0"/>
        <w:keepLines w:val="0"/>
        <w:pageBreakBefore w:val="0"/>
        <w:kinsoku/>
        <w:wordWrap/>
        <w:overflowPunct/>
        <w:topLinePunct w:val="0"/>
        <w:autoSpaceDE/>
        <w:autoSpaceDN/>
        <w:bidi w:val="0"/>
        <w:adjustRightInd w:val="0"/>
        <w:snapToGrid w:val="0"/>
        <w:spacing w:line="288" w:lineRule="auto"/>
        <w:ind w:firstLine="1301" w:firstLineChars="54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2.本声明函如有虚假或与事实不符的，作无效投标处理。</w:t>
      </w:r>
    </w:p>
    <w:p>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after="120" w:afterLines="50" w:line="288" w:lineRule="auto"/>
        <w:textAlignment w:val="auto"/>
        <w:rPr>
          <w:rFonts w:hint="eastAsia" w:ascii="宋体" w:hAnsi="宋体" w:eastAsia="宋体" w:cs="宋体"/>
          <w:b/>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tc>
          <w:tcPr>
            <w:tcW w:w="5353" w:type="dxa"/>
            <w:shd w:val="clear" w:color="auto" w:fill="auto"/>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tc>
      </w:tr>
      <w:tr>
        <w:tc>
          <w:tcPr>
            <w:tcW w:w="5353" w:type="dxa"/>
            <w:shd w:val="clear" w:color="auto" w:fill="auto"/>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法定代表人（签字）：</w:t>
            </w:r>
          </w:p>
        </w:tc>
        <w:tc>
          <w:tcPr>
            <w:tcW w:w="3175" w:type="dxa"/>
            <w:shd w:val="clear" w:color="auto" w:fill="auto"/>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autoSpaceDN/>
        <w:bidi w:val="0"/>
        <w:spacing w:before="480" w:beforeLines="200" w:after="360" w:afterLines="150" w:line="288" w:lineRule="auto"/>
        <w:jc w:val="center"/>
        <w:textAlignment w:val="auto"/>
        <w:rPr>
          <w:rFonts w:hint="eastAsia" w:ascii="宋体" w:hAnsi="宋体" w:eastAsia="宋体" w:cs="宋体"/>
          <w:b/>
          <w:color w:val="auto"/>
          <w:spacing w:val="20"/>
          <w:sz w:val="24"/>
          <w:szCs w:val="24"/>
          <w:highlight w:val="none"/>
        </w:rPr>
      </w:pPr>
    </w:p>
    <w:p>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一</w:t>
      </w:r>
      <w:r>
        <w:rPr>
          <w:rFonts w:hint="eastAsia" w:ascii="宋体" w:hAnsi="宋体" w:eastAsia="宋体" w:cs="宋体"/>
          <w:b/>
          <w:color w:val="auto"/>
          <w:sz w:val="36"/>
          <w:szCs w:val="36"/>
          <w:highlight w:val="none"/>
        </w:rPr>
        <w:t>、技术参数偏离表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52"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7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500" w:type="dxa"/>
            <w:vAlign w:val="center"/>
          </w:tcPr>
          <w:p>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2056"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pPr>
        <w:pStyle w:val="94"/>
        <w:keepNext w:val="0"/>
        <w:keepLines w:val="0"/>
        <w:pageBreakBefore w:val="0"/>
        <w:numPr>
          <w:ilvl w:val="0"/>
          <w:numId w:val="13"/>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偏离情况项填写“正”、“负”或“无”，说明项中填写原因。</w:t>
      </w:r>
    </w:p>
    <w:p>
      <w:pPr>
        <w:pStyle w:val="94"/>
        <w:keepNext w:val="0"/>
        <w:keepLines w:val="0"/>
        <w:pageBreakBefore w:val="0"/>
        <w:numPr>
          <w:ilvl w:val="0"/>
          <w:numId w:val="13"/>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供应商应按照招标文件要求作出全面响应。对响应有偏离的，则说明偏离的内容。若有要求提供相关证明资料的，须按要求提供，否则视为负偏离。</w:t>
      </w: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c>
          <w:tcPr>
            <w:tcW w:w="5353"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rPr>
          <w:rStyle w:val="47"/>
          <w:rFonts w:hint="eastAsia" w:ascii="宋体" w:hAnsi="宋体" w:eastAsia="宋体" w:cs="宋体"/>
          <w:bCs w:val="0"/>
          <w:color w:val="auto"/>
          <w:spacing w:val="12"/>
          <w:highlight w:val="none"/>
        </w:rPr>
      </w:pPr>
      <w:bookmarkStart w:id="47" w:name="_Toc494567328"/>
      <w:bookmarkStart w:id="48" w:name="_Toc3236439"/>
      <w:bookmarkStart w:id="49" w:name="_Toc391627770"/>
      <w:bookmarkStart w:id="50" w:name="_Toc405313974"/>
      <w:r>
        <w:rPr>
          <w:rStyle w:val="47"/>
          <w:rFonts w:hint="eastAsia" w:ascii="宋体" w:hAnsi="宋体" w:eastAsia="宋体" w:cs="宋体"/>
          <w:color w:val="auto"/>
          <w:spacing w:val="12"/>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二</w:t>
      </w:r>
      <w:r>
        <w:rPr>
          <w:rFonts w:hint="eastAsia" w:ascii="宋体" w:hAnsi="宋体" w:eastAsia="宋体" w:cs="宋体"/>
          <w:b/>
          <w:color w:val="auto"/>
          <w:sz w:val="36"/>
          <w:szCs w:val="36"/>
          <w:highlight w:val="none"/>
        </w:rPr>
        <w:t>、技术参数承诺书</w:t>
      </w:r>
    </w:p>
    <w:p>
      <w:pPr>
        <w:rPr>
          <w:rStyle w:val="47"/>
          <w:rFonts w:hint="eastAsia" w:ascii="宋体" w:hAnsi="宋体" w:eastAsia="宋体" w:cs="宋体"/>
          <w:color w:val="auto"/>
          <w:spacing w:val="12"/>
          <w:highlight w:val="none"/>
        </w:rPr>
      </w:pPr>
    </w:p>
    <w:p>
      <w:pPr>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color w:val="auto"/>
          <w:spacing w:val="12"/>
          <w:sz w:val="24"/>
          <w:szCs w:val="24"/>
          <w:highlight w:val="none"/>
        </w:rPr>
      </w:pPr>
      <w:r>
        <w:rPr>
          <w:rStyle w:val="47"/>
          <w:rFonts w:hint="eastAsia" w:ascii="宋体" w:hAnsi="宋体" w:eastAsia="宋体" w:cs="宋体"/>
          <w:color w:val="auto"/>
          <w:spacing w:val="12"/>
          <w:sz w:val="24"/>
          <w:szCs w:val="24"/>
          <w:highlight w:val="none"/>
        </w:rPr>
        <w:t>致：（采购人名称）</w:t>
      </w:r>
    </w:p>
    <w:p>
      <w:pPr>
        <w:pStyle w:val="4"/>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bCs w:val="0"/>
          <w:color w:val="auto"/>
          <w:spacing w:val="12"/>
          <w:sz w:val="24"/>
          <w:szCs w:val="24"/>
          <w:highlight w:val="none"/>
        </w:rPr>
      </w:pPr>
      <w:r>
        <w:rPr>
          <w:rStyle w:val="47"/>
          <w:rFonts w:hint="eastAsia" w:ascii="宋体" w:hAnsi="宋体" w:eastAsia="宋体" w:cs="宋体"/>
          <w:b w:val="0"/>
          <w:bCs w:val="0"/>
          <w:color w:val="auto"/>
          <w:spacing w:val="12"/>
          <w:sz w:val="24"/>
          <w:szCs w:val="24"/>
          <w:highlight w:val="none"/>
        </w:rPr>
        <w:t xml:space="preserve">    我公司承诺：如我公司在参与</w:t>
      </w:r>
      <w:r>
        <w:rPr>
          <w:rStyle w:val="47"/>
          <w:rFonts w:hint="eastAsia" w:ascii="宋体" w:hAnsi="宋体" w:eastAsia="宋体" w:cs="宋体"/>
          <w:b w:val="0"/>
          <w:bCs w:val="0"/>
          <w:color w:val="auto"/>
          <w:spacing w:val="12"/>
          <w:sz w:val="24"/>
          <w:szCs w:val="24"/>
          <w:highlight w:val="none"/>
          <w:u w:val="single"/>
        </w:rPr>
        <w:t xml:space="preserve">   （项目名称）    </w:t>
      </w:r>
      <w:r>
        <w:rPr>
          <w:rStyle w:val="47"/>
          <w:rFonts w:hint="eastAsia" w:ascii="宋体" w:hAnsi="宋体" w:eastAsia="宋体" w:cs="宋体"/>
          <w:b w:val="0"/>
          <w:bCs w:val="0"/>
          <w:color w:val="auto"/>
          <w:spacing w:val="12"/>
          <w:sz w:val="24"/>
          <w:szCs w:val="24"/>
          <w:highlight w:val="none"/>
        </w:rPr>
        <w:t>中标后，所投货物经采购人验收后若与技术参数偏离表上偏离情况不符合，出现的所有后果由我公司自行承担。</w:t>
      </w:r>
    </w:p>
    <w:p>
      <w:pPr>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color w:val="auto"/>
          <w:spacing w:val="12"/>
          <w:sz w:val="24"/>
          <w:szCs w:val="24"/>
          <w:highlight w:val="none"/>
        </w:rPr>
      </w:pPr>
    </w:p>
    <w:p>
      <w:pPr>
        <w:pStyle w:val="4"/>
        <w:pageBreakBefore w:val="0"/>
        <w:widowControl/>
        <w:kinsoku/>
        <w:overflowPunct/>
        <w:topLinePunct w:val="0"/>
        <w:autoSpaceDE/>
        <w:autoSpaceDN/>
        <w:bidi w:val="0"/>
        <w:adjustRightInd/>
        <w:snapToGrid/>
        <w:spacing w:line="288" w:lineRule="auto"/>
        <w:textAlignment w:val="auto"/>
        <w:rPr>
          <w:rStyle w:val="47"/>
          <w:rFonts w:hint="eastAsia" w:ascii="宋体" w:hAnsi="宋体" w:eastAsia="宋体" w:cs="宋体"/>
          <w:b w:val="0"/>
          <w:bCs w:val="0"/>
          <w:color w:val="auto"/>
          <w:spacing w:val="12"/>
          <w:sz w:val="24"/>
          <w:szCs w:val="24"/>
          <w:highlight w:val="none"/>
        </w:rPr>
      </w:pPr>
    </w:p>
    <w:p>
      <w:pPr>
        <w:pageBreakBefore w:val="0"/>
        <w:widowControl/>
        <w:kinsoku/>
        <w:wordWrap w:val="0"/>
        <w:overflowPunct/>
        <w:topLinePunct w:val="0"/>
        <w:autoSpaceDE/>
        <w:autoSpaceDN/>
        <w:bidi w:val="0"/>
        <w:adjustRightInd/>
        <w:snapToGrid/>
        <w:spacing w:line="288" w:lineRule="auto"/>
        <w:jc w:val="right"/>
        <w:textAlignment w:val="auto"/>
        <w:rPr>
          <w:rStyle w:val="47"/>
          <w:rFonts w:hint="eastAsia" w:ascii="宋体" w:hAnsi="宋体" w:eastAsia="宋体" w:cs="宋体"/>
          <w:b w:val="0"/>
          <w:color w:val="auto"/>
          <w:spacing w:val="12"/>
          <w:sz w:val="24"/>
          <w:szCs w:val="24"/>
          <w:highlight w:val="none"/>
          <w:u w:val="single"/>
        </w:rPr>
      </w:pPr>
      <w:r>
        <w:rPr>
          <w:rStyle w:val="47"/>
          <w:rFonts w:hint="eastAsia" w:ascii="宋体" w:hAnsi="宋体" w:eastAsia="宋体" w:cs="宋体"/>
          <w:b w:val="0"/>
          <w:color w:val="auto"/>
          <w:spacing w:val="12"/>
          <w:sz w:val="24"/>
          <w:szCs w:val="24"/>
          <w:highlight w:val="none"/>
        </w:rPr>
        <w:t>供应商名称：       （盖单位章）</w:t>
      </w:r>
    </w:p>
    <w:p>
      <w:pPr>
        <w:pStyle w:val="4"/>
        <w:pageBreakBefore w:val="0"/>
        <w:widowControl/>
        <w:kinsoku/>
        <w:wordWrap w:val="0"/>
        <w:overflowPunct/>
        <w:topLinePunct w:val="0"/>
        <w:autoSpaceDE/>
        <w:autoSpaceDN/>
        <w:bidi w:val="0"/>
        <w:adjustRightInd/>
        <w:snapToGrid/>
        <w:spacing w:line="288" w:lineRule="auto"/>
        <w:ind w:right="-1" w:firstLine="264" w:firstLineChars="100"/>
        <w:jc w:val="right"/>
        <w:textAlignment w:val="auto"/>
        <w:rPr>
          <w:rFonts w:hint="eastAsia" w:ascii="宋体" w:hAnsi="宋体" w:eastAsia="宋体" w:cs="宋体"/>
          <w:b w:val="0"/>
          <w:color w:val="auto"/>
          <w:sz w:val="24"/>
          <w:szCs w:val="24"/>
          <w:highlight w:val="none"/>
        </w:rPr>
      </w:pPr>
      <w:r>
        <w:rPr>
          <w:rStyle w:val="47"/>
          <w:rFonts w:hint="eastAsia" w:ascii="宋体" w:hAnsi="宋体" w:eastAsia="宋体" w:cs="宋体"/>
          <w:b w:val="0"/>
          <w:bCs w:val="0"/>
          <w:color w:val="auto"/>
          <w:spacing w:val="12"/>
          <w:sz w:val="24"/>
          <w:szCs w:val="24"/>
          <w:highlight w:val="none"/>
        </w:rPr>
        <w:t>日     期：     年   月   日</w:t>
      </w:r>
    </w:p>
    <w:bookmarkEnd w:id="47"/>
    <w:bookmarkEnd w:id="48"/>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三</w:t>
      </w:r>
      <w:r>
        <w:rPr>
          <w:rFonts w:hint="eastAsia" w:ascii="宋体" w:hAnsi="宋体" w:eastAsia="宋体" w:cs="宋体"/>
          <w:b/>
          <w:color w:val="auto"/>
          <w:sz w:val="36"/>
          <w:szCs w:val="36"/>
          <w:highlight w:val="none"/>
        </w:rPr>
        <w:t>、投标货物详细说明</w:t>
      </w:r>
    </w:p>
    <w:tbl>
      <w:tblPr>
        <w:tblStyle w:val="44"/>
        <w:tblW w:w="91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01"/>
        <w:gridCol w:w="993"/>
        <w:gridCol w:w="1417"/>
        <w:gridCol w:w="240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13" w:type="dxa"/>
            <w:gridSpan w:val="6"/>
            <w:vAlign w:val="center"/>
          </w:tcPr>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w:t>
            </w: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性能及技术参数</w:t>
            </w: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70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993"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17"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408"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71" w:type="dxa"/>
            <w:vAlign w:val="center"/>
          </w:tcPr>
          <w:p>
            <w:pPr>
              <w:keepNext w:val="0"/>
              <w:keepLines w:val="0"/>
              <w:pageBreakBefore w:val="0"/>
              <w:widowControl/>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pPr>
        <w:pStyle w:val="17"/>
        <w:keepNext w:val="0"/>
        <w:keepLines w:val="0"/>
        <w:pageBreakBefore w:val="0"/>
        <w:widowControl/>
        <w:kinsoku/>
        <w:wordWrap/>
        <w:overflowPunct w:val="0"/>
        <w:topLinePunct w:val="0"/>
        <w:autoSpaceDE/>
        <w:autoSpaceDN/>
        <w:bidi w:val="0"/>
        <w:snapToGrid/>
        <w:spacing w:before="120" w:beforeLines="50" w:after="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注明：供应商应按招标文件要求，根据“采购需求”详细列出产品的各项技术要求、技术措施或处理（须提供“采购需求”中要求提交的证明资料）</w:t>
      </w:r>
    </w:p>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5353" w:type="dxa"/>
        <w:tblInd w:w="0" w:type="dxa"/>
        <w:tblLayout w:type="fixed"/>
        <w:tblCellMar>
          <w:top w:w="0" w:type="dxa"/>
          <w:left w:w="108" w:type="dxa"/>
          <w:bottom w:w="0" w:type="dxa"/>
          <w:right w:w="108" w:type="dxa"/>
        </w:tblCellMar>
      </w:tblPr>
      <w:tblGrid>
        <w:gridCol w:w="5353"/>
      </w:tblGrid>
      <w:tr>
        <w:tblPrEx>
          <w:tblCellMar>
            <w:top w:w="0" w:type="dxa"/>
            <w:left w:w="108" w:type="dxa"/>
            <w:bottom w:w="0" w:type="dxa"/>
            <w:right w:w="108" w:type="dxa"/>
          </w:tblCellMar>
        </w:tblPrEx>
        <w:tc>
          <w:tcPr>
            <w:tcW w:w="5353" w:type="dxa"/>
            <w:shd w:val="clear" w:color="auto" w:fill="auto"/>
          </w:tcPr>
          <w:p>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tblPrEx>
          <w:tblCellMar>
            <w:top w:w="0" w:type="dxa"/>
            <w:left w:w="108" w:type="dxa"/>
            <w:bottom w:w="0" w:type="dxa"/>
            <w:right w:w="108" w:type="dxa"/>
          </w:tblCellMar>
        </w:tblPrEx>
        <w:tc>
          <w:tcPr>
            <w:tcW w:w="5353" w:type="dxa"/>
            <w:shd w:val="clear" w:color="auto" w:fill="auto"/>
          </w:tcPr>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bl>
    <w:p>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bookmarkEnd w:id="49"/>
    <w:bookmarkEnd w:id="50"/>
    <w:p>
      <w:pP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四</w:t>
      </w:r>
      <w:r>
        <w:rPr>
          <w:rFonts w:hint="eastAsia" w:ascii="宋体" w:hAnsi="宋体" w:eastAsia="宋体" w:cs="宋体"/>
          <w:b/>
          <w:color w:val="auto"/>
          <w:sz w:val="36"/>
          <w:szCs w:val="36"/>
          <w:highlight w:val="none"/>
        </w:rPr>
        <w:t>、具备履行合同所必需设备和专业技术能力承诺书</w:t>
      </w:r>
    </w:p>
    <w:p>
      <w:pPr>
        <w:keepNext w:val="0"/>
        <w:keepLines w:val="0"/>
        <w:pageBreakBefore w:val="0"/>
        <w:widowControl/>
        <w:kinsoku/>
        <w:wordWrap/>
        <w:topLinePunct w:val="0"/>
        <w:autoSpaceDE w:val="0"/>
        <w:autoSpaceDN w:val="0"/>
        <w:bidi w:val="0"/>
        <w:adjustRightInd w:val="0"/>
        <w:snapToGrid/>
        <w:spacing w:before="120" w:beforeLines="50" w:after="120" w:afterLines="50" w:line="288" w:lineRule="auto"/>
        <w:jc w:val="center"/>
        <w:textAlignment w:val="auto"/>
        <w:rPr>
          <w:rFonts w:hint="eastAsia" w:ascii="宋体" w:hAnsi="宋体" w:eastAsia="宋体" w:cs="宋体"/>
          <w:b/>
          <w:color w:val="auto"/>
          <w:sz w:val="24"/>
          <w:szCs w:val="24"/>
          <w:highlight w:val="none"/>
        </w:rPr>
      </w:pPr>
    </w:p>
    <w:p>
      <w:pPr>
        <w:pStyle w:val="17"/>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b/>
          <w:color w:val="auto"/>
          <w:spacing w:val="10"/>
          <w:sz w:val="24"/>
          <w:szCs w:val="24"/>
          <w:highlight w:val="none"/>
        </w:rPr>
      </w:pPr>
    </w:p>
    <w:p>
      <w:pPr>
        <w:pStyle w:val="17"/>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pacing w:val="10"/>
          <w:sz w:val="24"/>
          <w:szCs w:val="24"/>
          <w:highlight w:val="none"/>
        </w:rPr>
        <w:t>供应商需提供承诺书，格式自拟。</w:t>
      </w:r>
    </w:p>
    <w:p>
      <w:pPr>
        <w:pStyle w:val="17"/>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color w:val="auto"/>
          <w:sz w:val="24"/>
          <w:szCs w:val="24"/>
          <w:highlight w:val="none"/>
        </w:rPr>
      </w:pPr>
    </w:p>
    <w:p>
      <w:pPr>
        <w:pStyle w:val="17"/>
        <w:keepNext w:val="0"/>
        <w:keepLines w:val="0"/>
        <w:pageBreakBefore w:val="0"/>
        <w:widowControl/>
        <w:kinsoku/>
        <w:wordWrap/>
        <w:overflowPunct w:val="0"/>
        <w:topLinePunct w:val="0"/>
        <w:bidi w:val="0"/>
        <w:snapToGrid/>
        <w:spacing w:before="120" w:beforeLines="50" w:after="0"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widowControl/>
        <w:kinsoku/>
        <w:wordWrap/>
        <w:topLinePunct w:val="0"/>
        <w:bidi w:val="0"/>
        <w:snapToGrid/>
        <w:spacing w:line="288" w:lineRule="auto"/>
        <w:textAlignment w:val="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Cs w:val="21"/>
          <w:highlight w:val="none"/>
        </w:rPr>
      </w:pPr>
    </w:p>
    <w:tbl>
      <w:tblPr>
        <w:tblStyle w:val="44"/>
        <w:tblW w:w="5738" w:type="dxa"/>
        <w:tblInd w:w="0" w:type="dxa"/>
        <w:tblLayout w:type="fixed"/>
        <w:tblCellMar>
          <w:top w:w="0" w:type="dxa"/>
          <w:left w:w="108" w:type="dxa"/>
          <w:bottom w:w="0" w:type="dxa"/>
          <w:right w:w="108" w:type="dxa"/>
        </w:tblCellMar>
      </w:tblPr>
      <w:tblGrid>
        <w:gridCol w:w="5738"/>
      </w:tblGrid>
      <w:tr>
        <w:tc>
          <w:tcPr>
            <w:tcW w:w="5738"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tblPrEx>
          <w:tblCellMar>
            <w:top w:w="0" w:type="dxa"/>
            <w:left w:w="108" w:type="dxa"/>
            <w:bottom w:w="0" w:type="dxa"/>
            <w:right w:w="108" w:type="dxa"/>
          </w:tblCellMar>
        </w:tblPrEx>
        <w:tc>
          <w:tcPr>
            <w:tcW w:w="5738"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tblPrEx>
          <w:tblCellMar>
            <w:top w:w="0" w:type="dxa"/>
            <w:left w:w="108" w:type="dxa"/>
            <w:bottom w:w="0" w:type="dxa"/>
            <w:right w:w="108" w:type="dxa"/>
          </w:tblCellMar>
        </w:tblPrEx>
        <w:tc>
          <w:tcPr>
            <w:tcW w:w="5738" w:type="dxa"/>
            <w:shd w:val="clear" w:color="auto" w:fill="auto"/>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pPr>
        <w:spacing w:line="360" w:lineRule="auto"/>
        <w:rPr>
          <w:rFonts w:hint="eastAsia" w:ascii="宋体" w:hAnsi="宋体" w:eastAsia="宋体" w:cs="宋体"/>
          <w:color w:val="auto"/>
          <w:szCs w:val="21"/>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五</w:t>
      </w:r>
      <w:r>
        <w:rPr>
          <w:rFonts w:hint="eastAsia" w:ascii="宋体" w:hAnsi="宋体" w:eastAsia="宋体" w:cs="宋体"/>
          <w:b/>
          <w:color w:val="auto"/>
          <w:sz w:val="36"/>
          <w:szCs w:val="36"/>
          <w:highlight w:val="none"/>
        </w:rPr>
        <w:t>、项目实施方案</w:t>
      </w:r>
    </w:p>
    <w:p>
      <w:pPr>
        <w:rPr>
          <w:rFonts w:hint="eastAsia" w:ascii="宋体" w:hAnsi="宋体" w:eastAsia="宋体" w:cs="宋体"/>
          <w:color w:val="auto"/>
          <w:sz w:val="32"/>
          <w:szCs w:val="32"/>
          <w:highlight w:val="none"/>
        </w:rPr>
      </w:pPr>
    </w:p>
    <w:p>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供应商根据“评标办法”自行编写</w:t>
      </w:r>
    </w:p>
    <w:p>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六</w:t>
      </w:r>
      <w:r>
        <w:rPr>
          <w:rFonts w:hint="eastAsia" w:ascii="宋体" w:hAnsi="宋体" w:eastAsia="宋体" w:cs="宋体"/>
          <w:b/>
          <w:color w:val="auto"/>
          <w:sz w:val="36"/>
          <w:szCs w:val="36"/>
          <w:highlight w:val="none"/>
        </w:rPr>
        <w:t>、投标保证金汇入情况说明</w:t>
      </w:r>
    </w:p>
    <w:p>
      <w:pPr>
        <w:keepNext w:val="0"/>
        <w:keepLines w:val="0"/>
        <w:pageBreakBefore w:val="0"/>
        <w:widowControl/>
        <w:kinsoku/>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致：采购代理机构名称</w:t>
      </w:r>
    </w:p>
    <w:p>
      <w:pPr>
        <w:keepNext w:val="0"/>
        <w:keepLines w:val="0"/>
        <w:pageBreakBefore w:val="0"/>
        <w:widowControl/>
        <w:kinsoku/>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本单位已按</w:t>
      </w:r>
      <w:r>
        <w:rPr>
          <w:rFonts w:hint="eastAsia" w:ascii="宋体" w:hAnsi="宋体" w:eastAsia="宋体" w:cs="宋体"/>
          <w:b/>
          <w:bCs/>
          <w:color w:val="auto"/>
          <w:sz w:val="24"/>
          <w:szCs w:val="24"/>
          <w:highlight w:val="none"/>
          <w:u w:val="single"/>
        </w:rPr>
        <w:t xml:space="preserve">     （项目名称）</w:t>
      </w:r>
      <w:r>
        <w:rPr>
          <w:rFonts w:hint="eastAsia" w:ascii="宋体" w:hAnsi="宋体" w:eastAsia="宋体" w:cs="宋体"/>
          <w:b/>
          <w:bCs/>
          <w:color w:val="auto"/>
          <w:sz w:val="24"/>
          <w:szCs w:val="24"/>
          <w:highlight w:val="none"/>
        </w:rPr>
        <w:t>（项目编号：）的招标文件要求，于  年  月  日前以（付款形式）方式汇入指定帐户（帐户名称：，帐号：，开户银行：）。</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本单位投标保证金的汇款情况：（详见附件－投标保证金汇款凭证）</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汇出时间：年月日；</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汇款金额：（大写）人民币元（小写：￥元），</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汇款帐户名称：</w:t>
      </w:r>
      <w:r>
        <w:rPr>
          <w:rFonts w:hint="eastAsia" w:ascii="宋体" w:hAnsi="宋体" w:eastAsia="宋体" w:cs="宋体"/>
          <w:color w:val="auto"/>
          <w:sz w:val="24"/>
          <w:szCs w:val="24"/>
          <w:highlight w:val="none"/>
          <w:u w:val="single"/>
        </w:rPr>
        <w:t xml:space="preserve">         （必须是投标时使用的帐户名          </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（必须是投标时使用的帐号）                   </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本单位谨承诺上述资料是正确、真实的，如因上述证明与事实不符导致的一切损失，本单位保证承担赔偿等一切法律责任。</w:t>
      </w:r>
    </w:p>
    <w:p>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投标保证金退回时，请按上述资料退回。</w:t>
      </w:r>
    </w:p>
    <w:p>
      <w:pPr>
        <w:keepNext w:val="0"/>
        <w:keepLines w:val="0"/>
        <w:pageBreakBefore w:val="0"/>
        <w:widowControl/>
        <w:kinsoku/>
        <w:overflowPunct/>
        <w:topLinePunct w:val="0"/>
        <w:autoSpaceDE/>
        <w:autoSpaceDN/>
        <w:bidi w:val="0"/>
        <w:adjustRightInd/>
        <w:snapToGrid/>
        <w:spacing w:line="288" w:lineRule="auto"/>
        <w:ind w:right="804" w:rightChars="4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pPr>
        <w:keepNext w:val="0"/>
        <w:keepLines w:val="0"/>
        <w:pageBreakBefore w:val="0"/>
        <w:widowControl/>
        <w:kinsoku/>
        <w:wordWrap w:val="0"/>
        <w:overflowPunct/>
        <w:topLinePunct w:val="0"/>
        <w:autoSpaceDE/>
        <w:autoSpaceDN/>
        <w:bidi w:val="0"/>
        <w:adjustRightInd/>
        <w:snapToGrid/>
        <w:spacing w:line="288" w:lineRule="auto"/>
        <w:ind w:right="598" w:rightChars="299"/>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i/>
          <w:color w:val="auto"/>
          <w:sz w:val="24"/>
          <w:szCs w:val="24"/>
          <w:highlight w:val="none"/>
          <w:u w:val="single"/>
        </w:rPr>
        <w:t>（投标单位财务）</w:t>
      </w:r>
    </w:p>
    <w:p>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      联系人手机：</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附件一：我方投标保证金汇款凭证（复印件加盖供应商公章）</w:t>
            </w:r>
          </w:p>
        </w:tc>
      </w:tr>
    </w:tbl>
    <w:p>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注：本情况说明手写无效。</w:t>
      </w:r>
    </w:p>
    <w:p>
      <w:pPr>
        <w:autoSpaceDE w:val="0"/>
        <w:autoSpaceDN w:val="0"/>
        <w:adjustRightInd w:val="0"/>
        <w:spacing w:before="120" w:beforeLines="50" w:after="120" w:afterLines="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、供应商认为有必要提供的其他材料</w:t>
      </w:r>
    </w:p>
    <w:p>
      <w:pP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供应商按招标文件要求自行填写，不作统一格式要求。</w:t>
      </w:r>
      <w:r>
        <w:rPr>
          <w:rFonts w:hint="eastAsia" w:ascii="宋体" w:hAnsi="宋体" w:eastAsia="宋体" w:cs="宋体"/>
          <w:b/>
          <w:color w:val="auto"/>
          <w:sz w:val="24"/>
          <w:szCs w:val="24"/>
          <w:highlight w:val="none"/>
        </w:rPr>
        <w:br w:type="page"/>
      </w:r>
    </w:p>
    <w:p>
      <w:pPr>
        <w:spacing w:line="360" w:lineRule="auto"/>
        <w:jc w:val="center"/>
        <w:rPr>
          <w:rFonts w:hint="eastAsia" w:ascii="宋体" w:hAnsi="宋体" w:eastAsia="宋体" w:cs="宋体"/>
          <w:b/>
          <w:color w:val="auto"/>
          <w:sz w:val="36"/>
          <w:szCs w:val="36"/>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评标办法目录索引表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按招标文件中评标方法、步骤、标准相对应条款填写</w:t>
      </w:r>
      <w:r>
        <w:rPr>
          <w:rFonts w:hint="eastAsia" w:ascii="宋体" w:hAnsi="宋体" w:eastAsia="宋体" w:cs="宋体"/>
          <w:b/>
          <w:bCs/>
          <w:color w:val="auto"/>
          <w:sz w:val="24"/>
          <w:szCs w:val="24"/>
          <w:highlight w:val="none"/>
        </w:rPr>
        <w:t>（此表格必须放置在目录处）</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jc w:val="center"/>
        <w:rPr>
          <w:rFonts w:hint="eastAsia"/>
          <w:b/>
          <w:bCs/>
          <w:color w:val="auto"/>
          <w:sz w:val="44"/>
          <w:szCs w:val="44"/>
          <w:highlight w:val="none"/>
        </w:rPr>
      </w:pPr>
      <w:r>
        <w:rPr>
          <w:rFonts w:hint="eastAsia"/>
          <w:b/>
          <w:bCs/>
          <w:color w:val="auto"/>
          <w:sz w:val="44"/>
          <w:szCs w:val="44"/>
          <w:highlight w:val="none"/>
        </w:rPr>
        <w:t>中小企业声明函（货物）</w:t>
      </w:r>
    </w:p>
    <w:p>
      <w:pPr>
        <w:ind w:firstLine="640" w:firstLineChars="200"/>
        <w:rPr>
          <w:rFonts w:hint="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highlight w:val="none"/>
        </w:rPr>
      </w:pPr>
      <w:r>
        <w:rPr>
          <w:rFonts w:hint="eastAsia"/>
          <w:i w:val="0"/>
          <w:iCs w:val="0"/>
          <w:color w:val="auto"/>
          <w:sz w:val="32"/>
          <w:szCs w:val="32"/>
          <w:highlight w:val="none"/>
        </w:rPr>
        <w:t>本公司郑重声明，根据《政府采购促进中小企业发展管理办法》（财库﹝2020﹞46 号）的规定，本公司参加</w:t>
      </w:r>
      <w:r>
        <w:rPr>
          <w:rFonts w:hint="eastAsia" w:eastAsia="宋体"/>
          <w:i w:val="0"/>
          <w:iCs w:val="0"/>
          <w:color w:val="auto"/>
          <w:sz w:val="32"/>
          <w:szCs w:val="32"/>
          <w:highlight w:val="none"/>
          <w:u w:val="words"/>
        </w:rPr>
        <w:t>（单位名称）</w:t>
      </w:r>
      <w:r>
        <w:rPr>
          <w:rFonts w:hint="eastAsia"/>
          <w:i w:val="0"/>
          <w:iCs w:val="0"/>
          <w:color w:val="auto"/>
          <w:sz w:val="32"/>
          <w:szCs w:val="32"/>
          <w:highlight w:val="none"/>
        </w:rPr>
        <w:t>的</w:t>
      </w:r>
      <w:r>
        <w:rPr>
          <w:rFonts w:hint="eastAsia" w:eastAsia="宋体"/>
          <w:i w:val="0"/>
          <w:iCs w:val="0"/>
          <w:color w:val="auto"/>
          <w:sz w:val="32"/>
          <w:szCs w:val="32"/>
          <w:highlight w:val="none"/>
          <w:u w:val="words"/>
        </w:rPr>
        <w:t>（项目名称）</w:t>
      </w:r>
      <w:r>
        <w:rPr>
          <w:rFonts w:hint="eastAsia"/>
          <w:i w:val="0"/>
          <w:iCs w:val="0"/>
          <w:color w:val="auto"/>
          <w:sz w:val="32"/>
          <w:szCs w:val="32"/>
          <w:highlight w:val="none"/>
        </w:rPr>
        <w:t>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highlight w:val="none"/>
        </w:rPr>
      </w:pPr>
      <w:r>
        <w:rPr>
          <w:rFonts w:hint="eastAsia"/>
          <w:i w:val="0"/>
          <w:iCs w:val="0"/>
          <w:color w:val="auto"/>
          <w:sz w:val="32"/>
          <w:szCs w:val="32"/>
          <w:highlight w:val="none"/>
        </w:rPr>
        <w:t xml:space="preserve">1. </w:t>
      </w:r>
      <w:r>
        <w:rPr>
          <w:rFonts w:hint="eastAsia" w:eastAsia="宋体"/>
          <w:i w:val="0"/>
          <w:iCs w:val="0"/>
          <w:color w:val="auto"/>
          <w:sz w:val="32"/>
          <w:szCs w:val="32"/>
          <w:highlight w:val="none"/>
          <w:u w:val="words"/>
        </w:rPr>
        <w:t>（标的名称）</w:t>
      </w:r>
      <w:r>
        <w:rPr>
          <w:rFonts w:hint="eastAsia"/>
          <w:i w:val="0"/>
          <w:iCs w:val="0"/>
          <w:color w:val="auto"/>
          <w:sz w:val="32"/>
          <w:szCs w:val="32"/>
          <w:highlight w:val="none"/>
        </w:rPr>
        <w:t>，属于</w:t>
      </w:r>
      <w:r>
        <w:rPr>
          <w:rFonts w:hint="eastAsia" w:eastAsia="宋体"/>
          <w:i w:val="0"/>
          <w:iCs w:val="0"/>
          <w:color w:val="auto"/>
          <w:sz w:val="32"/>
          <w:szCs w:val="32"/>
          <w:highlight w:val="none"/>
          <w:u w:val="words"/>
        </w:rPr>
        <w:t>（</w:t>
      </w:r>
      <w:r>
        <w:rPr>
          <w:rFonts w:hint="eastAsia"/>
          <w:i w:val="0"/>
          <w:iCs w:val="0"/>
          <w:color w:val="auto"/>
          <w:sz w:val="32"/>
          <w:szCs w:val="32"/>
          <w:highlight w:val="none"/>
          <w:u w:val="single"/>
          <w:lang w:val="en-US" w:eastAsia="zh-CN"/>
        </w:rPr>
        <w:t xml:space="preserve">     </w:t>
      </w:r>
      <w:r>
        <w:rPr>
          <w:rFonts w:hint="eastAsia" w:eastAsia="宋体"/>
          <w:i w:val="0"/>
          <w:iCs w:val="0"/>
          <w:color w:val="auto"/>
          <w:sz w:val="32"/>
          <w:szCs w:val="32"/>
          <w:highlight w:val="none"/>
          <w:u w:val="words"/>
        </w:rPr>
        <w:t>）行业</w:t>
      </w:r>
      <w:r>
        <w:rPr>
          <w:rFonts w:hint="eastAsia"/>
          <w:i w:val="0"/>
          <w:iCs w:val="0"/>
          <w:color w:val="auto"/>
          <w:sz w:val="32"/>
          <w:szCs w:val="32"/>
          <w:highlight w:val="none"/>
        </w:rPr>
        <w:t>；制造商为</w:t>
      </w:r>
      <w:r>
        <w:rPr>
          <w:rFonts w:hint="eastAsia" w:eastAsia="宋体"/>
          <w:i w:val="0"/>
          <w:iCs w:val="0"/>
          <w:color w:val="auto"/>
          <w:sz w:val="32"/>
          <w:szCs w:val="32"/>
          <w:highlight w:val="none"/>
          <w:u w:val="words"/>
        </w:rPr>
        <w:t>（企业名称）</w:t>
      </w:r>
      <w:r>
        <w:rPr>
          <w:rFonts w:hint="eastAsia"/>
          <w:i w:val="0"/>
          <w:iCs w:val="0"/>
          <w:color w:val="auto"/>
          <w:sz w:val="32"/>
          <w:szCs w:val="32"/>
          <w:highlight w:val="none"/>
        </w:rPr>
        <w:t>，从业人员</w:t>
      </w:r>
      <w:r>
        <w:rPr>
          <w:rFonts w:hint="eastAsia" w:eastAsia="宋体"/>
          <w:i w:val="0"/>
          <w:iCs w:val="0"/>
          <w:color w:val="auto"/>
          <w:sz w:val="32"/>
          <w:szCs w:val="32"/>
          <w:highlight w:val="none"/>
          <w:u w:val="single"/>
        </w:rPr>
        <w:t xml:space="preserve"> </w:t>
      </w:r>
      <w:r>
        <w:rPr>
          <w:rFonts w:hint="eastAsia" w:eastAsia="宋体"/>
          <w:i w:val="0"/>
          <w:iCs w:val="0"/>
          <w:color w:val="auto"/>
          <w:sz w:val="32"/>
          <w:szCs w:val="32"/>
          <w:highlight w:val="none"/>
          <w:u w:val="single"/>
          <w:lang w:val="en-US" w:eastAsia="zh-CN"/>
        </w:rPr>
        <w:t xml:space="preserve">    </w:t>
      </w:r>
      <w:r>
        <w:rPr>
          <w:rFonts w:hint="eastAsia"/>
          <w:i w:val="0"/>
          <w:iCs w:val="0"/>
          <w:color w:val="auto"/>
          <w:sz w:val="32"/>
          <w:szCs w:val="32"/>
          <w:highlight w:val="none"/>
        </w:rPr>
        <w:t>人，营业收入为</w:t>
      </w:r>
      <w:r>
        <w:rPr>
          <w:rFonts w:hint="eastAsia" w:eastAsia="宋体"/>
          <w:i w:val="0"/>
          <w:iCs w:val="0"/>
          <w:color w:val="auto"/>
          <w:sz w:val="32"/>
          <w:szCs w:val="32"/>
          <w:highlight w:val="none"/>
          <w:u w:val="single"/>
          <w:lang w:val="en-US" w:eastAsia="zh-CN"/>
        </w:rPr>
        <w:t xml:space="preserve">      </w:t>
      </w:r>
      <w:r>
        <w:rPr>
          <w:rFonts w:hint="eastAsia"/>
          <w:i w:val="0"/>
          <w:iCs w:val="0"/>
          <w:color w:val="auto"/>
          <w:sz w:val="32"/>
          <w:szCs w:val="32"/>
          <w:highlight w:val="none"/>
        </w:rPr>
        <w:t>万元，资产总额为</w:t>
      </w:r>
      <w:r>
        <w:rPr>
          <w:rFonts w:hint="eastAsia" w:eastAsia="宋体"/>
          <w:i w:val="0"/>
          <w:iCs w:val="0"/>
          <w:color w:val="auto"/>
          <w:sz w:val="32"/>
          <w:szCs w:val="32"/>
          <w:highlight w:val="none"/>
          <w:u w:val="single"/>
          <w:lang w:val="en-US" w:eastAsia="zh-CN"/>
        </w:rPr>
        <w:t xml:space="preserve">      </w:t>
      </w:r>
      <w:r>
        <w:rPr>
          <w:rFonts w:hint="eastAsia"/>
          <w:i w:val="0"/>
          <w:iCs w:val="0"/>
          <w:color w:val="auto"/>
          <w:sz w:val="32"/>
          <w:szCs w:val="32"/>
          <w:highlight w:val="none"/>
        </w:rPr>
        <w:t>万元，属于</w:t>
      </w:r>
      <w:r>
        <w:rPr>
          <w:rFonts w:hint="eastAsia" w:eastAsia="宋体"/>
          <w:i w:val="0"/>
          <w:iCs w:val="0"/>
          <w:color w:val="auto"/>
          <w:sz w:val="32"/>
          <w:szCs w:val="32"/>
          <w:highlight w:val="none"/>
          <w:u w:val="words"/>
        </w:rPr>
        <w:t>（中型企业、小型企业、微型企业）</w:t>
      </w:r>
      <w:r>
        <w:rPr>
          <w:rFonts w:hint="eastAsia"/>
          <w:i w:val="0"/>
          <w:i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highlight w:val="none"/>
        </w:rPr>
      </w:pPr>
      <w:r>
        <w:rPr>
          <w:rFonts w:hint="eastAsia"/>
          <w:i w:val="0"/>
          <w:iCs w:val="0"/>
          <w:color w:val="auto"/>
          <w:sz w:val="32"/>
          <w:szCs w:val="32"/>
          <w:highlight w:val="none"/>
        </w:rPr>
        <w:t xml:space="preserve">2. </w:t>
      </w:r>
      <w:r>
        <w:rPr>
          <w:rFonts w:hint="eastAsia" w:eastAsia="宋体"/>
          <w:i w:val="0"/>
          <w:iCs w:val="0"/>
          <w:color w:val="auto"/>
          <w:sz w:val="32"/>
          <w:szCs w:val="32"/>
          <w:highlight w:val="none"/>
          <w:u w:val="words"/>
        </w:rPr>
        <w:t>（标的名称）</w:t>
      </w:r>
      <w:r>
        <w:rPr>
          <w:rFonts w:hint="eastAsia"/>
          <w:i w:val="0"/>
          <w:iCs w:val="0"/>
          <w:color w:val="auto"/>
          <w:sz w:val="32"/>
          <w:szCs w:val="32"/>
          <w:highlight w:val="none"/>
        </w:rPr>
        <w:t>，属于</w:t>
      </w:r>
      <w:r>
        <w:rPr>
          <w:rFonts w:hint="eastAsia" w:eastAsia="宋体"/>
          <w:i w:val="0"/>
          <w:iCs w:val="0"/>
          <w:color w:val="auto"/>
          <w:sz w:val="32"/>
          <w:szCs w:val="32"/>
          <w:highlight w:val="none"/>
          <w:u w:val="words"/>
        </w:rPr>
        <w:t>（</w:t>
      </w:r>
      <w:r>
        <w:rPr>
          <w:rFonts w:hint="eastAsia"/>
          <w:i w:val="0"/>
          <w:iCs w:val="0"/>
          <w:color w:val="auto"/>
          <w:sz w:val="32"/>
          <w:szCs w:val="32"/>
          <w:highlight w:val="none"/>
          <w:u w:val="single"/>
          <w:lang w:val="en-US" w:eastAsia="zh-CN"/>
        </w:rPr>
        <w:t xml:space="preserve">    </w:t>
      </w:r>
      <w:r>
        <w:rPr>
          <w:rFonts w:hint="eastAsia" w:eastAsia="宋体"/>
          <w:i w:val="0"/>
          <w:iCs w:val="0"/>
          <w:color w:val="auto"/>
          <w:sz w:val="32"/>
          <w:szCs w:val="32"/>
          <w:highlight w:val="none"/>
          <w:u w:val="words"/>
        </w:rPr>
        <w:t>）行业</w:t>
      </w:r>
      <w:r>
        <w:rPr>
          <w:rFonts w:hint="eastAsia"/>
          <w:i w:val="0"/>
          <w:iCs w:val="0"/>
          <w:color w:val="auto"/>
          <w:sz w:val="32"/>
          <w:szCs w:val="32"/>
          <w:highlight w:val="none"/>
        </w:rPr>
        <w:t>；制造商为</w:t>
      </w:r>
      <w:r>
        <w:rPr>
          <w:rFonts w:hint="eastAsia" w:eastAsia="宋体"/>
          <w:i w:val="0"/>
          <w:iCs w:val="0"/>
          <w:color w:val="auto"/>
          <w:sz w:val="32"/>
          <w:szCs w:val="32"/>
          <w:highlight w:val="none"/>
          <w:u w:val="words"/>
        </w:rPr>
        <w:t>（企业名称）</w:t>
      </w:r>
      <w:r>
        <w:rPr>
          <w:rFonts w:hint="eastAsia"/>
          <w:i w:val="0"/>
          <w:iCs w:val="0"/>
          <w:color w:val="auto"/>
          <w:sz w:val="32"/>
          <w:szCs w:val="32"/>
          <w:highlight w:val="none"/>
        </w:rPr>
        <w:t>，从业人员</w:t>
      </w:r>
      <w:r>
        <w:rPr>
          <w:rFonts w:hint="eastAsia" w:eastAsia="宋体"/>
          <w:i w:val="0"/>
          <w:iCs w:val="0"/>
          <w:color w:val="auto"/>
          <w:sz w:val="32"/>
          <w:szCs w:val="32"/>
          <w:highlight w:val="none"/>
          <w:u w:val="single"/>
        </w:rPr>
        <w:t xml:space="preserve"> </w:t>
      </w:r>
      <w:r>
        <w:rPr>
          <w:rFonts w:hint="eastAsia" w:eastAsia="宋体"/>
          <w:i w:val="0"/>
          <w:iCs w:val="0"/>
          <w:color w:val="auto"/>
          <w:sz w:val="32"/>
          <w:szCs w:val="32"/>
          <w:highlight w:val="none"/>
          <w:u w:val="single"/>
          <w:lang w:val="en-US" w:eastAsia="zh-CN"/>
        </w:rPr>
        <w:t xml:space="preserve">    </w:t>
      </w:r>
      <w:r>
        <w:rPr>
          <w:rFonts w:hint="eastAsia"/>
          <w:i w:val="0"/>
          <w:iCs w:val="0"/>
          <w:color w:val="auto"/>
          <w:sz w:val="32"/>
          <w:szCs w:val="32"/>
          <w:highlight w:val="none"/>
        </w:rPr>
        <w:t>人，营业收入为</w:t>
      </w:r>
      <w:r>
        <w:rPr>
          <w:rFonts w:hint="eastAsia" w:eastAsia="宋体"/>
          <w:i w:val="0"/>
          <w:iCs w:val="0"/>
          <w:color w:val="auto"/>
          <w:sz w:val="32"/>
          <w:szCs w:val="32"/>
          <w:highlight w:val="none"/>
          <w:u w:val="single"/>
          <w:lang w:val="en-US" w:eastAsia="zh-CN"/>
        </w:rPr>
        <w:t xml:space="preserve">      </w:t>
      </w:r>
      <w:r>
        <w:rPr>
          <w:rFonts w:hint="eastAsia"/>
          <w:i w:val="0"/>
          <w:iCs w:val="0"/>
          <w:color w:val="auto"/>
          <w:sz w:val="32"/>
          <w:szCs w:val="32"/>
          <w:highlight w:val="none"/>
        </w:rPr>
        <w:t>万元，资产总额为</w:t>
      </w:r>
      <w:r>
        <w:rPr>
          <w:rFonts w:hint="eastAsia" w:eastAsia="宋体"/>
          <w:i w:val="0"/>
          <w:iCs w:val="0"/>
          <w:color w:val="auto"/>
          <w:sz w:val="32"/>
          <w:szCs w:val="32"/>
          <w:highlight w:val="none"/>
          <w:u w:val="single"/>
          <w:lang w:val="en-US" w:eastAsia="zh-CN"/>
        </w:rPr>
        <w:t xml:space="preserve">      </w:t>
      </w:r>
      <w:r>
        <w:rPr>
          <w:rFonts w:hint="eastAsia"/>
          <w:i w:val="0"/>
          <w:iCs w:val="0"/>
          <w:color w:val="auto"/>
          <w:sz w:val="32"/>
          <w:szCs w:val="32"/>
          <w:highlight w:val="none"/>
        </w:rPr>
        <w:t>万元，属于</w:t>
      </w:r>
      <w:r>
        <w:rPr>
          <w:rFonts w:hint="eastAsia" w:eastAsia="宋体"/>
          <w:i w:val="0"/>
          <w:iCs w:val="0"/>
          <w:color w:val="auto"/>
          <w:sz w:val="32"/>
          <w:szCs w:val="32"/>
          <w:highlight w:val="none"/>
          <w:u w:val="words"/>
        </w:rPr>
        <w:t>（中型企业、小型企业、微型企业）</w:t>
      </w:r>
      <w:r>
        <w:rPr>
          <w:rFonts w:hint="eastAsia"/>
          <w:i w:val="0"/>
          <w:i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highlight w:val="none"/>
        </w:rPr>
      </w:pPr>
      <w:r>
        <w:rPr>
          <w:rFonts w:hint="eastAsia"/>
          <w:i w:val="0"/>
          <w:i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highlight w:val="none"/>
        </w:rPr>
      </w:pPr>
      <w:r>
        <w:rPr>
          <w:rFonts w:hint="eastAsia"/>
          <w:i w:val="0"/>
          <w:iCs w:val="0"/>
          <w:color w:val="auto"/>
          <w:sz w:val="32"/>
          <w:szCs w:val="32"/>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i w:val="0"/>
          <w:iCs w:val="0"/>
          <w:color w:val="auto"/>
          <w:sz w:val="32"/>
          <w:szCs w:val="32"/>
          <w:highlight w:val="none"/>
        </w:rPr>
      </w:pPr>
      <w:r>
        <w:rPr>
          <w:rFonts w:hint="eastAsia"/>
          <w:i w:val="0"/>
          <w:iCs w:val="0"/>
          <w:color w:val="auto"/>
          <w:sz w:val="32"/>
          <w:szCs w:val="32"/>
          <w:highlight w:val="none"/>
        </w:rPr>
        <w:t>本企业对上述声明内容的真实性负责。如有虚假，将依法承担相应责任。</w:t>
      </w:r>
    </w:p>
    <w:p>
      <w:pPr>
        <w:ind w:firstLine="4160" w:firstLineChars="1300"/>
        <w:rPr>
          <w:rFonts w:hint="eastAsia"/>
          <w:i w:val="0"/>
          <w:iCs w:val="0"/>
          <w:color w:val="auto"/>
          <w:sz w:val="32"/>
          <w:szCs w:val="32"/>
          <w:highlight w:val="none"/>
        </w:rPr>
      </w:pPr>
      <w:r>
        <w:rPr>
          <w:rFonts w:hint="eastAsia"/>
          <w:i w:val="0"/>
          <w:iCs w:val="0"/>
          <w:color w:val="auto"/>
          <w:sz w:val="32"/>
          <w:szCs w:val="32"/>
          <w:highlight w:val="none"/>
        </w:rPr>
        <w:t>企业名称（盖章）：</w:t>
      </w:r>
    </w:p>
    <w:p>
      <w:pPr>
        <w:ind w:firstLine="4160" w:firstLineChars="1300"/>
        <w:rPr>
          <w:rFonts w:hint="eastAsia"/>
          <w:i w:val="0"/>
          <w:iCs w:val="0"/>
          <w:color w:val="auto"/>
          <w:sz w:val="32"/>
          <w:szCs w:val="32"/>
          <w:highlight w:val="none"/>
        </w:rPr>
      </w:pPr>
      <w:r>
        <w:rPr>
          <w:rFonts w:hint="eastAsia"/>
          <w:i w:val="0"/>
          <w:iCs w:val="0"/>
          <w:color w:val="auto"/>
          <w:sz w:val="32"/>
          <w:szCs w:val="32"/>
          <w:highlight w:val="none"/>
        </w:rPr>
        <w:t>日 期：</w:t>
      </w:r>
    </w:p>
    <w:p>
      <w:pPr>
        <w:rPr>
          <w:rFonts w:hint="eastAsia"/>
          <w:b/>
          <w:bCs/>
          <w:i w:val="0"/>
          <w:iCs w:val="0"/>
          <w:color w:val="auto"/>
          <w:sz w:val="21"/>
          <w:szCs w:val="21"/>
          <w:highlight w:val="none"/>
          <w:lang w:eastAsia="zh-CN"/>
        </w:rPr>
      </w:pPr>
      <w:r>
        <w:rPr>
          <w:rFonts w:hint="eastAsia"/>
          <w:b/>
          <w:bCs/>
          <w:i w:val="0"/>
          <w:iCs w:val="0"/>
          <w:color w:val="auto"/>
          <w:sz w:val="21"/>
          <w:szCs w:val="21"/>
          <w:highlight w:val="none"/>
          <w:lang w:eastAsia="zh-CN"/>
        </w:rPr>
        <w:t>备注：</w:t>
      </w:r>
    </w:p>
    <w:p>
      <w:pPr>
        <w:rPr>
          <w:rFonts w:hint="default"/>
          <w:b/>
          <w:bCs/>
          <w:i w:val="0"/>
          <w:iCs w:val="0"/>
          <w:color w:val="auto"/>
          <w:sz w:val="21"/>
          <w:szCs w:val="21"/>
          <w:highlight w:val="none"/>
          <w:lang w:val="en-US" w:eastAsia="zh-CN"/>
        </w:rPr>
      </w:pPr>
      <w:r>
        <w:rPr>
          <w:rFonts w:hint="eastAsia"/>
          <w:b/>
          <w:bCs/>
          <w:i w:val="0"/>
          <w:iCs w:val="0"/>
          <w:color w:val="auto"/>
          <w:sz w:val="21"/>
          <w:szCs w:val="21"/>
          <w:highlight w:val="none"/>
          <w:lang w:val="en-US" w:eastAsia="zh-CN"/>
        </w:rPr>
        <w:t>1、</w:t>
      </w:r>
      <w:r>
        <w:rPr>
          <w:rFonts w:hint="eastAsia" w:ascii="新宋体" w:hAnsi="新宋体" w:eastAsia="新宋体"/>
          <w:b/>
          <w:i w:val="0"/>
          <w:iCs w:val="0"/>
          <w:color w:val="auto"/>
          <w:sz w:val="21"/>
          <w:szCs w:val="21"/>
          <w:highlight w:val="none"/>
        </w:rPr>
        <w:t>如</w:t>
      </w:r>
      <w:r>
        <w:rPr>
          <w:rFonts w:hint="eastAsia" w:ascii="新宋体" w:hAnsi="新宋体" w:eastAsia="新宋体"/>
          <w:b/>
          <w:i w:val="0"/>
          <w:iCs w:val="0"/>
          <w:color w:val="auto"/>
          <w:sz w:val="21"/>
          <w:szCs w:val="21"/>
          <w:highlight w:val="none"/>
          <w:lang w:eastAsia="zh-CN"/>
        </w:rPr>
        <w:t>货物制造商</w:t>
      </w:r>
      <w:r>
        <w:rPr>
          <w:rFonts w:hint="eastAsia" w:ascii="新宋体" w:hAnsi="新宋体" w:eastAsia="新宋体"/>
          <w:b/>
          <w:i w:val="0"/>
          <w:iCs w:val="0"/>
          <w:color w:val="auto"/>
          <w:sz w:val="21"/>
          <w:szCs w:val="21"/>
          <w:highlight w:val="none"/>
        </w:rPr>
        <w:t>非小微企业，本声明函无需填写。</w:t>
      </w:r>
    </w:p>
    <w:p>
      <w:pPr>
        <w:numPr>
          <w:ilvl w:val="0"/>
          <w:numId w:val="0"/>
        </w:numPr>
        <w:rPr>
          <w:rFonts w:hint="eastAsia"/>
          <w:b/>
          <w:bCs/>
          <w:i w:val="0"/>
          <w:iCs w:val="0"/>
          <w:color w:val="auto"/>
          <w:sz w:val="21"/>
          <w:szCs w:val="21"/>
          <w:highlight w:val="none"/>
          <w:lang w:eastAsia="zh-CN"/>
        </w:rPr>
      </w:pPr>
      <w:r>
        <w:rPr>
          <w:rFonts w:hint="eastAsia"/>
          <w:b/>
          <w:bCs/>
          <w:i w:val="0"/>
          <w:iCs w:val="0"/>
          <w:color w:val="auto"/>
          <w:sz w:val="21"/>
          <w:szCs w:val="21"/>
          <w:highlight w:val="none"/>
          <w:lang w:val="en-US" w:eastAsia="zh-CN"/>
        </w:rPr>
        <w:t>2、</w:t>
      </w:r>
      <w:r>
        <w:rPr>
          <w:rFonts w:hint="eastAsia"/>
          <w:b/>
          <w:bCs/>
          <w:i w:val="0"/>
          <w:iCs w:val="0"/>
          <w:color w:val="auto"/>
          <w:sz w:val="21"/>
          <w:szCs w:val="21"/>
          <w:highlight w:val="none"/>
        </w:rPr>
        <w:t>从业人员、营业收入、资产总额填报上一年度数据，无上一年度数据的新成立企业可不填报</w:t>
      </w:r>
      <w:r>
        <w:rPr>
          <w:rFonts w:hint="eastAsia"/>
          <w:b/>
          <w:bCs/>
          <w:i w:val="0"/>
          <w:iCs w:val="0"/>
          <w:color w:val="auto"/>
          <w:sz w:val="21"/>
          <w:szCs w:val="21"/>
          <w:highlight w:val="none"/>
          <w:lang w:eastAsia="zh-CN"/>
        </w:rPr>
        <w:t>。</w:t>
      </w:r>
    </w:p>
    <w:p>
      <w:pPr>
        <w:jc w:val="center"/>
        <w:rPr>
          <w:color w:val="auto"/>
          <w:sz w:val="36"/>
          <w:szCs w:val="36"/>
          <w:highlight w:val="none"/>
        </w:rPr>
      </w:pPr>
      <w:bookmarkStart w:id="51" w:name="OLE_LINK13"/>
      <w:bookmarkStart w:id="52" w:name="OLE_LINK14"/>
      <w:r>
        <w:rPr>
          <w:rFonts w:hint="eastAsia"/>
          <w:i w:val="0"/>
          <w:iCs w:val="0"/>
          <w:color w:val="auto"/>
          <w:sz w:val="36"/>
          <w:szCs w:val="36"/>
          <w:highlight w:val="none"/>
        </w:rPr>
        <w:br w:type="page"/>
      </w:r>
      <w:r>
        <w:rPr>
          <w:rFonts w:hint="eastAsia"/>
          <w:color w:val="auto"/>
          <w:sz w:val="36"/>
          <w:szCs w:val="36"/>
          <w:highlight w:val="none"/>
        </w:rPr>
        <w:t>残疾人福利性单位声明函</w:t>
      </w:r>
    </w:p>
    <w:bookmarkEnd w:id="51"/>
    <w:bookmarkEnd w:id="52"/>
    <w:p>
      <w:pPr>
        <w:spacing w:line="588" w:lineRule="exact"/>
        <w:rPr>
          <w:rFonts w:ascii="仿宋_GB2312" w:eastAsia="仿宋_GB2312"/>
          <w:b/>
          <w:color w:val="auto"/>
          <w:spacing w:val="6"/>
          <w:sz w:val="30"/>
          <w:szCs w:val="30"/>
          <w:highlight w:val="none"/>
        </w:rPr>
      </w:pPr>
    </w:p>
    <w:p>
      <w:pPr>
        <w:spacing w:line="588" w:lineRule="exact"/>
        <w:ind w:firstLine="640" w:firstLineChars="200"/>
        <w:rPr>
          <w:color w:val="auto"/>
          <w:sz w:val="32"/>
          <w:szCs w:val="32"/>
          <w:highlight w:val="none"/>
        </w:rPr>
      </w:pPr>
      <w:r>
        <w:rPr>
          <w:rFonts w:hint="eastAsia"/>
          <w:color w:val="auto"/>
          <w:sz w:val="32"/>
          <w:szCs w:val="32"/>
          <w:highlight w:val="none"/>
        </w:rPr>
        <w:t>本单位郑重声明，根据《财政部</w:t>
      </w:r>
      <w:r>
        <w:rPr>
          <w:color w:val="auto"/>
          <w:sz w:val="32"/>
          <w:szCs w:val="32"/>
          <w:highlight w:val="none"/>
        </w:rPr>
        <w:t xml:space="preserve"> </w:t>
      </w:r>
      <w:r>
        <w:rPr>
          <w:rFonts w:hint="eastAsia"/>
          <w:color w:val="auto"/>
          <w:sz w:val="32"/>
          <w:szCs w:val="32"/>
          <w:highlight w:val="none"/>
        </w:rPr>
        <w:t>民政部</w:t>
      </w:r>
      <w:r>
        <w:rPr>
          <w:color w:val="auto"/>
          <w:sz w:val="32"/>
          <w:szCs w:val="32"/>
          <w:highlight w:val="none"/>
        </w:rPr>
        <w:t xml:space="preserve"> </w:t>
      </w:r>
      <w:r>
        <w:rPr>
          <w:rFonts w:hint="eastAsia"/>
          <w:color w:val="auto"/>
          <w:sz w:val="32"/>
          <w:szCs w:val="32"/>
          <w:highlight w:val="none"/>
        </w:rPr>
        <w:t>中国残疾人联合会关于促进残疾人就业政府采购政策的通知》（财库〔</w:t>
      </w:r>
      <w:r>
        <w:rPr>
          <w:color w:val="auto"/>
          <w:sz w:val="32"/>
          <w:szCs w:val="32"/>
          <w:highlight w:val="none"/>
        </w:rPr>
        <w:t>2017</w:t>
      </w:r>
      <w:r>
        <w:rPr>
          <w:rFonts w:hint="eastAsia"/>
          <w:color w:val="auto"/>
          <w:sz w:val="32"/>
          <w:szCs w:val="32"/>
          <w:highlight w:val="none"/>
        </w:rPr>
        <w:t>〕</w:t>
      </w:r>
      <w:r>
        <w:rPr>
          <w:color w:val="auto"/>
          <w:sz w:val="32"/>
          <w:szCs w:val="32"/>
          <w:highlight w:val="none"/>
        </w:rPr>
        <w:t xml:space="preserve"> 141</w:t>
      </w:r>
      <w:r>
        <w:rPr>
          <w:rFonts w:hint="eastAsia"/>
          <w:color w:val="auto"/>
          <w:sz w:val="32"/>
          <w:szCs w:val="32"/>
          <w:highlight w:val="none"/>
        </w:rPr>
        <w:t>号）的规定，本单位为符合条件的残疾人福利性单位，且本单位参加</w:t>
      </w:r>
      <w:r>
        <w:rPr>
          <w:color w:val="auto"/>
          <w:sz w:val="32"/>
          <w:szCs w:val="32"/>
          <w:highlight w:val="none"/>
        </w:rPr>
        <w:t>______</w:t>
      </w:r>
      <w:r>
        <w:rPr>
          <w:rFonts w:hint="eastAsia"/>
          <w:color w:val="auto"/>
          <w:sz w:val="32"/>
          <w:szCs w:val="32"/>
          <w:highlight w:val="none"/>
        </w:rPr>
        <w:t>单位的</w:t>
      </w:r>
      <w:r>
        <w:rPr>
          <w:color w:val="auto"/>
          <w:sz w:val="32"/>
          <w:szCs w:val="32"/>
          <w:highlight w:val="none"/>
        </w:rPr>
        <w:t>______</w:t>
      </w:r>
      <w:r>
        <w:rPr>
          <w:rFonts w:hint="eastAsia"/>
          <w:color w:val="auto"/>
          <w:sz w:val="32"/>
          <w:szCs w:val="32"/>
          <w:highlight w:val="none"/>
        </w:rPr>
        <w:t>项目采购活动提供本单位制造的货物（由本单位承担工程</w:t>
      </w:r>
      <w:r>
        <w:rPr>
          <w:color w:val="auto"/>
          <w:sz w:val="32"/>
          <w:szCs w:val="32"/>
          <w:highlight w:val="none"/>
        </w:rPr>
        <w:t>/</w:t>
      </w:r>
      <w:r>
        <w:rPr>
          <w:rFonts w:hint="eastAsia"/>
          <w:color w:val="auto"/>
          <w:sz w:val="32"/>
          <w:szCs w:val="32"/>
          <w:highlight w:val="none"/>
        </w:rPr>
        <w:t>提供服务），或者提供其他残疾人福利性单位制造的货物（不包括使用非残疾人福利性单位注册商标的货物）。</w:t>
      </w:r>
    </w:p>
    <w:p>
      <w:pPr>
        <w:spacing w:line="588" w:lineRule="exact"/>
        <w:ind w:firstLine="640" w:firstLineChars="200"/>
        <w:rPr>
          <w:color w:val="auto"/>
          <w:sz w:val="32"/>
          <w:szCs w:val="32"/>
          <w:highlight w:val="none"/>
        </w:rPr>
      </w:pPr>
      <w:r>
        <w:rPr>
          <w:rFonts w:hint="eastAsia"/>
          <w:color w:val="auto"/>
          <w:sz w:val="32"/>
          <w:szCs w:val="32"/>
          <w:highlight w:val="none"/>
        </w:rPr>
        <w:t>本单位对上述声明的真实性负责。如有虚假，将依法承担相应责任。</w:t>
      </w:r>
    </w:p>
    <w:p>
      <w:pPr>
        <w:spacing w:line="588" w:lineRule="exact"/>
        <w:ind w:firstLine="640" w:firstLineChars="200"/>
        <w:rPr>
          <w:color w:val="auto"/>
          <w:sz w:val="32"/>
          <w:szCs w:val="32"/>
          <w:highlight w:val="none"/>
        </w:rPr>
      </w:pPr>
    </w:p>
    <w:p>
      <w:pPr>
        <w:spacing w:line="588" w:lineRule="exact"/>
        <w:ind w:firstLine="640" w:firstLineChars="200"/>
        <w:rPr>
          <w:color w:val="auto"/>
          <w:sz w:val="32"/>
          <w:szCs w:val="32"/>
          <w:highlight w:val="none"/>
        </w:rPr>
      </w:pPr>
    </w:p>
    <w:p>
      <w:pPr>
        <w:tabs>
          <w:tab w:val="left" w:pos="4860"/>
        </w:tabs>
        <w:spacing w:line="588" w:lineRule="exact"/>
        <w:ind w:right="1560" w:firstLine="640" w:firstLineChars="200"/>
        <w:jc w:val="center"/>
        <w:rPr>
          <w:rFonts w:hint="eastAsia"/>
          <w:color w:val="auto"/>
          <w:sz w:val="32"/>
          <w:szCs w:val="32"/>
          <w:highlight w:val="none"/>
        </w:rPr>
      </w:pPr>
      <w:r>
        <w:rPr>
          <w:color w:val="auto"/>
          <w:sz w:val="32"/>
          <w:szCs w:val="32"/>
          <w:highlight w:val="none"/>
        </w:rPr>
        <w:t xml:space="preserve">              </w:t>
      </w:r>
    </w:p>
    <w:p>
      <w:pPr>
        <w:tabs>
          <w:tab w:val="left" w:pos="4860"/>
        </w:tabs>
        <w:spacing w:line="588" w:lineRule="exact"/>
        <w:ind w:right="1560" w:firstLine="640" w:firstLineChars="200"/>
        <w:jc w:val="center"/>
        <w:rPr>
          <w:rFonts w:hint="eastAsia"/>
          <w:color w:val="auto"/>
          <w:sz w:val="32"/>
          <w:szCs w:val="32"/>
          <w:highlight w:val="none"/>
        </w:rPr>
      </w:pPr>
    </w:p>
    <w:p>
      <w:pPr>
        <w:tabs>
          <w:tab w:val="left" w:pos="4860"/>
        </w:tabs>
        <w:spacing w:line="588" w:lineRule="exact"/>
        <w:ind w:right="1560" w:firstLine="640" w:firstLineChars="200"/>
        <w:jc w:val="center"/>
        <w:rPr>
          <w:rFonts w:hint="eastAsia"/>
          <w:color w:val="auto"/>
          <w:sz w:val="32"/>
          <w:szCs w:val="32"/>
          <w:highlight w:val="none"/>
        </w:rPr>
      </w:pPr>
    </w:p>
    <w:p>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单位名称（盖章）：</w:t>
      </w:r>
    </w:p>
    <w:p>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p>
    <w:p>
      <w:pPr>
        <w:rPr>
          <w:rFonts w:hint="eastAsia"/>
          <w:b/>
          <w:color w:val="auto"/>
          <w:sz w:val="32"/>
          <w:szCs w:val="32"/>
          <w:highlight w:val="none"/>
        </w:rPr>
      </w:pPr>
    </w:p>
    <w:p>
      <w:pPr>
        <w:rPr>
          <w:rFonts w:hint="eastAsia"/>
          <w:b/>
          <w:color w:val="auto"/>
          <w:sz w:val="32"/>
          <w:szCs w:val="32"/>
          <w:highlight w:val="none"/>
        </w:rPr>
      </w:pPr>
    </w:p>
    <w:p>
      <w:pPr>
        <w:rPr>
          <w:rFonts w:hint="eastAsia"/>
          <w:b/>
          <w:color w:val="auto"/>
          <w:sz w:val="32"/>
          <w:szCs w:val="32"/>
          <w:highlight w:val="none"/>
        </w:rPr>
      </w:pPr>
    </w:p>
    <w:p>
      <w:pPr>
        <w:rPr>
          <w:rFonts w:hint="eastAsia"/>
          <w:b/>
          <w:color w:val="auto"/>
          <w:sz w:val="32"/>
          <w:szCs w:val="32"/>
          <w:highlight w:val="none"/>
        </w:rPr>
      </w:pPr>
    </w:p>
    <w:p>
      <w:pPr>
        <w:rPr>
          <w:rFonts w:hint="eastAsia"/>
          <w:b/>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t>注：如非残疾人福利性单位，本声明函无需填写。</w:t>
      </w:r>
    </w:p>
    <w:p>
      <w:pPr>
        <w:jc w:val="center"/>
        <w:rPr>
          <w:rFonts w:hint="eastAsia"/>
          <w:color w:val="auto"/>
          <w:sz w:val="36"/>
          <w:szCs w:val="36"/>
          <w:highlight w:val="none"/>
        </w:rPr>
      </w:pPr>
    </w:p>
    <w:p>
      <w:pPr>
        <w:jc w:val="center"/>
        <w:rPr>
          <w:rFonts w:hint="eastAsia"/>
          <w:color w:val="auto"/>
          <w:sz w:val="36"/>
          <w:szCs w:val="36"/>
          <w:highlight w:val="none"/>
        </w:rPr>
      </w:pPr>
    </w:p>
    <w:p>
      <w:pPr>
        <w:jc w:val="center"/>
        <w:rPr>
          <w:rFonts w:hint="eastAsia"/>
          <w:color w:val="auto"/>
          <w:sz w:val="36"/>
          <w:szCs w:val="36"/>
          <w:highlight w:val="none"/>
        </w:rPr>
      </w:pPr>
    </w:p>
    <w:p>
      <w:pPr>
        <w:jc w:val="center"/>
        <w:rPr>
          <w:rFonts w:hint="eastAsia"/>
          <w:color w:val="auto"/>
          <w:sz w:val="36"/>
          <w:szCs w:val="36"/>
          <w:highlight w:val="none"/>
        </w:rPr>
      </w:pPr>
    </w:p>
    <w:p>
      <w:pPr>
        <w:jc w:val="center"/>
        <w:rPr>
          <w:rFonts w:hint="eastAsia"/>
          <w:color w:val="auto"/>
          <w:sz w:val="36"/>
          <w:szCs w:val="36"/>
          <w:highlight w:val="none"/>
        </w:rPr>
      </w:pPr>
    </w:p>
    <w:p>
      <w:pPr>
        <w:jc w:val="center"/>
        <w:rPr>
          <w:rFonts w:hint="eastAsia"/>
          <w:color w:val="auto"/>
          <w:sz w:val="36"/>
          <w:szCs w:val="36"/>
          <w:highlight w:val="none"/>
        </w:rPr>
      </w:pPr>
      <w:r>
        <w:rPr>
          <w:rFonts w:hint="eastAsia"/>
          <w:color w:val="auto"/>
          <w:sz w:val="36"/>
          <w:szCs w:val="36"/>
          <w:highlight w:val="none"/>
        </w:rPr>
        <w:t>监狱企业证明文件</w:t>
      </w:r>
    </w:p>
    <w:p>
      <w:pPr>
        <w:jc w:val="center"/>
        <w:rPr>
          <w:rFonts w:hint="eastAsia"/>
          <w:color w:val="auto"/>
          <w:sz w:val="32"/>
          <w:szCs w:val="32"/>
          <w:highlight w:val="none"/>
        </w:rPr>
      </w:pPr>
    </w:p>
    <w:p>
      <w:pPr>
        <w:spacing w:line="360" w:lineRule="auto"/>
        <w:jc w:val="center"/>
        <w:rPr>
          <w:rFonts w:hint="eastAsia" w:ascii="新宋体" w:hAnsi="新宋体" w:eastAsia="新宋体"/>
          <w:color w:val="auto"/>
          <w:sz w:val="32"/>
          <w:szCs w:val="32"/>
          <w:highlight w:val="none"/>
        </w:rPr>
      </w:pPr>
      <w:r>
        <w:rPr>
          <w:rFonts w:hint="eastAsia" w:ascii="新宋体" w:hAnsi="新宋体" w:eastAsia="新宋体"/>
          <w:color w:val="auto"/>
          <w:sz w:val="32"/>
          <w:szCs w:val="32"/>
          <w:highlight w:val="none"/>
        </w:rPr>
        <w:t>提供由省级以上监狱管理局、戒毒管理局（含新疆生产建设兵团）出具的属于监狱企业的证明文件。</w:t>
      </w: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新宋体" w:hAnsi="新宋体" w:eastAsia="新宋体"/>
          <w:color w:val="auto"/>
          <w:sz w:val="32"/>
          <w:szCs w:val="32"/>
          <w:highlight w:val="none"/>
        </w:rPr>
      </w:pPr>
    </w:p>
    <w:p>
      <w:pPr>
        <w:pStyle w:val="29"/>
        <w:rPr>
          <w:rFonts w:hint="eastAsia" w:ascii="新宋体" w:hAnsi="新宋体" w:eastAsia="新宋体"/>
          <w:color w:val="auto"/>
          <w:sz w:val="32"/>
          <w:szCs w:val="32"/>
          <w:highlight w:val="none"/>
        </w:rPr>
      </w:pPr>
    </w:p>
    <w:p>
      <w:pPr>
        <w:rPr>
          <w:rFonts w:hint="eastAsia" w:ascii="新宋体" w:hAnsi="新宋体" w:eastAsia="新宋体"/>
          <w:color w:val="auto"/>
          <w:sz w:val="32"/>
          <w:szCs w:val="32"/>
          <w:highlight w:val="none"/>
        </w:rPr>
      </w:pPr>
    </w:p>
    <w:p>
      <w:pPr>
        <w:pStyle w:val="29"/>
        <w:rPr>
          <w:rFonts w:hint="eastAsia" w:ascii="新宋体" w:hAnsi="新宋体" w:eastAsia="新宋体"/>
          <w:color w:val="auto"/>
          <w:sz w:val="32"/>
          <w:szCs w:val="32"/>
          <w:highlight w:val="none"/>
        </w:rPr>
      </w:pPr>
    </w:p>
    <w:p>
      <w:pPr>
        <w:rPr>
          <w:rFonts w:hint="eastAsia" w:ascii="新宋体" w:hAnsi="新宋体" w:eastAsia="新宋体"/>
          <w:color w:val="auto"/>
          <w:sz w:val="32"/>
          <w:szCs w:val="32"/>
          <w:highlight w:val="none"/>
        </w:rPr>
      </w:pPr>
    </w:p>
    <w:p>
      <w:pPr>
        <w:pStyle w:val="29"/>
        <w:rPr>
          <w:rFonts w:hint="eastAsia" w:ascii="新宋体" w:hAnsi="新宋体" w:eastAsia="新宋体"/>
          <w:color w:val="auto"/>
          <w:sz w:val="32"/>
          <w:szCs w:val="32"/>
          <w:highlight w:val="none"/>
        </w:rPr>
      </w:pPr>
    </w:p>
    <w:p>
      <w:pPr>
        <w:rPr>
          <w:rFonts w:hint="eastAsia" w:ascii="新宋体" w:hAnsi="新宋体" w:eastAsia="新宋体"/>
          <w:color w:val="auto"/>
          <w:sz w:val="32"/>
          <w:szCs w:val="32"/>
          <w:highlight w:val="none"/>
        </w:rPr>
      </w:pPr>
    </w:p>
    <w:p>
      <w:pPr>
        <w:pStyle w:val="29"/>
        <w:rPr>
          <w:rFonts w:hint="eastAsia" w:ascii="新宋体" w:hAnsi="新宋体" w:eastAsia="新宋体"/>
          <w:color w:val="auto"/>
          <w:sz w:val="32"/>
          <w:szCs w:val="32"/>
          <w:highlight w:val="none"/>
        </w:rPr>
      </w:pPr>
    </w:p>
    <w:p>
      <w:pPr>
        <w:rPr>
          <w:rFonts w:hint="eastAsia" w:ascii="新宋体" w:hAnsi="新宋体" w:eastAsia="新宋体"/>
          <w:color w:val="auto"/>
          <w:sz w:val="32"/>
          <w:szCs w:val="32"/>
          <w:highlight w:val="none"/>
        </w:rPr>
      </w:pPr>
    </w:p>
    <w:p>
      <w:pPr>
        <w:pStyle w:val="29"/>
        <w:rPr>
          <w:rFonts w:hint="eastAsia" w:ascii="新宋体" w:hAnsi="新宋体" w:eastAsia="新宋体"/>
          <w:color w:val="auto"/>
          <w:sz w:val="32"/>
          <w:szCs w:val="32"/>
          <w:highlight w:val="none"/>
        </w:rPr>
      </w:pPr>
    </w:p>
    <w:p>
      <w:pPr>
        <w:rPr>
          <w:rFonts w:hint="eastAsia" w:ascii="新宋体" w:hAnsi="新宋体" w:eastAsia="新宋体"/>
          <w:color w:val="auto"/>
          <w:sz w:val="32"/>
          <w:szCs w:val="32"/>
          <w:highlight w:val="none"/>
        </w:rPr>
      </w:pPr>
    </w:p>
    <w:p>
      <w:pPr>
        <w:pStyle w:val="29"/>
        <w:rPr>
          <w:rFonts w:hint="eastAsia"/>
          <w:color w:val="auto"/>
          <w:highlight w:val="none"/>
        </w:rPr>
      </w:pP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新宋体" w:hAnsi="新宋体" w:eastAsia="新宋体"/>
          <w:color w:val="auto"/>
          <w:sz w:val="32"/>
          <w:szCs w:val="32"/>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政府采购促进中小企业发展管理办法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财库〔2020〕46号</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第一条</w:t>
      </w:r>
      <w:r>
        <w:rPr>
          <w:rFonts w:hint="eastAsia" w:ascii="宋体" w:hAnsi="宋体" w:eastAsia="宋体" w:cs="宋体"/>
          <w:b w:val="0"/>
          <w:bCs w:val="0"/>
          <w:color w:val="auto"/>
          <w:kern w:val="0"/>
          <w:sz w:val="24"/>
          <w:szCs w:val="24"/>
          <w:highlight w:val="none"/>
          <w:lang w:val="en-US" w:eastAsia="zh-CN" w:bidi="ar"/>
        </w:rPr>
        <w:t xml:space="preserve">  为了发挥政府采购的政策功能，促进中小企业健康发展，根据《中华人民共和国政府采购法》、《中华人民共和国中小企业促进法》等有关法律法规，制定本办法。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第二条</w:t>
      </w:r>
      <w:r>
        <w:rPr>
          <w:rFonts w:hint="eastAsia" w:ascii="宋体" w:hAnsi="宋体" w:eastAsia="宋体" w:cs="宋体"/>
          <w:b w:val="0"/>
          <w:bCs w:val="0"/>
          <w:color w:val="auto"/>
          <w:kern w:val="0"/>
          <w:sz w:val="24"/>
          <w:szCs w:val="24"/>
          <w:highlight w:val="none"/>
          <w:lang w:val="en-US"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符合中小企业划分标准的个体工商户，在政府采购活动中视同中小企业。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 xml:space="preserve"> 第三条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采购人在政府采购活动中应当通过加强采购需求管理，落实预留采购份额、价格评审优惠、优先采购等措施，提高中小企业在政府采购中的份额，支持中小企业发展。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第四条</w:t>
      </w:r>
      <w:r>
        <w:rPr>
          <w:rFonts w:hint="eastAsia" w:ascii="宋体" w:hAnsi="宋体" w:eastAsia="宋体" w:cs="宋体"/>
          <w:b w:val="0"/>
          <w:bCs w:val="0"/>
          <w:color w:val="auto"/>
          <w:kern w:val="0"/>
          <w:sz w:val="24"/>
          <w:szCs w:val="24"/>
          <w:highlight w:val="none"/>
          <w:lang w:val="en-US" w:eastAsia="zh-CN" w:bidi="ar"/>
        </w:rPr>
        <w:t xml:space="preserve">  在政府采购活动中，供应商提供的货物、工程或者服务符合下列情形的，享受本办法规定的中小企业扶持政策：</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（一）在货物采购项目中，货物由中小企业制造，即货物由中小企业生产且使用该中小企业商号或者注册商标；</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（二）在工程采购项目中，工程由中小企业承建，即工程施工单位为中小企业；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第五条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第六条</w:t>
      </w:r>
      <w:r>
        <w:rPr>
          <w:rFonts w:hint="eastAsia" w:ascii="宋体" w:hAnsi="宋体" w:eastAsia="宋体" w:cs="宋体"/>
          <w:b w:val="0"/>
          <w:bCs w:val="0"/>
          <w:color w:val="auto"/>
          <w:kern w:val="0"/>
          <w:sz w:val="24"/>
          <w:szCs w:val="24"/>
          <w:highlight w:val="none"/>
          <w:lang w:val="en-US"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符合下列情形之一的，可不专门面向中小企业预留采购份额：</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（一）法律法规和国家有关政策明确规定优先或者应当面向事业单位、社会组织等非企业主体采购的；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（三）按照本办法规定预留采购份额无法确保充分供应、充分竞争，或者存在可能影响政府采购目标实现的情形；</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（四）框架协议采购项目；</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（五）省级以上人民政府财政部门规定的其他情形。</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除上述情形外，其他均为适宜由中小企业提供的情形。</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第七条</w:t>
      </w:r>
      <w:r>
        <w:rPr>
          <w:rFonts w:hint="eastAsia" w:ascii="宋体" w:hAnsi="宋体" w:eastAsia="宋体" w:cs="宋体"/>
          <w:b w:val="0"/>
          <w:bCs w:val="0"/>
          <w:color w:val="auto"/>
          <w:kern w:val="0"/>
          <w:sz w:val="24"/>
          <w:szCs w:val="24"/>
          <w:highlight w:val="none"/>
          <w:lang w:val="en-US" w:eastAsia="zh-CN" w:bidi="ar"/>
        </w:rPr>
        <w:t xml:space="preserve">  采购限额标准以上，200 万元以下的货物和服务采购项目、400 万元以下的工程采购项目，适宜由中小企业提供的，采购人应当专门面向中小企业采购。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第八条</w:t>
      </w:r>
      <w:r>
        <w:rPr>
          <w:rFonts w:hint="eastAsia" w:ascii="宋体" w:hAnsi="宋体" w:eastAsia="宋体" w:cs="宋体"/>
          <w:b w:val="0"/>
          <w:bCs w:val="0"/>
          <w:color w:val="auto"/>
          <w:kern w:val="0"/>
          <w:sz w:val="24"/>
          <w:szCs w:val="24"/>
          <w:highlight w:val="none"/>
          <w:lang w:val="en-US" w:eastAsia="zh-CN"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（一）将采购项目整体或者设置采购包专门面向中小企业采购；</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（二）要求供应商以联合体形式参加采购活动，且联合体中中小企业承担的部分达到一定比例；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（三）要求获得采购合同的供应商将采购项目中的一定比例分包给一家或者多家中小企业。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组成联合体或者接受分包合同的中小企业与联合体内其他企业、分包企业之间不得存在直接控股、管理关系。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第九条</w:t>
      </w:r>
      <w:r>
        <w:rPr>
          <w:rFonts w:hint="eastAsia" w:ascii="宋体" w:hAnsi="宋体" w:eastAsia="宋体" w:cs="宋体"/>
          <w:b w:val="0"/>
          <w:bCs w:val="0"/>
          <w:color w:val="auto"/>
          <w:kern w:val="0"/>
          <w:sz w:val="24"/>
          <w:szCs w:val="24"/>
          <w:highlight w:val="none"/>
          <w:lang w:val="en-US"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第十条</w:t>
      </w:r>
      <w:r>
        <w:rPr>
          <w:rFonts w:hint="eastAsia" w:ascii="宋体" w:hAnsi="宋体" w:eastAsia="宋体" w:cs="宋体"/>
          <w:b w:val="0"/>
          <w:bCs w:val="0"/>
          <w:color w:val="auto"/>
          <w:kern w:val="0"/>
          <w:sz w:val="24"/>
          <w:szCs w:val="24"/>
          <w:highlight w:val="none"/>
          <w:lang w:val="en-US"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第十一条</w:t>
      </w:r>
      <w:r>
        <w:rPr>
          <w:rFonts w:hint="eastAsia" w:ascii="宋体" w:hAnsi="宋体" w:eastAsia="宋体" w:cs="宋体"/>
          <w:b w:val="0"/>
          <w:bCs w:val="0"/>
          <w:color w:val="auto"/>
          <w:kern w:val="0"/>
          <w:sz w:val="24"/>
          <w:szCs w:val="24"/>
          <w:highlight w:val="none"/>
          <w:lang w:val="en-US" w:eastAsia="zh-CN"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第十二条</w:t>
      </w:r>
      <w:r>
        <w:rPr>
          <w:rFonts w:hint="eastAsia" w:ascii="宋体" w:hAnsi="宋体" w:eastAsia="宋体" w:cs="宋体"/>
          <w:b w:val="0"/>
          <w:bCs w:val="0"/>
          <w:color w:val="auto"/>
          <w:kern w:val="0"/>
          <w:sz w:val="24"/>
          <w:szCs w:val="24"/>
          <w:highlight w:val="none"/>
          <w:lang w:val="en-US" w:eastAsia="zh-CN" w:bidi="ar"/>
        </w:rPr>
        <w:t xml:space="preserve">  采购项目涉及中小企业采购的，采购文件应当明确以下内容：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（一）预留份额的采购项目或者采购包，明确该项目或相关采购包专门面向中小企业采购，以及相关标的及预算金额；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（三）非预留份额的采购项目或者采购包，明确有关价格扣除比例或者价格分加分比例；</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（五）采购人认为具备相关条件的，明确对中小企业在资金支付期限、预付款比例等方面的优惠措施；</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（六）明确采购标的对应的中小企业划分标准所属行业；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（七）法律法规和省级以上人民政府财政部门规定的其他事项。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第十三条</w:t>
      </w:r>
      <w:r>
        <w:rPr>
          <w:rFonts w:hint="eastAsia" w:ascii="宋体" w:hAnsi="宋体" w:eastAsia="宋体" w:cs="宋体"/>
          <w:b w:val="0"/>
          <w:bCs w:val="0"/>
          <w:color w:val="auto"/>
          <w:kern w:val="0"/>
          <w:sz w:val="24"/>
          <w:szCs w:val="24"/>
          <w:highlight w:val="none"/>
          <w:lang w:val="en-US" w:eastAsia="zh-CN" w:bidi="ar"/>
        </w:rPr>
        <w:t xml:space="preserve">  中标、成交供应商享受本办法规定的中小企业扶持政策的，采购人、采购代理机构应当随中标、成交结果公开中标、成交供应商的《中小企业声明函》。</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适用招标投标法的政府采购工程建设项目，应当在公示中标候选人时公开中标候选人的《中小企业声明函》。</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第十四条</w:t>
      </w:r>
      <w:r>
        <w:rPr>
          <w:rFonts w:hint="eastAsia" w:ascii="宋体" w:hAnsi="宋体" w:eastAsia="宋体" w:cs="宋体"/>
          <w:b w:val="0"/>
          <w:bCs w:val="0"/>
          <w:color w:val="auto"/>
          <w:kern w:val="0"/>
          <w:sz w:val="24"/>
          <w:szCs w:val="24"/>
          <w:highlight w:val="none"/>
          <w:lang w:val="en-US"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第十五条</w:t>
      </w:r>
      <w:r>
        <w:rPr>
          <w:rFonts w:hint="eastAsia" w:ascii="宋体" w:hAnsi="宋体" w:eastAsia="宋体" w:cs="宋体"/>
          <w:b w:val="0"/>
          <w:bCs w:val="0"/>
          <w:color w:val="auto"/>
          <w:kern w:val="0"/>
          <w:sz w:val="24"/>
          <w:szCs w:val="24"/>
          <w:highlight w:val="none"/>
          <w:lang w:val="en-US"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第十六条</w:t>
      </w:r>
      <w:r>
        <w:rPr>
          <w:rFonts w:hint="eastAsia" w:ascii="宋体" w:hAnsi="宋体" w:eastAsia="宋体" w:cs="宋体"/>
          <w:b w:val="0"/>
          <w:bCs w:val="0"/>
          <w:color w:val="auto"/>
          <w:kern w:val="0"/>
          <w:sz w:val="24"/>
          <w:szCs w:val="24"/>
          <w:highlight w:val="none"/>
          <w:lang w:val="en-US" w:eastAsia="zh-CN" w:bidi="ar"/>
        </w:rPr>
        <w:t xml:space="preserve">  政府采购监督检查、投诉处理及政府采购行政处罚中对中小企业的认定，由货物制造商或者工程、服务供应商注册登记所在地的县级以上人民政府中小企业主管部门负责。</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中小企业主管部门应当在收到财政部门或者有关招标投标行政监督部门关于协助开展中小企业认定函后 10 个工作日内做出书面答复。</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第十七条</w:t>
      </w:r>
      <w:r>
        <w:rPr>
          <w:rFonts w:hint="eastAsia" w:ascii="宋体" w:hAnsi="宋体" w:eastAsia="宋体" w:cs="宋体"/>
          <w:b w:val="0"/>
          <w:bCs w:val="0"/>
          <w:color w:val="auto"/>
          <w:kern w:val="0"/>
          <w:sz w:val="24"/>
          <w:szCs w:val="24"/>
          <w:highlight w:val="none"/>
          <w:lang w:val="en-US"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第十八条</w:t>
      </w:r>
      <w:r>
        <w:rPr>
          <w:rFonts w:hint="eastAsia" w:ascii="宋体" w:hAnsi="宋体" w:eastAsia="宋体" w:cs="宋体"/>
          <w:b w:val="0"/>
          <w:bCs w:val="0"/>
          <w:color w:val="auto"/>
          <w:kern w:val="0"/>
          <w:sz w:val="24"/>
          <w:szCs w:val="24"/>
          <w:highlight w:val="none"/>
          <w:lang w:val="en-US" w:eastAsia="zh-CN"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第十九条</w:t>
      </w:r>
      <w:r>
        <w:rPr>
          <w:rFonts w:hint="eastAsia" w:ascii="宋体" w:hAnsi="宋体" w:eastAsia="宋体" w:cs="宋体"/>
          <w:b w:val="0"/>
          <w:bCs w:val="0"/>
          <w:color w:val="auto"/>
          <w:kern w:val="0"/>
          <w:sz w:val="24"/>
          <w:szCs w:val="24"/>
          <w:highlight w:val="none"/>
          <w:lang w:val="en-US"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第二十条</w:t>
      </w:r>
      <w:r>
        <w:rPr>
          <w:rFonts w:hint="eastAsia" w:ascii="宋体" w:hAnsi="宋体" w:eastAsia="宋体" w:cs="宋体"/>
          <w:b w:val="0"/>
          <w:bCs w:val="0"/>
          <w:color w:val="auto"/>
          <w:kern w:val="0"/>
          <w:sz w:val="24"/>
          <w:szCs w:val="24"/>
          <w:highlight w:val="none"/>
          <w:lang w:val="en-US" w:eastAsia="zh-CN" w:bidi="ar"/>
        </w:rPr>
        <w:t xml:space="preserve">  供应商按照本办法规定提供声明函内容不实的，属于提供虚假材料谋取中标、成交，依照《中华人民共和国政府采购法》等国家有关规定追究相应责任。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按照本办法规定提供声明函内容不实的，属于弄虚作假骗取中标，依照《中华人民共和国招标投标法》等国家有关规定追究相应责任。</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第二十一条</w:t>
      </w:r>
      <w:r>
        <w:rPr>
          <w:rFonts w:hint="eastAsia" w:ascii="宋体" w:hAnsi="宋体" w:eastAsia="宋体" w:cs="宋体"/>
          <w:b w:val="0"/>
          <w:bCs w:val="0"/>
          <w:color w:val="auto"/>
          <w:kern w:val="0"/>
          <w:sz w:val="24"/>
          <w:szCs w:val="24"/>
          <w:highlight w:val="none"/>
          <w:lang w:val="en-US"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第二十二条</w:t>
      </w:r>
      <w:r>
        <w:rPr>
          <w:rFonts w:hint="eastAsia" w:ascii="宋体" w:hAnsi="宋体" w:eastAsia="宋体" w:cs="宋体"/>
          <w:b w:val="0"/>
          <w:bCs w:val="0"/>
          <w:color w:val="auto"/>
          <w:kern w:val="0"/>
          <w:sz w:val="24"/>
          <w:szCs w:val="24"/>
          <w:highlight w:val="none"/>
          <w:lang w:val="en-US" w:eastAsia="zh-CN" w:bidi="ar"/>
        </w:rPr>
        <w:t xml:space="preserve">  对外援助项目、国家相关资格或者资质管理制度另有规定的项目，不适用本办法。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第二十三条</w:t>
      </w:r>
      <w:r>
        <w:rPr>
          <w:rFonts w:hint="eastAsia" w:ascii="宋体" w:hAnsi="宋体" w:eastAsia="宋体" w:cs="宋体"/>
          <w:b w:val="0"/>
          <w:bCs w:val="0"/>
          <w:color w:val="auto"/>
          <w:kern w:val="0"/>
          <w:sz w:val="24"/>
          <w:szCs w:val="24"/>
          <w:highlight w:val="none"/>
          <w:lang w:val="en-US" w:eastAsia="zh-CN" w:bidi="ar"/>
        </w:rPr>
        <w:t xml:space="preserve">  关于视同中小企业的其他主体的政府采购扶持政策，由财政部会同有关部门另行规定。</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第二十四条</w:t>
      </w:r>
      <w:r>
        <w:rPr>
          <w:rFonts w:hint="eastAsia" w:ascii="宋体" w:hAnsi="宋体" w:eastAsia="宋体" w:cs="宋体"/>
          <w:b w:val="0"/>
          <w:bCs w:val="0"/>
          <w:color w:val="auto"/>
          <w:kern w:val="0"/>
          <w:sz w:val="24"/>
          <w:szCs w:val="24"/>
          <w:highlight w:val="none"/>
          <w:lang w:val="en-US" w:eastAsia="zh-CN" w:bidi="ar"/>
        </w:rPr>
        <w:t xml:space="preserve">  省级财政部门可以会同中小企业主管部门根据本办法的规定制定具体实施办法。</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第二十五条</w:t>
      </w:r>
      <w:r>
        <w:rPr>
          <w:rFonts w:hint="eastAsia" w:ascii="宋体" w:hAnsi="宋体" w:eastAsia="宋体" w:cs="宋体"/>
          <w:b w:val="0"/>
          <w:bCs w:val="0"/>
          <w:color w:val="auto"/>
          <w:kern w:val="0"/>
          <w:sz w:val="24"/>
          <w:szCs w:val="24"/>
          <w:highlight w:val="none"/>
          <w:lang w:val="en-US" w:eastAsia="zh-CN" w:bidi="ar"/>
        </w:rPr>
        <w:t xml:space="preserve">  本办法自 2021 年 1 月 1 日起施行。 财政部 工业和信息化部关于印发〈政府采购促进中小企业发展暂行办法〉的通知》（财库﹝2011﹞181 号）同时废止。</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宋体" w:hAnsi="宋体" w:eastAsia="宋体" w:cs="宋体"/>
          <w:b/>
          <w:bCs/>
          <w:i w:val="0"/>
          <w:iCs w:val="0"/>
          <w:caps w:val="0"/>
          <w:color w:val="auto"/>
          <w:spacing w:val="0"/>
          <w:sz w:val="30"/>
          <w:szCs w:val="30"/>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i w:val="0"/>
          <w:iCs w:val="0"/>
          <w:caps w:val="0"/>
          <w:color w:val="auto"/>
          <w:spacing w:val="0"/>
          <w:kern w:val="0"/>
          <w:sz w:val="30"/>
          <w:szCs w:val="30"/>
          <w:highlight w:val="none"/>
          <w:shd w:val="clear" w:color="auto" w:fill="FFFFFF"/>
          <w:lang w:val="en-US" w:eastAsia="zh-CN" w:bidi="ar"/>
        </w:rPr>
        <w:t>财政部关于进一步加大政府采购支持中小企业力度的通知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（财库〔2022〕19号）</w:t>
      </w:r>
    </w:p>
    <w:p>
      <w:pPr>
        <w:pStyle w:val="17"/>
        <w:spacing w:after="0" w:line="340" w:lineRule="exact"/>
        <w:ind w:firstLine="480" w:firstLineChars="200"/>
        <w:rPr>
          <w:rFonts w:hint="eastAsia" w:ascii="宋体" w:hAnsi="宋体" w:cs="宋体"/>
          <w:bCs/>
          <w:color w:val="auto"/>
          <w:sz w:val="21"/>
          <w:szCs w:val="21"/>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 </w:t>
      </w:r>
      <w:r>
        <w:rPr>
          <w:rFonts w:hint="eastAsia" w:ascii="宋体" w:hAnsi="宋体" w:cs="宋体"/>
          <w:bCs/>
          <w:color w:val="auto"/>
          <w:sz w:val="21"/>
          <w:szCs w:val="21"/>
          <w:highlight w:val="none"/>
          <w:lang w:val="en-US" w:eastAsia="zh-CN"/>
        </w:rPr>
        <w:t>各中央预算单位，各省、自治区、直辖市、计划单列市财政厅（局），新疆生产建设兵团财政局：</w:t>
      </w:r>
    </w:p>
    <w:p>
      <w:pPr>
        <w:pStyle w:val="17"/>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17"/>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17"/>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17"/>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17"/>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四、认真做好组织实施。各地区、各部门应当加强组织领导，明确工作责任，细化执行要求，强化监督检查，确保国务院部署落实到位，对通知执行中出现的问题要及时向财政部报告。</w:t>
      </w:r>
    </w:p>
    <w:p>
      <w:pPr>
        <w:pStyle w:val="17"/>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本通知自2022年7月1日起执行。</w:t>
      </w:r>
    </w:p>
    <w:p>
      <w:pPr>
        <w:pStyle w:val="17"/>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 xml:space="preserve">                                                                        财政部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lang w:val="en-US" w:eastAsia="zh-CN"/>
        </w:rPr>
        <w:t>2022年5月30日</w:t>
      </w:r>
      <w:r>
        <w:rPr>
          <w:rFonts w:hint="eastAsia" w:ascii="宋体" w:hAnsi="宋体" w:eastAsia="宋体" w:cs="宋体"/>
          <w:b/>
          <w:bCs/>
          <w:color w:val="auto"/>
          <w:sz w:val="21"/>
          <w:szCs w:val="21"/>
          <w:highlight w:val="none"/>
        </w:rPr>
        <w:br w:type="page"/>
      </w:r>
      <w:r>
        <w:rPr>
          <w:rFonts w:hint="eastAsia" w:ascii="黑体" w:hAnsi="黑体" w:eastAsia="黑体" w:cs="宋体"/>
          <w:bCs/>
          <w:color w:val="auto"/>
          <w:sz w:val="28"/>
          <w:szCs w:val="28"/>
          <w:highlight w:val="none"/>
          <w:shd w:val="clear" w:color="auto" w:fill="FFFFFF"/>
          <w:lang w:val="en-US" w:eastAsia="zh-CN"/>
        </w:rPr>
        <w:t>关于印发《吉林省强化政府采购政策支持中小企业发展落实举措》的通知</w:t>
      </w:r>
    </w:p>
    <w:p>
      <w:pPr>
        <w:pStyle w:val="3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auto"/>
          <w:sz w:val="24"/>
          <w:szCs w:val="24"/>
          <w:highlight w:val="none"/>
        </w:rPr>
      </w:pPr>
      <w:r>
        <w:rPr>
          <w:rFonts w:ascii="宋体" w:hAnsi="宋体" w:eastAsia="宋体" w:cs="宋体"/>
          <w:color w:val="auto"/>
          <w:sz w:val="24"/>
          <w:szCs w:val="24"/>
          <w:highlight w:val="none"/>
        </w:rPr>
        <w:t>吉财采购〔2022〕478号</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highlight w:val="none"/>
        </w:rPr>
      </w:pPr>
      <w:r>
        <w:rPr>
          <w:rFonts w:hint="eastAsia" w:ascii="宋体" w:hAnsi="宋体" w:eastAsia="宋体" w:cs="宋体"/>
          <w:color w:val="auto"/>
          <w:sz w:val="24"/>
          <w:szCs w:val="24"/>
          <w:highlight w:val="none"/>
        </w:rPr>
        <w:t>各省级主管预算单位，各市（州）、县（市、区）财政局，长白山管委会、长春新区、中韩（长春）国际合作示范区管委会财政局，各政府采购代理机构：</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现将《吉林省强化政府采购政策支持中小企业发展落实举措》印发给你们，请遵照执行。</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附件：吉林省强化政府采购政策支持中小企业发展落实举措</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hint="eastAsia" w:ascii="宋体" w:hAnsi="宋体" w:eastAsia="宋体" w:cs="宋体"/>
          <w:color w:val="auto"/>
          <w:sz w:val="24"/>
          <w:szCs w:val="24"/>
          <w:highlight w:val="none"/>
        </w:rPr>
        <w:t>吉林省财政厅</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ascii="宋体" w:hAnsi="宋体" w:eastAsia="宋体" w:cs="宋体"/>
          <w:color w:val="auto"/>
          <w:sz w:val="24"/>
          <w:szCs w:val="24"/>
          <w:highlight w:val="none"/>
        </w:rPr>
        <w:t>2022年6月6日</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auto"/>
          <w:sz w:val="24"/>
          <w:szCs w:val="24"/>
          <w:highlight w:val="none"/>
        </w:rPr>
      </w:pPr>
      <w:r>
        <w:rPr>
          <w:rFonts w:hint="eastAsia" w:ascii="宋体" w:hAnsi="宋体" w:eastAsia="宋体" w:cs="宋体"/>
          <w:color w:val="auto"/>
          <w:sz w:val="24"/>
          <w:szCs w:val="24"/>
          <w:highlight w:val="none"/>
        </w:rPr>
        <w:t>附件：</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8"/>
          <w:szCs w:val="28"/>
          <w:highlight w:val="none"/>
        </w:rPr>
      </w:pPr>
      <w:r>
        <w:rPr>
          <w:rFonts w:hint="eastAsia" w:ascii="宋体" w:hAnsi="宋体" w:eastAsia="宋体" w:cs="宋体"/>
          <w:color w:val="auto"/>
          <w:sz w:val="28"/>
          <w:szCs w:val="28"/>
          <w:highlight w:val="none"/>
        </w:rPr>
        <w:t>吉林省强化政府采购政策支持中小企业发展落实举措</w:t>
      </w:r>
      <w:r>
        <w:rPr>
          <w:color w:val="auto"/>
          <w:sz w:val="28"/>
          <w:szCs w:val="28"/>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一、强化政策落实支持中小企业发展</w:t>
      </w:r>
      <w:r>
        <w:rPr>
          <w:b/>
          <w:bCs/>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二、提高政府采购项目价格评审优惠幅度</w:t>
      </w:r>
      <w:r>
        <w:rPr>
          <w:b/>
          <w:bCs/>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三、提高政府采购工程项目预留份额比例</w:t>
      </w:r>
      <w:r>
        <w:rPr>
          <w:b/>
          <w:bCs/>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四、降低经营成本提高履约能力</w:t>
      </w:r>
      <w:r>
        <w:rPr>
          <w:b/>
          <w:bCs/>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五、优化政府采购程序推进全流程电子化</w:t>
      </w:r>
      <w:r>
        <w:rPr>
          <w:b/>
          <w:bCs/>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六、加强项目执行管理提升政府采购透明度</w:t>
      </w:r>
      <w:r>
        <w:rPr>
          <w:b/>
          <w:bCs/>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pPr>
        <w:rPr>
          <w:rFonts w:hint="eastAsia" w:ascii="宋体" w:hAnsi="宋体" w:eastAsia="宋体" w:cs="宋体"/>
          <w:b/>
          <w:bCs/>
          <w:color w:val="auto"/>
          <w:sz w:val="21"/>
          <w:szCs w:val="21"/>
          <w:highlight w:val="none"/>
        </w:rPr>
      </w:pPr>
    </w:p>
    <w:p>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财政部 司法部关于政府采购支持监狱企业发展有关问题的通知</w:t>
      </w:r>
    </w:p>
    <w:p>
      <w:pPr>
        <w:pStyle w:val="4"/>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auto"/>
          <w:sz w:val="24"/>
          <w:szCs w:val="24"/>
          <w:highlight w:val="none"/>
        </w:rPr>
      </w:pPr>
      <w:bookmarkStart w:id="53" w:name="_Toc21391"/>
      <w:r>
        <w:rPr>
          <w:rFonts w:hint="eastAsia" w:ascii="宋体" w:hAnsi="宋体" w:eastAsia="宋体" w:cs="宋体"/>
          <w:b w:val="0"/>
          <w:bCs/>
          <w:color w:val="auto"/>
          <w:sz w:val="24"/>
          <w:szCs w:val="24"/>
          <w:highlight w:val="none"/>
          <w:shd w:val="clear" w:color="auto" w:fill="FFFFFF"/>
        </w:rPr>
        <w:t>财库〔2014〕68号</w:t>
      </w:r>
      <w:bookmarkEnd w:id="53"/>
    </w:p>
    <w:p>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中华人民共和国财政部</w:t>
      </w:r>
    </w:p>
    <w:p>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中华人民共和国司法部</w:t>
      </w:r>
    </w:p>
    <w:p>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color w:val="auto"/>
          <w:sz w:val="36"/>
          <w:szCs w:val="36"/>
          <w:highlight w:val="none"/>
        </w:rPr>
        <w:t>关于促进残疾人就业政府采购政策的通知</w:t>
      </w:r>
    </w:p>
    <w:p>
      <w:pPr>
        <w:pStyle w:val="38"/>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auto"/>
          <w:sz w:val="24"/>
          <w:szCs w:val="24"/>
          <w:highlight w:val="none"/>
        </w:rPr>
      </w:pPr>
      <w:r>
        <w:rPr>
          <w:rStyle w:val="47"/>
          <w:rFonts w:hint="eastAsia" w:ascii="宋体" w:hAnsi="宋体" w:eastAsia="宋体" w:cs="宋体"/>
          <w:bCs w:val="0"/>
          <w:color w:val="auto"/>
          <w:sz w:val="24"/>
          <w:szCs w:val="24"/>
          <w:highlight w:val="none"/>
          <w:shd w:val="clear" w:color="auto" w:fill="FFFFFF"/>
        </w:rPr>
        <w:t>财库〔2017〕141号</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bookmarkStart w:id="54"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4"/>
      <w:r>
        <w:rPr>
          <w:rFonts w:hint="eastAsia" w:ascii="宋体" w:hAnsi="宋体" w:eastAsia="宋体" w:cs="宋体"/>
          <w:color w:val="auto"/>
          <w:sz w:val="24"/>
          <w:szCs w:val="24"/>
          <w:highlight w:val="none"/>
          <w:shd w:val="clear" w:color="auto" w:fill="FFFFFF"/>
        </w:rPr>
        <w:t>：</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2017年8月22日</w:t>
      </w:r>
    </w:p>
    <w:p>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pPr>
        <w:spacing w:before="120" w:beforeLines="50" w:after="120" w:afterLines="50"/>
        <w:jc w:val="center"/>
        <w:textAlignment w:val="baseline"/>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《统计上大中小微型企业划分办法（2017）》修订说明</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仓储业所包括的行业中类，根据《国民经济行业分类》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sz w:val="24"/>
          <w:szCs w:val="24"/>
          <w:highlight w:val="none"/>
        </w:rPr>
        <w:t>调整为“通用仓储，低温仓储，危险品仓储，谷物、棉花等农产品仓储，中药材仓储和其他仓储业”。</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300≤Y＜6000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300≤Z＜5000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5≤X＜20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1000≤Y＜100000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1000≤Y＜200000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8000≤Z＜120000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100≤Z＜8000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其他未列明行业*</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说明：</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1.大型、中型和小型企业须同时满足所列指标的下限，否则下划一档；微型企业只须满足所列指标中的一项即可。</w:t>
      </w:r>
    </w:p>
    <w:p>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eastAsia" w:ascii="宋体" w:hAnsi="宋体" w:eastAsia="宋体" w:cs="宋体"/>
          <w:b/>
          <w:color w:val="auto"/>
          <w:spacing w:val="20"/>
          <w:sz w:val="24"/>
          <w:szCs w:val="24"/>
          <w:highlight w:val="none"/>
        </w:rPr>
      </w:pPr>
    </w:p>
    <w:p>
      <w:pPr>
        <w:pStyle w:val="2"/>
        <w:rPr>
          <w:rFonts w:hint="default" w:ascii="宋体" w:hAnsi="宋体" w:eastAsia="宋体" w:cs="宋体"/>
          <w:b/>
          <w:color w:val="auto"/>
          <w:spacing w:val="20"/>
          <w:sz w:val="24"/>
          <w:szCs w:val="24"/>
          <w:highlight w:val="none"/>
          <w:lang w:val="en-US" w:eastAsia="zh-CN"/>
        </w:rPr>
      </w:pPr>
    </w:p>
    <w:sectPr>
      <w:footerReference r:id="rId10" w:type="first"/>
      <w:footerReference r:id="rId9" w:type="default"/>
      <w:pgSz w:w="11906" w:h="16838"/>
      <w:pgMar w:top="1418" w:right="1247" w:bottom="1418"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2F6226D-3606-466F-A705-213D3805E44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2D9488D-4E1E-490B-B7A6-43876321AE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embedRegular r:id="rId3" w:fontKey="{57F76D89-F802-4094-B182-0125C6AA3E5F}"/>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embedRegular r:id="rId4" w:fontKey="{98268471-E368-40D2-83CF-52E12CC2CE6F}"/>
  </w:font>
  <w:font w:name="Wingdings 2">
    <w:panose1 w:val="05020102010507070707"/>
    <w:charset w:val="02"/>
    <w:family w:val="auto"/>
    <w:pitch w:val="default"/>
    <w:sig w:usb0="00000000" w:usb1="00000000" w:usb2="00000000" w:usb3="00000000" w:csb0="80000000" w:csb1="00000000"/>
    <w:embedRegular r:id="rId5" w:fontKey="{017956E8-37DA-4189-A996-FFEDD4E77F72}"/>
  </w:font>
  <w:font w:name="新宋体">
    <w:panose1 w:val="02010609030101010101"/>
    <w:charset w:val="86"/>
    <w:family w:val="modern"/>
    <w:pitch w:val="default"/>
    <w:sig w:usb0="00000283" w:usb1="288F0000" w:usb2="00000006" w:usb3="00000000" w:csb0="00040001" w:csb1="00000000"/>
    <w:embedRegular r:id="rId6" w:fontKey="{91D74020-DD66-4495-999F-E6F1F5B1529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3"/>
      </w:pBdr>
      <w:jc w:val="both"/>
    </w:pPr>
    <w:r>
      <w:rPr>
        <w:rFonts w:hint="eastAsia"/>
        <w:lang w:eastAsia="zh-CN"/>
      </w:rPr>
      <w:t>吉林捷讯工程管理有限公司</w:t>
    </w:r>
    <w:r>
      <w:rPr>
        <w:rFonts w:hint="eastAsia"/>
      </w:rPr>
      <w:t xml:space="preserve">      　　                                          </w:t>
    </w:r>
    <w:r>
      <w:rPr>
        <w:rFonts w:hint="eastAsia"/>
        <w:lang w:val="en-US" w:eastAsia="zh-CN"/>
      </w:rPr>
      <w:t xml:space="preserve">     </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D9ADA"/>
    <w:multiLevelType w:val="singleLevel"/>
    <w:tmpl w:val="A2FD9ADA"/>
    <w:lvl w:ilvl="0" w:tentative="0">
      <w:start w:val="1"/>
      <w:numFmt w:val="decimal"/>
      <w:lvlText w:val="%1."/>
      <w:lvlJc w:val="left"/>
      <w:pPr>
        <w:tabs>
          <w:tab w:val="left" w:pos="312"/>
        </w:tabs>
      </w:pPr>
    </w:lvl>
  </w:abstractNum>
  <w:abstractNum w:abstractNumId="1">
    <w:nsid w:val="B2CE5598"/>
    <w:multiLevelType w:val="singleLevel"/>
    <w:tmpl w:val="B2CE5598"/>
    <w:lvl w:ilvl="0" w:tentative="0">
      <w:start w:val="5"/>
      <w:numFmt w:val="decimal"/>
      <w:suff w:val="nothing"/>
      <w:lvlText w:val="（%1）"/>
      <w:lvlJc w:val="left"/>
      <w:pPr>
        <w:ind w:left="80"/>
      </w:pPr>
    </w:lvl>
  </w:abstractNum>
  <w:abstractNum w:abstractNumId="2">
    <w:nsid w:val="DDC4BF2D"/>
    <w:multiLevelType w:val="singleLevel"/>
    <w:tmpl w:val="DDC4BF2D"/>
    <w:lvl w:ilvl="0" w:tentative="0">
      <w:start w:val="1"/>
      <w:numFmt w:val="chineseCounting"/>
      <w:suff w:val="nothing"/>
      <w:lvlText w:val="（%1）"/>
      <w:lvlJc w:val="left"/>
      <w:rPr>
        <w:rFonts w:hint="eastAsia"/>
      </w:rPr>
    </w:lvl>
  </w:abstractNum>
  <w:abstractNum w:abstractNumId="3">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F46C8B"/>
    <w:multiLevelType w:val="singleLevel"/>
    <w:tmpl w:val="2FF46C8B"/>
    <w:lvl w:ilvl="0" w:tentative="0">
      <w:start w:val="4"/>
      <w:numFmt w:val="chineseCounting"/>
      <w:suff w:val="space"/>
      <w:lvlText w:val="第%1部分"/>
      <w:lvlJc w:val="left"/>
      <w:rPr>
        <w:rFonts w:hint="eastAsia"/>
      </w:rPr>
    </w:lvl>
  </w:abstractNum>
  <w:abstractNum w:abstractNumId="5">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2F0359"/>
    <w:multiLevelType w:val="singleLevel"/>
    <w:tmpl w:val="502F0359"/>
    <w:lvl w:ilvl="0" w:tentative="0">
      <w:start w:val="1"/>
      <w:numFmt w:val="chineseCounting"/>
      <w:suff w:val="nothing"/>
      <w:lvlText w:val="%1、"/>
      <w:lvlJc w:val="left"/>
      <w:rPr>
        <w:rFonts w:hint="eastAsia"/>
      </w:rPr>
    </w:lvl>
  </w:abstractNum>
  <w:abstractNum w:abstractNumId="8">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6345C4"/>
    <w:multiLevelType w:val="multilevel"/>
    <w:tmpl w:val="7C6345C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0"/>
  </w:num>
  <w:num w:numId="4">
    <w:abstractNumId w:val="2"/>
  </w:num>
  <w:num w:numId="5">
    <w:abstractNumId w:val="4"/>
  </w:num>
  <w:num w:numId="6">
    <w:abstractNumId w:val="11"/>
  </w:num>
  <w:num w:numId="7">
    <w:abstractNumId w:val="3"/>
  </w:num>
  <w:num w:numId="8">
    <w:abstractNumId w:val="9"/>
  </w:num>
  <w:num w:numId="9">
    <w:abstractNumId w:val="8"/>
  </w:num>
  <w:num w:numId="10">
    <w:abstractNumId w:val="12"/>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DNkY2U4MTU1YzgxMDZhYjJmMmMwNjI5OWYzNGY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5DFF"/>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1C44BE"/>
    <w:rsid w:val="01431A4A"/>
    <w:rsid w:val="015B4FE6"/>
    <w:rsid w:val="017D66E9"/>
    <w:rsid w:val="018A58CB"/>
    <w:rsid w:val="019B57A0"/>
    <w:rsid w:val="01A06E9D"/>
    <w:rsid w:val="01A3073B"/>
    <w:rsid w:val="01A324E9"/>
    <w:rsid w:val="01D134FA"/>
    <w:rsid w:val="01D63F6D"/>
    <w:rsid w:val="01D6466C"/>
    <w:rsid w:val="01DF58FF"/>
    <w:rsid w:val="01FA65AD"/>
    <w:rsid w:val="021533E7"/>
    <w:rsid w:val="022344E1"/>
    <w:rsid w:val="024C0DD3"/>
    <w:rsid w:val="024D4A7D"/>
    <w:rsid w:val="027F6AB2"/>
    <w:rsid w:val="02B26E88"/>
    <w:rsid w:val="02CB7F49"/>
    <w:rsid w:val="02E146F9"/>
    <w:rsid w:val="02E334E5"/>
    <w:rsid w:val="02E80AFB"/>
    <w:rsid w:val="02E903CF"/>
    <w:rsid w:val="02ED4364"/>
    <w:rsid w:val="030671D3"/>
    <w:rsid w:val="030B2A3C"/>
    <w:rsid w:val="03103BAE"/>
    <w:rsid w:val="031F181B"/>
    <w:rsid w:val="032A4C70"/>
    <w:rsid w:val="035D5C1E"/>
    <w:rsid w:val="0361440A"/>
    <w:rsid w:val="03630182"/>
    <w:rsid w:val="0374413D"/>
    <w:rsid w:val="03920A67"/>
    <w:rsid w:val="03CF41F6"/>
    <w:rsid w:val="03D130C9"/>
    <w:rsid w:val="03D1333D"/>
    <w:rsid w:val="03DE3CAC"/>
    <w:rsid w:val="03F80913"/>
    <w:rsid w:val="040A2CF3"/>
    <w:rsid w:val="041B6CAE"/>
    <w:rsid w:val="04446205"/>
    <w:rsid w:val="044B7594"/>
    <w:rsid w:val="044F3EF5"/>
    <w:rsid w:val="046046C1"/>
    <w:rsid w:val="04650E5C"/>
    <w:rsid w:val="046B19E4"/>
    <w:rsid w:val="04820ADC"/>
    <w:rsid w:val="04BA2023"/>
    <w:rsid w:val="04DC52CD"/>
    <w:rsid w:val="04E42BB1"/>
    <w:rsid w:val="04F4568F"/>
    <w:rsid w:val="04F75026"/>
    <w:rsid w:val="04FA2D68"/>
    <w:rsid w:val="04FA4B16"/>
    <w:rsid w:val="04FC3176"/>
    <w:rsid w:val="050B6D23"/>
    <w:rsid w:val="05177476"/>
    <w:rsid w:val="051E2BF0"/>
    <w:rsid w:val="053C512E"/>
    <w:rsid w:val="053F077B"/>
    <w:rsid w:val="05820D5B"/>
    <w:rsid w:val="05BE78F1"/>
    <w:rsid w:val="05C018BB"/>
    <w:rsid w:val="05C25634"/>
    <w:rsid w:val="05CD3EB3"/>
    <w:rsid w:val="05D45367"/>
    <w:rsid w:val="05E27A84"/>
    <w:rsid w:val="05E30006"/>
    <w:rsid w:val="05E530D0"/>
    <w:rsid w:val="060866BA"/>
    <w:rsid w:val="061E22CB"/>
    <w:rsid w:val="06205A83"/>
    <w:rsid w:val="06284D83"/>
    <w:rsid w:val="06585F98"/>
    <w:rsid w:val="065C36FD"/>
    <w:rsid w:val="06725B16"/>
    <w:rsid w:val="067B2987"/>
    <w:rsid w:val="068154EF"/>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B40FAC"/>
    <w:rsid w:val="07BC2D8E"/>
    <w:rsid w:val="07BC5A31"/>
    <w:rsid w:val="07CC09EB"/>
    <w:rsid w:val="07D478A0"/>
    <w:rsid w:val="0802440D"/>
    <w:rsid w:val="081D2FF5"/>
    <w:rsid w:val="0822151D"/>
    <w:rsid w:val="08626C5A"/>
    <w:rsid w:val="088210AA"/>
    <w:rsid w:val="08892439"/>
    <w:rsid w:val="088C017B"/>
    <w:rsid w:val="088E3EF3"/>
    <w:rsid w:val="08935065"/>
    <w:rsid w:val="08B6248C"/>
    <w:rsid w:val="08C0550B"/>
    <w:rsid w:val="08E27D9B"/>
    <w:rsid w:val="08E41D65"/>
    <w:rsid w:val="08FC70AE"/>
    <w:rsid w:val="08FF6B9F"/>
    <w:rsid w:val="090002DA"/>
    <w:rsid w:val="090827CD"/>
    <w:rsid w:val="09095327"/>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C5EE5"/>
    <w:rsid w:val="0ABD286D"/>
    <w:rsid w:val="0AC41E4E"/>
    <w:rsid w:val="0AD100C7"/>
    <w:rsid w:val="0ADD6A6C"/>
    <w:rsid w:val="0AF03373"/>
    <w:rsid w:val="0B057D70"/>
    <w:rsid w:val="0BAF665A"/>
    <w:rsid w:val="0BB63CDC"/>
    <w:rsid w:val="0BEB340A"/>
    <w:rsid w:val="0BED2CDE"/>
    <w:rsid w:val="0C1A784C"/>
    <w:rsid w:val="0C1B09F4"/>
    <w:rsid w:val="0C1D11D3"/>
    <w:rsid w:val="0C405504"/>
    <w:rsid w:val="0C60563C"/>
    <w:rsid w:val="0C686809"/>
    <w:rsid w:val="0C6F4365"/>
    <w:rsid w:val="0C7117A3"/>
    <w:rsid w:val="0C7B02EA"/>
    <w:rsid w:val="0C923886"/>
    <w:rsid w:val="0C965124"/>
    <w:rsid w:val="0CF01B55"/>
    <w:rsid w:val="0CF647D3"/>
    <w:rsid w:val="0D0A78C0"/>
    <w:rsid w:val="0D0C188A"/>
    <w:rsid w:val="0D0F3693"/>
    <w:rsid w:val="0D1129FD"/>
    <w:rsid w:val="0D132C19"/>
    <w:rsid w:val="0D305579"/>
    <w:rsid w:val="0D4252AC"/>
    <w:rsid w:val="0D4947F0"/>
    <w:rsid w:val="0D613984"/>
    <w:rsid w:val="0D6C574D"/>
    <w:rsid w:val="0D6E7004"/>
    <w:rsid w:val="0D883FB7"/>
    <w:rsid w:val="0D8B0A01"/>
    <w:rsid w:val="0DE56FDE"/>
    <w:rsid w:val="0DEF6259"/>
    <w:rsid w:val="0DF447F8"/>
    <w:rsid w:val="0DF90060"/>
    <w:rsid w:val="0E0D58BA"/>
    <w:rsid w:val="0E285928"/>
    <w:rsid w:val="0E2A1FC8"/>
    <w:rsid w:val="0E2D7D0A"/>
    <w:rsid w:val="0E552DBD"/>
    <w:rsid w:val="0E976843"/>
    <w:rsid w:val="0EA578A0"/>
    <w:rsid w:val="0EA83079"/>
    <w:rsid w:val="0F1A1917"/>
    <w:rsid w:val="0F203F97"/>
    <w:rsid w:val="0F3330FE"/>
    <w:rsid w:val="0F3B6457"/>
    <w:rsid w:val="0F40581B"/>
    <w:rsid w:val="0F4075C9"/>
    <w:rsid w:val="0F515C7A"/>
    <w:rsid w:val="0F517A28"/>
    <w:rsid w:val="0F535F76"/>
    <w:rsid w:val="0F5A0DB5"/>
    <w:rsid w:val="0F6B6D3C"/>
    <w:rsid w:val="0F7F661A"/>
    <w:rsid w:val="0F8F4956"/>
    <w:rsid w:val="0F9F0794"/>
    <w:rsid w:val="0FA31024"/>
    <w:rsid w:val="0FBD6E6C"/>
    <w:rsid w:val="0FC518E4"/>
    <w:rsid w:val="0FDE19F7"/>
    <w:rsid w:val="0FF46D31"/>
    <w:rsid w:val="10044A9B"/>
    <w:rsid w:val="1019169C"/>
    <w:rsid w:val="101A42BE"/>
    <w:rsid w:val="101C0036"/>
    <w:rsid w:val="1021387D"/>
    <w:rsid w:val="102D02A1"/>
    <w:rsid w:val="102D3FF1"/>
    <w:rsid w:val="102E38C6"/>
    <w:rsid w:val="103E1D5B"/>
    <w:rsid w:val="10675755"/>
    <w:rsid w:val="1077526D"/>
    <w:rsid w:val="108160EB"/>
    <w:rsid w:val="109E740F"/>
    <w:rsid w:val="10AB4F16"/>
    <w:rsid w:val="10AC760C"/>
    <w:rsid w:val="10BB784F"/>
    <w:rsid w:val="10C83D1A"/>
    <w:rsid w:val="10CD30DE"/>
    <w:rsid w:val="10DD77C5"/>
    <w:rsid w:val="10E723F2"/>
    <w:rsid w:val="10EC0872"/>
    <w:rsid w:val="111451B1"/>
    <w:rsid w:val="11423ACC"/>
    <w:rsid w:val="1144495B"/>
    <w:rsid w:val="11515ABE"/>
    <w:rsid w:val="115F45E5"/>
    <w:rsid w:val="116E48C1"/>
    <w:rsid w:val="116F4196"/>
    <w:rsid w:val="119500A0"/>
    <w:rsid w:val="11D34725"/>
    <w:rsid w:val="11D566EF"/>
    <w:rsid w:val="11D861DF"/>
    <w:rsid w:val="12107F7D"/>
    <w:rsid w:val="12266F4A"/>
    <w:rsid w:val="125F51BD"/>
    <w:rsid w:val="126B2BAF"/>
    <w:rsid w:val="126D1954"/>
    <w:rsid w:val="12744159"/>
    <w:rsid w:val="127A1044"/>
    <w:rsid w:val="12A146D5"/>
    <w:rsid w:val="12A85BB1"/>
    <w:rsid w:val="12B10F0A"/>
    <w:rsid w:val="12C50511"/>
    <w:rsid w:val="12E360E4"/>
    <w:rsid w:val="12E60488"/>
    <w:rsid w:val="12E62106"/>
    <w:rsid w:val="12F901BB"/>
    <w:rsid w:val="13182D37"/>
    <w:rsid w:val="13196AAF"/>
    <w:rsid w:val="13373653"/>
    <w:rsid w:val="133D454B"/>
    <w:rsid w:val="133E2072"/>
    <w:rsid w:val="135950FD"/>
    <w:rsid w:val="13616DDA"/>
    <w:rsid w:val="137B32C6"/>
    <w:rsid w:val="13826402"/>
    <w:rsid w:val="13916645"/>
    <w:rsid w:val="13AC7923"/>
    <w:rsid w:val="13D5487D"/>
    <w:rsid w:val="13F57B76"/>
    <w:rsid w:val="13FC764C"/>
    <w:rsid w:val="141259D8"/>
    <w:rsid w:val="1419582F"/>
    <w:rsid w:val="141C1100"/>
    <w:rsid w:val="14365E8B"/>
    <w:rsid w:val="1441006B"/>
    <w:rsid w:val="144C06BE"/>
    <w:rsid w:val="14531B4D"/>
    <w:rsid w:val="14641FAC"/>
    <w:rsid w:val="14697BE6"/>
    <w:rsid w:val="147742FE"/>
    <w:rsid w:val="14A56265"/>
    <w:rsid w:val="14DB7F08"/>
    <w:rsid w:val="14E62BE7"/>
    <w:rsid w:val="14E643C9"/>
    <w:rsid w:val="1517701E"/>
    <w:rsid w:val="15200D24"/>
    <w:rsid w:val="15221996"/>
    <w:rsid w:val="153D4CD7"/>
    <w:rsid w:val="155E4C4D"/>
    <w:rsid w:val="15610299"/>
    <w:rsid w:val="158463DE"/>
    <w:rsid w:val="15915022"/>
    <w:rsid w:val="159D7523"/>
    <w:rsid w:val="15A86FC9"/>
    <w:rsid w:val="15D56295"/>
    <w:rsid w:val="15D867AD"/>
    <w:rsid w:val="160457D1"/>
    <w:rsid w:val="160752E5"/>
    <w:rsid w:val="161D1CE9"/>
    <w:rsid w:val="161E0A1B"/>
    <w:rsid w:val="163A2FC4"/>
    <w:rsid w:val="163D5AC4"/>
    <w:rsid w:val="1647748F"/>
    <w:rsid w:val="166D15EC"/>
    <w:rsid w:val="16734728"/>
    <w:rsid w:val="167C35DD"/>
    <w:rsid w:val="16866209"/>
    <w:rsid w:val="16930926"/>
    <w:rsid w:val="169C3C7F"/>
    <w:rsid w:val="16A9014A"/>
    <w:rsid w:val="16B502FA"/>
    <w:rsid w:val="16E86EC4"/>
    <w:rsid w:val="16F77107"/>
    <w:rsid w:val="1703785A"/>
    <w:rsid w:val="17117C38"/>
    <w:rsid w:val="17143815"/>
    <w:rsid w:val="17285513"/>
    <w:rsid w:val="17521DA9"/>
    <w:rsid w:val="17571954"/>
    <w:rsid w:val="17A133F8"/>
    <w:rsid w:val="17A56B63"/>
    <w:rsid w:val="17C06EBC"/>
    <w:rsid w:val="17C224C7"/>
    <w:rsid w:val="17DE54CF"/>
    <w:rsid w:val="17E4768B"/>
    <w:rsid w:val="17F81389"/>
    <w:rsid w:val="17FD65D0"/>
    <w:rsid w:val="18025D64"/>
    <w:rsid w:val="180715CC"/>
    <w:rsid w:val="180A2E6A"/>
    <w:rsid w:val="181F6915"/>
    <w:rsid w:val="182C1032"/>
    <w:rsid w:val="18441ED8"/>
    <w:rsid w:val="184B74E5"/>
    <w:rsid w:val="18664544"/>
    <w:rsid w:val="18730853"/>
    <w:rsid w:val="188F6EFF"/>
    <w:rsid w:val="189D783A"/>
    <w:rsid w:val="18A346C2"/>
    <w:rsid w:val="18C7379E"/>
    <w:rsid w:val="18C748B7"/>
    <w:rsid w:val="18D771F0"/>
    <w:rsid w:val="18DA6CE0"/>
    <w:rsid w:val="1912647A"/>
    <w:rsid w:val="19263CD4"/>
    <w:rsid w:val="192B12EA"/>
    <w:rsid w:val="1946272E"/>
    <w:rsid w:val="195F08E7"/>
    <w:rsid w:val="195F2D42"/>
    <w:rsid w:val="196333D9"/>
    <w:rsid w:val="196C5B8A"/>
    <w:rsid w:val="19742C91"/>
    <w:rsid w:val="19792055"/>
    <w:rsid w:val="197E141A"/>
    <w:rsid w:val="198D1C77"/>
    <w:rsid w:val="199702F5"/>
    <w:rsid w:val="19A215AC"/>
    <w:rsid w:val="19B659E9"/>
    <w:rsid w:val="19CA28B1"/>
    <w:rsid w:val="19CC166E"/>
    <w:rsid w:val="19E576EB"/>
    <w:rsid w:val="19F704E3"/>
    <w:rsid w:val="1A2735AF"/>
    <w:rsid w:val="1A7D7923"/>
    <w:rsid w:val="1A98650B"/>
    <w:rsid w:val="1A9D1D74"/>
    <w:rsid w:val="1ACB3526"/>
    <w:rsid w:val="1AD70FEB"/>
    <w:rsid w:val="1ADA70F7"/>
    <w:rsid w:val="1ADE52DA"/>
    <w:rsid w:val="1AFF4613"/>
    <w:rsid w:val="1B49619E"/>
    <w:rsid w:val="1B6A60FA"/>
    <w:rsid w:val="1B701236"/>
    <w:rsid w:val="1BAC6712"/>
    <w:rsid w:val="1BB83309"/>
    <w:rsid w:val="1BD57D32"/>
    <w:rsid w:val="1BD712B5"/>
    <w:rsid w:val="1BE30BF5"/>
    <w:rsid w:val="1BF14125"/>
    <w:rsid w:val="1C12523F"/>
    <w:rsid w:val="1C16002F"/>
    <w:rsid w:val="1C1821EF"/>
    <w:rsid w:val="1C365FDC"/>
    <w:rsid w:val="1C395ACC"/>
    <w:rsid w:val="1C47643B"/>
    <w:rsid w:val="1C556DAA"/>
    <w:rsid w:val="1C5B4972"/>
    <w:rsid w:val="1C662D65"/>
    <w:rsid w:val="1C786A3B"/>
    <w:rsid w:val="1C84143D"/>
    <w:rsid w:val="1C942349"/>
    <w:rsid w:val="1CA2751E"/>
    <w:rsid w:val="1CAC2742"/>
    <w:rsid w:val="1CB33AD0"/>
    <w:rsid w:val="1CC04712"/>
    <w:rsid w:val="1CE819CC"/>
    <w:rsid w:val="1CEF719F"/>
    <w:rsid w:val="1CFE1968"/>
    <w:rsid w:val="1D2E3157"/>
    <w:rsid w:val="1D970DA8"/>
    <w:rsid w:val="1DA33B45"/>
    <w:rsid w:val="1DA7106E"/>
    <w:rsid w:val="1DAD6772"/>
    <w:rsid w:val="1DAF4B38"/>
    <w:rsid w:val="1DDA0D6B"/>
    <w:rsid w:val="1DDF7A40"/>
    <w:rsid w:val="1DE228BA"/>
    <w:rsid w:val="1E0839A8"/>
    <w:rsid w:val="1E8F2A80"/>
    <w:rsid w:val="1EB9030D"/>
    <w:rsid w:val="1EC91389"/>
    <w:rsid w:val="1EDA4679"/>
    <w:rsid w:val="1EE05D46"/>
    <w:rsid w:val="1F03544E"/>
    <w:rsid w:val="1F0829B6"/>
    <w:rsid w:val="1F2C2D5F"/>
    <w:rsid w:val="1F470500"/>
    <w:rsid w:val="1F5246BA"/>
    <w:rsid w:val="1F6327D6"/>
    <w:rsid w:val="1F6E513F"/>
    <w:rsid w:val="1FA0658E"/>
    <w:rsid w:val="1FB65DB1"/>
    <w:rsid w:val="1FCF0C21"/>
    <w:rsid w:val="1FD16E47"/>
    <w:rsid w:val="1FDE70B6"/>
    <w:rsid w:val="1FE83A91"/>
    <w:rsid w:val="20052895"/>
    <w:rsid w:val="201605FE"/>
    <w:rsid w:val="201C3760"/>
    <w:rsid w:val="20210D51"/>
    <w:rsid w:val="202F2F0A"/>
    <w:rsid w:val="20322F5E"/>
    <w:rsid w:val="203B7DCD"/>
    <w:rsid w:val="2040567B"/>
    <w:rsid w:val="20476A09"/>
    <w:rsid w:val="204A02A8"/>
    <w:rsid w:val="20717F2A"/>
    <w:rsid w:val="208F6602"/>
    <w:rsid w:val="209459C7"/>
    <w:rsid w:val="20A420AE"/>
    <w:rsid w:val="20B322F1"/>
    <w:rsid w:val="20C067BC"/>
    <w:rsid w:val="20C242E2"/>
    <w:rsid w:val="20C91B14"/>
    <w:rsid w:val="20D44015"/>
    <w:rsid w:val="20E643A0"/>
    <w:rsid w:val="20FD26FC"/>
    <w:rsid w:val="2146615C"/>
    <w:rsid w:val="21505D92"/>
    <w:rsid w:val="216A06D1"/>
    <w:rsid w:val="216D6919"/>
    <w:rsid w:val="21780E44"/>
    <w:rsid w:val="21933ED0"/>
    <w:rsid w:val="21B61F52"/>
    <w:rsid w:val="21C36564"/>
    <w:rsid w:val="21C81DCC"/>
    <w:rsid w:val="21D249F9"/>
    <w:rsid w:val="21DA38AD"/>
    <w:rsid w:val="21F84180"/>
    <w:rsid w:val="22500474"/>
    <w:rsid w:val="22513B6F"/>
    <w:rsid w:val="22525B39"/>
    <w:rsid w:val="227B2926"/>
    <w:rsid w:val="22835CF3"/>
    <w:rsid w:val="22865684"/>
    <w:rsid w:val="228C104B"/>
    <w:rsid w:val="22BA5A10"/>
    <w:rsid w:val="22CF718A"/>
    <w:rsid w:val="231E7B37"/>
    <w:rsid w:val="233D40F4"/>
    <w:rsid w:val="23450EDC"/>
    <w:rsid w:val="23515DF1"/>
    <w:rsid w:val="23517B9F"/>
    <w:rsid w:val="23531B69"/>
    <w:rsid w:val="235D02F2"/>
    <w:rsid w:val="235F406A"/>
    <w:rsid w:val="236B2E9C"/>
    <w:rsid w:val="238826AD"/>
    <w:rsid w:val="238B742E"/>
    <w:rsid w:val="23987286"/>
    <w:rsid w:val="23AD74CB"/>
    <w:rsid w:val="23AE6D9F"/>
    <w:rsid w:val="23B24756"/>
    <w:rsid w:val="23D45DC0"/>
    <w:rsid w:val="23E1155B"/>
    <w:rsid w:val="23ED1676"/>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A4F48"/>
    <w:rsid w:val="25781413"/>
    <w:rsid w:val="258204E4"/>
    <w:rsid w:val="25A71CF8"/>
    <w:rsid w:val="25BD21AD"/>
    <w:rsid w:val="25CA6E09"/>
    <w:rsid w:val="25D6438C"/>
    <w:rsid w:val="25E25090"/>
    <w:rsid w:val="25F3318F"/>
    <w:rsid w:val="25F5515A"/>
    <w:rsid w:val="25F64996"/>
    <w:rsid w:val="262B0B7B"/>
    <w:rsid w:val="265A6D6B"/>
    <w:rsid w:val="266876DA"/>
    <w:rsid w:val="268C2968"/>
    <w:rsid w:val="26C65C0F"/>
    <w:rsid w:val="26C708A4"/>
    <w:rsid w:val="26C757BD"/>
    <w:rsid w:val="26DB434F"/>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A961FC"/>
    <w:rsid w:val="27A96AB9"/>
    <w:rsid w:val="27CD31BF"/>
    <w:rsid w:val="27D95EBF"/>
    <w:rsid w:val="27DC037F"/>
    <w:rsid w:val="27EC31AA"/>
    <w:rsid w:val="280A4686"/>
    <w:rsid w:val="281F026C"/>
    <w:rsid w:val="283A284D"/>
    <w:rsid w:val="285919D0"/>
    <w:rsid w:val="28595263"/>
    <w:rsid w:val="2868457E"/>
    <w:rsid w:val="28793E20"/>
    <w:rsid w:val="28926CDF"/>
    <w:rsid w:val="2895372B"/>
    <w:rsid w:val="28AA222B"/>
    <w:rsid w:val="28C64DCA"/>
    <w:rsid w:val="28C802B7"/>
    <w:rsid w:val="28DE1ED5"/>
    <w:rsid w:val="28DF17A9"/>
    <w:rsid w:val="28F24E95"/>
    <w:rsid w:val="28FB65E3"/>
    <w:rsid w:val="28FC235B"/>
    <w:rsid w:val="29174AC8"/>
    <w:rsid w:val="2920429C"/>
    <w:rsid w:val="294B0A9B"/>
    <w:rsid w:val="29581C87"/>
    <w:rsid w:val="296D0CD1"/>
    <w:rsid w:val="296E14AB"/>
    <w:rsid w:val="299507E6"/>
    <w:rsid w:val="29AB625B"/>
    <w:rsid w:val="29CF181E"/>
    <w:rsid w:val="29F4061C"/>
    <w:rsid w:val="2A005E38"/>
    <w:rsid w:val="2A133E00"/>
    <w:rsid w:val="2A3873C3"/>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97896"/>
    <w:rsid w:val="2B6D12EE"/>
    <w:rsid w:val="2B824CF1"/>
    <w:rsid w:val="2B8E1990"/>
    <w:rsid w:val="2BAA2542"/>
    <w:rsid w:val="2BAD7EEE"/>
    <w:rsid w:val="2BD31A99"/>
    <w:rsid w:val="2BE45A54"/>
    <w:rsid w:val="2BF9180D"/>
    <w:rsid w:val="2C210F74"/>
    <w:rsid w:val="2C245E51"/>
    <w:rsid w:val="2C3116AB"/>
    <w:rsid w:val="2C602C01"/>
    <w:rsid w:val="2C620DE5"/>
    <w:rsid w:val="2C697D08"/>
    <w:rsid w:val="2C6E5E3A"/>
    <w:rsid w:val="2C840FE5"/>
    <w:rsid w:val="2C8C39F6"/>
    <w:rsid w:val="2C9A6113"/>
    <w:rsid w:val="2CBD1492"/>
    <w:rsid w:val="2CD4412F"/>
    <w:rsid w:val="2CED26E7"/>
    <w:rsid w:val="2CFC6DCE"/>
    <w:rsid w:val="2D151C3D"/>
    <w:rsid w:val="2D32459D"/>
    <w:rsid w:val="2D406CBA"/>
    <w:rsid w:val="2D4300C9"/>
    <w:rsid w:val="2D430559"/>
    <w:rsid w:val="2D4C45A1"/>
    <w:rsid w:val="2D510EC7"/>
    <w:rsid w:val="2D67693D"/>
    <w:rsid w:val="2D6D3827"/>
    <w:rsid w:val="2D894D72"/>
    <w:rsid w:val="2DAD00C8"/>
    <w:rsid w:val="2DB6335E"/>
    <w:rsid w:val="2DC44A4F"/>
    <w:rsid w:val="2DC55411"/>
    <w:rsid w:val="2DD12008"/>
    <w:rsid w:val="2E083F3B"/>
    <w:rsid w:val="2E0B376C"/>
    <w:rsid w:val="2E3507E9"/>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A95B86"/>
    <w:rsid w:val="2FB83480"/>
    <w:rsid w:val="2FC040E2"/>
    <w:rsid w:val="2FD6110E"/>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D51E0F"/>
    <w:rsid w:val="30DA7426"/>
    <w:rsid w:val="30E738F1"/>
    <w:rsid w:val="30E829D4"/>
    <w:rsid w:val="30F26900"/>
    <w:rsid w:val="30F8356E"/>
    <w:rsid w:val="30F85AFE"/>
    <w:rsid w:val="310D15A9"/>
    <w:rsid w:val="312C3DE1"/>
    <w:rsid w:val="314F3970"/>
    <w:rsid w:val="316C5EBB"/>
    <w:rsid w:val="318C4058"/>
    <w:rsid w:val="318C4BC4"/>
    <w:rsid w:val="31AF28A2"/>
    <w:rsid w:val="31B639EF"/>
    <w:rsid w:val="31D9592F"/>
    <w:rsid w:val="31E645B2"/>
    <w:rsid w:val="31F12C79"/>
    <w:rsid w:val="31F134B7"/>
    <w:rsid w:val="32244DFC"/>
    <w:rsid w:val="322667B5"/>
    <w:rsid w:val="328303DD"/>
    <w:rsid w:val="32A361EC"/>
    <w:rsid w:val="32E0684A"/>
    <w:rsid w:val="32E620B2"/>
    <w:rsid w:val="32EB3B6C"/>
    <w:rsid w:val="32EE0F67"/>
    <w:rsid w:val="32F02F31"/>
    <w:rsid w:val="32FD11AA"/>
    <w:rsid w:val="33024A12"/>
    <w:rsid w:val="33136C1F"/>
    <w:rsid w:val="333746BC"/>
    <w:rsid w:val="33770F5C"/>
    <w:rsid w:val="33823753"/>
    <w:rsid w:val="338B2C59"/>
    <w:rsid w:val="33A65CE5"/>
    <w:rsid w:val="33AA05E8"/>
    <w:rsid w:val="33B169AF"/>
    <w:rsid w:val="33C66680"/>
    <w:rsid w:val="33E3258B"/>
    <w:rsid w:val="33FB393B"/>
    <w:rsid w:val="34131B96"/>
    <w:rsid w:val="341B4D8B"/>
    <w:rsid w:val="3431795E"/>
    <w:rsid w:val="343726A7"/>
    <w:rsid w:val="343D55E2"/>
    <w:rsid w:val="34452E08"/>
    <w:rsid w:val="34552B86"/>
    <w:rsid w:val="34627E5E"/>
    <w:rsid w:val="34980AC4"/>
    <w:rsid w:val="349D0E96"/>
    <w:rsid w:val="34E21963"/>
    <w:rsid w:val="34E50CCC"/>
    <w:rsid w:val="34F14D3E"/>
    <w:rsid w:val="34F62354"/>
    <w:rsid w:val="3505407A"/>
    <w:rsid w:val="352D221A"/>
    <w:rsid w:val="35387D63"/>
    <w:rsid w:val="353A4937"/>
    <w:rsid w:val="354D6418"/>
    <w:rsid w:val="35601218"/>
    <w:rsid w:val="358931C8"/>
    <w:rsid w:val="359223A9"/>
    <w:rsid w:val="35A952DD"/>
    <w:rsid w:val="35BA7826"/>
    <w:rsid w:val="35C10BB4"/>
    <w:rsid w:val="35F5260C"/>
    <w:rsid w:val="35F70776"/>
    <w:rsid w:val="362829E1"/>
    <w:rsid w:val="36356EAC"/>
    <w:rsid w:val="36405F7D"/>
    <w:rsid w:val="36427103"/>
    <w:rsid w:val="36454420"/>
    <w:rsid w:val="36633A19"/>
    <w:rsid w:val="367232C8"/>
    <w:rsid w:val="36730100"/>
    <w:rsid w:val="367664B1"/>
    <w:rsid w:val="367D1DCA"/>
    <w:rsid w:val="36E508D2"/>
    <w:rsid w:val="36FF1994"/>
    <w:rsid w:val="370C0700"/>
    <w:rsid w:val="371B152F"/>
    <w:rsid w:val="37384EA6"/>
    <w:rsid w:val="37427AD3"/>
    <w:rsid w:val="37643EED"/>
    <w:rsid w:val="376E6490"/>
    <w:rsid w:val="37904CE2"/>
    <w:rsid w:val="37A23B2A"/>
    <w:rsid w:val="37A7550F"/>
    <w:rsid w:val="37A83712"/>
    <w:rsid w:val="37B24AB3"/>
    <w:rsid w:val="37C640CA"/>
    <w:rsid w:val="37C8622A"/>
    <w:rsid w:val="37E42938"/>
    <w:rsid w:val="3809239F"/>
    <w:rsid w:val="38156F95"/>
    <w:rsid w:val="381B0A50"/>
    <w:rsid w:val="38510CC6"/>
    <w:rsid w:val="389B393F"/>
    <w:rsid w:val="389D18F0"/>
    <w:rsid w:val="38AC5B4C"/>
    <w:rsid w:val="38AD56EA"/>
    <w:rsid w:val="38BD38B5"/>
    <w:rsid w:val="38BE13DB"/>
    <w:rsid w:val="38CD7870"/>
    <w:rsid w:val="38ED03A5"/>
    <w:rsid w:val="38F11583"/>
    <w:rsid w:val="38F20621"/>
    <w:rsid w:val="3911775D"/>
    <w:rsid w:val="391B682D"/>
    <w:rsid w:val="3943394F"/>
    <w:rsid w:val="39553AED"/>
    <w:rsid w:val="39A44A75"/>
    <w:rsid w:val="39AE31FE"/>
    <w:rsid w:val="39BF2767"/>
    <w:rsid w:val="39CD3FCC"/>
    <w:rsid w:val="39CE564E"/>
    <w:rsid w:val="39D569DC"/>
    <w:rsid w:val="39E5694E"/>
    <w:rsid w:val="39E8099F"/>
    <w:rsid w:val="39E97BF2"/>
    <w:rsid w:val="39EC027C"/>
    <w:rsid w:val="39F448CD"/>
    <w:rsid w:val="39FF7EFD"/>
    <w:rsid w:val="3A1219DE"/>
    <w:rsid w:val="3A4D0C68"/>
    <w:rsid w:val="3A5B6136"/>
    <w:rsid w:val="3A5C0EAC"/>
    <w:rsid w:val="3A7A7584"/>
    <w:rsid w:val="3A850B77"/>
    <w:rsid w:val="3A887EF3"/>
    <w:rsid w:val="3AA20FB4"/>
    <w:rsid w:val="3AA27206"/>
    <w:rsid w:val="3AA36ADA"/>
    <w:rsid w:val="3AAA009C"/>
    <w:rsid w:val="3AAD7959"/>
    <w:rsid w:val="3ADC2E01"/>
    <w:rsid w:val="3AEA295B"/>
    <w:rsid w:val="3AFC23EB"/>
    <w:rsid w:val="3B0E03F8"/>
    <w:rsid w:val="3B4200A1"/>
    <w:rsid w:val="3B4A51A8"/>
    <w:rsid w:val="3B4E4C98"/>
    <w:rsid w:val="3B5E4A0D"/>
    <w:rsid w:val="3B7F12F6"/>
    <w:rsid w:val="3B800BCA"/>
    <w:rsid w:val="3B8E7126"/>
    <w:rsid w:val="3B9D5C20"/>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7730C"/>
    <w:rsid w:val="3D22018A"/>
    <w:rsid w:val="3D3805DF"/>
    <w:rsid w:val="3D3E0D3C"/>
    <w:rsid w:val="3D453E79"/>
    <w:rsid w:val="3D49647F"/>
    <w:rsid w:val="3D5D11C3"/>
    <w:rsid w:val="3D622C7D"/>
    <w:rsid w:val="3D70539A"/>
    <w:rsid w:val="3DAB4624"/>
    <w:rsid w:val="3DB66B25"/>
    <w:rsid w:val="3DC456E6"/>
    <w:rsid w:val="3DDB658B"/>
    <w:rsid w:val="3E0E4BB3"/>
    <w:rsid w:val="3E104487"/>
    <w:rsid w:val="3E2241BA"/>
    <w:rsid w:val="3E3D0FF4"/>
    <w:rsid w:val="3E483C21"/>
    <w:rsid w:val="3E5D51F2"/>
    <w:rsid w:val="3E7C7D6E"/>
    <w:rsid w:val="3E945C80"/>
    <w:rsid w:val="3EA90437"/>
    <w:rsid w:val="3EAB41B0"/>
    <w:rsid w:val="3EC82FB3"/>
    <w:rsid w:val="3ECF60F0"/>
    <w:rsid w:val="3EDC25BB"/>
    <w:rsid w:val="3EE651E8"/>
    <w:rsid w:val="3EFB6EE5"/>
    <w:rsid w:val="3F033FEC"/>
    <w:rsid w:val="3F147857"/>
    <w:rsid w:val="3F1D5F61"/>
    <w:rsid w:val="3F2006FA"/>
    <w:rsid w:val="3F264703"/>
    <w:rsid w:val="3F3044D0"/>
    <w:rsid w:val="3F424B14"/>
    <w:rsid w:val="3F696545"/>
    <w:rsid w:val="3F6E5909"/>
    <w:rsid w:val="3F731171"/>
    <w:rsid w:val="3FA702E8"/>
    <w:rsid w:val="3FAF7CCF"/>
    <w:rsid w:val="3FB377C0"/>
    <w:rsid w:val="3FB83028"/>
    <w:rsid w:val="3FBD063E"/>
    <w:rsid w:val="3FC512A1"/>
    <w:rsid w:val="3FC714BD"/>
    <w:rsid w:val="3FCB2D5B"/>
    <w:rsid w:val="3FDA34B1"/>
    <w:rsid w:val="3FDB2873"/>
    <w:rsid w:val="3FE931E1"/>
    <w:rsid w:val="3FF12096"/>
    <w:rsid w:val="40363F4D"/>
    <w:rsid w:val="40381A73"/>
    <w:rsid w:val="40662A84"/>
    <w:rsid w:val="4084115C"/>
    <w:rsid w:val="40923879"/>
    <w:rsid w:val="409F5F96"/>
    <w:rsid w:val="40A62E81"/>
    <w:rsid w:val="40BF38EE"/>
    <w:rsid w:val="40C81C57"/>
    <w:rsid w:val="40D20119"/>
    <w:rsid w:val="40DC4AF4"/>
    <w:rsid w:val="40EF2A79"/>
    <w:rsid w:val="410E7DF5"/>
    <w:rsid w:val="411A75D0"/>
    <w:rsid w:val="414A7CB0"/>
    <w:rsid w:val="414C1C7A"/>
    <w:rsid w:val="4154318A"/>
    <w:rsid w:val="41641184"/>
    <w:rsid w:val="41696778"/>
    <w:rsid w:val="416F5968"/>
    <w:rsid w:val="4173594E"/>
    <w:rsid w:val="417B255F"/>
    <w:rsid w:val="41AD09C3"/>
    <w:rsid w:val="41C05228"/>
    <w:rsid w:val="41CA04D7"/>
    <w:rsid w:val="41D43A1D"/>
    <w:rsid w:val="41DD28D2"/>
    <w:rsid w:val="41FB137B"/>
    <w:rsid w:val="41FB7F39"/>
    <w:rsid w:val="42051E29"/>
    <w:rsid w:val="420662CD"/>
    <w:rsid w:val="4207456D"/>
    <w:rsid w:val="421502BE"/>
    <w:rsid w:val="425154F8"/>
    <w:rsid w:val="42644DA1"/>
    <w:rsid w:val="427850ED"/>
    <w:rsid w:val="429A07C3"/>
    <w:rsid w:val="42A7230A"/>
    <w:rsid w:val="42ED2FE9"/>
    <w:rsid w:val="43000F6E"/>
    <w:rsid w:val="43030A5E"/>
    <w:rsid w:val="430F7403"/>
    <w:rsid w:val="43346222"/>
    <w:rsid w:val="435F0AA0"/>
    <w:rsid w:val="437A5885"/>
    <w:rsid w:val="439E6277"/>
    <w:rsid w:val="43B600AD"/>
    <w:rsid w:val="43DF733B"/>
    <w:rsid w:val="43E371ED"/>
    <w:rsid w:val="43EA7528"/>
    <w:rsid w:val="43F108B7"/>
    <w:rsid w:val="43FE4C25"/>
    <w:rsid w:val="440419F3"/>
    <w:rsid w:val="441E4D86"/>
    <w:rsid w:val="4436451B"/>
    <w:rsid w:val="446F063A"/>
    <w:rsid w:val="448046DC"/>
    <w:rsid w:val="4484797D"/>
    <w:rsid w:val="44986059"/>
    <w:rsid w:val="44A818BD"/>
    <w:rsid w:val="44CC6C2E"/>
    <w:rsid w:val="44CF19E1"/>
    <w:rsid w:val="44D0720B"/>
    <w:rsid w:val="44D07D4A"/>
    <w:rsid w:val="44D53D34"/>
    <w:rsid w:val="45442C68"/>
    <w:rsid w:val="454676EB"/>
    <w:rsid w:val="45487509"/>
    <w:rsid w:val="45541CEF"/>
    <w:rsid w:val="456B4699"/>
    <w:rsid w:val="458F482B"/>
    <w:rsid w:val="45BB117C"/>
    <w:rsid w:val="45C06792"/>
    <w:rsid w:val="45F0690E"/>
    <w:rsid w:val="45F610F0"/>
    <w:rsid w:val="45FB3C6E"/>
    <w:rsid w:val="460366D7"/>
    <w:rsid w:val="4609638B"/>
    <w:rsid w:val="460C3316"/>
    <w:rsid w:val="46280371"/>
    <w:rsid w:val="463827CD"/>
    <w:rsid w:val="46530576"/>
    <w:rsid w:val="465D33BE"/>
    <w:rsid w:val="465D3D30"/>
    <w:rsid w:val="46647A66"/>
    <w:rsid w:val="46916381"/>
    <w:rsid w:val="46945A20"/>
    <w:rsid w:val="469A6FE4"/>
    <w:rsid w:val="46A3401E"/>
    <w:rsid w:val="46CC1167"/>
    <w:rsid w:val="46D85D5E"/>
    <w:rsid w:val="46FB137F"/>
    <w:rsid w:val="46FB50CF"/>
    <w:rsid w:val="46FC37FA"/>
    <w:rsid w:val="470152C3"/>
    <w:rsid w:val="471C718B"/>
    <w:rsid w:val="4738351D"/>
    <w:rsid w:val="475950F1"/>
    <w:rsid w:val="475F64F1"/>
    <w:rsid w:val="476D46F8"/>
    <w:rsid w:val="477261B2"/>
    <w:rsid w:val="477A6E6A"/>
    <w:rsid w:val="477C3E4E"/>
    <w:rsid w:val="477E6905"/>
    <w:rsid w:val="479E6FA7"/>
    <w:rsid w:val="47D97FDF"/>
    <w:rsid w:val="47E32FBE"/>
    <w:rsid w:val="47E50732"/>
    <w:rsid w:val="48054198"/>
    <w:rsid w:val="481E3C44"/>
    <w:rsid w:val="482E1FB6"/>
    <w:rsid w:val="48380768"/>
    <w:rsid w:val="4840005F"/>
    <w:rsid w:val="484A4A39"/>
    <w:rsid w:val="484E277B"/>
    <w:rsid w:val="485E04E5"/>
    <w:rsid w:val="48621B0C"/>
    <w:rsid w:val="488F12B1"/>
    <w:rsid w:val="489451D8"/>
    <w:rsid w:val="48F331AB"/>
    <w:rsid w:val="48F75EC4"/>
    <w:rsid w:val="49227764"/>
    <w:rsid w:val="493C2BF3"/>
    <w:rsid w:val="4941408E"/>
    <w:rsid w:val="49431BB4"/>
    <w:rsid w:val="49601FEE"/>
    <w:rsid w:val="49853754"/>
    <w:rsid w:val="49A10689"/>
    <w:rsid w:val="49BA799D"/>
    <w:rsid w:val="49F92273"/>
    <w:rsid w:val="4A0D21C2"/>
    <w:rsid w:val="4A1134A2"/>
    <w:rsid w:val="4A2B43F6"/>
    <w:rsid w:val="4A4E23DD"/>
    <w:rsid w:val="4A5A3216"/>
    <w:rsid w:val="4A713F14"/>
    <w:rsid w:val="4A732ADF"/>
    <w:rsid w:val="4A7D4C52"/>
    <w:rsid w:val="4A963F66"/>
    <w:rsid w:val="4A96711A"/>
    <w:rsid w:val="4AB4049F"/>
    <w:rsid w:val="4AB80380"/>
    <w:rsid w:val="4AC81B75"/>
    <w:rsid w:val="4B0215FB"/>
    <w:rsid w:val="4B3B1EDD"/>
    <w:rsid w:val="4B7A3887"/>
    <w:rsid w:val="4B7E5126"/>
    <w:rsid w:val="4B895879"/>
    <w:rsid w:val="4B8B339F"/>
    <w:rsid w:val="4B951B65"/>
    <w:rsid w:val="4BA32DDE"/>
    <w:rsid w:val="4BB17956"/>
    <w:rsid w:val="4BD05255"/>
    <w:rsid w:val="4BE807F1"/>
    <w:rsid w:val="4BFE5D6A"/>
    <w:rsid w:val="4C147916"/>
    <w:rsid w:val="4C3D6555"/>
    <w:rsid w:val="4C673E0C"/>
    <w:rsid w:val="4C6B2B37"/>
    <w:rsid w:val="4C6C1422"/>
    <w:rsid w:val="4C8770A6"/>
    <w:rsid w:val="4CAF7561"/>
    <w:rsid w:val="4CCA03D9"/>
    <w:rsid w:val="4CE94821"/>
    <w:rsid w:val="4CEC4311"/>
    <w:rsid w:val="4CF308FD"/>
    <w:rsid w:val="4D1F0243"/>
    <w:rsid w:val="4D6E4D26"/>
    <w:rsid w:val="4D926C66"/>
    <w:rsid w:val="4DAB5F7A"/>
    <w:rsid w:val="4DB017E2"/>
    <w:rsid w:val="4DC863E5"/>
    <w:rsid w:val="4DCA5A51"/>
    <w:rsid w:val="4DE05CFA"/>
    <w:rsid w:val="4DE12E81"/>
    <w:rsid w:val="4E7D7917"/>
    <w:rsid w:val="4E9B27EF"/>
    <w:rsid w:val="4EAC3D58"/>
    <w:rsid w:val="4EBD6279"/>
    <w:rsid w:val="4EC015B1"/>
    <w:rsid w:val="4ECC43FA"/>
    <w:rsid w:val="4ECF7A46"/>
    <w:rsid w:val="4ED16A53"/>
    <w:rsid w:val="4EEB16E6"/>
    <w:rsid w:val="4EFA0F67"/>
    <w:rsid w:val="4F0B3174"/>
    <w:rsid w:val="4F0C303F"/>
    <w:rsid w:val="4F2D7040"/>
    <w:rsid w:val="4F3F2E1E"/>
    <w:rsid w:val="4F45117A"/>
    <w:rsid w:val="4F4626F3"/>
    <w:rsid w:val="4F4915A7"/>
    <w:rsid w:val="4F4A3571"/>
    <w:rsid w:val="4F5D32A4"/>
    <w:rsid w:val="4F701229"/>
    <w:rsid w:val="4F727FD6"/>
    <w:rsid w:val="4F824AB9"/>
    <w:rsid w:val="4F8304CF"/>
    <w:rsid w:val="4F840831"/>
    <w:rsid w:val="4F876573"/>
    <w:rsid w:val="4FA26F09"/>
    <w:rsid w:val="4FAE58AE"/>
    <w:rsid w:val="4FB71297"/>
    <w:rsid w:val="4FBF11AA"/>
    <w:rsid w:val="4FD5108C"/>
    <w:rsid w:val="4FE92CD6"/>
    <w:rsid w:val="50221C17"/>
    <w:rsid w:val="502C5EFA"/>
    <w:rsid w:val="502D0274"/>
    <w:rsid w:val="50416722"/>
    <w:rsid w:val="50574197"/>
    <w:rsid w:val="506153AC"/>
    <w:rsid w:val="507620AE"/>
    <w:rsid w:val="5099655E"/>
    <w:rsid w:val="50A224C3"/>
    <w:rsid w:val="50E023DF"/>
    <w:rsid w:val="50E35A2B"/>
    <w:rsid w:val="50F1639A"/>
    <w:rsid w:val="51257DF2"/>
    <w:rsid w:val="51271DBC"/>
    <w:rsid w:val="513F7105"/>
    <w:rsid w:val="51477D68"/>
    <w:rsid w:val="514A5AAA"/>
    <w:rsid w:val="514C35D0"/>
    <w:rsid w:val="515801C7"/>
    <w:rsid w:val="51593B8D"/>
    <w:rsid w:val="515F007B"/>
    <w:rsid w:val="516140B5"/>
    <w:rsid w:val="51644DBE"/>
    <w:rsid w:val="517A6653"/>
    <w:rsid w:val="518B5EA5"/>
    <w:rsid w:val="518C7E71"/>
    <w:rsid w:val="518F39BC"/>
    <w:rsid w:val="51C969CF"/>
    <w:rsid w:val="51FA74D0"/>
    <w:rsid w:val="51FF6894"/>
    <w:rsid w:val="5200269E"/>
    <w:rsid w:val="5200380D"/>
    <w:rsid w:val="522C7C40"/>
    <w:rsid w:val="523227C6"/>
    <w:rsid w:val="52374280"/>
    <w:rsid w:val="524D7600"/>
    <w:rsid w:val="527C3337"/>
    <w:rsid w:val="527E1EAF"/>
    <w:rsid w:val="527E5A0B"/>
    <w:rsid w:val="52AF2069"/>
    <w:rsid w:val="52B7716F"/>
    <w:rsid w:val="52C673B2"/>
    <w:rsid w:val="52E4399A"/>
    <w:rsid w:val="531445C2"/>
    <w:rsid w:val="531935A4"/>
    <w:rsid w:val="536524C3"/>
    <w:rsid w:val="536A36BC"/>
    <w:rsid w:val="536D1F1D"/>
    <w:rsid w:val="537312E8"/>
    <w:rsid w:val="538277A4"/>
    <w:rsid w:val="53980D4F"/>
    <w:rsid w:val="53A019B1"/>
    <w:rsid w:val="53AF7E46"/>
    <w:rsid w:val="53C51035"/>
    <w:rsid w:val="53C9715A"/>
    <w:rsid w:val="53CF4A5C"/>
    <w:rsid w:val="53D041D1"/>
    <w:rsid w:val="53FB4CCB"/>
    <w:rsid w:val="54014B46"/>
    <w:rsid w:val="540262EE"/>
    <w:rsid w:val="54244390"/>
    <w:rsid w:val="54305A86"/>
    <w:rsid w:val="543D5452"/>
    <w:rsid w:val="546450D5"/>
    <w:rsid w:val="54684BC5"/>
    <w:rsid w:val="548425AE"/>
    <w:rsid w:val="54877D10"/>
    <w:rsid w:val="549239F0"/>
    <w:rsid w:val="54A84FC1"/>
    <w:rsid w:val="54B0031A"/>
    <w:rsid w:val="54B020C8"/>
    <w:rsid w:val="54B576DE"/>
    <w:rsid w:val="55024449"/>
    <w:rsid w:val="55085BEA"/>
    <w:rsid w:val="55086FD1"/>
    <w:rsid w:val="55172147"/>
    <w:rsid w:val="55410BF9"/>
    <w:rsid w:val="554271C4"/>
    <w:rsid w:val="55794BB0"/>
    <w:rsid w:val="557E3F74"/>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E5A8D"/>
    <w:rsid w:val="56BC4D54"/>
    <w:rsid w:val="56C3571A"/>
    <w:rsid w:val="56DB5BC3"/>
    <w:rsid w:val="56E83D9B"/>
    <w:rsid w:val="56F72230"/>
    <w:rsid w:val="56FA5260"/>
    <w:rsid w:val="572823EA"/>
    <w:rsid w:val="574C257C"/>
    <w:rsid w:val="5755438D"/>
    <w:rsid w:val="57721B9C"/>
    <w:rsid w:val="57825F9E"/>
    <w:rsid w:val="578F4217"/>
    <w:rsid w:val="578F4443"/>
    <w:rsid w:val="57925AB5"/>
    <w:rsid w:val="57AD70E7"/>
    <w:rsid w:val="57B8364E"/>
    <w:rsid w:val="57C95893"/>
    <w:rsid w:val="57CD4D3F"/>
    <w:rsid w:val="57DF0C43"/>
    <w:rsid w:val="57EF7A26"/>
    <w:rsid w:val="581D1822"/>
    <w:rsid w:val="582E3A30"/>
    <w:rsid w:val="58304C51"/>
    <w:rsid w:val="5835523D"/>
    <w:rsid w:val="583F5C3D"/>
    <w:rsid w:val="58601FF5"/>
    <w:rsid w:val="587177C3"/>
    <w:rsid w:val="588405A5"/>
    <w:rsid w:val="5898534D"/>
    <w:rsid w:val="589917F1"/>
    <w:rsid w:val="589C4E3D"/>
    <w:rsid w:val="58A53B75"/>
    <w:rsid w:val="58D11BCB"/>
    <w:rsid w:val="58D41C07"/>
    <w:rsid w:val="58E93DFA"/>
    <w:rsid w:val="58F44C79"/>
    <w:rsid w:val="59080725"/>
    <w:rsid w:val="59123DF1"/>
    <w:rsid w:val="591B2F0C"/>
    <w:rsid w:val="59352B9C"/>
    <w:rsid w:val="594828CF"/>
    <w:rsid w:val="594A7F41"/>
    <w:rsid w:val="596811C3"/>
    <w:rsid w:val="59786F11"/>
    <w:rsid w:val="598B2F92"/>
    <w:rsid w:val="598F25C7"/>
    <w:rsid w:val="59937540"/>
    <w:rsid w:val="59A039F6"/>
    <w:rsid w:val="59AA336E"/>
    <w:rsid w:val="59B63CDD"/>
    <w:rsid w:val="59E60C99"/>
    <w:rsid w:val="59E940B2"/>
    <w:rsid w:val="59EC3BA2"/>
    <w:rsid w:val="59F45AD3"/>
    <w:rsid w:val="59F760A3"/>
    <w:rsid w:val="5A00764E"/>
    <w:rsid w:val="5A274BDA"/>
    <w:rsid w:val="5A5534F6"/>
    <w:rsid w:val="5A614BE3"/>
    <w:rsid w:val="5A637F6F"/>
    <w:rsid w:val="5A70032F"/>
    <w:rsid w:val="5A7A29E2"/>
    <w:rsid w:val="5AAC6D3A"/>
    <w:rsid w:val="5AB83A84"/>
    <w:rsid w:val="5ABD72ED"/>
    <w:rsid w:val="5AC95C92"/>
    <w:rsid w:val="5AEF6656"/>
    <w:rsid w:val="5AF076C2"/>
    <w:rsid w:val="5AFC1BC3"/>
    <w:rsid w:val="5B055025"/>
    <w:rsid w:val="5B3F5F54"/>
    <w:rsid w:val="5B423A25"/>
    <w:rsid w:val="5B6D486F"/>
    <w:rsid w:val="5BD14DFE"/>
    <w:rsid w:val="5BD743DE"/>
    <w:rsid w:val="5BEA5EBF"/>
    <w:rsid w:val="5BF44F90"/>
    <w:rsid w:val="5C121CA4"/>
    <w:rsid w:val="5C1271C4"/>
    <w:rsid w:val="5C1B42CB"/>
    <w:rsid w:val="5C5477DD"/>
    <w:rsid w:val="5C5A1297"/>
    <w:rsid w:val="5C602626"/>
    <w:rsid w:val="5C6519EA"/>
    <w:rsid w:val="5C9108EC"/>
    <w:rsid w:val="5C9936CF"/>
    <w:rsid w:val="5CAB38A1"/>
    <w:rsid w:val="5CAF2C65"/>
    <w:rsid w:val="5CCC7122"/>
    <w:rsid w:val="5CE62A27"/>
    <w:rsid w:val="5CEE456C"/>
    <w:rsid w:val="5CF42D8C"/>
    <w:rsid w:val="5D5C7A80"/>
    <w:rsid w:val="5D6D0F8A"/>
    <w:rsid w:val="5D773862"/>
    <w:rsid w:val="5D7E7207"/>
    <w:rsid w:val="5D8A5BAC"/>
    <w:rsid w:val="5D9011B3"/>
    <w:rsid w:val="5D9C7014"/>
    <w:rsid w:val="5DD93AB7"/>
    <w:rsid w:val="5DEF78BB"/>
    <w:rsid w:val="5E40706E"/>
    <w:rsid w:val="5E421C4D"/>
    <w:rsid w:val="5E806DB9"/>
    <w:rsid w:val="5E8240A1"/>
    <w:rsid w:val="5EA53721"/>
    <w:rsid w:val="5EC40406"/>
    <w:rsid w:val="5ECC4F05"/>
    <w:rsid w:val="5EF84D97"/>
    <w:rsid w:val="5F074FDA"/>
    <w:rsid w:val="5F0E6369"/>
    <w:rsid w:val="5F182D44"/>
    <w:rsid w:val="5F35264F"/>
    <w:rsid w:val="5F396F19"/>
    <w:rsid w:val="5F41673E"/>
    <w:rsid w:val="5F887EC9"/>
    <w:rsid w:val="5F943190"/>
    <w:rsid w:val="5F9E149B"/>
    <w:rsid w:val="5FAA5F75"/>
    <w:rsid w:val="5FAB718B"/>
    <w:rsid w:val="5FB92AD3"/>
    <w:rsid w:val="5FBF5C36"/>
    <w:rsid w:val="5FCA6734"/>
    <w:rsid w:val="5FE377F5"/>
    <w:rsid w:val="5FFA2BA8"/>
    <w:rsid w:val="602816AC"/>
    <w:rsid w:val="604364E6"/>
    <w:rsid w:val="604C0766"/>
    <w:rsid w:val="605424A1"/>
    <w:rsid w:val="60A07D32"/>
    <w:rsid w:val="60A26D69"/>
    <w:rsid w:val="60A46FF9"/>
    <w:rsid w:val="60AF592A"/>
    <w:rsid w:val="60B151FE"/>
    <w:rsid w:val="60B31FF5"/>
    <w:rsid w:val="60C2565D"/>
    <w:rsid w:val="60C51A2C"/>
    <w:rsid w:val="60DB04CD"/>
    <w:rsid w:val="60FF240D"/>
    <w:rsid w:val="61047A23"/>
    <w:rsid w:val="61077826"/>
    <w:rsid w:val="610E79A4"/>
    <w:rsid w:val="610E7EA6"/>
    <w:rsid w:val="613751C4"/>
    <w:rsid w:val="61761FA3"/>
    <w:rsid w:val="61785D1C"/>
    <w:rsid w:val="618446C0"/>
    <w:rsid w:val="618D5C6B"/>
    <w:rsid w:val="6195403B"/>
    <w:rsid w:val="61B01959"/>
    <w:rsid w:val="61E33F36"/>
    <w:rsid w:val="61F45CEA"/>
    <w:rsid w:val="620A72BB"/>
    <w:rsid w:val="621F43E9"/>
    <w:rsid w:val="623B7475"/>
    <w:rsid w:val="623F0D34"/>
    <w:rsid w:val="62487DE4"/>
    <w:rsid w:val="625C5463"/>
    <w:rsid w:val="626F1110"/>
    <w:rsid w:val="627604AD"/>
    <w:rsid w:val="627B1F67"/>
    <w:rsid w:val="628030DA"/>
    <w:rsid w:val="62961CE2"/>
    <w:rsid w:val="62A468BF"/>
    <w:rsid w:val="62A56FE4"/>
    <w:rsid w:val="62A866D0"/>
    <w:rsid w:val="62BD60DC"/>
    <w:rsid w:val="62C7476E"/>
    <w:rsid w:val="62CC020C"/>
    <w:rsid w:val="62CC7726"/>
    <w:rsid w:val="62D41677"/>
    <w:rsid w:val="62EF025F"/>
    <w:rsid w:val="63071A4D"/>
    <w:rsid w:val="6309447C"/>
    <w:rsid w:val="630A5A6D"/>
    <w:rsid w:val="631A52DC"/>
    <w:rsid w:val="6349639D"/>
    <w:rsid w:val="634C49D0"/>
    <w:rsid w:val="63554A0D"/>
    <w:rsid w:val="63695DB0"/>
    <w:rsid w:val="63754C08"/>
    <w:rsid w:val="638E68ED"/>
    <w:rsid w:val="63901A42"/>
    <w:rsid w:val="639D09CB"/>
    <w:rsid w:val="63B15515"/>
    <w:rsid w:val="63B87CBA"/>
    <w:rsid w:val="63C60FC0"/>
    <w:rsid w:val="63C65464"/>
    <w:rsid w:val="63DC07E4"/>
    <w:rsid w:val="63F73BD7"/>
    <w:rsid w:val="64055990"/>
    <w:rsid w:val="64340620"/>
    <w:rsid w:val="64410F8F"/>
    <w:rsid w:val="645D2D45"/>
    <w:rsid w:val="646125FE"/>
    <w:rsid w:val="64682077"/>
    <w:rsid w:val="64790728"/>
    <w:rsid w:val="648F5856"/>
    <w:rsid w:val="64972AB8"/>
    <w:rsid w:val="64A227CA"/>
    <w:rsid w:val="64DD4813"/>
    <w:rsid w:val="65180933"/>
    <w:rsid w:val="65362175"/>
    <w:rsid w:val="65566374"/>
    <w:rsid w:val="65766A16"/>
    <w:rsid w:val="65783F39"/>
    <w:rsid w:val="657C227E"/>
    <w:rsid w:val="659868BE"/>
    <w:rsid w:val="65B12A00"/>
    <w:rsid w:val="65C77271"/>
    <w:rsid w:val="65D11E9E"/>
    <w:rsid w:val="65DB7500"/>
    <w:rsid w:val="65DC4ACB"/>
    <w:rsid w:val="65DF4740"/>
    <w:rsid w:val="65E676F8"/>
    <w:rsid w:val="65EB7404"/>
    <w:rsid w:val="65F91B21"/>
    <w:rsid w:val="660356CA"/>
    <w:rsid w:val="66157FDD"/>
    <w:rsid w:val="661E50E3"/>
    <w:rsid w:val="662446C4"/>
    <w:rsid w:val="662E1F6F"/>
    <w:rsid w:val="66632F66"/>
    <w:rsid w:val="66650F64"/>
    <w:rsid w:val="666A657B"/>
    <w:rsid w:val="66A51361"/>
    <w:rsid w:val="66AC1B17"/>
    <w:rsid w:val="66AE2FFF"/>
    <w:rsid w:val="66C8504F"/>
    <w:rsid w:val="66CD08B8"/>
    <w:rsid w:val="66E557FD"/>
    <w:rsid w:val="66F25116"/>
    <w:rsid w:val="670352EA"/>
    <w:rsid w:val="670C7632"/>
    <w:rsid w:val="6727621A"/>
    <w:rsid w:val="673D5A3D"/>
    <w:rsid w:val="67550FD9"/>
    <w:rsid w:val="676B2854"/>
    <w:rsid w:val="67796A82"/>
    <w:rsid w:val="68014955"/>
    <w:rsid w:val="681503E6"/>
    <w:rsid w:val="681A18DB"/>
    <w:rsid w:val="68330BEE"/>
    <w:rsid w:val="68511756"/>
    <w:rsid w:val="68784853"/>
    <w:rsid w:val="68AC43E6"/>
    <w:rsid w:val="68D0468F"/>
    <w:rsid w:val="68E87C2B"/>
    <w:rsid w:val="68F30B42"/>
    <w:rsid w:val="690540BF"/>
    <w:rsid w:val="691B1DAE"/>
    <w:rsid w:val="69450BD9"/>
    <w:rsid w:val="69603C65"/>
    <w:rsid w:val="69833F84"/>
    <w:rsid w:val="6994393A"/>
    <w:rsid w:val="69AF73BD"/>
    <w:rsid w:val="69B144C0"/>
    <w:rsid w:val="69B813AB"/>
    <w:rsid w:val="69C340F2"/>
    <w:rsid w:val="69C441F4"/>
    <w:rsid w:val="69CB04DA"/>
    <w:rsid w:val="6A1F55DC"/>
    <w:rsid w:val="6A274783"/>
    <w:rsid w:val="6A3A2708"/>
    <w:rsid w:val="6A4021D8"/>
    <w:rsid w:val="6A461675"/>
    <w:rsid w:val="6A5F7653"/>
    <w:rsid w:val="6A7774B8"/>
    <w:rsid w:val="6AA13260"/>
    <w:rsid w:val="6AA16168"/>
    <w:rsid w:val="6ABE0C43"/>
    <w:rsid w:val="6ACB7804"/>
    <w:rsid w:val="6AD541DF"/>
    <w:rsid w:val="6B0A20DA"/>
    <w:rsid w:val="6B767770"/>
    <w:rsid w:val="6B8359E9"/>
    <w:rsid w:val="6B9D4CFC"/>
    <w:rsid w:val="6BBA3B00"/>
    <w:rsid w:val="6BBB2524"/>
    <w:rsid w:val="6BBF5037"/>
    <w:rsid w:val="6BCE4EB6"/>
    <w:rsid w:val="6BE02E3B"/>
    <w:rsid w:val="6BF608B1"/>
    <w:rsid w:val="6C0E5BFA"/>
    <w:rsid w:val="6C2076DB"/>
    <w:rsid w:val="6C3525C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83283D"/>
    <w:rsid w:val="6D8A5754"/>
    <w:rsid w:val="6DB06FF1"/>
    <w:rsid w:val="6DF8036A"/>
    <w:rsid w:val="6DFB5D0A"/>
    <w:rsid w:val="6E8D6DF3"/>
    <w:rsid w:val="6EA6211A"/>
    <w:rsid w:val="6EC16F54"/>
    <w:rsid w:val="6EC86534"/>
    <w:rsid w:val="6ECC4E9C"/>
    <w:rsid w:val="6ECF6B20"/>
    <w:rsid w:val="6EFF1A27"/>
    <w:rsid w:val="6F0155A2"/>
    <w:rsid w:val="6F1C779D"/>
    <w:rsid w:val="6F3E040D"/>
    <w:rsid w:val="6F771D08"/>
    <w:rsid w:val="6F7E141F"/>
    <w:rsid w:val="6F8E4205"/>
    <w:rsid w:val="6FA81EC2"/>
    <w:rsid w:val="6FF15617"/>
    <w:rsid w:val="6FFD4727"/>
    <w:rsid w:val="70117A67"/>
    <w:rsid w:val="70291255"/>
    <w:rsid w:val="708104E7"/>
    <w:rsid w:val="708E3A71"/>
    <w:rsid w:val="70920657"/>
    <w:rsid w:val="70AE175A"/>
    <w:rsid w:val="70C4708B"/>
    <w:rsid w:val="70C66AA3"/>
    <w:rsid w:val="711C4915"/>
    <w:rsid w:val="71297032"/>
    <w:rsid w:val="714479C8"/>
    <w:rsid w:val="7157594D"/>
    <w:rsid w:val="715B116D"/>
    <w:rsid w:val="715F4802"/>
    <w:rsid w:val="71614A1E"/>
    <w:rsid w:val="716B4908"/>
    <w:rsid w:val="71763E02"/>
    <w:rsid w:val="71812380"/>
    <w:rsid w:val="7189187F"/>
    <w:rsid w:val="718F158B"/>
    <w:rsid w:val="71963B10"/>
    <w:rsid w:val="719C388E"/>
    <w:rsid w:val="71BE3C1E"/>
    <w:rsid w:val="71CD3E62"/>
    <w:rsid w:val="71EC42E8"/>
    <w:rsid w:val="72121874"/>
    <w:rsid w:val="72225F5B"/>
    <w:rsid w:val="72270127"/>
    <w:rsid w:val="72273572"/>
    <w:rsid w:val="72655E48"/>
    <w:rsid w:val="727D5888"/>
    <w:rsid w:val="7295497F"/>
    <w:rsid w:val="729A5611"/>
    <w:rsid w:val="72A03324"/>
    <w:rsid w:val="72AB6D5F"/>
    <w:rsid w:val="72B2004F"/>
    <w:rsid w:val="72B34E05"/>
    <w:rsid w:val="72C60FDD"/>
    <w:rsid w:val="7309711B"/>
    <w:rsid w:val="73247A12"/>
    <w:rsid w:val="732D4F74"/>
    <w:rsid w:val="732D5549"/>
    <w:rsid w:val="73337CF4"/>
    <w:rsid w:val="733A72D5"/>
    <w:rsid w:val="734A6E8D"/>
    <w:rsid w:val="737A14CF"/>
    <w:rsid w:val="738911A2"/>
    <w:rsid w:val="73DA4614"/>
    <w:rsid w:val="73ED07EB"/>
    <w:rsid w:val="742C30C1"/>
    <w:rsid w:val="74471CA9"/>
    <w:rsid w:val="747D1765"/>
    <w:rsid w:val="74940C67"/>
    <w:rsid w:val="74B15375"/>
    <w:rsid w:val="74B75CE7"/>
    <w:rsid w:val="74BD1F6B"/>
    <w:rsid w:val="74C01C92"/>
    <w:rsid w:val="74E76F2D"/>
    <w:rsid w:val="75114065"/>
    <w:rsid w:val="75461F61"/>
    <w:rsid w:val="75466405"/>
    <w:rsid w:val="754D5C67"/>
    <w:rsid w:val="755C3532"/>
    <w:rsid w:val="758B3E18"/>
    <w:rsid w:val="75982C83"/>
    <w:rsid w:val="759A405B"/>
    <w:rsid w:val="75B136A4"/>
    <w:rsid w:val="75B55338"/>
    <w:rsid w:val="75CC2672"/>
    <w:rsid w:val="75CD0053"/>
    <w:rsid w:val="75DB213B"/>
    <w:rsid w:val="75E8126A"/>
    <w:rsid w:val="761152BC"/>
    <w:rsid w:val="76215F9C"/>
    <w:rsid w:val="762B1026"/>
    <w:rsid w:val="762B73A9"/>
    <w:rsid w:val="76346CE5"/>
    <w:rsid w:val="76515061"/>
    <w:rsid w:val="765B7164"/>
    <w:rsid w:val="766034F6"/>
    <w:rsid w:val="76893B88"/>
    <w:rsid w:val="77122E6F"/>
    <w:rsid w:val="7735228D"/>
    <w:rsid w:val="773A5AF5"/>
    <w:rsid w:val="773D55E5"/>
    <w:rsid w:val="77514BED"/>
    <w:rsid w:val="7758241F"/>
    <w:rsid w:val="775F34D3"/>
    <w:rsid w:val="776204D1"/>
    <w:rsid w:val="77626DFA"/>
    <w:rsid w:val="777259B2"/>
    <w:rsid w:val="777A2396"/>
    <w:rsid w:val="77846D70"/>
    <w:rsid w:val="77975BED"/>
    <w:rsid w:val="779C230C"/>
    <w:rsid w:val="77BC475C"/>
    <w:rsid w:val="77BF249E"/>
    <w:rsid w:val="77C90C27"/>
    <w:rsid w:val="77D93560"/>
    <w:rsid w:val="77E963B5"/>
    <w:rsid w:val="781D72B5"/>
    <w:rsid w:val="78393FFF"/>
    <w:rsid w:val="784B788E"/>
    <w:rsid w:val="78615304"/>
    <w:rsid w:val="78663C24"/>
    <w:rsid w:val="78A551F0"/>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F426E3"/>
    <w:rsid w:val="7A036672"/>
    <w:rsid w:val="7A0917AF"/>
    <w:rsid w:val="7A1253F6"/>
    <w:rsid w:val="7A431165"/>
    <w:rsid w:val="7A4F18B8"/>
    <w:rsid w:val="7A642FEE"/>
    <w:rsid w:val="7A770E0E"/>
    <w:rsid w:val="7A9C0875"/>
    <w:rsid w:val="7AAC160F"/>
    <w:rsid w:val="7ABC51E6"/>
    <w:rsid w:val="7AC34054"/>
    <w:rsid w:val="7AD46261"/>
    <w:rsid w:val="7AD85D51"/>
    <w:rsid w:val="7AFE1296"/>
    <w:rsid w:val="7B022DCE"/>
    <w:rsid w:val="7B072192"/>
    <w:rsid w:val="7B0F54EB"/>
    <w:rsid w:val="7B30793B"/>
    <w:rsid w:val="7B3D1CC7"/>
    <w:rsid w:val="7B46684D"/>
    <w:rsid w:val="7B4A207F"/>
    <w:rsid w:val="7B586F7C"/>
    <w:rsid w:val="7B593278"/>
    <w:rsid w:val="7B610DB2"/>
    <w:rsid w:val="7B783090"/>
    <w:rsid w:val="7B8D37DB"/>
    <w:rsid w:val="7B901215"/>
    <w:rsid w:val="7B9463F7"/>
    <w:rsid w:val="7B95779E"/>
    <w:rsid w:val="7BB302F8"/>
    <w:rsid w:val="7BB51BEE"/>
    <w:rsid w:val="7BCC6F38"/>
    <w:rsid w:val="7BE67FFA"/>
    <w:rsid w:val="7BF22D26"/>
    <w:rsid w:val="7BFA5853"/>
    <w:rsid w:val="7C0D1A2A"/>
    <w:rsid w:val="7C217284"/>
    <w:rsid w:val="7C2B1EB0"/>
    <w:rsid w:val="7C6929D9"/>
    <w:rsid w:val="7C704248"/>
    <w:rsid w:val="7C773348"/>
    <w:rsid w:val="7C8141C6"/>
    <w:rsid w:val="7C8B294F"/>
    <w:rsid w:val="7CA67C6C"/>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C425BD"/>
    <w:rsid w:val="7DE646F8"/>
    <w:rsid w:val="7E745D91"/>
    <w:rsid w:val="7E7A49CB"/>
    <w:rsid w:val="7E915EB0"/>
    <w:rsid w:val="7E9A331D"/>
    <w:rsid w:val="7EAD3051"/>
    <w:rsid w:val="7EBF5EC4"/>
    <w:rsid w:val="7ECD724F"/>
    <w:rsid w:val="7EEE3597"/>
    <w:rsid w:val="7F052E8D"/>
    <w:rsid w:val="7F0A3FFF"/>
    <w:rsid w:val="7F231011"/>
    <w:rsid w:val="7F403EC5"/>
    <w:rsid w:val="7F6536D6"/>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64"/>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sz w:val="32"/>
    </w:rPr>
  </w:style>
  <w:style w:type="paragraph" w:styleId="6">
    <w:name w:val="heading 4"/>
    <w:basedOn w:val="1"/>
    <w:next w:val="7"/>
    <w:qFormat/>
    <w:uiPriority w:val="0"/>
    <w:pPr>
      <w:keepNext/>
      <w:spacing w:line="460" w:lineRule="exact"/>
      <w:jc w:val="both"/>
      <w:outlineLvl w:val="3"/>
    </w:pPr>
    <w:rPr>
      <w:rFonts w:ascii="宋体"/>
      <w:sz w:val="24"/>
    </w:rPr>
  </w:style>
  <w:style w:type="paragraph" w:styleId="8">
    <w:name w:val="heading 5"/>
    <w:basedOn w:val="1"/>
    <w:next w:val="7"/>
    <w:qFormat/>
    <w:uiPriority w:val="0"/>
    <w:pPr>
      <w:keepNext/>
      <w:keepLines/>
      <w:widowControl w:val="0"/>
      <w:spacing w:before="280" w:after="290" w:line="376" w:lineRule="auto"/>
      <w:jc w:val="both"/>
      <w:outlineLvl w:val="4"/>
    </w:pPr>
    <w:rPr>
      <w:b/>
      <w:kern w:val="2"/>
      <w:sz w:val="24"/>
    </w:rPr>
  </w:style>
  <w:style w:type="paragraph" w:styleId="9">
    <w:name w:val="heading 6"/>
    <w:basedOn w:val="1"/>
    <w:next w:val="7"/>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0">
    <w:name w:val="heading 7"/>
    <w:basedOn w:val="1"/>
    <w:next w:val="7"/>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1">
    <w:name w:val="heading 8"/>
    <w:basedOn w:val="1"/>
    <w:next w:val="7"/>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2">
    <w:name w:val="heading 9"/>
    <w:basedOn w:val="1"/>
    <w:next w:val="7"/>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4"/>
    <w:qFormat/>
    <w:uiPriority w:val="0"/>
    <w:rPr>
      <w:rFonts w:ascii="宋体" w:hAnsi="Courier New" w:cs="Century"/>
      <w:sz w:val="21"/>
      <w:szCs w:val="21"/>
    </w:rPr>
  </w:style>
  <w:style w:type="paragraph" w:styleId="7">
    <w:name w:val="Normal Indent"/>
    <w:basedOn w:val="1"/>
    <w:qFormat/>
    <w:uiPriority w:val="0"/>
    <w:pPr>
      <w:ind w:firstLine="420"/>
    </w:pPr>
  </w:style>
  <w:style w:type="paragraph" w:styleId="13">
    <w:name w:val="toc 7"/>
    <w:basedOn w:val="1"/>
    <w:next w:val="1"/>
    <w:qFormat/>
    <w:uiPriority w:val="0"/>
    <w:pPr>
      <w:ind w:left="1200"/>
    </w:pPr>
    <w:rPr>
      <w:rFonts w:ascii="Calibri" w:hAnsi="Calibri" w:cs="Calibri"/>
      <w:sz w:val="18"/>
      <w:szCs w:val="18"/>
    </w:rPr>
  </w:style>
  <w:style w:type="paragraph" w:styleId="14">
    <w:name w:val="Document Map"/>
    <w:basedOn w:val="1"/>
    <w:semiHidden/>
    <w:qFormat/>
    <w:uiPriority w:val="0"/>
    <w:pPr>
      <w:shd w:val="clear" w:color="auto" w:fill="000080"/>
    </w:pPr>
  </w:style>
  <w:style w:type="paragraph" w:styleId="15">
    <w:name w:val="annotation text"/>
    <w:basedOn w:val="1"/>
    <w:link w:val="138"/>
    <w:semiHidden/>
    <w:qFormat/>
    <w:uiPriority w:val="0"/>
  </w:style>
  <w:style w:type="paragraph" w:styleId="16">
    <w:name w:val="Body Text 3"/>
    <w:basedOn w:val="1"/>
    <w:qFormat/>
    <w:uiPriority w:val="0"/>
    <w:pPr>
      <w:spacing w:after="120"/>
    </w:pPr>
    <w:rPr>
      <w:sz w:val="16"/>
      <w:szCs w:val="16"/>
    </w:rPr>
  </w:style>
  <w:style w:type="paragraph" w:styleId="17">
    <w:name w:val="Body Text"/>
    <w:basedOn w:val="1"/>
    <w:next w:val="1"/>
    <w:link w:val="73"/>
    <w:qFormat/>
    <w:uiPriority w:val="0"/>
    <w:pPr>
      <w:spacing w:after="120"/>
    </w:pPr>
  </w:style>
  <w:style w:type="paragraph" w:styleId="18">
    <w:name w:val="Body Text Indent"/>
    <w:basedOn w:val="1"/>
    <w:next w:val="1"/>
    <w:qFormat/>
    <w:uiPriority w:val="0"/>
    <w:pPr>
      <w:spacing w:after="120"/>
      <w:ind w:left="420" w:leftChars="200"/>
    </w:pPr>
  </w:style>
  <w:style w:type="paragraph" w:styleId="19">
    <w:name w:val="List 2"/>
    <w:basedOn w:val="1"/>
    <w:qFormat/>
    <w:uiPriority w:val="0"/>
    <w:pPr>
      <w:widowControl w:val="0"/>
      <w:adjustRightInd w:val="0"/>
      <w:spacing w:line="360" w:lineRule="auto"/>
      <w:jc w:val="both"/>
      <w:textAlignment w:val="baseline"/>
    </w:pPr>
    <w:rPr>
      <w:sz w:val="24"/>
    </w:rPr>
  </w:style>
  <w:style w:type="paragraph" w:styleId="20">
    <w:name w:val="Block Text"/>
    <w:basedOn w:val="1"/>
    <w:qFormat/>
    <w:uiPriority w:val="0"/>
    <w:pPr>
      <w:widowControl w:val="0"/>
      <w:ind w:left="1155" w:right="40" w:rightChars="19"/>
      <w:jc w:val="both"/>
    </w:pPr>
    <w:rPr>
      <w:kern w:val="2"/>
      <w:sz w:val="21"/>
      <w:szCs w:val="24"/>
    </w:rPr>
  </w:style>
  <w:style w:type="paragraph" w:styleId="21">
    <w:name w:val="toc 5"/>
    <w:basedOn w:val="1"/>
    <w:next w:val="1"/>
    <w:qFormat/>
    <w:uiPriority w:val="0"/>
    <w:pPr>
      <w:ind w:left="800"/>
    </w:pPr>
    <w:rPr>
      <w:rFonts w:ascii="Calibri" w:hAnsi="Calibri" w:cs="Calibri"/>
      <w:sz w:val="18"/>
      <w:szCs w:val="18"/>
    </w:rPr>
  </w:style>
  <w:style w:type="paragraph" w:styleId="22">
    <w:name w:val="toc 3"/>
    <w:basedOn w:val="1"/>
    <w:next w:val="1"/>
    <w:semiHidden/>
    <w:qFormat/>
    <w:uiPriority w:val="0"/>
    <w:pPr>
      <w:ind w:left="400"/>
    </w:pPr>
    <w:rPr>
      <w:rFonts w:ascii="Calibri" w:hAnsi="Calibri" w:cs="Calibri"/>
      <w:i/>
      <w:iCs/>
    </w:rPr>
  </w:style>
  <w:style w:type="paragraph" w:styleId="23">
    <w:name w:val="toc 8"/>
    <w:basedOn w:val="1"/>
    <w:next w:val="1"/>
    <w:qFormat/>
    <w:uiPriority w:val="0"/>
    <w:pPr>
      <w:ind w:left="1400"/>
    </w:pPr>
    <w:rPr>
      <w:rFonts w:ascii="Calibri" w:hAnsi="Calibri" w:cs="Calibri"/>
      <w:sz w:val="18"/>
      <w:szCs w:val="18"/>
    </w:rPr>
  </w:style>
  <w:style w:type="paragraph" w:styleId="24">
    <w:name w:val="Date"/>
    <w:basedOn w:val="1"/>
    <w:next w:val="1"/>
    <w:link w:val="71"/>
    <w:qFormat/>
    <w:uiPriority w:val="0"/>
    <w:pPr>
      <w:jc w:val="both"/>
    </w:pPr>
    <w:rPr>
      <w:rFonts w:ascii="宋体"/>
      <w:sz w:val="24"/>
    </w:rPr>
  </w:style>
  <w:style w:type="paragraph" w:styleId="25">
    <w:name w:val="Body Text Indent 2"/>
    <w:basedOn w:val="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qFormat/>
    <w:uiPriority w:val="99"/>
    <w:pPr>
      <w:tabs>
        <w:tab w:val="center" w:pos="4153"/>
        <w:tab w:val="right" w:pos="8306"/>
      </w:tabs>
      <w:snapToGrid w:val="0"/>
    </w:pPr>
    <w:rPr>
      <w:sz w:val="18"/>
    </w:rPr>
  </w:style>
  <w:style w:type="paragraph" w:styleId="28">
    <w:name w:val="header"/>
    <w:basedOn w:val="1"/>
    <w:link w:val="82"/>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before="120" w:after="120"/>
    </w:pPr>
    <w:rPr>
      <w:rFonts w:ascii="Calibri" w:hAnsi="Calibri" w:cs="Calibri"/>
      <w:b/>
      <w:bCs/>
      <w:caps/>
    </w:rPr>
  </w:style>
  <w:style w:type="paragraph" w:styleId="30">
    <w:name w:val="toc 4"/>
    <w:basedOn w:val="1"/>
    <w:next w:val="1"/>
    <w:qFormat/>
    <w:uiPriority w:val="0"/>
    <w:pPr>
      <w:ind w:left="600"/>
    </w:pPr>
    <w:rPr>
      <w:rFonts w:ascii="Calibri" w:hAnsi="Calibri" w:cs="Calibri"/>
      <w:sz w:val="18"/>
      <w:szCs w:val="18"/>
    </w:rPr>
  </w:style>
  <w:style w:type="paragraph" w:styleId="31">
    <w:name w:val="List"/>
    <w:basedOn w:val="1"/>
    <w:qFormat/>
    <w:uiPriority w:val="0"/>
    <w:pPr>
      <w:widowControl w:val="0"/>
      <w:adjustRightInd w:val="0"/>
      <w:spacing w:line="360" w:lineRule="auto"/>
      <w:jc w:val="both"/>
      <w:textAlignment w:val="baseline"/>
    </w:pPr>
    <w:rPr>
      <w:sz w:val="24"/>
    </w:rPr>
  </w:style>
  <w:style w:type="paragraph" w:styleId="32">
    <w:name w:val="toc 6"/>
    <w:basedOn w:val="1"/>
    <w:next w:val="1"/>
    <w:qFormat/>
    <w:uiPriority w:val="0"/>
    <w:pPr>
      <w:ind w:left="1000"/>
    </w:pPr>
    <w:rPr>
      <w:rFonts w:ascii="Calibri" w:hAnsi="Calibri" w:cs="Calibri"/>
      <w:sz w:val="18"/>
      <w:szCs w:val="18"/>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39"/>
    <w:pPr>
      <w:ind w:left="200"/>
    </w:pPr>
    <w:rPr>
      <w:rFonts w:ascii="Calibri" w:hAnsi="Calibri" w:cs="Calibri"/>
      <w:smallCaps/>
    </w:rPr>
  </w:style>
  <w:style w:type="paragraph" w:styleId="35">
    <w:name w:val="toc 9"/>
    <w:basedOn w:val="1"/>
    <w:next w:val="1"/>
    <w:qFormat/>
    <w:uiPriority w:val="0"/>
    <w:pPr>
      <w:ind w:left="1600"/>
    </w:pPr>
    <w:rPr>
      <w:rFonts w:ascii="Calibri" w:hAnsi="Calibri" w:cs="Calibri"/>
      <w:sz w:val="18"/>
      <w:szCs w:val="18"/>
    </w:rPr>
  </w:style>
  <w:style w:type="paragraph" w:styleId="36">
    <w:name w:val="Body Text 2"/>
    <w:basedOn w:val="1"/>
    <w:qFormat/>
    <w:uiPriority w:val="0"/>
    <w:pPr>
      <w:spacing w:after="120" w:line="480" w:lineRule="auto"/>
    </w:pPr>
  </w:style>
  <w:style w:type="paragraph" w:styleId="3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qFormat/>
    <w:uiPriority w:val="0"/>
    <w:rPr>
      <w:sz w:val="24"/>
      <w:szCs w:val="24"/>
    </w:rPr>
  </w:style>
  <w:style w:type="paragraph" w:styleId="39">
    <w:name w:val="index 1"/>
    <w:basedOn w:val="1"/>
    <w:next w:val="1"/>
    <w:semiHidden/>
    <w:qFormat/>
    <w:uiPriority w:val="0"/>
  </w:style>
  <w:style w:type="paragraph" w:styleId="40">
    <w:name w:val="Title"/>
    <w:basedOn w:val="1"/>
    <w:next w:val="1"/>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annotation subject"/>
    <w:basedOn w:val="15"/>
    <w:next w:val="15"/>
    <w:link w:val="139"/>
    <w:semiHidden/>
    <w:unhideWhenUsed/>
    <w:qFormat/>
    <w:uiPriority w:val="0"/>
    <w:rPr>
      <w:b/>
      <w:bCs/>
    </w:rPr>
  </w:style>
  <w:style w:type="paragraph" w:styleId="42">
    <w:name w:val="Body Text First Indent"/>
    <w:basedOn w:val="17"/>
    <w:qFormat/>
    <w:uiPriority w:val="0"/>
    <w:pPr>
      <w:widowControl w:val="0"/>
      <w:adjustRightInd w:val="0"/>
      <w:spacing w:after="0" w:line="312" w:lineRule="auto"/>
      <w:ind w:firstLine="567"/>
      <w:jc w:val="both"/>
      <w:textAlignment w:val="baseline"/>
    </w:pPr>
    <w:rPr>
      <w:sz w:val="28"/>
    </w:rPr>
  </w:style>
  <w:style w:type="paragraph" w:styleId="43">
    <w:name w:val="Body Text First Indent 2"/>
    <w:basedOn w:val="18"/>
    <w:next w:val="1"/>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basedOn w:val="46"/>
    <w:qFormat/>
    <w:uiPriority w:val="99"/>
    <w:rPr>
      <w:color w:val="800080"/>
      <w:u w:val="none"/>
    </w:rPr>
  </w:style>
  <w:style w:type="character" w:styleId="50">
    <w:name w:val="Emphasis"/>
    <w:basedOn w:val="46"/>
    <w:qFormat/>
    <w:uiPriority w:val="0"/>
  </w:style>
  <w:style w:type="character" w:styleId="51">
    <w:name w:val="line number"/>
    <w:basedOn w:val="46"/>
    <w:qFormat/>
    <w:uiPriority w:val="0"/>
  </w:style>
  <w:style w:type="character" w:styleId="52">
    <w:name w:val="HTML Definition"/>
    <w:basedOn w:val="46"/>
    <w:semiHidden/>
    <w:unhideWhenUsed/>
    <w:qFormat/>
    <w:uiPriority w:val="0"/>
  </w:style>
  <w:style w:type="character" w:styleId="53">
    <w:name w:val="HTML Typewriter"/>
    <w:basedOn w:val="46"/>
    <w:semiHidden/>
    <w:unhideWhenUsed/>
    <w:qFormat/>
    <w:uiPriority w:val="0"/>
    <w:rPr>
      <w:rFonts w:hint="default" w:ascii="monospace" w:hAnsi="monospace" w:eastAsia="monospace" w:cs="monospace"/>
      <w:sz w:val="20"/>
    </w:rPr>
  </w:style>
  <w:style w:type="character" w:styleId="54">
    <w:name w:val="HTML Acronym"/>
    <w:basedOn w:val="46"/>
    <w:semiHidden/>
    <w:unhideWhenUsed/>
    <w:qFormat/>
    <w:uiPriority w:val="0"/>
  </w:style>
  <w:style w:type="character" w:styleId="55">
    <w:name w:val="HTML Variable"/>
    <w:basedOn w:val="46"/>
    <w:semiHidden/>
    <w:unhideWhenUsed/>
    <w:qFormat/>
    <w:uiPriority w:val="0"/>
  </w:style>
  <w:style w:type="character" w:styleId="56">
    <w:name w:val="Hyperlink"/>
    <w:basedOn w:val="46"/>
    <w:qFormat/>
    <w:uiPriority w:val="99"/>
    <w:rPr>
      <w:color w:val="0000FF"/>
      <w:u w:val="none"/>
    </w:rPr>
  </w:style>
  <w:style w:type="character" w:styleId="57">
    <w:name w:val="HTML Code"/>
    <w:basedOn w:val="46"/>
    <w:semiHidden/>
    <w:unhideWhenUsed/>
    <w:qFormat/>
    <w:uiPriority w:val="0"/>
    <w:rPr>
      <w:rFonts w:hint="default" w:ascii="monospace" w:hAnsi="monospace" w:eastAsia="monospace" w:cs="monospace"/>
      <w:sz w:val="20"/>
    </w:rPr>
  </w:style>
  <w:style w:type="character" w:styleId="58">
    <w:name w:val="annotation reference"/>
    <w:basedOn w:val="46"/>
    <w:semiHidden/>
    <w:unhideWhenUsed/>
    <w:qFormat/>
    <w:uiPriority w:val="0"/>
    <w:rPr>
      <w:sz w:val="21"/>
      <w:szCs w:val="21"/>
    </w:rPr>
  </w:style>
  <w:style w:type="character" w:styleId="59">
    <w:name w:val="HTML Cite"/>
    <w:basedOn w:val="46"/>
    <w:semiHidden/>
    <w:unhideWhenUsed/>
    <w:qFormat/>
    <w:uiPriority w:val="0"/>
  </w:style>
  <w:style w:type="character" w:styleId="60">
    <w:name w:val="HTML Keyboard"/>
    <w:basedOn w:val="46"/>
    <w:semiHidden/>
    <w:unhideWhenUsed/>
    <w:qFormat/>
    <w:uiPriority w:val="0"/>
    <w:rPr>
      <w:rFonts w:ascii="monospace" w:hAnsi="monospace" w:eastAsia="monospace" w:cs="monospace"/>
      <w:sz w:val="20"/>
    </w:rPr>
  </w:style>
  <w:style w:type="character" w:styleId="61">
    <w:name w:val="HTML Sample"/>
    <w:basedOn w:val="46"/>
    <w:semiHidden/>
    <w:unhideWhenUsed/>
    <w:qFormat/>
    <w:uiPriority w:val="0"/>
    <w:rPr>
      <w:rFonts w:hint="default" w:ascii="monospace" w:hAnsi="monospace" w:eastAsia="monospace" w:cs="monospace"/>
    </w:rPr>
  </w:style>
  <w:style w:type="paragraph" w:customStyle="1" w:styleId="6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首行缩进"/>
    <w:basedOn w:val="1"/>
    <w:qFormat/>
    <w:uiPriority w:val="0"/>
    <w:pPr>
      <w:tabs>
        <w:tab w:val="left" w:pos="540"/>
      </w:tabs>
      <w:spacing w:line="360" w:lineRule="auto"/>
    </w:pPr>
    <w:rPr>
      <w:rFonts w:eastAsia="仿宋_GB2312"/>
    </w:rPr>
  </w:style>
  <w:style w:type="character" w:customStyle="1" w:styleId="64">
    <w:name w:val="标题 1 Char"/>
    <w:basedOn w:val="46"/>
    <w:link w:val="3"/>
    <w:qFormat/>
    <w:uiPriority w:val="0"/>
    <w:rPr>
      <w:b/>
      <w:kern w:val="44"/>
      <w:sz w:val="44"/>
    </w:rPr>
  </w:style>
  <w:style w:type="character" w:customStyle="1" w:styleId="65">
    <w:name w:val="普通文字 Char Char"/>
    <w:qFormat/>
    <w:uiPriority w:val="0"/>
    <w:rPr>
      <w:rFonts w:ascii="宋体" w:hAnsi="Courier New" w:eastAsia="宋体" w:cs="Century"/>
      <w:sz w:val="21"/>
      <w:szCs w:val="21"/>
      <w:lang w:val="en-US" w:eastAsia="zh-CN" w:bidi="ar-SA"/>
    </w:rPr>
  </w:style>
  <w:style w:type="character" w:customStyle="1" w:styleId="66">
    <w:name w:val="font11"/>
    <w:basedOn w:val="46"/>
    <w:qFormat/>
    <w:uiPriority w:val="0"/>
    <w:rPr>
      <w:rFonts w:hint="eastAsia" w:ascii="宋体" w:hAnsi="宋体" w:eastAsia="宋体" w:cs="宋体"/>
      <w:color w:val="000000"/>
      <w:sz w:val="22"/>
      <w:szCs w:val="22"/>
      <w:u w:val="none"/>
    </w:rPr>
  </w:style>
  <w:style w:type="character" w:customStyle="1" w:styleId="67">
    <w:name w:val="正文文本 Char"/>
    <w:qFormat/>
    <w:uiPriority w:val="0"/>
    <w:rPr>
      <w:rFonts w:eastAsia="宋体"/>
      <w:lang w:val="en-US" w:eastAsia="zh-CN" w:bidi="ar-SA"/>
    </w:rPr>
  </w:style>
  <w:style w:type="character" w:customStyle="1" w:styleId="68">
    <w:name w:val="引用 Char"/>
    <w:basedOn w:val="46"/>
    <w:link w:val="69"/>
    <w:qFormat/>
    <w:uiPriority w:val="29"/>
    <w:rPr>
      <w:i/>
      <w:iCs/>
      <w:color w:val="000000"/>
    </w:rPr>
  </w:style>
  <w:style w:type="paragraph" w:styleId="69">
    <w:name w:val="Quote"/>
    <w:basedOn w:val="1"/>
    <w:next w:val="1"/>
    <w:link w:val="68"/>
    <w:qFormat/>
    <w:uiPriority w:val="29"/>
    <w:rPr>
      <w:i/>
      <w:iCs/>
      <w:color w:val="000000"/>
    </w:rPr>
  </w:style>
  <w:style w:type="character" w:customStyle="1" w:styleId="70">
    <w:name w:val="text"/>
    <w:basedOn w:val="46"/>
    <w:qFormat/>
    <w:uiPriority w:val="0"/>
  </w:style>
  <w:style w:type="character" w:customStyle="1" w:styleId="71">
    <w:name w:val="日期 Char"/>
    <w:basedOn w:val="46"/>
    <w:link w:val="24"/>
    <w:qFormat/>
    <w:uiPriority w:val="0"/>
    <w:rPr>
      <w:rFonts w:ascii="宋体"/>
      <w:sz w:val="24"/>
    </w:rPr>
  </w:style>
  <w:style w:type="character" w:customStyle="1" w:styleId="72">
    <w:name w:val="titlestyle10831"/>
    <w:basedOn w:val="46"/>
    <w:qFormat/>
    <w:uiPriority w:val="0"/>
    <w:rPr>
      <w:rFonts w:hint="eastAsia" w:ascii="黑体" w:hAnsi="黑体" w:eastAsia="黑体"/>
      <w:b/>
      <w:bCs/>
      <w:sz w:val="36"/>
      <w:szCs w:val="36"/>
    </w:rPr>
  </w:style>
  <w:style w:type="character" w:customStyle="1" w:styleId="73">
    <w:name w:val="正文文本 Char1"/>
    <w:basedOn w:val="46"/>
    <w:link w:val="17"/>
    <w:qFormat/>
    <w:uiPriority w:val="0"/>
    <w:rPr>
      <w:rFonts w:eastAsia="宋体"/>
      <w:lang w:val="en-US" w:eastAsia="zh-CN" w:bidi="ar-SA"/>
    </w:rPr>
  </w:style>
  <w:style w:type="character" w:customStyle="1" w:styleId="74">
    <w:name w:val="纯文本 Char"/>
    <w:basedOn w:val="46"/>
    <w:link w:val="2"/>
    <w:qFormat/>
    <w:uiPriority w:val="0"/>
    <w:rPr>
      <w:rFonts w:ascii="宋体" w:hAnsi="Courier New" w:eastAsia="宋体" w:cs="Century"/>
      <w:sz w:val="21"/>
      <w:szCs w:val="21"/>
      <w:lang w:val="en-US" w:eastAsia="zh-CN" w:bidi="ar-SA"/>
    </w:rPr>
  </w:style>
  <w:style w:type="character" w:customStyle="1" w:styleId="75">
    <w:name w:val="apple-tab-span"/>
    <w:basedOn w:val="46"/>
    <w:qFormat/>
    <w:uiPriority w:val="0"/>
  </w:style>
  <w:style w:type="character" w:customStyle="1" w:styleId="76">
    <w:name w:val="Char Char Char"/>
    <w:basedOn w:val="46"/>
    <w:qFormat/>
    <w:uiPriority w:val="0"/>
    <w:rPr>
      <w:rFonts w:ascii="宋体" w:hAnsi="Courier New" w:eastAsia="宋体"/>
      <w:kern w:val="2"/>
      <w:sz w:val="24"/>
      <w:lang w:val="en-US" w:eastAsia="zh-CN" w:bidi="ar-SA"/>
    </w:rPr>
  </w:style>
  <w:style w:type="character" w:customStyle="1" w:styleId="77">
    <w:name w:val="para"/>
    <w:basedOn w:val="46"/>
    <w:qFormat/>
    <w:uiPriority w:val="0"/>
  </w:style>
  <w:style w:type="character" w:customStyle="1" w:styleId="78">
    <w:name w:val="main14"/>
    <w:basedOn w:val="46"/>
    <w:qFormat/>
    <w:uiPriority w:val="0"/>
  </w:style>
  <w:style w:type="character" w:customStyle="1" w:styleId="79">
    <w:name w:val="title_emph"/>
    <w:basedOn w:val="46"/>
    <w:qFormat/>
    <w:uiPriority w:val="0"/>
  </w:style>
  <w:style w:type="character" w:customStyle="1" w:styleId="80">
    <w:name w:val="font01"/>
    <w:basedOn w:val="46"/>
    <w:qFormat/>
    <w:uiPriority w:val="0"/>
    <w:rPr>
      <w:rFonts w:hint="eastAsia" w:ascii="宋体" w:hAnsi="宋体" w:eastAsia="宋体" w:cs="宋体"/>
      <w:color w:val="000000"/>
      <w:sz w:val="22"/>
      <w:szCs w:val="22"/>
      <w:u w:val="none"/>
    </w:rPr>
  </w:style>
  <w:style w:type="paragraph" w:customStyle="1" w:styleId="81">
    <w:name w:val="È±Ê¡ÎÄ±¾"/>
    <w:basedOn w:val="1"/>
    <w:qFormat/>
    <w:uiPriority w:val="0"/>
    <w:pPr>
      <w:overflowPunct w:val="0"/>
      <w:autoSpaceDE w:val="0"/>
      <w:autoSpaceDN w:val="0"/>
      <w:adjustRightInd w:val="0"/>
      <w:textAlignment w:val="baseline"/>
    </w:pPr>
    <w:rPr>
      <w:sz w:val="24"/>
    </w:rPr>
  </w:style>
  <w:style w:type="character" w:customStyle="1" w:styleId="82">
    <w:name w:val="页眉 Char"/>
    <w:basedOn w:val="46"/>
    <w:link w:val="28"/>
    <w:qFormat/>
    <w:uiPriority w:val="99"/>
    <w:rPr>
      <w:sz w:val="18"/>
    </w:rPr>
  </w:style>
  <w:style w:type="paragraph" w:customStyle="1" w:styleId="83">
    <w:name w:val="Char Char Char Char"/>
    <w:basedOn w:val="1"/>
    <w:qFormat/>
    <w:uiPriority w:val="0"/>
    <w:pPr>
      <w:widowControl w:val="0"/>
      <w:jc w:val="both"/>
    </w:pPr>
    <w:rPr>
      <w:rFonts w:ascii="Tahoma" w:hAnsi="Tahoma"/>
      <w:kern w:val="2"/>
      <w:sz w:val="24"/>
    </w:rPr>
  </w:style>
  <w:style w:type="paragraph" w:customStyle="1" w:styleId="84">
    <w:name w:val="1"/>
    <w:basedOn w:val="1"/>
    <w:next w:val="38"/>
    <w:qFormat/>
    <w:uiPriority w:val="0"/>
    <w:pPr>
      <w:spacing w:before="100" w:beforeAutospacing="1" w:after="100" w:afterAutospacing="1"/>
    </w:pPr>
    <w:rPr>
      <w:rFonts w:ascii="宋体" w:hAnsi="宋体" w:cs="黑体"/>
      <w:sz w:val="24"/>
      <w:szCs w:val="24"/>
    </w:rPr>
  </w:style>
  <w:style w:type="paragraph" w:customStyle="1" w:styleId="85">
    <w:name w:val="正文文本缩进1"/>
    <w:basedOn w:val="1"/>
    <w:qFormat/>
    <w:uiPriority w:val="0"/>
    <w:pPr>
      <w:widowControl w:val="0"/>
      <w:ind w:firstLine="560" w:firstLineChars="200"/>
      <w:jc w:val="both"/>
    </w:pPr>
    <w:rPr>
      <w:kern w:val="2"/>
      <w:sz w:val="28"/>
      <w:szCs w:val="28"/>
    </w:rPr>
  </w:style>
  <w:style w:type="paragraph" w:customStyle="1" w:styleId="86">
    <w:name w:val="IBM 正文"/>
    <w:basedOn w:val="1"/>
    <w:qFormat/>
    <w:uiPriority w:val="0"/>
    <w:pPr>
      <w:widowControl w:val="0"/>
      <w:spacing w:line="400" w:lineRule="exact"/>
      <w:jc w:val="both"/>
    </w:pPr>
    <w:rPr>
      <w:spacing w:val="20"/>
      <w:kern w:val="2"/>
      <w:sz w:val="24"/>
    </w:rPr>
  </w:style>
  <w:style w:type="paragraph" w:customStyle="1" w:styleId="87">
    <w:name w:val="Char"/>
    <w:basedOn w:val="1"/>
    <w:qFormat/>
    <w:uiPriority w:val="0"/>
    <w:pPr>
      <w:spacing w:after="160" w:line="240" w:lineRule="exact"/>
    </w:pPr>
    <w:rPr>
      <w:rFonts w:ascii="宋体" w:hAnsi="宋体"/>
      <w:lang w:eastAsia="en-US"/>
    </w:rPr>
  </w:style>
  <w:style w:type="paragraph" w:customStyle="1" w:styleId="88">
    <w:name w:val="样式2"/>
    <w:basedOn w:val="1"/>
    <w:qFormat/>
    <w:uiPriority w:val="0"/>
    <w:pPr>
      <w:widowControl w:val="0"/>
      <w:jc w:val="both"/>
    </w:pPr>
    <w:rPr>
      <w:rFonts w:ascii="仿宋_GB2312" w:eastAsia="仿宋_GB2312"/>
      <w:kern w:val="2"/>
      <w:sz w:val="32"/>
    </w:rPr>
  </w:style>
  <w:style w:type="paragraph" w:customStyle="1" w:styleId="89">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90">
    <w:name w:val="Char Char Char1 Char"/>
    <w:basedOn w:val="1"/>
    <w:qFormat/>
    <w:uiPriority w:val="0"/>
    <w:pPr>
      <w:widowControl w:val="0"/>
      <w:jc w:val="both"/>
    </w:pPr>
    <w:rPr>
      <w:rFonts w:ascii="Tahoma" w:hAnsi="Tahoma"/>
      <w:kern w:val="2"/>
      <w:sz w:val="24"/>
    </w:rPr>
  </w:style>
  <w:style w:type="paragraph" w:customStyle="1" w:styleId="91">
    <w:name w:val="缺省文本:1"/>
    <w:basedOn w:val="1"/>
    <w:qFormat/>
    <w:uiPriority w:val="0"/>
    <w:pPr>
      <w:widowControl w:val="0"/>
      <w:autoSpaceDE w:val="0"/>
      <w:autoSpaceDN w:val="0"/>
      <w:adjustRightInd w:val="0"/>
    </w:pPr>
    <w:rPr>
      <w:sz w:val="24"/>
      <w:szCs w:val="24"/>
    </w:rPr>
  </w:style>
  <w:style w:type="paragraph" w:customStyle="1" w:styleId="92">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93">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94">
    <w:name w:val="List Paragraph"/>
    <w:basedOn w:val="1"/>
    <w:link w:val="137"/>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5">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6">
    <w:name w:val="标题 4.1"/>
    <w:basedOn w:val="1"/>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7">
    <w:name w:val="reader-word-layer reader-word-s16-2"/>
    <w:basedOn w:val="1"/>
    <w:qFormat/>
    <w:uiPriority w:val="0"/>
    <w:pPr>
      <w:spacing w:before="100" w:beforeAutospacing="1" w:after="100" w:afterAutospacing="1"/>
    </w:pPr>
    <w:rPr>
      <w:rFonts w:ascii="宋体" w:hAnsi="宋体" w:cs="宋体"/>
      <w:sz w:val="24"/>
      <w:szCs w:val="24"/>
    </w:rPr>
  </w:style>
  <w:style w:type="paragraph" w:customStyle="1" w:styleId="98">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9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100">
    <w:name w:val="reader-word-layer reader-word-s16-14"/>
    <w:basedOn w:val="1"/>
    <w:qFormat/>
    <w:uiPriority w:val="0"/>
    <w:pPr>
      <w:spacing w:before="100" w:beforeAutospacing="1" w:after="100" w:afterAutospacing="1"/>
    </w:pPr>
    <w:rPr>
      <w:rFonts w:ascii="宋体" w:hAnsi="宋体" w:cs="宋体"/>
      <w:sz w:val="24"/>
      <w:szCs w:val="24"/>
    </w:rPr>
  </w:style>
  <w:style w:type="paragraph" w:customStyle="1" w:styleId="101">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2">
    <w:name w:val="reader-word-layer reader-word-s16-16"/>
    <w:basedOn w:val="1"/>
    <w:qFormat/>
    <w:uiPriority w:val="0"/>
    <w:pPr>
      <w:spacing w:before="100" w:beforeAutospacing="1" w:after="100" w:afterAutospacing="1"/>
    </w:pPr>
    <w:rPr>
      <w:rFonts w:ascii="宋体" w:hAnsi="宋体" w:cs="宋体"/>
      <w:sz w:val="24"/>
      <w:szCs w:val="24"/>
    </w:rPr>
  </w:style>
  <w:style w:type="paragraph" w:customStyle="1" w:styleId="103">
    <w:name w:val="o"/>
    <w:basedOn w:val="1"/>
    <w:qFormat/>
    <w:uiPriority w:val="0"/>
    <w:pPr>
      <w:widowControl w:val="0"/>
      <w:adjustRightInd w:val="0"/>
      <w:spacing w:line="360" w:lineRule="atLeast"/>
      <w:textAlignment w:val="baseline"/>
    </w:pPr>
    <w:rPr>
      <w:rFonts w:ascii="宋体"/>
      <w:sz w:val="32"/>
    </w:rPr>
  </w:style>
  <w:style w:type="paragraph" w:customStyle="1" w:styleId="104">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5">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6">
    <w:name w:val="默认段落字体 Para Char Char Char Char Char Char Char Char Char1 Char Char Char Char Char Char Char"/>
    <w:basedOn w:val="14"/>
    <w:qFormat/>
    <w:uiPriority w:val="0"/>
    <w:pPr>
      <w:widowControl w:val="0"/>
      <w:jc w:val="both"/>
    </w:pPr>
    <w:rPr>
      <w:rFonts w:ascii="Tahoma" w:hAnsi="Tahoma" w:cs="Tahoma"/>
      <w:kern w:val="2"/>
      <w:sz w:val="24"/>
      <w:szCs w:val="24"/>
    </w:rPr>
  </w:style>
  <w:style w:type="paragraph" w:customStyle="1" w:styleId="107">
    <w:name w:val="?¡ì?¡ì?¡§¡è?¡ìo????¡§¡è?:1:1"/>
    <w:basedOn w:val="1"/>
    <w:qFormat/>
    <w:uiPriority w:val="0"/>
    <w:pPr>
      <w:overflowPunct w:val="0"/>
      <w:autoSpaceDE w:val="0"/>
      <w:autoSpaceDN w:val="0"/>
      <w:adjustRightInd w:val="0"/>
    </w:pPr>
    <w:rPr>
      <w:sz w:val="24"/>
    </w:rPr>
  </w:style>
  <w:style w:type="paragraph" w:customStyle="1" w:styleId="108">
    <w:name w:val="Char Char2"/>
    <w:basedOn w:val="1"/>
    <w:qFormat/>
    <w:uiPriority w:val="0"/>
    <w:pPr>
      <w:widowControl w:val="0"/>
      <w:jc w:val="both"/>
    </w:pPr>
    <w:rPr>
      <w:rFonts w:ascii="Tahoma" w:hAnsi="Tahoma"/>
      <w:kern w:val="2"/>
      <w:sz w:val="24"/>
    </w:rPr>
  </w:style>
  <w:style w:type="paragraph" w:customStyle="1" w:styleId="109">
    <w:name w:val="reader-word-layer reader-word-s16-12"/>
    <w:basedOn w:val="1"/>
    <w:qFormat/>
    <w:uiPriority w:val="0"/>
    <w:pPr>
      <w:spacing w:before="100" w:beforeAutospacing="1" w:after="100" w:afterAutospacing="1"/>
    </w:pPr>
    <w:rPr>
      <w:rFonts w:ascii="宋体" w:hAnsi="宋体" w:cs="宋体"/>
      <w:sz w:val="24"/>
      <w:szCs w:val="24"/>
    </w:rPr>
  </w:style>
  <w:style w:type="paragraph" w:customStyle="1" w:styleId="110">
    <w:name w:val="reader-word-layer reader-word-s16-9"/>
    <w:basedOn w:val="1"/>
    <w:qFormat/>
    <w:uiPriority w:val="0"/>
    <w:pPr>
      <w:spacing w:before="100" w:beforeAutospacing="1" w:after="100" w:afterAutospacing="1"/>
    </w:pPr>
    <w:rPr>
      <w:rFonts w:ascii="宋体" w:hAnsi="宋体" w:cs="宋体"/>
      <w:sz w:val="24"/>
      <w:szCs w:val="24"/>
    </w:rPr>
  </w:style>
  <w:style w:type="paragraph" w:customStyle="1" w:styleId="111">
    <w:name w:val="Char1 Char Char Char"/>
    <w:basedOn w:val="1"/>
    <w:qFormat/>
    <w:uiPriority w:val="0"/>
    <w:pPr>
      <w:widowControl w:val="0"/>
      <w:jc w:val="both"/>
    </w:pPr>
    <w:rPr>
      <w:kern w:val="2"/>
      <w:sz w:val="21"/>
      <w:szCs w:val="24"/>
    </w:rPr>
  </w:style>
  <w:style w:type="paragraph" w:customStyle="1" w:styleId="112">
    <w:name w:val="默认段落字体 Para Char Char Char Char"/>
    <w:basedOn w:val="1"/>
    <w:qFormat/>
    <w:uiPriority w:val="0"/>
    <w:pPr>
      <w:widowControl w:val="0"/>
      <w:jc w:val="both"/>
    </w:pPr>
    <w:rPr>
      <w:kern w:val="2"/>
      <w:sz w:val="21"/>
      <w:szCs w:val="24"/>
    </w:rPr>
  </w:style>
  <w:style w:type="paragraph" w:customStyle="1" w:styleId="113">
    <w:name w:val="?¡ì?¡ì?¡§¡è?¡ìo????¡§¡è?:1"/>
    <w:basedOn w:val="1"/>
    <w:qFormat/>
    <w:uiPriority w:val="0"/>
    <w:pPr>
      <w:overflowPunct w:val="0"/>
      <w:autoSpaceDE w:val="0"/>
      <w:autoSpaceDN w:val="0"/>
      <w:adjustRightInd w:val="0"/>
    </w:pPr>
    <w:rPr>
      <w:sz w:val="24"/>
    </w:rPr>
  </w:style>
  <w:style w:type="paragraph" w:customStyle="1" w:styleId="114">
    <w:name w:val="默认段落字体 Para Char"/>
    <w:basedOn w:val="1"/>
    <w:qFormat/>
    <w:uiPriority w:val="0"/>
    <w:pPr>
      <w:widowControl w:val="0"/>
      <w:jc w:val="both"/>
    </w:pPr>
    <w:rPr>
      <w:kern w:val="2"/>
      <w:sz w:val="21"/>
      <w:szCs w:val="24"/>
    </w:rPr>
  </w:style>
  <w:style w:type="paragraph" w:customStyle="1" w:styleId="11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6">
    <w:name w:val="reader-word-layer reader-word-s16-17"/>
    <w:basedOn w:val="1"/>
    <w:qFormat/>
    <w:uiPriority w:val="0"/>
    <w:pPr>
      <w:spacing w:before="100" w:beforeAutospacing="1" w:after="100" w:afterAutospacing="1"/>
    </w:pPr>
    <w:rPr>
      <w:rFonts w:ascii="宋体" w:hAnsi="宋体" w:cs="宋体"/>
      <w:sz w:val="24"/>
      <w:szCs w:val="24"/>
    </w:rPr>
  </w:style>
  <w:style w:type="paragraph" w:customStyle="1" w:styleId="117">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8">
    <w:name w:val="reader-word-layer reader-word-s16-11"/>
    <w:basedOn w:val="1"/>
    <w:qFormat/>
    <w:uiPriority w:val="0"/>
    <w:pPr>
      <w:spacing w:before="100" w:beforeAutospacing="1" w:after="100" w:afterAutospacing="1"/>
    </w:pPr>
    <w:rPr>
      <w:rFonts w:ascii="宋体" w:hAnsi="宋体" w:cs="宋体"/>
      <w:sz w:val="24"/>
      <w:szCs w:val="24"/>
    </w:rPr>
  </w:style>
  <w:style w:type="paragraph" w:customStyle="1" w:styleId="119">
    <w:name w:val="È±Ê¡ÎÄ±¾:1:1"/>
    <w:basedOn w:val="1"/>
    <w:qFormat/>
    <w:uiPriority w:val="0"/>
    <w:pPr>
      <w:overflowPunct w:val="0"/>
      <w:autoSpaceDE w:val="0"/>
      <w:autoSpaceDN w:val="0"/>
      <w:adjustRightInd w:val="0"/>
      <w:textAlignment w:val="baseline"/>
    </w:pPr>
    <w:rPr>
      <w:sz w:val="24"/>
    </w:rPr>
  </w:style>
  <w:style w:type="paragraph" w:customStyle="1" w:styleId="120">
    <w:name w:val="样式1"/>
    <w:basedOn w:val="1"/>
    <w:qFormat/>
    <w:uiPriority w:val="0"/>
    <w:pPr>
      <w:widowControl w:val="0"/>
      <w:spacing w:before="120" w:after="120" w:line="300" w:lineRule="auto"/>
      <w:jc w:val="both"/>
    </w:pPr>
    <w:rPr>
      <w:rFonts w:ascii="宋体" w:hAnsi="宋体"/>
      <w:b/>
      <w:kern w:val="2"/>
      <w:sz w:val="24"/>
    </w:rPr>
  </w:style>
  <w:style w:type="paragraph" w:customStyle="1" w:styleId="121">
    <w:name w:val="_Style 17"/>
    <w:basedOn w:val="1"/>
    <w:next w:val="38"/>
    <w:qFormat/>
    <w:uiPriority w:val="0"/>
    <w:pPr>
      <w:spacing w:before="100" w:beforeAutospacing="1" w:after="100" w:afterAutospacing="1"/>
    </w:pPr>
    <w:rPr>
      <w:rFonts w:ascii="宋体" w:hAnsi="宋体" w:cs="黑体"/>
      <w:sz w:val="24"/>
      <w:szCs w:val="24"/>
    </w:rPr>
  </w:style>
  <w:style w:type="paragraph" w:customStyle="1" w:styleId="122">
    <w:name w:val="Char Char Char Char1"/>
    <w:basedOn w:val="1"/>
    <w:qFormat/>
    <w:uiPriority w:val="0"/>
    <w:pPr>
      <w:widowControl w:val="0"/>
      <w:jc w:val="both"/>
    </w:pPr>
    <w:rPr>
      <w:rFonts w:ascii="Tahoma" w:hAnsi="Tahoma"/>
      <w:kern w:val="2"/>
      <w:sz w:val="24"/>
    </w:rPr>
  </w:style>
  <w:style w:type="paragraph" w:customStyle="1" w:styleId="123">
    <w:name w:val="reader-word-layer reader-word-s16-7"/>
    <w:basedOn w:val="1"/>
    <w:qFormat/>
    <w:uiPriority w:val="0"/>
    <w:pPr>
      <w:spacing w:before="100" w:beforeAutospacing="1" w:after="100" w:afterAutospacing="1"/>
    </w:pPr>
    <w:rPr>
      <w:rFonts w:ascii="宋体" w:hAnsi="宋体" w:cs="宋体"/>
      <w:sz w:val="24"/>
      <w:szCs w:val="24"/>
    </w:rPr>
  </w:style>
  <w:style w:type="paragraph" w:customStyle="1" w:styleId="124">
    <w:name w:val="正文文本缩进8"/>
    <w:basedOn w:val="1"/>
    <w:qFormat/>
    <w:uiPriority w:val="0"/>
    <w:pPr>
      <w:widowControl w:val="0"/>
      <w:ind w:firstLine="560" w:firstLineChars="200"/>
      <w:jc w:val="both"/>
    </w:pPr>
    <w:rPr>
      <w:kern w:val="2"/>
      <w:sz w:val="28"/>
      <w:szCs w:val="28"/>
    </w:rPr>
  </w:style>
  <w:style w:type="paragraph" w:customStyle="1" w:styleId="125">
    <w:name w:val="_Style 110"/>
    <w:basedOn w:val="1"/>
    <w:next w:val="94"/>
    <w:qFormat/>
    <w:uiPriority w:val="34"/>
    <w:pPr>
      <w:widowControl w:val="0"/>
      <w:ind w:firstLine="420" w:firstLineChars="200"/>
      <w:jc w:val="both"/>
    </w:pPr>
    <w:rPr>
      <w:kern w:val="2"/>
      <w:sz w:val="21"/>
    </w:rPr>
  </w:style>
  <w:style w:type="character" w:customStyle="1" w:styleId="126">
    <w:name w:val="页脚 Char"/>
    <w:link w:val="127"/>
    <w:qFormat/>
    <w:uiPriority w:val="0"/>
    <w:rPr>
      <w:sz w:val="18"/>
    </w:rPr>
  </w:style>
  <w:style w:type="paragraph" w:customStyle="1" w:styleId="127">
    <w:name w:val="页脚1"/>
    <w:basedOn w:val="1"/>
    <w:link w:val="126"/>
    <w:qFormat/>
    <w:uiPriority w:val="0"/>
    <w:pPr>
      <w:widowControl w:val="0"/>
      <w:tabs>
        <w:tab w:val="center" w:pos="4153"/>
        <w:tab w:val="right" w:pos="8306"/>
      </w:tabs>
      <w:snapToGrid w:val="0"/>
    </w:pPr>
    <w:rPr>
      <w:sz w:val="18"/>
    </w:rPr>
  </w:style>
  <w:style w:type="paragraph" w:customStyle="1" w:styleId="128">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9">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正文缩进1"/>
    <w:basedOn w:val="1"/>
    <w:qFormat/>
    <w:uiPriority w:val="0"/>
    <w:pPr>
      <w:ind w:firstLine="420"/>
      <w:jc w:val="center"/>
    </w:pPr>
    <w:rPr>
      <w:b/>
      <w:sz w:val="44"/>
    </w:rPr>
  </w:style>
  <w:style w:type="paragraph" w:styleId="1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列出段落1"/>
    <w:basedOn w:val="1"/>
    <w:qFormat/>
    <w:uiPriority w:val="0"/>
    <w:pPr>
      <w:widowControl w:val="0"/>
      <w:ind w:firstLine="420"/>
      <w:jc w:val="both"/>
    </w:pPr>
    <w:rPr>
      <w:kern w:val="2"/>
      <w:sz w:val="21"/>
    </w:rPr>
  </w:style>
  <w:style w:type="character" w:customStyle="1" w:styleId="133">
    <w:name w:val="p0 Char"/>
    <w:link w:val="134"/>
    <w:qFormat/>
    <w:locked/>
    <w:uiPriority w:val="0"/>
    <w:rPr>
      <w:sz w:val="21"/>
      <w:szCs w:val="21"/>
    </w:rPr>
  </w:style>
  <w:style w:type="paragraph" w:customStyle="1" w:styleId="134">
    <w:name w:val="p0"/>
    <w:basedOn w:val="1"/>
    <w:link w:val="133"/>
    <w:qFormat/>
    <w:uiPriority w:val="0"/>
    <w:pPr>
      <w:jc w:val="both"/>
    </w:pPr>
    <w:rPr>
      <w:rFonts w:eastAsia="微软雅黑" w:asciiTheme="minorHAnsi" w:hAnsiTheme="minorHAnsi" w:cstheme="minorBidi"/>
      <w:sz w:val="21"/>
      <w:szCs w:val="21"/>
    </w:rPr>
  </w:style>
  <w:style w:type="paragraph" w:customStyle="1" w:styleId="135">
    <w:name w:val="正文缩进2格"/>
    <w:basedOn w:val="1"/>
    <w:link w:val="136"/>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6">
    <w:name w:val="正文缩进2格 Char"/>
    <w:link w:val="135"/>
    <w:qFormat/>
    <w:uiPriority w:val="0"/>
    <w:rPr>
      <w:rFonts w:ascii="仿宋_GB2312" w:hAnsi="宋体" w:eastAsia="仿宋_GB2312" w:cs="Times New Roman"/>
      <w:kern w:val="2"/>
      <w:sz w:val="31"/>
      <w:szCs w:val="28"/>
    </w:rPr>
  </w:style>
  <w:style w:type="character" w:customStyle="1" w:styleId="137">
    <w:name w:val="列出段落 Char"/>
    <w:link w:val="94"/>
    <w:qFormat/>
    <w:uiPriority w:val="0"/>
    <w:rPr>
      <w:rFonts w:ascii="Calibri" w:hAnsi="Calibri" w:eastAsia="宋体" w:cs="Times New Roman"/>
      <w:kern w:val="2"/>
      <w:sz w:val="21"/>
      <w:szCs w:val="22"/>
    </w:rPr>
  </w:style>
  <w:style w:type="character" w:customStyle="1" w:styleId="138">
    <w:name w:val="批注文字 Char"/>
    <w:basedOn w:val="46"/>
    <w:link w:val="15"/>
    <w:semiHidden/>
    <w:qFormat/>
    <w:uiPriority w:val="0"/>
    <w:rPr>
      <w:rFonts w:ascii="Times New Roman" w:hAnsi="Times New Roman" w:eastAsia="宋体" w:cs="Times New Roman"/>
    </w:rPr>
  </w:style>
  <w:style w:type="character" w:customStyle="1" w:styleId="139">
    <w:name w:val="批注主题 Char"/>
    <w:basedOn w:val="138"/>
    <w:link w:val="41"/>
    <w:semiHidden/>
    <w:qFormat/>
    <w:uiPriority w:val="0"/>
    <w:rPr>
      <w:rFonts w:ascii="Times New Roman" w:hAnsi="Times New Roman" w:eastAsia="宋体" w:cs="Times New Roman"/>
      <w:b/>
      <w:bCs/>
    </w:rPr>
  </w:style>
  <w:style w:type="paragraph" w:customStyle="1" w:styleId="140">
    <w:name w:val="修订1"/>
    <w:hidden/>
    <w:semiHidden/>
    <w:qFormat/>
    <w:uiPriority w:val="99"/>
    <w:rPr>
      <w:rFonts w:ascii="Times New Roman" w:hAnsi="Times New Roman" w:eastAsia="宋体" w:cs="Times New Roman"/>
      <w:lang w:val="en-US" w:eastAsia="zh-CN" w:bidi="ar-SA"/>
    </w:rPr>
  </w:style>
  <w:style w:type="character" w:customStyle="1" w:styleId="141">
    <w:name w:val="layui-layer-tabnow"/>
    <w:basedOn w:val="46"/>
    <w:qFormat/>
    <w:uiPriority w:val="0"/>
    <w:rPr>
      <w:bdr w:val="single" w:color="CCCCCC" w:sz="6" w:space="0"/>
      <w:shd w:val="clear" w:color="auto" w:fill="FFFFFF"/>
    </w:rPr>
  </w:style>
  <w:style w:type="character" w:customStyle="1" w:styleId="142">
    <w:name w:val="first-child"/>
    <w:basedOn w:val="46"/>
    <w:qFormat/>
    <w:uiPriority w:val="0"/>
  </w:style>
  <w:style w:type="character" w:customStyle="1" w:styleId="143">
    <w:name w:val="oblog_text"/>
    <w:basedOn w:val="46"/>
    <w:qFormat/>
    <w:uiPriority w:val="0"/>
  </w:style>
  <w:style w:type="paragraph" w:customStyle="1" w:styleId="144">
    <w:name w:val="章节题目"/>
    <w:basedOn w:val="145"/>
    <w:next w:val="1"/>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145">
    <w:name w:val="基准标题"/>
    <w:basedOn w:val="1"/>
    <w:next w:val="17"/>
    <w:unhideWhenUsed/>
    <w:qFormat/>
    <w:uiPriority w:val="0"/>
    <w:pPr>
      <w:keepNext/>
      <w:keepLines/>
      <w:spacing w:before="140" w:line="220" w:lineRule="atLeast"/>
    </w:pPr>
    <w:rPr>
      <w:rFonts w:hint="eastAsia" w:ascii="Arial" w:hAnsi="Arial"/>
      <w:spacing w:val="-4"/>
      <w:kern w:val="28"/>
      <w:sz w:val="22"/>
    </w:rPr>
  </w:style>
  <w:style w:type="paragraph" w:customStyle="1" w:styleId="146">
    <w:name w:val="Table Paragraph"/>
    <w:basedOn w:val="1"/>
    <w:qFormat/>
    <w:uiPriority w:val="1"/>
    <w:rPr>
      <w:rFonts w:eastAsia="仿宋"/>
    </w:rPr>
  </w:style>
  <w:style w:type="paragraph" w:customStyle="1" w:styleId="147">
    <w:name w:val="_Style 5"/>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90</Pages>
  <Words>48925</Words>
  <Characters>52436</Characters>
  <Lines>271</Lines>
  <Paragraphs>76</Paragraphs>
  <TotalTime>26</TotalTime>
  <ScaleCrop>false</ScaleCrop>
  <LinksUpToDate>false</LinksUpToDate>
  <CharactersWithSpaces>54853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Administrator</cp:lastModifiedBy>
  <cp:lastPrinted>2023-08-28T01:39:00Z</cp:lastPrinted>
  <dcterms:modified xsi:type="dcterms:W3CDTF">2025-02-13T08:17:38Z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82E379C5CC014F87AA65A6BAEB63DECA</vt:lpwstr>
  </property>
</Properties>
</file>