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10277"/>
      </w:tblGrid>
      <w:tr w14:paraId="754B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tcPr>
          <w:p w14:paraId="6C6E29E0">
            <w:pPr>
              <w:rPr>
                <w:rFonts w:hint="default"/>
                <w:sz w:val="28"/>
                <w:szCs w:val="28"/>
                <w:vertAlign w:val="baseline"/>
                <w:lang w:val="en-US" w:eastAsia="zh-CN"/>
              </w:rPr>
            </w:pPr>
            <w:r>
              <w:rPr>
                <w:rFonts w:hint="eastAsia"/>
                <w:sz w:val="28"/>
                <w:szCs w:val="28"/>
                <w:lang w:val="en-US" w:eastAsia="zh-CN"/>
              </w:rPr>
              <w:t>项目名称：</w:t>
            </w:r>
          </w:p>
        </w:tc>
        <w:tc>
          <w:tcPr>
            <w:tcW w:w="6483" w:type="dxa"/>
          </w:tcPr>
          <w:p w14:paraId="673CBF9A">
            <w:pPr>
              <w:rPr>
                <w:rFonts w:hint="eastAsia"/>
                <w:sz w:val="28"/>
                <w:szCs w:val="28"/>
                <w:lang w:val="en-US" w:eastAsia="zh-CN"/>
              </w:rPr>
            </w:pPr>
            <w:r>
              <w:rPr>
                <w:rFonts w:hint="eastAsia"/>
                <w:sz w:val="28"/>
                <w:szCs w:val="28"/>
                <w:lang w:val="en-US" w:eastAsia="zh-CN"/>
              </w:rPr>
              <w:t>永吉县人民医院信息系统维护服务</w:t>
            </w:r>
          </w:p>
          <w:p w14:paraId="531655D7">
            <w:pPr>
              <w:rPr>
                <w:rFonts w:hint="default"/>
                <w:sz w:val="28"/>
                <w:szCs w:val="28"/>
                <w:vertAlign w:val="baseline"/>
                <w:lang w:val="en-US" w:eastAsia="zh-CN"/>
              </w:rPr>
            </w:pPr>
          </w:p>
        </w:tc>
      </w:tr>
      <w:tr w14:paraId="4AD2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tcPr>
          <w:p w14:paraId="644B8A94">
            <w:pPr>
              <w:rPr>
                <w:rFonts w:hint="default"/>
                <w:sz w:val="28"/>
                <w:szCs w:val="28"/>
                <w:vertAlign w:val="baseline"/>
                <w:lang w:val="en-US" w:eastAsia="zh-CN"/>
              </w:rPr>
            </w:pPr>
            <w:r>
              <w:rPr>
                <w:rFonts w:hint="eastAsia"/>
                <w:sz w:val="28"/>
                <w:szCs w:val="28"/>
                <w:vertAlign w:val="baseline"/>
                <w:lang w:val="en-US" w:eastAsia="zh-CN"/>
              </w:rPr>
              <w:t>预算</w:t>
            </w:r>
          </w:p>
        </w:tc>
        <w:tc>
          <w:tcPr>
            <w:tcW w:w="6483" w:type="dxa"/>
          </w:tcPr>
          <w:p w14:paraId="708F4C21">
            <w:pPr>
              <w:rPr>
                <w:rFonts w:hint="default"/>
                <w:sz w:val="28"/>
                <w:szCs w:val="28"/>
                <w:vertAlign w:val="baseline"/>
                <w:lang w:val="en-US" w:eastAsia="zh-CN"/>
              </w:rPr>
            </w:pPr>
            <w:r>
              <w:rPr>
                <w:rFonts w:hint="eastAsia"/>
                <w:sz w:val="28"/>
                <w:szCs w:val="28"/>
                <w:vertAlign w:val="baseline"/>
                <w:lang w:val="en-US" w:eastAsia="zh-CN"/>
              </w:rPr>
              <w:t>55.6万</w:t>
            </w:r>
          </w:p>
        </w:tc>
      </w:tr>
      <w:tr w14:paraId="3BCFC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tcPr>
          <w:p w14:paraId="155438E3">
            <w:pPr>
              <w:rPr>
                <w:rFonts w:hint="default"/>
                <w:sz w:val="28"/>
                <w:szCs w:val="28"/>
                <w:vertAlign w:val="baseline"/>
                <w:lang w:val="en-US" w:eastAsia="zh-CN"/>
              </w:rPr>
            </w:pPr>
            <w:r>
              <w:rPr>
                <w:rFonts w:hint="eastAsia"/>
                <w:sz w:val="28"/>
                <w:szCs w:val="28"/>
                <w:vertAlign w:val="baseline"/>
                <w:lang w:val="en-US" w:eastAsia="zh-CN"/>
              </w:rPr>
              <w:t>维护期</w:t>
            </w:r>
          </w:p>
        </w:tc>
        <w:tc>
          <w:tcPr>
            <w:tcW w:w="6483" w:type="dxa"/>
          </w:tcPr>
          <w:p w14:paraId="58DADD6B">
            <w:pPr>
              <w:rPr>
                <w:rFonts w:hint="default"/>
                <w:sz w:val="28"/>
                <w:szCs w:val="28"/>
                <w:vertAlign w:val="baseline"/>
                <w:lang w:val="en-US" w:eastAsia="zh-CN"/>
              </w:rPr>
            </w:pPr>
            <w:r>
              <w:rPr>
                <w:rFonts w:hint="eastAsia"/>
                <w:sz w:val="28"/>
                <w:szCs w:val="28"/>
                <w:vertAlign w:val="baseline"/>
                <w:lang w:val="en-US" w:eastAsia="zh-CN"/>
              </w:rPr>
              <w:t>12个月</w:t>
            </w:r>
          </w:p>
        </w:tc>
      </w:tr>
      <w:tr w14:paraId="010AE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tcPr>
          <w:p w14:paraId="20DB8BEC">
            <w:pPr>
              <w:rPr>
                <w:rFonts w:hint="default"/>
                <w:sz w:val="28"/>
                <w:szCs w:val="28"/>
                <w:vertAlign w:val="baseline"/>
                <w:lang w:val="en-US" w:eastAsia="zh-CN"/>
              </w:rPr>
            </w:pPr>
            <w:r>
              <w:rPr>
                <w:rFonts w:hint="eastAsia"/>
                <w:sz w:val="28"/>
                <w:szCs w:val="28"/>
                <w:vertAlign w:val="baseline"/>
                <w:lang w:val="en-US" w:eastAsia="zh-CN"/>
              </w:rPr>
              <w:t>商务要求</w:t>
            </w:r>
          </w:p>
        </w:tc>
        <w:tc>
          <w:tcPr>
            <w:tcW w:w="6483" w:type="dxa"/>
          </w:tcPr>
          <w:p w14:paraId="4C0DFE8E">
            <w:pPr>
              <w:rPr>
                <w:rFonts w:hint="default"/>
                <w:sz w:val="28"/>
                <w:szCs w:val="28"/>
                <w:vertAlign w:val="baseline"/>
                <w:lang w:val="en-US" w:eastAsia="zh-CN"/>
              </w:rPr>
            </w:pPr>
            <w:r>
              <w:rPr>
                <w:rFonts w:hint="eastAsia"/>
                <w:sz w:val="28"/>
                <w:szCs w:val="28"/>
                <w:vertAlign w:val="baseline"/>
                <w:lang w:val="en-US" w:eastAsia="zh-CN"/>
              </w:rPr>
              <w:t>在医院现有设备及系统基础上升级、改造、维护，若医院现有运行系统方收取接口费用，需要中标公司承担，医院负责帮助协调沟通。</w:t>
            </w:r>
          </w:p>
        </w:tc>
      </w:tr>
      <w:tr w14:paraId="10F4A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5" w:hRule="atLeast"/>
        </w:trPr>
        <w:tc>
          <w:tcPr>
            <w:tcW w:w="3133" w:type="dxa"/>
          </w:tcPr>
          <w:p w14:paraId="1C3B5399">
            <w:pPr>
              <w:rPr>
                <w:rFonts w:hint="default"/>
                <w:sz w:val="28"/>
                <w:szCs w:val="28"/>
                <w:vertAlign w:val="baseline"/>
                <w:lang w:val="en-US" w:eastAsia="zh-CN"/>
              </w:rPr>
            </w:pPr>
            <w:r>
              <w:rPr>
                <w:rFonts w:hint="eastAsia"/>
                <w:sz w:val="28"/>
                <w:szCs w:val="28"/>
                <w:vertAlign w:val="baseline"/>
                <w:lang w:val="en-US" w:eastAsia="zh-CN"/>
              </w:rPr>
              <w:t>具体服务内容</w:t>
            </w:r>
          </w:p>
        </w:tc>
        <w:tc>
          <w:tcPr>
            <w:tcW w:w="6483" w:type="dxa"/>
          </w:tcPr>
          <w:p w14:paraId="0F45098F">
            <w:pPr>
              <w:numPr>
                <w:ilvl w:val="0"/>
                <w:numId w:val="1"/>
              </w:numPr>
              <w:rPr>
                <w:rFonts w:hint="eastAsia"/>
                <w:sz w:val="28"/>
                <w:szCs w:val="28"/>
                <w:vertAlign w:val="baseline"/>
                <w:lang w:val="en-US" w:eastAsia="zh-CN"/>
              </w:rPr>
            </w:pPr>
            <w:r>
              <w:rPr>
                <w:rFonts w:hint="eastAsia"/>
                <w:sz w:val="28"/>
                <w:szCs w:val="28"/>
                <w:vertAlign w:val="baseline"/>
                <w:lang w:val="en-US" w:eastAsia="zh-CN"/>
              </w:rPr>
              <w:t>防统方系统维护</w:t>
            </w:r>
          </w:p>
          <w:p w14:paraId="74339EAE">
            <w:pPr>
              <w:numPr>
                <w:ilvl w:val="0"/>
                <w:numId w:val="0"/>
              </w:numPr>
              <w:rPr>
                <w:rFonts w:hint="eastAsia"/>
                <w:sz w:val="28"/>
                <w:szCs w:val="28"/>
                <w:vertAlign w:val="baseline"/>
                <w:lang w:val="en-US" w:eastAsia="zh-CN"/>
              </w:rPr>
            </w:pPr>
            <w:r>
              <w:rPr>
                <w:rFonts w:hint="eastAsia"/>
                <w:sz w:val="28"/>
                <w:szCs w:val="28"/>
                <w:vertAlign w:val="baseline"/>
                <w:lang w:val="en-US" w:eastAsia="zh-CN"/>
              </w:rPr>
              <w:t xml:space="preserve">  在医院现有使用防统方软件及硬件基础上，升级相关软件、维修相关硬件。服务期12个月。</w:t>
            </w:r>
          </w:p>
          <w:p w14:paraId="3A97A0ED">
            <w:pPr>
              <w:numPr>
                <w:ilvl w:val="0"/>
                <w:numId w:val="1"/>
              </w:numPr>
              <w:ind w:left="0" w:leftChars="0" w:firstLine="0" w:firstLineChars="0"/>
              <w:rPr>
                <w:rFonts w:hint="eastAsia"/>
                <w:sz w:val="28"/>
                <w:szCs w:val="28"/>
                <w:vertAlign w:val="baseline"/>
                <w:lang w:val="en-US" w:eastAsia="zh-CN"/>
              </w:rPr>
            </w:pPr>
            <w:r>
              <w:rPr>
                <w:rFonts w:hint="eastAsia"/>
                <w:sz w:val="28"/>
                <w:szCs w:val="28"/>
                <w:vertAlign w:val="baseline"/>
                <w:lang w:val="en-US" w:eastAsia="zh-CN"/>
              </w:rPr>
              <w:t>合理用药系统升级</w:t>
            </w:r>
          </w:p>
          <w:p w14:paraId="5C76180A">
            <w:pPr>
              <w:numPr>
                <w:ilvl w:val="0"/>
                <w:numId w:val="2"/>
              </w:numPr>
              <w:spacing w:line="288" w:lineRule="auto"/>
              <w:rPr>
                <w:rFonts w:hint="eastAsia"/>
                <w:sz w:val="28"/>
                <w:szCs w:val="28"/>
                <w:vertAlign w:val="baseline"/>
                <w:lang w:val="en-US" w:eastAsia="zh-CN"/>
              </w:rPr>
            </w:pPr>
            <w:r>
              <w:rPr>
                <w:rFonts w:hint="eastAsia"/>
                <w:sz w:val="28"/>
                <w:szCs w:val="28"/>
                <w:vertAlign w:val="baseline"/>
                <w:lang w:val="en-US" w:eastAsia="zh-CN"/>
              </w:rPr>
              <w:t xml:space="preserve">  把医院现有合理用药系统、临床药学管理系统升级到最新版《合理用药监测系统V4.3》（简称PASSV4.3）、《PASS临床药学管理系统V3.0》（简称PASS PharmAssist V3.0），并对升级后的系统进行为期12个月的维护：数据维护服务、远程技术服务。</w:t>
            </w:r>
          </w:p>
          <w:p w14:paraId="1EB64E60">
            <w:pPr>
              <w:numPr>
                <w:ilvl w:val="0"/>
                <w:numId w:val="1"/>
              </w:numPr>
              <w:spacing w:line="288" w:lineRule="auto"/>
              <w:ind w:left="0" w:leftChars="0" w:firstLine="0" w:firstLineChars="0"/>
              <w:rPr>
                <w:rFonts w:hint="eastAsia"/>
                <w:sz w:val="28"/>
                <w:szCs w:val="28"/>
                <w:vertAlign w:val="baseline"/>
                <w:lang w:val="en-US" w:eastAsia="zh-CN"/>
              </w:rPr>
            </w:pPr>
            <w:r>
              <w:rPr>
                <w:rFonts w:hint="eastAsia"/>
                <w:sz w:val="28"/>
                <w:szCs w:val="28"/>
                <w:vertAlign w:val="baseline"/>
                <w:lang w:val="en-US" w:eastAsia="zh-CN"/>
              </w:rPr>
              <w:t>数据中心维护技术服务</w:t>
            </w:r>
          </w:p>
          <w:p w14:paraId="2153353B">
            <w:pPr>
              <w:numPr>
                <w:ilvl w:val="0"/>
                <w:numId w:val="0"/>
              </w:numPr>
              <w:spacing w:line="288" w:lineRule="auto"/>
              <w:ind w:left="838" w:leftChars="399" w:firstLine="207" w:firstLineChars="74"/>
              <w:jc w:val="left"/>
              <w:rPr>
                <w:rFonts w:hint="default"/>
                <w:sz w:val="28"/>
                <w:szCs w:val="28"/>
                <w:vertAlign w:val="baseline"/>
                <w:lang w:val="en-US" w:eastAsia="zh-CN"/>
              </w:rPr>
            </w:pPr>
            <w:r>
              <w:rPr>
                <w:rFonts w:hint="eastAsia"/>
                <w:sz w:val="28"/>
                <w:szCs w:val="28"/>
                <w:vertAlign w:val="baseline"/>
                <w:lang w:val="en-US" w:eastAsia="zh-CN"/>
              </w:rPr>
              <w:t>一、数据库运维服务                                                                                                                                                                                                                1、oracle数据库搭建服务；2、数据库备份服务；3、数据库调优服务；4、数据库故障处理服务；5、虚拟化及操作系统搭建服务（不含版权）；6、定期恢复演练；7、备份策略调整；8、每月定期巡检，出具巡检报告，每季度总结，半年度定期汇报，重大事项每年4次驻场维护服务。                                                                                                                                                                                                         二、网络安全设备运维服务                                                                                                                                                                                                                    1、防火墙、安全感知、VPN、堡垒机、网闸、行为管理、数据库审计、日志审计、漏洞扫描设备调试及维护，包括且不限于根据业务调整端口；2、交换机及路由器调试及维护，包括且不限于根据业务调整配置；3、漏洞扫描服务；4、根据医院需求，提供网络规划、端口更改、网络相关业务割接服务；5、设备配置信息备份及恢复服务；6、提供渗透测试服务，在保证医院信息系统正常运行前提下，模拟黑客攻击行为通过远程或本地方式对信息系统进行非破坏性的入侵测试，查找针对应用程序的各种漏洞。7、提供风险评估服务，依据相关规范，在院方允许的情况下，对目标范围内的系统资产、威胁、脆弱性等各方面进行评估，对主要资产的风险进行定性或定量的脆弱性风险分析，描述不同资产的风险高低状况，给出详细的风险评估报告、整改方案及技术支撑。8、提供威胁监测与主动响应服务，对不同安全设备的安全日志、流量进行关联分析，通过安全专家主动识别网络和主机中的安全威胁，主动响应，协助我院闭环处置安全事件。9、提供漏洞扫描服务依据相关规范，通过远程或者现场方式（具体方式由用户依据实际情况确定）使用专业的国产漏洞扫描工具对信息系统进行全面漏洞扫描工作，为安全加固提供安全建议。10、每月定期巡检，出具巡检报告，每季度总结，半年度定期汇报，重大事项每年4次驻场维护服务。                                                                                                                                                                                                    三、网络运维服务                                                                                                                                                                                                                                   1、交换机、路由器等网络设备调试服务；2、Vlan、路由组网规划；3、网络故障处理；4、网络设备配置备份、恢复；5、网络拓扑梳理；6、每月定期巡检，出具巡检报告，每季度总结，半年度定期汇报，重大事项每年4次驻场维护服务。</w:t>
            </w:r>
          </w:p>
          <w:p w14:paraId="02E94959">
            <w:pPr>
              <w:numPr>
                <w:ilvl w:val="0"/>
                <w:numId w:val="0"/>
              </w:numPr>
              <w:ind w:leftChars="0"/>
              <w:rPr>
                <w:rFonts w:hint="default"/>
                <w:sz w:val="28"/>
                <w:szCs w:val="28"/>
                <w:vertAlign w:val="baseline"/>
                <w:lang w:val="en-US" w:eastAsia="zh-CN"/>
              </w:rPr>
            </w:pPr>
          </w:p>
        </w:tc>
      </w:tr>
      <w:tr w14:paraId="0EDE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tcPr>
          <w:p w14:paraId="36C86C00">
            <w:pPr>
              <w:rPr>
                <w:rFonts w:hint="default"/>
                <w:sz w:val="28"/>
                <w:szCs w:val="28"/>
                <w:vertAlign w:val="baseline"/>
                <w:lang w:val="en-US" w:eastAsia="zh-CN"/>
              </w:rPr>
            </w:pPr>
            <w:r>
              <w:rPr>
                <w:rFonts w:hint="eastAsia" w:asciiTheme="minorEastAsia" w:hAnsiTheme="minorEastAsia" w:eastAsiaTheme="minorEastAsia" w:cstheme="minorEastAsia"/>
                <w:sz w:val="28"/>
                <w:szCs w:val="28"/>
                <w:lang w:val="en-US" w:eastAsia="zh-CN"/>
              </w:rPr>
              <w:t>药剂科临床药学针对合理用药系统升级后需求</w:t>
            </w:r>
          </w:p>
        </w:tc>
        <w:tc>
          <w:tcPr>
            <w:tcW w:w="6483" w:type="dxa"/>
          </w:tcPr>
          <w:p w14:paraId="4C6F3D0A">
            <w:pPr>
              <w:numPr>
                <w:ilvl w:val="0"/>
                <w:numId w:val="3"/>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合理用药系统包含《合理用药监测系统》、《PASS临床药学管理系统》以及《MCDEX》，首先升级后要保证以上三个系统都是最新版本。</w:t>
            </w:r>
          </w:p>
          <w:p w14:paraId="44F29EA9">
            <w:pPr>
              <w:numPr>
                <w:ilvl w:val="0"/>
                <w:numId w:val="3"/>
              </w:num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《PASS临床药学管理系统》有如下几点要求：</w:t>
            </w:r>
          </w:p>
          <w:p w14:paraId="3EED80F0">
            <w:pPr>
              <w:numPr>
                <w:ilvl w:val="0"/>
                <w:numId w:val="4"/>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增加专门的模块可以上报“吉林省药事管理质控平台数据”涉及数据具体如下：</w:t>
            </w:r>
          </w:p>
          <w:p w14:paraId="0A1A4E2F">
            <w:pPr>
              <w:numPr>
                <w:ilvl w:val="0"/>
                <w:numId w:val="4"/>
              </w:numPr>
              <w:rPr>
                <w:rFonts w:hint="eastAsia" w:ascii="仿宋" w:hAnsi="仿宋" w:eastAsia="仿宋" w:cs="仿宋"/>
                <w:sz w:val="32"/>
                <w:szCs w:val="32"/>
                <w:lang w:val="en-US" w:eastAsia="zh-CN"/>
              </w:rPr>
            </w:pPr>
          </w:p>
          <w:tbl>
            <w:tblPr>
              <w:tblStyle w:val="2"/>
              <w:tblW w:w="137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1"/>
              <w:gridCol w:w="3019"/>
              <w:gridCol w:w="4900"/>
              <w:gridCol w:w="512"/>
              <w:gridCol w:w="512"/>
              <w:gridCol w:w="654"/>
            </w:tblGrid>
            <w:tr w14:paraId="44652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0" w:hRule="atLeast"/>
              </w:trPr>
              <w:tc>
                <w:tcPr>
                  <w:tcW w:w="13700" w:type="dxa"/>
                  <w:gridSpan w:val="6"/>
                  <w:tcBorders>
                    <w:top w:val="nil"/>
                    <w:left w:val="nil"/>
                    <w:bottom w:val="nil"/>
                    <w:right w:val="nil"/>
                  </w:tcBorders>
                  <w:shd w:val="clear" w:color="auto" w:fill="auto"/>
                  <w:noWrap/>
                  <w:vAlign w:val="center"/>
                </w:tcPr>
                <w:p w14:paraId="43C46FBB">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吉林省药事管理质控月度上报数据标准值</w:t>
                  </w:r>
                </w:p>
              </w:tc>
            </w:tr>
            <w:tr w14:paraId="158FB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DF2D">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序号</w:t>
                  </w:r>
                </w:p>
              </w:tc>
              <w:tc>
                <w:tcPr>
                  <w:tcW w:w="42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E180">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指标项目</w:t>
                  </w:r>
                </w:p>
              </w:tc>
              <w:tc>
                <w:tcPr>
                  <w:tcW w:w="6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EE287">
                  <w:pPr>
                    <w:keepNext w:val="0"/>
                    <w:keepLines w:val="0"/>
                    <w:widowControl/>
                    <w:suppressLineNumbers w:val="0"/>
                    <w:jc w:val="center"/>
                    <w:textAlignment w:val="center"/>
                    <w:rPr>
                      <w:rFonts w:hint="eastAsia" w:ascii="仿宋" w:hAnsi="仿宋" w:eastAsia="仿宋" w:cs="仿宋"/>
                      <w:b/>
                      <w:bCs/>
                      <w:i w:val="0"/>
                      <w:iCs w:val="0"/>
                      <w:color w:val="000000"/>
                      <w:sz w:val="18"/>
                      <w:szCs w:val="18"/>
                      <w:u w:val="none"/>
                    </w:rPr>
                  </w:pPr>
                  <w:r>
                    <w:rPr>
                      <w:rFonts w:hint="eastAsia" w:ascii="仿宋" w:hAnsi="仿宋" w:eastAsia="仿宋" w:cs="仿宋"/>
                      <w:b/>
                      <w:bCs/>
                      <w:i w:val="0"/>
                      <w:iCs w:val="0"/>
                      <w:color w:val="000000"/>
                      <w:kern w:val="0"/>
                      <w:sz w:val="18"/>
                      <w:szCs w:val="18"/>
                      <w:u w:val="none"/>
                      <w:lang w:val="en-US" w:eastAsia="zh-CN" w:bidi="ar"/>
                    </w:rPr>
                    <w:t>公式</w:t>
                  </w:r>
                </w:p>
              </w:tc>
              <w:tc>
                <w:tcPr>
                  <w:tcW w:w="639" w:type="dxa"/>
                  <w:tcBorders>
                    <w:top w:val="single" w:color="000000" w:sz="4" w:space="0"/>
                    <w:left w:val="single" w:color="000000" w:sz="4" w:space="0"/>
                    <w:bottom w:val="single" w:color="000000" w:sz="4" w:space="0"/>
                    <w:right w:val="single" w:color="000000" w:sz="4" w:space="0"/>
                  </w:tcBorders>
                  <w:shd w:val="clear" w:color="auto" w:fill="33CCCC"/>
                  <w:vAlign w:val="center"/>
                </w:tcPr>
                <w:p w14:paraId="6BA75EA6">
                  <w:pPr>
                    <w:keepNext w:val="0"/>
                    <w:keepLines w:val="0"/>
                    <w:widowControl/>
                    <w:suppressLineNumbers w:val="0"/>
                    <w:jc w:val="center"/>
                    <w:textAlignment w:val="center"/>
                    <w:rPr>
                      <w:rFonts w:hint="eastAsia" w:ascii="仿宋" w:hAnsi="仿宋" w:eastAsia="仿宋" w:cs="仿宋"/>
                      <w:b/>
                      <w:bCs/>
                      <w:i w:val="0"/>
                      <w:iCs w:val="0"/>
                      <w:color w:val="FFFFFF"/>
                      <w:sz w:val="18"/>
                      <w:szCs w:val="18"/>
                      <w:u w:val="none"/>
                    </w:rPr>
                  </w:pPr>
                  <w:r>
                    <w:rPr>
                      <w:rFonts w:hint="eastAsia" w:ascii="仿宋" w:hAnsi="仿宋" w:eastAsia="仿宋" w:cs="仿宋"/>
                      <w:b/>
                      <w:bCs/>
                      <w:i w:val="0"/>
                      <w:iCs w:val="0"/>
                      <w:color w:val="FFFFFF"/>
                      <w:kern w:val="0"/>
                      <w:sz w:val="18"/>
                      <w:szCs w:val="18"/>
                      <w:u w:val="none"/>
                      <w:lang w:val="en-US" w:eastAsia="zh-CN" w:bidi="ar"/>
                    </w:rPr>
                    <w:t>分子（填写）</w:t>
                  </w:r>
                </w:p>
              </w:tc>
              <w:tc>
                <w:tcPr>
                  <w:tcW w:w="639" w:type="dxa"/>
                  <w:tcBorders>
                    <w:top w:val="single" w:color="000000" w:sz="4" w:space="0"/>
                    <w:left w:val="single" w:color="000000" w:sz="4" w:space="0"/>
                    <w:bottom w:val="single" w:color="000000" w:sz="4" w:space="0"/>
                    <w:right w:val="single" w:color="000000" w:sz="4" w:space="0"/>
                  </w:tcBorders>
                  <w:shd w:val="clear" w:color="auto" w:fill="33CCCC"/>
                  <w:vAlign w:val="center"/>
                </w:tcPr>
                <w:p w14:paraId="2D57D2FD">
                  <w:pPr>
                    <w:keepNext w:val="0"/>
                    <w:keepLines w:val="0"/>
                    <w:widowControl/>
                    <w:suppressLineNumbers w:val="0"/>
                    <w:jc w:val="center"/>
                    <w:textAlignment w:val="center"/>
                    <w:rPr>
                      <w:rFonts w:hint="eastAsia" w:ascii="仿宋" w:hAnsi="仿宋" w:eastAsia="仿宋" w:cs="仿宋"/>
                      <w:b/>
                      <w:bCs/>
                      <w:i w:val="0"/>
                      <w:iCs w:val="0"/>
                      <w:color w:val="FFFFFF"/>
                      <w:sz w:val="18"/>
                      <w:szCs w:val="18"/>
                      <w:u w:val="none"/>
                    </w:rPr>
                  </w:pPr>
                  <w:r>
                    <w:rPr>
                      <w:rFonts w:hint="eastAsia" w:ascii="仿宋" w:hAnsi="仿宋" w:eastAsia="仿宋" w:cs="仿宋"/>
                      <w:b/>
                      <w:bCs/>
                      <w:i w:val="0"/>
                      <w:iCs w:val="0"/>
                      <w:color w:val="FFFFFF"/>
                      <w:kern w:val="0"/>
                      <w:sz w:val="18"/>
                      <w:szCs w:val="18"/>
                      <w:u w:val="none"/>
                      <w:lang w:val="en-US" w:eastAsia="zh-CN" w:bidi="ar"/>
                    </w:rPr>
                    <w:t>分母（填写）</w:t>
                  </w:r>
                </w:p>
              </w:tc>
              <w:tc>
                <w:tcPr>
                  <w:tcW w:w="843" w:type="dxa"/>
                  <w:tcBorders>
                    <w:top w:val="single" w:color="000000" w:sz="4" w:space="0"/>
                    <w:left w:val="single" w:color="000000" w:sz="4" w:space="0"/>
                    <w:bottom w:val="single" w:color="000000" w:sz="4" w:space="0"/>
                    <w:right w:val="single" w:color="000000" w:sz="4" w:space="0"/>
                  </w:tcBorders>
                  <w:shd w:val="clear" w:color="auto" w:fill="33CCCC"/>
                  <w:vAlign w:val="center"/>
                </w:tcPr>
                <w:p w14:paraId="6D916BC7">
                  <w:pPr>
                    <w:keepNext w:val="0"/>
                    <w:keepLines w:val="0"/>
                    <w:widowControl/>
                    <w:suppressLineNumbers w:val="0"/>
                    <w:jc w:val="center"/>
                    <w:textAlignment w:val="center"/>
                    <w:rPr>
                      <w:rFonts w:hint="eastAsia" w:ascii="仿宋" w:hAnsi="仿宋" w:eastAsia="仿宋" w:cs="仿宋"/>
                      <w:b/>
                      <w:bCs/>
                      <w:i w:val="0"/>
                      <w:iCs w:val="0"/>
                      <w:color w:val="FFFFFF"/>
                      <w:sz w:val="18"/>
                      <w:szCs w:val="18"/>
                      <w:u w:val="none"/>
                    </w:rPr>
                  </w:pPr>
                  <w:r>
                    <w:rPr>
                      <w:rFonts w:hint="eastAsia" w:ascii="仿宋" w:hAnsi="仿宋" w:eastAsia="仿宋" w:cs="仿宋"/>
                      <w:b/>
                      <w:bCs/>
                      <w:i w:val="0"/>
                      <w:iCs w:val="0"/>
                      <w:color w:val="FFFFFF"/>
                      <w:kern w:val="0"/>
                      <w:sz w:val="18"/>
                      <w:szCs w:val="18"/>
                      <w:u w:val="none"/>
                      <w:lang w:val="en-US" w:eastAsia="zh-CN" w:bidi="ar"/>
                    </w:rPr>
                    <w:t>指标值（自动计算）</w:t>
                  </w:r>
                </w:p>
              </w:tc>
            </w:tr>
            <w:tr w14:paraId="11E87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9C8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2F7A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门诊患者基本药物处方使用占比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B33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门诊患者使用抗菌药物人次 / 同期门诊总人次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4416F">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8D693">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1A4E0BF5">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1999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FB8B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18FC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住院患者抗菌药物使用率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B3FB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出院患者使用抗菌药物总例数 / 同期出院总例数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3FCFB">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A4769">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0A3D7ADB">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26485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19E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739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抗菌药物使用强度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70EC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住院患者抗菌药物消耗量（累计DDD数）/ 同期收治患者人天数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199A">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2B2F4">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51E2A32D">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4ABD7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04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DEB0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Ⅰ类切口手术预防用抗菌药物比例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8CC0">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Ⅰ类切口手术预防用抗菌药物例数 / 同期Ⅰ类切口手术总例数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A3F9">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F60FD">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0B4217F9">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15C9B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8A52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B59A">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门诊患者基本药物处方使用占比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5E2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门诊使用基本药物人次数 / 同期门诊总人次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4762B">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3FAF7122">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5C7E54C5">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2E273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3A17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A143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住院患者基本药物使用率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3F0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出院患者使用基本药物总人次数 / 同期出院总例数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9DFA">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067ED6F8">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305A86F7">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3DFAC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4CC6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7335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185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使用静脉输液的住院患者数 / 同期出院总例数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0F22B">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314C078C">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37FBB6FA">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31B35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517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BED1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住院患者静脉输液平均每床日使用数量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11E6">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住院患者使用静脉输液的数量（袋/瓶) / 同期收治患者人天数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50E71">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66CA8A19">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6C187331">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06112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0B2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9F0D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住院患者静脉输液平均每床日使用体积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A293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住院患者使用静脉输液的体积（ml）/ 同期收治患者人天数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955D8">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15CDDA68">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45EF1328">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3AAF7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4E7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460F4">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住院患者中药注射剂静脉输液使用率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C81FE">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使用中药注射剂静脉输液的住院患者数 / 同期出院总例数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8BED3">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65EE129C">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1983977E">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58697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AE1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B6B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住院患者抗菌药物注射剂静脉输液使用率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FB69F">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使用抗菌药物注射剂静脉输液的住院患者数 / 同期出院总例数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4112D">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0E32370A">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32AF954B">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6DBB4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188F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35AC">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住院患者质子泵抑制药注射剂静脉输液使用率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777A8">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使用质子泵抑制药注射剂静脉输液的住院患者数 / 同期出院总例数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C1DF9">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73DA31D6">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1E2A25F2">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29815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721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86AA3">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住院患者止吐药注射剂静脉输液使用率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C7A61">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使用止吐药注射剂静脉输液的住院患者数 / 同期出院总例数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0B3C7">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2E629601">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070548BB">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72834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F6FFB">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740B2">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住院患者肠外营养静脉输液使用率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10E9">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使用肠外营养的住院患者数 / 同期出院总例数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3691">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3A3977DA">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2892D974">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r w14:paraId="3F216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5555">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C596D">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急诊患者糖皮质激素静脉输液使用率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F5367">
                  <w:pPr>
                    <w:keepNext w:val="0"/>
                    <w:keepLines w:val="0"/>
                    <w:widowControl/>
                    <w:suppressLineNumbers w:val="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急诊患者静脉使用糖皮质激素人数 / 同期急诊患者总数 × 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484A">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D70F0">
                  <w:pPr>
                    <w:jc w:val="center"/>
                    <w:rPr>
                      <w:rFonts w:hint="eastAsia" w:ascii="仿宋" w:hAnsi="仿宋" w:eastAsia="仿宋" w:cs="仿宋"/>
                      <w:i w:val="0"/>
                      <w:iCs w:val="0"/>
                      <w:color w:val="333333"/>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E1E1E1"/>
                  <w:noWrap/>
                  <w:vAlign w:val="center"/>
                </w:tcPr>
                <w:p w14:paraId="0506F8BE">
                  <w:pPr>
                    <w:keepNext w:val="0"/>
                    <w:keepLines w:val="0"/>
                    <w:widowControl/>
                    <w:suppressLineNumbers w:val="0"/>
                    <w:jc w:val="center"/>
                    <w:textAlignment w:val="center"/>
                    <w:rPr>
                      <w:rFonts w:hint="eastAsia" w:ascii="仿宋" w:hAnsi="仿宋" w:eastAsia="仿宋" w:cs="仿宋"/>
                      <w:i w:val="0"/>
                      <w:iCs w:val="0"/>
                      <w:color w:val="333333"/>
                      <w:sz w:val="18"/>
                      <w:szCs w:val="18"/>
                      <w:u w:val="none"/>
                    </w:rPr>
                  </w:pPr>
                  <w:r>
                    <w:rPr>
                      <w:rFonts w:hint="eastAsia" w:ascii="仿宋" w:hAnsi="仿宋" w:eastAsia="仿宋" w:cs="仿宋"/>
                      <w:i w:val="0"/>
                      <w:iCs w:val="0"/>
                      <w:color w:val="333333"/>
                      <w:kern w:val="0"/>
                      <w:sz w:val="18"/>
                      <w:szCs w:val="18"/>
                      <w:u w:val="none"/>
                      <w:lang w:val="en-US" w:eastAsia="zh-CN" w:bidi="ar"/>
                    </w:rPr>
                    <w:t>未填报</w:t>
                  </w:r>
                </w:p>
              </w:tc>
            </w:tr>
          </w:tbl>
          <w:p w14:paraId="2ED41A85">
            <w:pPr>
              <w:numPr>
                <w:ilvl w:val="0"/>
                <w:numId w:val="4"/>
              </w:num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有专门的模块能够统计上报“国家药品供应保障综合管理信息平台中，国家药品使用监测系统数据”涉及具体报表详见附件1,附件2,附件3,附件4。</w:t>
            </w:r>
          </w:p>
          <w:p w14:paraId="2F1AF365">
            <w:pPr>
              <w:numPr>
                <w:ilvl w:val="0"/>
                <w:numId w:val="4"/>
              </w:num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重新办理MCDEX手机APP用户。</w:t>
            </w:r>
          </w:p>
          <w:p w14:paraId="264B001F">
            <w:pPr>
              <w:numPr>
                <w:ilvl w:val="0"/>
                <w:numId w:val="4"/>
              </w:num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系统中能将门诊数据和急诊数据分开。</w:t>
            </w:r>
          </w:p>
          <w:p w14:paraId="2A74A12B">
            <w:pPr>
              <w:numPr>
                <w:ilvl w:val="0"/>
                <w:numId w:val="4"/>
              </w:num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因PASS系统与HIS系统对接有问题，每个月麻醉科用药统计不了，请解决对接问题。</w:t>
            </w:r>
          </w:p>
          <w:p w14:paraId="3577D7B1">
            <w:pPr>
              <w:numPr>
                <w:ilvl w:val="0"/>
                <w:numId w:val="4"/>
              </w:num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原系统中有三级公立医院绩效考核模块，但是我们医院为二级医院，希望能增加二级公立医院绩效考核模块。</w:t>
            </w:r>
          </w:p>
          <w:p w14:paraId="53C24FE4">
            <w:pPr>
              <w:numPr>
                <w:ilvl w:val="0"/>
                <w:numId w:val="0"/>
              </w:numPr>
              <w:rPr>
                <w:rFonts w:hint="eastAsia" w:ascii="仿宋" w:hAnsi="仿宋" w:eastAsia="仿宋" w:cs="仿宋"/>
                <w:sz w:val="32"/>
                <w:szCs w:val="40"/>
                <w:lang w:val="en-US" w:eastAsia="zh-CN"/>
              </w:rPr>
            </w:pPr>
            <w:r>
              <w:rPr>
                <w:rFonts w:hint="eastAsia" w:ascii="仿宋" w:hAnsi="仿宋" w:eastAsia="仿宋" w:cs="仿宋"/>
                <w:sz w:val="32"/>
                <w:szCs w:val="40"/>
                <w:lang w:val="en-US" w:eastAsia="zh-CN"/>
              </w:rPr>
              <w:t>三、每个系统提供相应的应用说明，基础数据维护的说明一定要详细，并且根据系统更新情况附加相应说明。</w:t>
            </w:r>
          </w:p>
          <w:p w14:paraId="2C824B59">
            <w:pPr>
              <w:rPr>
                <w:rFonts w:hint="default"/>
                <w:sz w:val="28"/>
                <w:szCs w:val="28"/>
                <w:vertAlign w:val="baseline"/>
                <w:lang w:val="en-US" w:eastAsia="zh-CN"/>
              </w:rPr>
            </w:pPr>
            <w:bookmarkStart w:id="0" w:name="_GoBack"/>
            <w:bookmarkEnd w:id="0"/>
          </w:p>
        </w:tc>
      </w:tr>
      <w:tr w14:paraId="0E29A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3" w:type="dxa"/>
          </w:tcPr>
          <w:p w14:paraId="50489688">
            <w:pPr>
              <w:rPr>
                <w:rFonts w:hint="default"/>
                <w:sz w:val="28"/>
                <w:szCs w:val="28"/>
                <w:vertAlign w:val="baseline"/>
                <w:lang w:val="en-US" w:eastAsia="zh-CN"/>
              </w:rPr>
            </w:pPr>
          </w:p>
        </w:tc>
        <w:tc>
          <w:tcPr>
            <w:tcW w:w="6483" w:type="dxa"/>
          </w:tcPr>
          <w:p w14:paraId="101EF8A1">
            <w:pPr>
              <w:rPr>
                <w:rFonts w:hint="default"/>
                <w:sz w:val="28"/>
                <w:szCs w:val="28"/>
                <w:vertAlign w:val="baseline"/>
                <w:lang w:val="en-US" w:eastAsia="zh-CN"/>
              </w:rPr>
            </w:pPr>
          </w:p>
        </w:tc>
      </w:tr>
    </w:tbl>
    <w:p w14:paraId="34E56375">
      <w:pPr>
        <w:rPr>
          <w:rFonts w:hint="default"/>
          <w:lang w:val="en-US" w:eastAsia="zh-CN"/>
        </w:rPr>
      </w:pPr>
    </w:p>
    <w:sectPr>
      <w:pgSz w:w="11910" w:h="16850"/>
      <w:pgMar w:top="1519" w:right="403" w:bottom="1037" w:left="822" w:header="0" w:footer="856" w:gutter="0"/>
      <w:cols w:equalWidth="0" w:num="1">
        <w:col w:w="10685"/>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2B9945"/>
    <w:multiLevelType w:val="singleLevel"/>
    <w:tmpl w:val="022B9945"/>
    <w:lvl w:ilvl="0" w:tentative="0">
      <w:start w:val="1"/>
      <w:numFmt w:val="chineseCounting"/>
      <w:suff w:val="nothing"/>
      <w:lvlText w:val="%1、"/>
      <w:lvlJc w:val="left"/>
      <w:rPr>
        <w:rFonts w:hint="eastAsia"/>
      </w:rPr>
    </w:lvl>
  </w:abstractNum>
  <w:abstractNum w:abstractNumId="1">
    <w:nsid w:val="21DD1221"/>
    <w:multiLevelType w:val="singleLevel"/>
    <w:tmpl w:val="21DD1221"/>
    <w:lvl w:ilvl="0" w:tentative="0">
      <w:start w:val="1"/>
      <w:numFmt w:val="decimal"/>
      <w:suff w:val="nothing"/>
      <w:lvlText w:val="%1、"/>
      <w:lvlJc w:val="left"/>
    </w:lvl>
  </w:abstractNum>
  <w:abstractNum w:abstractNumId="2">
    <w:nsid w:val="3446B494"/>
    <w:multiLevelType w:val="singleLevel"/>
    <w:tmpl w:val="3446B494"/>
    <w:lvl w:ilvl="0" w:tentative="0">
      <w:start w:val="1"/>
      <w:numFmt w:val="decimal"/>
      <w:suff w:val="nothing"/>
      <w:lvlText w:val="%1、"/>
      <w:lvlJc w:val="left"/>
    </w:lvl>
  </w:abstractNum>
  <w:abstractNum w:abstractNumId="3">
    <w:nsid w:val="4665658C"/>
    <w:multiLevelType w:val="multilevel"/>
    <w:tmpl w:val="4665658C"/>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NDdiOWVmNmU0NWYzM2UxMDg1MWYwYmFjNDk4ODYifQ=="/>
  </w:docVars>
  <w:rsids>
    <w:rsidRoot w:val="00000000"/>
    <w:rsid w:val="0A4A0E81"/>
    <w:rsid w:val="0FF579D8"/>
    <w:rsid w:val="227A413F"/>
    <w:rsid w:val="27360ACE"/>
    <w:rsid w:val="432C342C"/>
    <w:rsid w:val="46BB35ED"/>
    <w:rsid w:val="5EA80C86"/>
    <w:rsid w:val="7FA02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2141</Words>
  <Characters>2261</Characters>
  <Lines>0</Lines>
  <Paragraphs>0</Paragraphs>
  <TotalTime>0</TotalTime>
  <ScaleCrop>false</ScaleCrop>
  <LinksUpToDate>false</LinksUpToDate>
  <CharactersWithSpaces>3363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2022-02-09T06:08:00Z</dcterms:created>
  <dc:creator>Administrator</dc:creator>
  <cp:lastModifiedBy>任欣宇</cp:lastModifiedBy>
  <dcterms:modified xsi:type="dcterms:W3CDTF">2024-11-13T07:41:15Z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27E9DBA3350441179275E93D87FB5917_12</vt:lpwstr>
  </property>
</Properties>
</file>