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CD135">
      <w:pPr>
        <w:ind w:firstLine="480"/>
        <w:rPr>
          <w:rFonts w:hint="eastAsia" w:ascii="仿宋" w:hAnsi="仿宋" w:eastAsia="仿宋" w:cs="仿宋"/>
          <w:color w:val="auto"/>
          <w:highlight w:val="none"/>
        </w:rPr>
      </w:pPr>
    </w:p>
    <w:p w14:paraId="77D08D95">
      <w:pPr>
        <w:pStyle w:val="13"/>
        <w:ind w:left="0" w:leftChars="0" w:firstLine="0" w:firstLineChars="0"/>
        <w:jc w:val="right"/>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cs="仿宋"/>
          <w:color w:val="auto"/>
          <w:sz w:val="28"/>
          <w:szCs w:val="28"/>
          <w:highlight w:val="none"/>
          <w:lang w:eastAsia="zh-CN"/>
        </w:rPr>
        <w:t>采购计划-[2024]-00084号-ZYCXZB027</w:t>
      </w:r>
    </w:p>
    <w:p w14:paraId="72C6EF3A">
      <w:pPr>
        <w:ind w:firstLine="480"/>
        <w:rPr>
          <w:rFonts w:hint="eastAsia" w:ascii="仿宋" w:hAnsi="仿宋" w:eastAsia="仿宋" w:cs="仿宋"/>
          <w:color w:val="auto"/>
          <w:highlight w:val="none"/>
        </w:rPr>
      </w:pPr>
    </w:p>
    <w:p w14:paraId="19EBF86D">
      <w:pPr>
        <w:bidi w:val="0"/>
        <w:ind w:left="0" w:leftChars="0" w:firstLine="0" w:firstLineChars="0"/>
        <w:jc w:val="center"/>
        <w:rPr>
          <w:rFonts w:hint="eastAsia" w:ascii="仿宋" w:hAnsi="仿宋" w:eastAsia="仿宋" w:cs="仿宋"/>
          <w:b/>
          <w:bCs/>
          <w:color w:val="auto"/>
          <w:sz w:val="52"/>
          <w:szCs w:val="52"/>
          <w:highlight w:val="none"/>
          <w:lang w:eastAsia="zh-CN"/>
        </w:rPr>
      </w:pPr>
      <w:r>
        <w:rPr>
          <w:rFonts w:hint="eastAsia" w:cs="仿宋"/>
          <w:b/>
          <w:bCs/>
          <w:color w:val="auto"/>
          <w:sz w:val="52"/>
          <w:szCs w:val="52"/>
          <w:highlight w:val="none"/>
          <w:lang w:eastAsia="zh-CN"/>
        </w:rPr>
        <w:t>吉林市丰满区第二实验小学校教师配餐服务项目</w:t>
      </w:r>
    </w:p>
    <w:p w14:paraId="72396F71">
      <w:pPr>
        <w:ind w:left="0" w:leftChars="0" w:firstLine="0" w:firstLineChars="0"/>
        <w:jc w:val="both"/>
        <w:rPr>
          <w:rFonts w:hint="eastAsia" w:ascii="仿宋" w:hAnsi="仿宋" w:eastAsia="仿宋" w:cs="仿宋"/>
          <w:color w:val="auto"/>
          <w:sz w:val="44"/>
          <w:szCs w:val="48"/>
          <w:highlight w:val="none"/>
        </w:rPr>
      </w:pPr>
    </w:p>
    <w:p w14:paraId="4E91AEDC">
      <w:pPr>
        <w:ind w:left="0" w:leftChars="0" w:firstLine="0" w:firstLineChars="0"/>
        <w:jc w:val="center"/>
        <w:rPr>
          <w:rFonts w:hint="eastAsia" w:ascii="仿宋" w:hAnsi="仿宋" w:eastAsia="仿宋" w:cs="仿宋"/>
          <w:color w:val="auto"/>
          <w:sz w:val="48"/>
          <w:szCs w:val="52"/>
          <w:highlight w:val="none"/>
        </w:rPr>
      </w:pPr>
      <w:r>
        <w:rPr>
          <w:rFonts w:hint="eastAsia" w:ascii="仿宋" w:hAnsi="仿宋" w:eastAsia="仿宋" w:cs="仿宋"/>
          <w:color w:val="auto"/>
          <w:sz w:val="48"/>
          <w:szCs w:val="52"/>
          <w:highlight w:val="none"/>
        </w:rPr>
        <w:t>招标文件</w:t>
      </w:r>
    </w:p>
    <w:p w14:paraId="4570E81C">
      <w:pPr>
        <w:pStyle w:val="8"/>
        <w:ind w:left="0" w:leftChars="0" w:firstLine="0" w:firstLineChars="0"/>
        <w:rPr>
          <w:rFonts w:hint="eastAsia" w:ascii="仿宋" w:hAnsi="仿宋" w:eastAsia="仿宋" w:cs="仿宋"/>
          <w:color w:val="auto"/>
          <w:sz w:val="28"/>
          <w:szCs w:val="32"/>
          <w:highlight w:val="none"/>
        </w:rPr>
      </w:pPr>
      <w:bookmarkStart w:id="0" w:name="_Toc296602400"/>
      <w:bookmarkStart w:id="1" w:name="_Toc246996898"/>
      <w:bookmarkStart w:id="2" w:name="_Toc247085669"/>
    </w:p>
    <w:p w14:paraId="09C3190F">
      <w:pPr>
        <w:pStyle w:val="8"/>
        <w:ind w:left="0" w:leftChars="0" w:firstLine="0" w:firstLineChars="0"/>
        <w:jc w:val="center"/>
        <w:rPr>
          <w:rFonts w:hint="eastAsia" w:ascii="仿宋" w:hAnsi="仿宋" w:eastAsia="仿宋" w:cs="仿宋"/>
          <w:color w:val="auto"/>
          <w:sz w:val="28"/>
          <w:szCs w:val="32"/>
          <w:highlight w:val="none"/>
        </w:rPr>
      </w:pPr>
      <w:r>
        <w:rPr>
          <w:rFonts w:hint="eastAsia" w:cs="仿宋"/>
          <w:b/>
          <w:bCs/>
          <w:iCs/>
          <w:sz w:val="52"/>
          <w:szCs w:val="52"/>
          <w:highlight w:val="none"/>
        </w:rPr>
        <w:drawing>
          <wp:inline distT="0" distB="0" distL="0" distR="0">
            <wp:extent cx="2964815" cy="2879725"/>
            <wp:effectExtent l="0" t="0" r="0" b="0"/>
            <wp:docPr id="2" name="图片 2" descr="IMG_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408"/>
                    <pic:cNvPicPr>
                      <a:picLocks noChangeAspect="1" noChangeArrowheads="1"/>
                    </pic:cNvPicPr>
                  </pic:nvPicPr>
                  <pic:blipFill>
                    <a:blip r:embed="rId10" cstate="print">
                      <a:extLst>
                        <a:ext uri="{28A0092B-C50C-407E-A947-70E740481C1C}">
                          <a14:useLocalDpi xmlns:a14="http://schemas.microsoft.com/office/drawing/2010/main" val="0"/>
                        </a:ext>
                      </a:extLst>
                    </a:blip>
                    <a:srcRect l="25980" t="26065" r="26273" b="22108"/>
                    <a:stretch>
                      <a:fillRect/>
                    </a:stretch>
                  </pic:blipFill>
                  <pic:spPr>
                    <a:xfrm>
                      <a:off x="0" y="0"/>
                      <a:ext cx="2964815" cy="2879725"/>
                    </a:xfrm>
                    <a:prstGeom prst="rect">
                      <a:avLst/>
                    </a:prstGeom>
                    <a:noFill/>
                    <a:ln>
                      <a:noFill/>
                    </a:ln>
                  </pic:spPr>
                </pic:pic>
              </a:graphicData>
            </a:graphic>
          </wp:inline>
        </w:drawing>
      </w:r>
    </w:p>
    <w:p w14:paraId="22617F52">
      <w:pPr>
        <w:pStyle w:val="8"/>
        <w:rPr>
          <w:rFonts w:hint="eastAsia" w:ascii="仿宋" w:hAnsi="仿宋" w:eastAsia="仿宋" w:cs="仿宋"/>
          <w:color w:val="auto"/>
          <w:sz w:val="28"/>
          <w:szCs w:val="32"/>
          <w:highlight w:val="none"/>
        </w:rPr>
      </w:pPr>
    </w:p>
    <w:p w14:paraId="5E79F1FA">
      <w:pPr>
        <w:ind w:firstLine="1811" w:firstLineChars="647"/>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rPr>
        <w:t>招 标 人：</w:t>
      </w:r>
      <w:r>
        <w:rPr>
          <w:rFonts w:hint="eastAsia" w:ascii="仿宋" w:hAnsi="仿宋" w:eastAsia="仿宋" w:cs="仿宋"/>
          <w:color w:val="auto"/>
          <w:sz w:val="28"/>
          <w:szCs w:val="32"/>
          <w:highlight w:val="none"/>
          <w:lang w:eastAsia="zh-CN"/>
        </w:rPr>
        <w:t>吉林市丰满区第二实验小学校</w:t>
      </w:r>
    </w:p>
    <w:p w14:paraId="4772F35F">
      <w:pPr>
        <w:ind w:firstLine="1811" w:firstLineChars="647"/>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rPr>
        <w:t>招标代理机构：</w:t>
      </w:r>
      <w:r>
        <w:rPr>
          <w:rFonts w:hint="eastAsia" w:cs="仿宋"/>
          <w:color w:val="auto"/>
          <w:sz w:val="28"/>
          <w:szCs w:val="32"/>
          <w:highlight w:val="none"/>
          <w:lang w:eastAsia="zh-CN"/>
        </w:rPr>
        <w:t>中屹宬信建设集团有限公司</w:t>
      </w:r>
    </w:p>
    <w:p w14:paraId="2B22A0BB">
      <w:pPr>
        <w:ind w:firstLine="1811" w:firstLineChars="647"/>
        <w:rPr>
          <w:rFonts w:hint="eastAsia" w:ascii="仿宋" w:hAnsi="仿宋" w:eastAsia="仿宋" w:cs="仿宋"/>
          <w:color w:val="auto"/>
          <w:highlight w:val="none"/>
          <w:lang w:eastAsia="zh-CN"/>
        </w:rPr>
        <w:sectPr>
          <w:headerReference r:id="rId5" w:type="default"/>
          <w:footerReference r:id="rId6" w:type="default"/>
          <w:pgSz w:w="11906" w:h="16838"/>
          <w:pgMar w:top="1440" w:right="1800" w:bottom="1440" w:left="1800" w:header="680" w:footer="992" w:gutter="0"/>
          <w:pgNumType w:fmt="decimal" w:start="1"/>
          <w:cols w:space="720" w:num="1"/>
          <w:docGrid w:type="lines" w:linePitch="312" w:charSpace="0"/>
        </w:sectPr>
      </w:pPr>
      <w:r>
        <w:rPr>
          <w:rFonts w:hint="eastAsia" w:ascii="仿宋" w:hAnsi="仿宋" w:eastAsia="仿宋" w:cs="仿宋"/>
          <w:color w:val="auto"/>
          <w:sz w:val="28"/>
          <w:szCs w:val="32"/>
          <w:highlight w:val="none"/>
        </w:rPr>
        <w:t>日    期：</w:t>
      </w:r>
      <w:r>
        <w:rPr>
          <w:rFonts w:hint="eastAsia" w:cs="仿宋"/>
          <w:color w:val="auto"/>
          <w:sz w:val="28"/>
          <w:szCs w:val="32"/>
          <w:highlight w:val="none"/>
          <w:lang w:eastAsia="zh-CN"/>
        </w:rPr>
        <w:t>2024年</w:t>
      </w:r>
      <w:r>
        <w:rPr>
          <w:rFonts w:hint="eastAsia" w:cs="仿宋"/>
          <w:color w:val="auto"/>
          <w:sz w:val="28"/>
          <w:szCs w:val="32"/>
          <w:highlight w:val="none"/>
          <w:lang w:val="en-US" w:eastAsia="zh-CN"/>
        </w:rPr>
        <w:t>8</w:t>
      </w:r>
      <w:r>
        <w:rPr>
          <w:rFonts w:hint="eastAsia" w:cs="仿宋"/>
          <w:color w:val="auto"/>
          <w:sz w:val="28"/>
          <w:szCs w:val="32"/>
          <w:highlight w:val="none"/>
          <w:lang w:eastAsia="zh-CN"/>
        </w:rPr>
        <w:t>月</w:t>
      </w:r>
    </w:p>
    <w:bookmarkEnd w:id="0"/>
    <w:bookmarkEnd w:id="1"/>
    <w:bookmarkEnd w:id="2"/>
    <w:p w14:paraId="4FABD14D">
      <w:pPr>
        <w:rPr>
          <w:rFonts w:hint="eastAsia" w:ascii="仿宋" w:hAnsi="仿宋" w:eastAsia="仿宋" w:cs="仿宋"/>
          <w:highlight w:val="none"/>
        </w:rPr>
      </w:pPr>
      <w:bookmarkStart w:id="3" w:name="_Toc10861"/>
      <w:bookmarkStart w:id="4" w:name="_Toc246996916"/>
      <w:bookmarkStart w:id="5" w:name="_Toc144974495"/>
      <w:bookmarkStart w:id="6" w:name="_Toc152045527"/>
      <w:bookmarkStart w:id="7" w:name="_Toc247085687"/>
      <w:bookmarkStart w:id="8" w:name="_Toc246996173"/>
      <w:bookmarkStart w:id="9" w:name="_Toc52181461"/>
      <w:bookmarkStart w:id="10" w:name="_Toc152042303"/>
      <w:bookmarkStart w:id="11" w:name="_Toc179632544"/>
    </w:p>
    <w:p w14:paraId="70E32891">
      <w:pPr>
        <w:pStyle w:val="4"/>
        <w:keepNext/>
        <w:keepLines/>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56"/>
          <w:szCs w:val="56"/>
          <w:highlight w:val="none"/>
          <w:lang w:val="en-US" w:eastAsia="zh-CN"/>
        </w:rPr>
      </w:pPr>
      <w:r>
        <w:rPr>
          <w:rFonts w:hint="eastAsia" w:ascii="仿宋" w:hAnsi="仿宋" w:eastAsia="仿宋" w:cs="仿宋"/>
          <w:highlight w:val="none"/>
          <w:lang w:val="en-US" w:eastAsia="zh-CN"/>
        </w:rPr>
        <w:br w:type="page"/>
      </w:r>
      <w:bookmarkStart w:id="12" w:name="_Toc17526"/>
      <w:r>
        <w:rPr>
          <w:rFonts w:hint="eastAsia" w:ascii="仿宋" w:hAnsi="仿宋" w:eastAsia="仿宋" w:cs="仿宋"/>
          <w:highlight w:val="none"/>
          <w:lang w:val="en-US" w:eastAsia="zh-CN"/>
        </w:rPr>
        <w:t>目录</w:t>
      </w:r>
      <w:bookmarkEnd w:id="12"/>
    </w:p>
    <w:p w14:paraId="1149AC5B">
      <w:pPr>
        <w:pStyle w:val="12"/>
        <w:tabs>
          <w:tab w:val="right" w:leader="dot" w:pos="8306"/>
        </w:tabs>
        <w:rPr>
          <w:highlight w:val="none"/>
        </w:rPr>
      </w:pP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TOC \o "1-1" \h \u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Cs w:val="56"/>
          <w:highlight w:val="none"/>
          <w:lang w:val="en-US" w:eastAsia="zh-CN"/>
        </w:rPr>
        <w:fldChar w:fldCharType="begin"/>
      </w:r>
      <w:r>
        <w:rPr>
          <w:rFonts w:hint="eastAsia" w:ascii="仿宋" w:hAnsi="仿宋" w:eastAsia="仿宋" w:cs="仿宋"/>
          <w:szCs w:val="56"/>
          <w:highlight w:val="none"/>
          <w:lang w:val="en-US" w:eastAsia="zh-CN"/>
        </w:rPr>
        <w:instrText xml:space="preserve"> HYPERLINK \l _Toc24142 </w:instrText>
      </w:r>
      <w:r>
        <w:rPr>
          <w:rFonts w:hint="eastAsia" w:ascii="仿宋" w:hAnsi="仿宋" w:eastAsia="仿宋" w:cs="仿宋"/>
          <w:szCs w:val="56"/>
          <w:highlight w:val="none"/>
          <w:lang w:val="en-US" w:eastAsia="zh-CN"/>
        </w:rPr>
        <w:fldChar w:fldCharType="separate"/>
      </w:r>
      <w:r>
        <w:rPr>
          <w:rFonts w:hint="eastAsia" w:ascii="仿宋" w:hAnsi="仿宋" w:eastAsia="仿宋" w:cs="仿宋"/>
          <w:szCs w:val="36"/>
          <w:highlight w:val="none"/>
          <w:lang w:val="en-US" w:eastAsia="zh-CN"/>
        </w:rPr>
        <w:t>第一章 招标公告</w:t>
      </w:r>
      <w:r>
        <w:rPr>
          <w:highlight w:val="none"/>
        </w:rPr>
        <w:tab/>
      </w:r>
      <w:r>
        <w:rPr>
          <w:highlight w:val="none"/>
        </w:rPr>
        <w:fldChar w:fldCharType="begin"/>
      </w:r>
      <w:r>
        <w:rPr>
          <w:highlight w:val="none"/>
        </w:rPr>
        <w:instrText xml:space="preserve"> PAGEREF _Toc24142 \h </w:instrText>
      </w:r>
      <w:r>
        <w:rPr>
          <w:highlight w:val="none"/>
        </w:rPr>
        <w:fldChar w:fldCharType="separate"/>
      </w:r>
      <w:r>
        <w:rPr>
          <w:highlight w:val="none"/>
        </w:rPr>
        <w:t>3</w:t>
      </w:r>
      <w:r>
        <w:rPr>
          <w:highlight w:val="none"/>
        </w:rPr>
        <w:fldChar w:fldCharType="end"/>
      </w:r>
      <w:r>
        <w:rPr>
          <w:rFonts w:hint="eastAsia" w:ascii="仿宋" w:hAnsi="仿宋" w:eastAsia="仿宋" w:cs="仿宋"/>
          <w:szCs w:val="56"/>
          <w:highlight w:val="none"/>
          <w:lang w:val="en-US" w:eastAsia="zh-CN"/>
        </w:rPr>
        <w:fldChar w:fldCharType="end"/>
      </w:r>
    </w:p>
    <w:p w14:paraId="60904BC7">
      <w:pPr>
        <w:pStyle w:val="12"/>
        <w:tabs>
          <w:tab w:val="right" w:leader="dot" w:pos="8306"/>
        </w:tabs>
        <w:rPr>
          <w:highlight w:val="none"/>
        </w:rPr>
      </w:pPr>
      <w:r>
        <w:rPr>
          <w:rFonts w:hint="eastAsia" w:ascii="仿宋" w:hAnsi="仿宋" w:eastAsia="仿宋" w:cs="仿宋"/>
          <w:szCs w:val="56"/>
          <w:highlight w:val="none"/>
          <w:lang w:val="en-US" w:eastAsia="zh-CN"/>
        </w:rPr>
        <w:fldChar w:fldCharType="begin"/>
      </w:r>
      <w:r>
        <w:rPr>
          <w:rFonts w:hint="eastAsia" w:ascii="仿宋" w:hAnsi="仿宋" w:eastAsia="仿宋" w:cs="仿宋"/>
          <w:szCs w:val="56"/>
          <w:highlight w:val="none"/>
          <w:lang w:val="en-US" w:eastAsia="zh-CN"/>
        </w:rPr>
        <w:instrText xml:space="preserve"> HYPERLINK \l _Toc3166 </w:instrText>
      </w:r>
      <w:r>
        <w:rPr>
          <w:rFonts w:hint="eastAsia" w:ascii="仿宋" w:hAnsi="仿宋" w:eastAsia="仿宋" w:cs="仿宋"/>
          <w:szCs w:val="56"/>
          <w:highlight w:val="none"/>
          <w:lang w:val="en-US" w:eastAsia="zh-CN"/>
        </w:rPr>
        <w:fldChar w:fldCharType="separate"/>
      </w:r>
      <w:r>
        <w:rPr>
          <w:rFonts w:hint="eastAsia" w:ascii="仿宋" w:hAnsi="仿宋" w:eastAsia="仿宋" w:cs="仿宋"/>
          <w:szCs w:val="36"/>
          <w:highlight w:val="none"/>
          <w:lang w:val="en-US" w:eastAsia="zh-CN"/>
        </w:rPr>
        <w:t>第二章 投标人须知</w:t>
      </w:r>
      <w:r>
        <w:rPr>
          <w:highlight w:val="none"/>
        </w:rPr>
        <w:tab/>
      </w:r>
      <w:r>
        <w:rPr>
          <w:highlight w:val="none"/>
        </w:rPr>
        <w:fldChar w:fldCharType="begin"/>
      </w:r>
      <w:r>
        <w:rPr>
          <w:highlight w:val="none"/>
        </w:rPr>
        <w:instrText xml:space="preserve"> PAGEREF _Toc3166 \h </w:instrText>
      </w:r>
      <w:r>
        <w:rPr>
          <w:highlight w:val="none"/>
        </w:rPr>
        <w:fldChar w:fldCharType="separate"/>
      </w:r>
      <w:r>
        <w:rPr>
          <w:highlight w:val="none"/>
        </w:rPr>
        <w:t>6</w:t>
      </w:r>
      <w:r>
        <w:rPr>
          <w:highlight w:val="none"/>
        </w:rPr>
        <w:fldChar w:fldCharType="end"/>
      </w:r>
      <w:r>
        <w:rPr>
          <w:rFonts w:hint="eastAsia" w:ascii="仿宋" w:hAnsi="仿宋" w:eastAsia="仿宋" w:cs="仿宋"/>
          <w:szCs w:val="56"/>
          <w:highlight w:val="none"/>
          <w:lang w:val="en-US" w:eastAsia="zh-CN"/>
        </w:rPr>
        <w:fldChar w:fldCharType="end"/>
      </w:r>
    </w:p>
    <w:p w14:paraId="7E76D351">
      <w:pPr>
        <w:pStyle w:val="12"/>
        <w:tabs>
          <w:tab w:val="right" w:leader="dot" w:pos="8306"/>
        </w:tabs>
        <w:rPr>
          <w:highlight w:val="none"/>
        </w:rPr>
      </w:pPr>
      <w:r>
        <w:rPr>
          <w:rFonts w:hint="eastAsia" w:ascii="仿宋" w:hAnsi="仿宋" w:eastAsia="仿宋" w:cs="仿宋"/>
          <w:szCs w:val="56"/>
          <w:highlight w:val="none"/>
          <w:lang w:val="en-US" w:eastAsia="zh-CN"/>
        </w:rPr>
        <w:fldChar w:fldCharType="begin"/>
      </w:r>
      <w:r>
        <w:rPr>
          <w:rFonts w:hint="eastAsia" w:ascii="仿宋" w:hAnsi="仿宋" w:eastAsia="仿宋" w:cs="仿宋"/>
          <w:szCs w:val="56"/>
          <w:highlight w:val="none"/>
          <w:lang w:val="en-US" w:eastAsia="zh-CN"/>
        </w:rPr>
        <w:instrText xml:space="preserve"> HYPERLINK \l _Toc3151 </w:instrText>
      </w:r>
      <w:r>
        <w:rPr>
          <w:rFonts w:hint="eastAsia" w:ascii="仿宋" w:hAnsi="仿宋" w:eastAsia="仿宋" w:cs="仿宋"/>
          <w:szCs w:val="56"/>
          <w:highlight w:val="none"/>
          <w:lang w:val="en-US" w:eastAsia="zh-CN"/>
        </w:rPr>
        <w:fldChar w:fldCharType="separate"/>
      </w:r>
      <w:r>
        <w:rPr>
          <w:rFonts w:hint="eastAsia" w:ascii="仿宋" w:hAnsi="仿宋" w:eastAsia="仿宋" w:cs="仿宋"/>
          <w:bCs/>
          <w:kern w:val="44"/>
          <w:szCs w:val="36"/>
          <w:highlight w:val="none"/>
          <w:lang w:val="en-US" w:eastAsia="zh-CN" w:bidi="ar-SA"/>
        </w:rPr>
        <w:t>第三章 评标办法</w:t>
      </w:r>
      <w:r>
        <w:rPr>
          <w:highlight w:val="none"/>
        </w:rPr>
        <w:tab/>
      </w:r>
      <w:r>
        <w:rPr>
          <w:highlight w:val="none"/>
        </w:rPr>
        <w:fldChar w:fldCharType="begin"/>
      </w:r>
      <w:r>
        <w:rPr>
          <w:highlight w:val="none"/>
        </w:rPr>
        <w:instrText xml:space="preserve"> PAGEREF _Toc3151 \h </w:instrText>
      </w:r>
      <w:r>
        <w:rPr>
          <w:highlight w:val="none"/>
        </w:rPr>
        <w:fldChar w:fldCharType="separate"/>
      </w:r>
      <w:r>
        <w:rPr>
          <w:highlight w:val="none"/>
        </w:rPr>
        <w:t>25</w:t>
      </w:r>
      <w:r>
        <w:rPr>
          <w:highlight w:val="none"/>
        </w:rPr>
        <w:fldChar w:fldCharType="end"/>
      </w:r>
      <w:r>
        <w:rPr>
          <w:rFonts w:hint="eastAsia" w:ascii="仿宋" w:hAnsi="仿宋" w:eastAsia="仿宋" w:cs="仿宋"/>
          <w:szCs w:val="56"/>
          <w:highlight w:val="none"/>
          <w:lang w:val="en-US" w:eastAsia="zh-CN"/>
        </w:rPr>
        <w:fldChar w:fldCharType="end"/>
      </w:r>
    </w:p>
    <w:p w14:paraId="336DB709">
      <w:pPr>
        <w:pStyle w:val="12"/>
        <w:tabs>
          <w:tab w:val="right" w:leader="dot" w:pos="8306"/>
        </w:tabs>
        <w:rPr>
          <w:highlight w:val="none"/>
        </w:rPr>
      </w:pPr>
      <w:r>
        <w:rPr>
          <w:rFonts w:hint="eastAsia" w:ascii="仿宋" w:hAnsi="仿宋" w:eastAsia="仿宋" w:cs="仿宋"/>
          <w:szCs w:val="56"/>
          <w:highlight w:val="none"/>
          <w:lang w:val="en-US" w:eastAsia="zh-CN"/>
        </w:rPr>
        <w:fldChar w:fldCharType="begin"/>
      </w:r>
      <w:r>
        <w:rPr>
          <w:rFonts w:hint="eastAsia" w:ascii="仿宋" w:hAnsi="仿宋" w:eastAsia="仿宋" w:cs="仿宋"/>
          <w:szCs w:val="56"/>
          <w:highlight w:val="none"/>
          <w:lang w:val="en-US" w:eastAsia="zh-CN"/>
        </w:rPr>
        <w:instrText xml:space="preserve"> HYPERLINK \l _Toc14156 </w:instrText>
      </w:r>
      <w:r>
        <w:rPr>
          <w:rFonts w:hint="eastAsia" w:ascii="仿宋" w:hAnsi="仿宋" w:eastAsia="仿宋" w:cs="仿宋"/>
          <w:szCs w:val="56"/>
          <w:highlight w:val="none"/>
          <w:lang w:val="en-US" w:eastAsia="zh-CN"/>
        </w:rPr>
        <w:fldChar w:fldCharType="separate"/>
      </w:r>
      <w:r>
        <w:rPr>
          <w:rFonts w:hint="eastAsia" w:ascii="仿宋" w:hAnsi="仿宋" w:eastAsia="仿宋" w:cs="仿宋"/>
          <w:szCs w:val="36"/>
          <w:highlight w:val="none"/>
          <w:lang w:val="en-US" w:eastAsia="zh-CN"/>
        </w:rPr>
        <w:t>第四章 服务要求</w:t>
      </w:r>
      <w:r>
        <w:rPr>
          <w:highlight w:val="none"/>
        </w:rPr>
        <w:tab/>
      </w:r>
      <w:r>
        <w:rPr>
          <w:highlight w:val="none"/>
        </w:rPr>
        <w:fldChar w:fldCharType="begin"/>
      </w:r>
      <w:r>
        <w:rPr>
          <w:highlight w:val="none"/>
        </w:rPr>
        <w:instrText xml:space="preserve"> PAGEREF _Toc14156 \h </w:instrText>
      </w:r>
      <w:r>
        <w:rPr>
          <w:highlight w:val="none"/>
        </w:rPr>
        <w:fldChar w:fldCharType="separate"/>
      </w:r>
      <w:r>
        <w:rPr>
          <w:highlight w:val="none"/>
        </w:rPr>
        <w:t>34</w:t>
      </w:r>
      <w:r>
        <w:rPr>
          <w:highlight w:val="none"/>
        </w:rPr>
        <w:fldChar w:fldCharType="end"/>
      </w:r>
      <w:r>
        <w:rPr>
          <w:rFonts w:hint="eastAsia" w:ascii="仿宋" w:hAnsi="仿宋" w:eastAsia="仿宋" w:cs="仿宋"/>
          <w:szCs w:val="56"/>
          <w:highlight w:val="none"/>
          <w:lang w:val="en-US" w:eastAsia="zh-CN"/>
        </w:rPr>
        <w:fldChar w:fldCharType="end"/>
      </w:r>
    </w:p>
    <w:p w14:paraId="2FBC326C">
      <w:pPr>
        <w:pStyle w:val="12"/>
        <w:tabs>
          <w:tab w:val="right" w:leader="dot" w:pos="8306"/>
        </w:tabs>
        <w:rPr>
          <w:highlight w:val="none"/>
        </w:rPr>
      </w:pPr>
      <w:r>
        <w:rPr>
          <w:rFonts w:hint="eastAsia" w:ascii="仿宋" w:hAnsi="仿宋" w:eastAsia="仿宋" w:cs="仿宋"/>
          <w:szCs w:val="56"/>
          <w:highlight w:val="none"/>
          <w:lang w:val="en-US" w:eastAsia="zh-CN"/>
        </w:rPr>
        <w:fldChar w:fldCharType="begin"/>
      </w:r>
      <w:r>
        <w:rPr>
          <w:rFonts w:hint="eastAsia" w:ascii="仿宋" w:hAnsi="仿宋" w:eastAsia="仿宋" w:cs="仿宋"/>
          <w:szCs w:val="56"/>
          <w:highlight w:val="none"/>
          <w:lang w:val="en-US" w:eastAsia="zh-CN"/>
        </w:rPr>
        <w:instrText xml:space="preserve"> HYPERLINK \l _Toc6745 </w:instrText>
      </w:r>
      <w:r>
        <w:rPr>
          <w:rFonts w:hint="eastAsia" w:ascii="仿宋" w:hAnsi="仿宋" w:eastAsia="仿宋" w:cs="仿宋"/>
          <w:szCs w:val="56"/>
          <w:highlight w:val="none"/>
          <w:lang w:val="en-US" w:eastAsia="zh-CN"/>
        </w:rPr>
        <w:fldChar w:fldCharType="separate"/>
      </w:r>
      <w:r>
        <w:rPr>
          <w:rFonts w:hint="eastAsia" w:ascii="仿宋" w:hAnsi="仿宋" w:eastAsia="仿宋" w:cs="仿宋"/>
          <w:szCs w:val="36"/>
          <w:highlight w:val="none"/>
          <w:lang w:val="en-US" w:eastAsia="zh-CN"/>
        </w:rPr>
        <w:t>第五章 合同格式书</w:t>
      </w:r>
      <w:r>
        <w:rPr>
          <w:highlight w:val="none"/>
        </w:rPr>
        <w:tab/>
      </w:r>
      <w:r>
        <w:rPr>
          <w:highlight w:val="none"/>
        </w:rPr>
        <w:fldChar w:fldCharType="begin"/>
      </w:r>
      <w:r>
        <w:rPr>
          <w:highlight w:val="none"/>
        </w:rPr>
        <w:instrText xml:space="preserve"> PAGEREF _Toc6745 \h </w:instrText>
      </w:r>
      <w:r>
        <w:rPr>
          <w:highlight w:val="none"/>
        </w:rPr>
        <w:fldChar w:fldCharType="separate"/>
      </w:r>
      <w:r>
        <w:rPr>
          <w:highlight w:val="none"/>
        </w:rPr>
        <w:t>38</w:t>
      </w:r>
      <w:r>
        <w:rPr>
          <w:highlight w:val="none"/>
        </w:rPr>
        <w:fldChar w:fldCharType="end"/>
      </w:r>
      <w:r>
        <w:rPr>
          <w:rFonts w:hint="eastAsia" w:ascii="仿宋" w:hAnsi="仿宋" w:eastAsia="仿宋" w:cs="仿宋"/>
          <w:szCs w:val="56"/>
          <w:highlight w:val="none"/>
          <w:lang w:val="en-US" w:eastAsia="zh-CN"/>
        </w:rPr>
        <w:fldChar w:fldCharType="end"/>
      </w:r>
    </w:p>
    <w:p w14:paraId="1B3978AB">
      <w:pPr>
        <w:pStyle w:val="12"/>
        <w:tabs>
          <w:tab w:val="right" w:leader="dot" w:pos="8306"/>
        </w:tabs>
        <w:rPr>
          <w:highlight w:val="none"/>
        </w:rPr>
      </w:pPr>
      <w:r>
        <w:rPr>
          <w:rFonts w:hint="eastAsia" w:ascii="仿宋" w:hAnsi="仿宋" w:eastAsia="仿宋" w:cs="仿宋"/>
          <w:szCs w:val="56"/>
          <w:highlight w:val="none"/>
          <w:lang w:val="en-US" w:eastAsia="zh-CN"/>
        </w:rPr>
        <w:fldChar w:fldCharType="begin"/>
      </w:r>
      <w:r>
        <w:rPr>
          <w:rFonts w:hint="eastAsia" w:ascii="仿宋" w:hAnsi="仿宋" w:eastAsia="仿宋" w:cs="仿宋"/>
          <w:szCs w:val="56"/>
          <w:highlight w:val="none"/>
          <w:lang w:val="en-US" w:eastAsia="zh-CN"/>
        </w:rPr>
        <w:instrText xml:space="preserve"> HYPERLINK \l _Toc22485 </w:instrText>
      </w:r>
      <w:r>
        <w:rPr>
          <w:rFonts w:hint="eastAsia" w:ascii="仿宋" w:hAnsi="仿宋" w:eastAsia="仿宋" w:cs="仿宋"/>
          <w:szCs w:val="56"/>
          <w:highlight w:val="none"/>
          <w:lang w:val="en-US" w:eastAsia="zh-CN"/>
        </w:rPr>
        <w:fldChar w:fldCharType="separate"/>
      </w:r>
      <w:r>
        <w:rPr>
          <w:rFonts w:hint="eastAsia" w:ascii="仿宋" w:hAnsi="仿宋" w:eastAsia="仿宋" w:cs="仿宋"/>
          <w:szCs w:val="36"/>
          <w:highlight w:val="none"/>
          <w:lang w:val="en-US" w:eastAsia="zh-CN"/>
        </w:rPr>
        <w:t>第六章 投标文件格式</w:t>
      </w:r>
      <w:r>
        <w:rPr>
          <w:highlight w:val="none"/>
        </w:rPr>
        <w:tab/>
      </w:r>
      <w:r>
        <w:rPr>
          <w:highlight w:val="none"/>
        </w:rPr>
        <w:fldChar w:fldCharType="begin"/>
      </w:r>
      <w:r>
        <w:rPr>
          <w:highlight w:val="none"/>
        </w:rPr>
        <w:instrText xml:space="preserve"> PAGEREF _Toc22485 \h </w:instrText>
      </w:r>
      <w:r>
        <w:rPr>
          <w:highlight w:val="none"/>
        </w:rPr>
        <w:fldChar w:fldCharType="separate"/>
      </w:r>
      <w:r>
        <w:rPr>
          <w:highlight w:val="none"/>
        </w:rPr>
        <w:t>39</w:t>
      </w:r>
      <w:r>
        <w:rPr>
          <w:highlight w:val="none"/>
        </w:rPr>
        <w:fldChar w:fldCharType="end"/>
      </w:r>
      <w:r>
        <w:rPr>
          <w:rFonts w:hint="eastAsia" w:ascii="仿宋" w:hAnsi="仿宋" w:eastAsia="仿宋" w:cs="仿宋"/>
          <w:szCs w:val="56"/>
          <w:highlight w:val="none"/>
          <w:lang w:val="en-US" w:eastAsia="zh-CN"/>
        </w:rPr>
        <w:fldChar w:fldCharType="end"/>
      </w:r>
    </w:p>
    <w:p w14:paraId="56209245">
      <w:pPr>
        <w:pStyle w:val="4"/>
        <w:keepNext/>
        <w:keepLines/>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36"/>
          <w:szCs w:val="36"/>
          <w:highlight w:val="none"/>
          <w:lang w:val="en-US" w:eastAsia="zh-CN"/>
        </w:rPr>
      </w:pPr>
      <w:r>
        <w:rPr>
          <w:rFonts w:hint="eastAsia" w:ascii="仿宋" w:hAnsi="仿宋" w:eastAsia="仿宋" w:cs="仿宋"/>
          <w:szCs w:val="56"/>
          <w:highlight w:val="none"/>
          <w:lang w:val="en-US" w:eastAsia="zh-CN"/>
        </w:rPr>
        <w:fldChar w:fldCharType="end"/>
      </w:r>
      <w:bookmarkStart w:id="13" w:name="_Toc24142"/>
      <w:r>
        <w:rPr>
          <w:rFonts w:hint="eastAsia" w:ascii="仿宋" w:hAnsi="仿宋" w:eastAsia="仿宋" w:cs="仿宋"/>
          <w:sz w:val="56"/>
          <w:szCs w:val="56"/>
          <w:highlight w:val="none"/>
          <w:lang w:val="en-US" w:eastAsia="zh-CN"/>
        </w:rPr>
        <w:br w:type="page"/>
      </w:r>
      <w:r>
        <w:rPr>
          <w:rFonts w:hint="eastAsia" w:ascii="仿宋" w:hAnsi="仿宋" w:eastAsia="仿宋" w:cs="仿宋"/>
          <w:sz w:val="36"/>
          <w:szCs w:val="36"/>
          <w:highlight w:val="none"/>
          <w:lang w:val="en-US" w:eastAsia="zh-CN"/>
        </w:rPr>
        <w:t>第一章 招标公告</w:t>
      </w:r>
      <w:bookmarkEnd w:id="3"/>
      <w:bookmarkEnd w:id="13"/>
    </w:p>
    <w:p w14:paraId="57345BB6">
      <w:pPr>
        <w:spacing w:line="440" w:lineRule="exact"/>
        <w:ind w:left="0" w:leftChars="0" w:firstLine="0" w:firstLineChars="0"/>
        <w:jc w:val="center"/>
        <w:rPr>
          <w:rFonts w:hint="eastAsia" w:ascii="仿宋" w:hAnsi="仿宋" w:eastAsia="仿宋" w:cs="仿宋"/>
          <w:b/>
          <w:sz w:val="32"/>
          <w:szCs w:val="32"/>
          <w:highlight w:val="none"/>
          <w:lang w:eastAsia="zh-CN"/>
        </w:rPr>
      </w:pPr>
      <w:bookmarkStart w:id="14" w:name="_Toc24606"/>
      <w:bookmarkStart w:id="15" w:name="_Toc55285622"/>
      <w:r>
        <w:rPr>
          <w:rFonts w:hint="eastAsia" w:cs="仿宋"/>
          <w:b/>
          <w:sz w:val="32"/>
          <w:szCs w:val="32"/>
          <w:highlight w:val="none"/>
          <w:lang w:eastAsia="zh-CN"/>
        </w:rPr>
        <w:t>吉林市丰满区第二实验小学校教师配餐服务项目</w:t>
      </w:r>
    </w:p>
    <w:p w14:paraId="50E5D1FF">
      <w:pPr>
        <w:spacing w:line="440" w:lineRule="exact"/>
        <w:ind w:left="0" w:leftChars="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（采用资格后审方式）</w:t>
      </w:r>
    </w:p>
    <w:p w14:paraId="34295628">
      <w:pPr>
        <w:pBdr>
          <w:top w:val="single" w:color="auto" w:sz="4" w:space="1"/>
          <w:left w:val="single" w:color="auto" w:sz="4" w:space="4"/>
          <w:bottom w:val="single" w:color="auto" w:sz="4" w:space="1"/>
          <w:right w:val="single" w:color="auto" w:sz="4" w:space="4"/>
        </w:pBdr>
        <w:spacing w:line="240" w:lineRule="auto"/>
        <w:ind w:left="0" w:leftChars="0" w:firstLine="0" w:firstLineChars="0"/>
        <w:rPr>
          <w:color w:val="auto"/>
          <w:sz w:val="21"/>
          <w:szCs w:val="21"/>
          <w:highlight w:val="none"/>
        </w:rPr>
      </w:pPr>
      <w:r>
        <w:rPr>
          <w:rFonts w:hint="eastAsia"/>
          <w:color w:val="auto"/>
          <w:sz w:val="21"/>
          <w:szCs w:val="21"/>
          <w:highlight w:val="none"/>
        </w:rPr>
        <w:t>项目概况</w:t>
      </w:r>
    </w:p>
    <w:p w14:paraId="6390A462">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cs="Times New Roman"/>
          <w:color w:val="auto"/>
          <w:sz w:val="21"/>
          <w:szCs w:val="21"/>
          <w:highlight w:val="none"/>
          <w:lang w:val="en-US" w:eastAsia="zh-CN"/>
        </w:rPr>
      </w:pPr>
      <w:r>
        <w:rPr>
          <w:rFonts w:hint="eastAsia" w:cs="Times New Roman"/>
          <w:color w:val="auto"/>
          <w:sz w:val="21"/>
          <w:szCs w:val="21"/>
          <w:highlight w:val="none"/>
          <w:u w:val="single"/>
          <w:lang w:val="en-US" w:eastAsia="zh-CN"/>
        </w:rPr>
        <w:t>吉林市丰满区第二实验小学校教师配餐服务项目</w:t>
      </w:r>
      <w:r>
        <w:rPr>
          <w:rFonts w:hint="eastAsia" w:cs="Times New Roman"/>
          <w:color w:val="auto"/>
          <w:sz w:val="21"/>
          <w:szCs w:val="21"/>
          <w:highlight w:val="none"/>
          <w:lang w:val="en-US" w:eastAsia="zh-CN"/>
        </w:rPr>
        <w:t>的潜在投标人应在</w:t>
      </w:r>
      <w:r>
        <w:rPr>
          <w:rFonts w:hint="eastAsia" w:cs="Times New Roman"/>
          <w:color w:val="auto"/>
          <w:sz w:val="21"/>
          <w:szCs w:val="21"/>
          <w:highlight w:val="none"/>
          <w:u w:val="single"/>
          <w:lang w:val="en-US" w:eastAsia="zh-CN"/>
        </w:rPr>
        <w:t>中屹宬信建设集团有限公司</w:t>
      </w:r>
      <w:r>
        <w:rPr>
          <w:rFonts w:hint="eastAsia" w:cs="Times New Roman"/>
          <w:color w:val="auto"/>
          <w:sz w:val="21"/>
          <w:szCs w:val="21"/>
          <w:highlight w:val="none"/>
          <w:lang w:val="en-US" w:eastAsia="zh-CN"/>
        </w:rPr>
        <w:t>（吉林省吉林市船营区雾凇中路中凯家博汇37号楼15层）获取招标文件，并于</w:t>
      </w:r>
      <w:r>
        <w:rPr>
          <w:rFonts w:hint="eastAsia"/>
          <w:sz w:val="21"/>
          <w:szCs w:val="21"/>
          <w:highlight w:val="none"/>
          <w:lang w:eastAsia="zh-CN"/>
        </w:rPr>
        <w:t>2024年08月</w:t>
      </w:r>
      <w:r>
        <w:rPr>
          <w:rFonts w:hint="eastAsia"/>
          <w:sz w:val="21"/>
          <w:szCs w:val="21"/>
          <w:highlight w:val="none"/>
          <w:lang w:val="en-US" w:eastAsia="zh-CN"/>
        </w:rPr>
        <w:t>28</w:t>
      </w:r>
      <w:r>
        <w:rPr>
          <w:rFonts w:hint="eastAsia"/>
          <w:sz w:val="21"/>
          <w:szCs w:val="21"/>
          <w:highlight w:val="none"/>
          <w:lang w:eastAsia="zh-CN"/>
        </w:rPr>
        <w:t>日</w:t>
      </w:r>
      <w:r>
        <w:rPr>
          <w:rFonts w:hint="eastAsia"/>
          <w:sz w:val="21"/>
          <w:szCs w:val="21"/>
          <w:highlight w:val="none"/>
          <w:lang w:val="en-US" w:eastAsia="zh-CN"/>
        </w:rPr>
        <w:t>13时30分</w:t>
      </w:r>
      <w:r>
        <w:rPr>
          <w:rFonts w:hint="eastAsia" w:cs="Times New Roman"/>
          <w:color w:val="auto"/>
          <w:sz w:val="21"/>
          <w:szCs w:val="21"/>
          <w:highlight w:val="none"/>
          <w:lang w:val="en-US" w:eastAsia="zh-CN"/>
        </w:rPr>
        <w:t>（北京时间）前递交投标文件。</w:t>
      </w:r>
    </w:p>
    <w:p w14:paraId="76DCCF0C">
      <w:pPr>
        <w:keepNext/>
        <w:keepLines/>
        <w:pageBreakBefore w:val="0"/>
        <w:widowControl w:val="0"/>
        <w:numPr>
          <w:ilvl w:val="0"/>
          <w:numId w:val="2"/>
        </w:numPr>
        <w:kinsoku/>
        <w:wordWrap/>
        <w:overflowPunct/>
        <w:topLinePunct w:val="0"/>
        <w:autoSpaceDE/>
        <w:autoSpaceDN/>
        <w:bidi w:val="0"/>
        <w:adjustRightInd/>
        <w:snapToGrid/>
        <w:spacing w:before="120" w:after="120" w:line="400" w:lineRule="exact"/>
        <w:ind w:left="420" w:leftChars="0" w:hanging="420" w:firstLineChars="0"/>
        <w:jc w:val="both"/>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项目基本情况：</w:t>
      </w:r>
    </w:p>
    <w:p w14:paraId="0F0482BA">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项目编号：</w:t>
      </w:r>
      <w:r>
        <w:rPr>
          <w:rFonts w:hint="eastAsia" w:cs="仿宋"/>
          <w:sz w:val="21"/>
          <w:szCs w:val="21"/>
          <w:highlight w:val="none"/>
          <w:lang w:val="en-US" w:eastAsia="zh-CN"/>
        </w:rPr>
        <w:t>采购计划-[2024]-00084号-ZYCXZB027</w:t>
      </w:r>
      <w:r>
        <w:rPr>
          <w:rFonts w:hint="eastAsia" w:ascii="仿宋" w:hAnsi="仿宋" w:eastAsia="仿宋" w:cs="仿宋"/>
          <w:sz w:val="21"/>
          <w:szCs w:val="21"/>
          <w:highlight w:val="none"/>
          <w:lang w:val="en-US" w:eastAsia="zh-CN"/>
        </w:rPr>
        <w:t xml:space="preserve"> </w:t>
      </w:r>
    </w:p>
    <w:p w14:paraId="053D9B07">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项目名称：</w:t>
      </w:r>
      <w:r>
        <w:rPr>
          <w:rFonts w:hint="eastAsia" w:cs="仿宋"/>
          <w:sz w:val="21"/>
          <w:szCs w:val="21"/>
          <w:highlight w:val="none"/>
          <w:lang w:val="en-US" w:eastAsia="zh-CN"/>
        </w:rPr>
        <w:t>吉林市丰满区第二实验小学校教师配餐服务项目</w:t>
      </w:r>
    </w:p>
    <w:p w14:paraId="642E8813">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采购方式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公开招标</w:t>
      </w:r>
    </w:p>
    <w:p w14:paraId="1B708E5A">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lang w:val="en-US" w:eastAsia="zh-CN"/>
        </w:rPr>
      </w:pPr>
      <w:r>
        <w:rPr>
          <w:rFonts w:hint="eastAsia" w:cs="仿宋"/>
          <w:sz w:val="21"/>
          <w:szCs w:val="21"/>
          <w:highlight w:val="none"/>
          <w:lang w:val="en-US" w:eastAsia="zh-CN"/>
        </w:rPr>
        <w:t>预算金额</w:t>
      </w:r>
      <w:r>
        <w:rPr>
          <w:rFonts w:hint="eastAsia" w:ascii="仿宋" w:hAnsi="仿宋" w:eastAsia="仿宋" w:cs="仿宋"/>
          <w:sz w:val="21"/>
          <w:szCs w:val="21"/>
          <w:highlight w:val="none"/>
          <w:lang w:eastAsia="zh-CN"/>
        </w:rPr>
        <w:t>：</w:t>
      </w:r>
      <w:r>
        <w:rPr>
          <w:rFonts w:hint="eastAsia" w:cs="仿宋"/>
          <w:sz w:val="21"/>
          <w:szCs w:val="21"/>
          <w:highlight w:val="none"/>
          <w:lang w:val="en-US" w:eastAsia="zh-CN"/>
        </w:rPr>
        <w:t>44.00万元</w:t>
      </w:r>
      <w:r>
        <w:rPr>
          <w:rFonts w:hint="eastAsia" w:ascii="仿宋" w:hAnsi="仿宋" w:eastAsia="仿宋" w:cs="仿宋"/>
          <w:sz w:val="21"/>
          <w:szCs w:val="21"/>
          <w:highlight w:val="none"/>
          <w:lang w:val="en-US" w:eastAsia="zh-CN"/>
        </w:rPr>
        <w:t xml:space="preserve"> </w:t>
      </w:r>
    </w:p>
    <w:p w14:paraId="1FAF3CF6">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i w:val="0"/>
          <w:iCs w:val="0"/>
          <w:caps w:val="0"/>
          <w:color w:val="383838"/>
          <w:spacing w:val="0"/>
          <w:sz w:val="21"/>
          <w:szCs w:val="21"/>
          <w:highlight w:val="none"/>
          <w:shd w:val="clear" w:color="auto" w:fill="FFFFFF"/>
          <w:lang w:val="en-US"/>
        </w:rPr>
      </w:pPr>
      <w:r>
        <w:rPr>
          <w:rFonts w:hint="eastAsia" w:ascii="仿宋" w:hAnsi="仿宋" w:eastAsia="仿宋" w:cs="仿宋"/>
          <w:sz w:val="21"/>
          <w:szCs w:val="21"/>
          <w:highlight w:val="none"/>
        </w:rPr>
        <w:t>采购需求：本项目</w:t>
      </w:r>
      <w:r>
        <w:rPr>
          <w:rFonts w:hint="eastAsia" w:cs="仿宋"/>
          <w:sz w:val="21"/>
          <w:szCs w:val="21"/>
          <w:highlight w:val="none"/>
          <w:lang w:val="en-US" w:eastAsia="zh-CN"/>
        </w:rPr>
        <w:t>为</w:t>
      </w:r>
      <w:r>
        <w:rPr>
          <w:rFonts w:hint="eastAsia" w:ascii="仿宋" w:hAnsi="仿宋" w:eastAsia="仿宋" w:cs="仿宋"/>
          <w:sz w:val="21"/>
          <w:szCs w:val="21"/>
          <w:highlight w:val="none"/>
          <w:lang w:val="en-US" w:eastAsia="zh-CN"/>
        </w:rPr>
        <w:t>营养餐配送服务，</w:t>
      </w:r>
      <w:r>
        <w:rPr>
          <w:rFonts w:hint="eastAsia" w:ascii="仿宋" w:hAnsi="仿宋" w:eastAsia="仿宋" w:cs="仿宋"/>
          <w:sz w:val="21"/>
          <w:szCs w:val="21"/>
          <w:highlight w:val="none"/>
        </w:rPr>
        <w:t>采用固定价格采购，价格不列为评审因素。</w:t>
      </w:r>
      <w:r>
        <w:rPr>
          <w:rFonts w:hint="eastAsia" w:cs="仿宋"/>
          <w:sz w:val="21"/>
          <w:szCs w:val="21"/>
          <w:highlight w:val="none"/>
          <w:lang w:val="en-US" w:eastAsia="zh-CN"/>
        </w:rPr>
        <w:t>教师餐餐标与学生餐餐标保持一致</w:t>
      </w:r>
      <w:r>
        <w:rPr>
          <w:rFonts w:hint="eastAsia" w:ascii="仿宋" w:hAnsi="仿宋" w:eastAsia="仿宋" w:cs="仿宋"/>
          <w:color w:val="auto"/>
          <w:sz w:val="21"/>
          <w:szCs w:val="21"/>
          <w:highlight w:val="none"/>
          <w:lang w:val="en-US" w:eastAsia="zh-CN"/>
        </w:rPr>
        <w:t>；</w:t>
      </w:r>
    </w:p>
    <w:p w14:paraId="7885AB83">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服务地点：丰满区第二实验小学校校内；</w:t>
      </w:r>
    </w:p>
    <w:p w14:paraId="234E93F0">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服务期</w:t>
      </w:r>
      <w:r>
        <w:rPr>
          <w:rFonts w:hint="eastAsia" w:ascii="仿宋" w:hAnsi="仿宋" w:eastAsia="仿宋" w:cs="仿宋"/>
          <w:sz w:val="21"/>
          <w:szCs w:val="21"/>
          <w:highlight w:val="none"/>
          <w:lang w:eastAsia="zh-CN"/>
        </w:rPr>
        <w:t>：</w:t>
      </w:r>
      <w:r>
        <w:rPr>
          <w:rFonts w:hint="eastAsia" w:cs="仿宋"/>
          <w:sz w:val="21"/>
          <w:szCs w:val="21"/>
          <w:highlight w:val="none"/>
          <w:u w:val="none"/>
          <w:lang w:val="en-US" w:eastAsia="zh-CN"/>
        </w:rPr>
        <w:t>一年（具体以实际发生为准）</w:t>
      </w:r>
      <w:r>
        <w:rPr>
          <w:rFonts w:hint="eastAsia" w:ascii="仿宋" w:hAnsi="仿宋" w:eastAsia="仿宋" w:cs="仿宋"/>
          <w:sz w:val="21"/>
          <w:szCs w:val="21"/>
          <w:highlight w:val="none"/>
          <w:lang w:val="en-US" w:eastAsia="zh-CN"/>
        </w:rPr>
        <w:t xml:space="preserve"> ；</w:t>
      </w:r>
    </w:p>
    <w:p w14:paraId="23FFDC78">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本项目(否)接受联合体</w:t>
      </w:r>
      <w:r>
        <w:rPr>
          <w:rFonts w:hint="eastAsia" w:ascii="仿宋" w:hAnsi="仿宋" w:eastAsia="仿宋" w:cs="仿宋"/>
          <w:sz w:val="21"/>
          <w:szCs w:val="21"/>
          <w:highlight w:val="none"/>
          <w:lang w:eastAsia="zh-CN"/>
        </w:rPr>
        <w:t>。</w:t>
      </w:r>
    </w:p>
    <w:p w14:paraId="3D4DC3FC">
      <w:pPr>
        <w:keepNext/>
        <w:keepLines/>
        <w:pageBreakBefore w:val="0"/>
        <w:widowControl w:val="0"/>
        <w:numPr>
          <w:ilvl w:val="0"/>
          <w:numId w:val="2"/>
        </w:numPr>
        <w:kinsoku/>
        <w:wordWrap/>
        <w:overflowPunct/>
        <w:topLinePunct w:val="0"/>
        <w:autoSpaceDE/>
        <w:autoSpaceDN/>
        <w:bidi w:val="0"/>
        <w:adjustRightInd/>
        <w:snapToGrid/>
        <w:spacing w:before="120" w:after="120" w:line="400" w:lineRule="exact"/>
        <w:ind w:left="420" w:leftChars="0" w:hanging="420" w:firstLineChars="0"/>
        <w:jc w:val="both"/>
        <w:textAlignment w:val="auto"/>
        <w:outlineLvl w:val="1"/>
        <w:rPr>
          <w:rFonts w:hint="eastAsia" w:ascii="仿宋" w:hAnsi="仿宋" w:eastAsia="仿宋" w:cs="仿宋"/>
          <w:sz w:val="21"/>
          <w:szCs w:val="21"/>
          <w:highlight w:val="none"/>
        </w:rPr>
      </w:pPr>
      <w:bookmarkStart w:id="16" w:name="_Toc35393630"/>
      <w:bookmarkStart w:id="17" w:name="_Toc28359090"/>
      <w:bookmarkStart w:id="18" w:name="_Toc35393799"/>
      <w:bookmarkStart w:id="19" w:name="_Toc28359013"/>
      <w:r>
        <w:rPr>
          <w:rFonts w:hint="eastAsia" w:ascii="仿宋" w:hAnsi="仿宋" w:eastAsia="仿宋" w:cs="仿宋"/>
          <w:color w:val="auto"/>
          <w:sz w:val="21"/>
          <w:szCs w:val="21"/>
          <w:highlight w:val="none"/>
        </w:rPr>
        <w:t>申请人的资格要求：</w:t>
      </w:r>
      <w:bookmarkEnd w:id="16"/>
      <w:bookmarkEnd w:id="17"/>
      <w:bookmarkEnd w:id="18"/>
      <w:bookmarkEnd w:id="19"/>
      <w:bookmarkStart w:id="20" w:name="_Toc35393800"/>
      <w:bookmarkStart w:id="21" w:name="_Toc35393631"/>
    </w:p>
    <w:p w14:paraId="4867A2B3">
      <w:pPr>
        <w:pageBreakBefore w:val="0"/>
        <w:numPr>
          <w:ilvl w:val="0"/>
          <w:numId w:val="3"/>
        </w:numPr>
        <w:kinsoku/>
        <w:wordWrap/>
        <w:overflowPunct/>
        <w:topLinePunct w:val="0"/>
        <w:autoSpaceDE/>
        <w:autoSpaceDN/>
        <w:bidi w:val="0"/>
        <w:adjustRightInd/>
        <w:snapToGrid/>
        <w:spacing w:line="400" w:lineRule="exact"/>
        <w:ind w:left="845" w:leftChars="0" w:hanging="425"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满足《中华人民共和国政府采购法》第二十二条规定；</w:t>
      </w:r>
    </w:p>
    <w:p w14:paraId="4B9E6A3F">
      <w:pPr>
        <w:pageBreakBefore w:val="0"/>
        <w:numPr>
          <w:ilvl w:val="0"/>
          <w:numId w:val="3"/>
        </w:numPr>
        <w:kinsoku/>
        <w:wordWrap/>
        <w:overflowPunct/>
        <w:topLinePunct w:val="0"/>
        <w:autoSpaceDE/>
        <w:autoSpaceDN/>
        <w:bidi w:val="0"/>
        <w:adjustRightInd/>
        <w:snapToGrid/>
        <w:spacing w:line="400" w:lineRule="exact"/>
        <w:ind w:left="845" w:leftChars="0" w:hanging="425"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落实政府采购政策需满足的资格要求：</w:t>
      </w:r>
    </w:p>
    <w:p w14:paraId="1314EF85">
      <w:pPr>
        <w:pageBreakBefore w:val="0"/>
        <w:numPr>
          <w:ilvl w:val="0"/>
          <w:numId w:val="0"/>
        </w:numPr>
        <w:kinsoku/>
        <w:wordWrap/>
        <w:overflowPunct/>
        <w:topLinePunct w:val="0"/>
        <w:autoSpaceDE/>
        <w:autoSpaceDN/>
        <w:bidi w:val="0"/>
        <w:adjustRightInd/>
        <w:snapToGrid/>
        <w:spacing w:line="400" w:lineRule="exact"/>
        <w:ind w:left="420" w:leftChars="0" w:firstLine="42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（1）本项目专门面向中小企业采购。行业划分标准按《国民经济行业分类》执行。中小企业划分标准按《中小企业划型标准规定》（工信部联企业[2011]300号）文件规定执行；</w:t>
      </w:r>
    </w:p>
    <w:p w14:paraId="5208AF50">
      <w:pPr>
        <w:pageBreakBefore w:val="0"/>
        <w:numPr>
          <w:ilvl w:val="0"/>
          <w:numId w:val="0"/>
        </w:numPr>
        <w:kinsoku/>
        <w:wordWrap/>
        <w:overflowPunct/>
        <w:topLinePunct w:val="0"/>
        <w:autoSpaceDE/>
        <w:autoSpaceDN/>
        <w:bidi w:val="0"/>
        <w:adjustRightInd/>
        <w:snapToGrid/>
        <w:spacing w:line="400" w:lineRule="exact"/>
        <w:ind w:left="420" w:leftChars="0" w:firstLine="42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（2）《政府采购促进中小企业发展管理办法》（财库[2021]46号） ；</w:t>
      </w:r>
    </w:p>
    <w:p w14:paraId="35A9E25D">
      <w:pPr>
        <w:pageBreakBefore w:val="0"/>
        <w:numPr>
          <w:ilvl w:val="0"/>
          <w:numId w:val="0"/>
        </w:numPr>
        <w:kinsoku/>
        <w:wordWrap/>
        <w:overflowPunct/>
        <w:topLinePunct w:val="0"/>
        <w:autoSpaceDE/>
        <w:autoSpaceDN/>
        <w:bidi w:val="0"/>
        <w:adjustRightInd/>
        <w:snapToGrid/>
        <w:spacing w:line="400" w:lineRule="exact"/>
        <w:ind w:left="420" w:leftChars="0" w:firstLine="42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（3）《关于政府采购支持监狱企业发展有关问题的通知》（财库〔2014〕68 号）</w:t>
      </w:r>
    </w:p>
    <w:p w14:paraId="0DAF43B3">
      <w:pPr>
        <w:pageBreakBefore w:val="0"/>
        <w:numPr>
          <w:ilvl w:val="0"/>
          <w:numId w:val="0"/>
        </w:numPr>
        <w:kinsoku/>
        <w:wordWrap/>
        <w:overflowPunct/>
        <w:topLinePunct w:val="0"/>
        <w:autoSpaceDE/>
        <w:autoSpaceDN/>
        <w:bidi w:val="0"/>
        <w:adjustRightInd/>
        <w:snapToGrid/>
        <w:spacing w:line="400" w:lineRule="exact"/>
        <w:ind w:left="420" w:leftChars="0" w:firstLine="42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（4）《关于促进残疾人就业政府采购政策的通知》（财库〔2017〕141 号）</w:t>
      </w:r>
    </w:p>
    <w:p w14:paraId="474E9258">
      <w:pPr>
        <w:pageBreakBefore w:val="0"/>
        <w:numPr>
          <w:ilvl w:val="0"/>
          <w:numId w:val="0"/>
        </w:numPr>
        <w:kinsoku/>
        <w:wordWrap/>
        <w:overflowPunct/>
        <w:topLinePunct w:val="0"/>
        <w:autoSpaceDE/>
        <w:autoSpaceDN/>
        <w:bidi w:val="0"/>
        <w:adjustRightInd/>
        <w:snapToGrid/>
        <w:spacing w:line="400" w:lineRule="exact"/>
        <w:ind w:left="420" w:leftChars="0" w:firstLine="42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（5）《关于环境标志产品政府采购实施的意见》（财库〔2006〕90 号）</w:t>
      </w:r>
    </w:p>
    <w:p w14:paraId="32386C50">
      <w:pPr>
        <w:pageBreakBefore w:val="0"/>
        <w:numPr>
          <w:ilvl w:val="0"/>
          <w:numId w:val="0"/>
        </w:numPr>
        <w:kinsoku/>
        <w:wordWrap/>
        <w:overflowPunct/>
        <w:topLinePunct w:val="0"/>
        <w:autoSpaceDE/>
        <w:autoSpaceDN/>
        <w:bidi w:val="0"/>
        <w:adjustRightInd/>
        <w:snapToGrid/>
        <w:spacing w:line="400" w:lineRule="exact"/>
        <w:ind w:left="420" w:leftChars="0" w:firstLine="42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（6）《节能产品政府采购实施意见》的通知（财库〔2004〕185 号）</w:t>
      </w:r>
    </w:p>
    <w:p w14:paraId="4578CE58">
      <w:pPr>
        <w:pageBreakBefore w:val="0"/>
        <w:numPr>
          <w:ilvl w:val="0"/>
          <w:numId w:val="0"/>
        </w:numPr>
        <w:kinsoku/>
        <w:wordWrap/>
        <w:overflowPunct/>
        <w:topLinePunct w:val="0"/>
        <w:autoSpaceDE/>
        <w:autoSpaceDN/>
        <w:bidi w:val="0"/>
        <w:adjustRightInd/>
        <w:snapToGrid/>
        <w:spacing w:line="400" w:lineRule="exact"/>
        <w:ind w:left="420" w:leftChars="0" w:firstLine="42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（7）《关于调整优化节能产品、环境标志产品政府采购执行机制的通知》（财库〔2019〕9号）等。</w:t>
      </w:r>
    </w:p>
    <w:p w14:paraId="4EE7BF8B">
      <w:pPr>
        <w:pageBreakBefore w:val="0"/>
        <w:numPr>
          <w:ilvl w:val="0"/>
          <w:numId w:val="3"/>
        </w:numPr>
        <w:kinsoku/>
        <w:wordWrap/>
        <w:overflowPunct/>
        <w:topLinePunct w:val="0"/>
        <w:autoSpaceDE/>
        <w:autoSpaceDN/>
        <w:bidi w:val="0"/>
        <w:adjustRightInd/>
        <w:snapToGrid/>
        <w:spacing w:line="400" w:lineRule="exact"/>
        <w:ind w:left="845" w:leftChars="0" w:hanging="425"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本项目的特定资格要求：</w:t>
      </w:r>
    </w:p>
    <w:p w14:paraId="7E4EE34A">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在中国境内依法登记注册具有独立承担民事责任能力的法人、其他组织或者自然人，具备有效的营业执照，具有本次招标项目的经营范围</w:t>
      </w:r>
      <w:r>
        <w:rPr>
          <w:rFonts w:hint="eastAsia" w:ascii="仿宋" w:hAnsi="仿宋" w:eastAsia="仿宋" w:cs="仿宋"/>
          <w:color w:val="auto"/>
          <w:sz w:val="21"/>
          <w:szCs w:val="21"/>
          <w:highlight w:val="none"/>
          <w:lang w:eastAsia="zh-CN"/>
        </w:rPr>
        <w:t>；</w:t>
      </w:r>
    </w:p>
    <w:p w14:paraId="73D400BF">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供应商需具备食品药品行政监督部核发的《食品经营许可证》，食品经营许可证主体业态包含餐饮服务经营者“集体用餐配送”</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w:t>
      </w:r>
    </w:p>
    <w:p w14:paraId="36E5B5D2">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需有食品安全量化等级应达到A级；</w:t>
      </w:r>
    </w:p>
    <w:p w14:paraId="463BF00D">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配备符合配送需要的封闭式食品专用运输车辆；</w:t>
      </w:r>
    </w:p>
    <w:p w14:paraId="0E7F0C7B">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有食品安全管理机构，配备食品安全管理人员和至少一名具备资质的营养指导人员（公共营养师、营养配餐员、营养指导员等）；</w:t>
      </w:r>
    </w:p>
    <w:p w14:paraId="2C5CA15D">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近三年餐饮经营过程中没有任何食品卫生安全、消防安全、中毒事件等方面的不良记录</w:t>
      </w:r>
      <w:r>
        <w:rPr>
          <w:rFonts w:hint="eastAsia" w:ascii="仿宋" w:hAnsi="仿宋" w:eastAsia="仿宋" w:cs="仿宋"/>
          <w:color w:val="auto"/>
          <w:sz w:val="21"/>
          <w:szCs w:val="21"/>
          <w:highlight w:val="none"/>
          <w:lang w:eastAsia="zh-CN"/>
        </w:rPr>
        <w:t>；</w:t>
      </w:r>
    </w:p>
    <w:p w14:paraId="71A7B79C">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企业名称不同但法定代表人为同一个自然人的两个或者两个以上的投标人不得参加同一采购项目的投标。如果出现上述情况，相关投标人的投标均将被拒绝；</w:t>
      </w:r>
    </w:p>
    <w:p w14:paraId="495C38F9">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财政部关于在政府采购活动中查询及使用信用记录有关问题的通知》（财库〔2016〕125号）的要求，对在“信用中国”网站列入失信被执行人、重大税收违法案件当事人名单、企业经营异常名录；对在中国政府采购网列入政府采购严重违法失信行为记录名单及其他不符合《中华人民共和国政府采购法》第二十二条规定的,不得参加政府采购活动；</w:t>
      </w:r>
    </w:p>
    <w:p w14:paraId="2527AD31">
      <w:pPr>
        <w:pageBreakBefore w:val="0"/>
        <w:numPr>
          <w:ilvl w:val="1"/>
          <w:numId w:val="3"/>
        </w:numPr>
        <w:kinsoku/>
        <w:wordWrap/>
        <w:overflowPunct/>
        <w:topLinePunct w:val="0"/>
        <w:autoSpaceDE/>
        <w:autoSpaceDN/>
        <w:bidi w:val="0"/>
        <w:adjustRightInd/>
        <w:snapToGrid/>
        <w:spacing w:line="400" w:lineRule="exact"/>
        <w:ind w:left="1265" w:leftChars="0" w:hanging="425"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投标人须在“中国裁判文书网”自行查询近三年投标人单位和个人（指法定代表人）的行贿犯罪记录（案由：行贿），且提供查询页面无行贿记录的截图并加盖公章作为无行贿犯罪记录证明；</w:t>
      </w:r>
    </w:p>
    <w:p w14:paraId="2664F4C1">
      <w:pPr>
        <w:pageBreakBefore w:val="0"/>
        <w:numPr>
          <w:ilvl w:val="0"/>
          <w:numId w:val="0"/>
        </w:numPr>
        <w:kinsoku/>
        <w:wordWrap/>
        <w:overflowPunct/>
        <w:topLinePunct w:val="0"/>
        <w:autoSpaceDE/>
        <w:autoSpaceDN/>
        <w:bidi w:val="0"/>
        <w:adjustRightInd/>
        <w:snapToGrid/>
        <w:spacing w:line="400" w:lineRule="exact"/>
        <w:ind w:left="840" w:left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拒绝列入政府取消投标资格记录期间的企业或个人投标</w:t>
      </w:r>
      <w:r>
        <w:rPr>
          <w:rFonts w:hint="eastAsia" w:ascii="仿宋" w:hAnsi="仿宋" w:eastAsia="仿宋" w:cs="仿宋"/>
          <w:color w:val="auto"/>
          <w:sz w:val="21"/>
          <w:szCs w:val="21"/>
          <w:highlight w:val="none"/>
          <w:lang w:val="en-US" w:eastAsia="zh-CN"/>
        </w:rPr>
        <w:t>。</w:t>
      </w:r>
    </w:p>
    <w:p w14:paraId="715B5F7E">
      <w:pPr>
        <w:keepNext/>
        <w:keepLines/>
        <w:pageBreakBefore w:val="0"/>
        <w:widowControl w:val="0"/>
        <w:numPr>
          <w:ilvl w:val="0"/>
          <w:numId w:val="2"/>
        </w:numPr>
        <w:kinsoku/>
        <w:wordWrap/>
        <w:overflowPunct/>
        <w:topLinePunct w:val="0"/>
        <w:autoSpaceDE/>
        <w:autoSpaceDN/>
        <w:bidi w:val="0"/>
        <w:adjustRightInd/>
        <w:snapToGrid/>
        <w:spacing w:before="120" w:after="120" w:line="400" w:lineRule="exact"/>
        <w:ind w:left="420" w:leftChars="0" w:hanging="420" w:firstLineChars="0"/>
        <w:jc w:val="both"/>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获取采购文件</w:t>
      </w:r>
      <w:bookmarkEnd w:id="20"/>
      <w:bookmarkEnd w:id="21"/>
    </w:p>
    <w:p w14:paraId="15F0166D">
      <w:pPr>
        <w:bidi w:val="0"/>
        <w:spacing w:line="240" w:lineRule="auto"/>
        <w:rPr>
          <w:sz w:val="21"/>
          <w:szCs w:val="21"/>
          <w:highlight w:val="none"/>
        </w:rPr>
      </w:pPr>
      <w:r>
        <w:rPr>
          <w:rFonts w:hint="eastAsia"/>
          <w:sz w:val="21"/>
          <w:szCs w:val="21"/>
          <w:highlight w:val="none"/>
        </w:rPr>
        <w:t>1、时间：</w:t>
      </w:r>
      <w:r>
        <w:rPr>
          <w:rFonts w:hint="eastAsia"/>
          <w:sz w:val="21"/>
          <w:szCs w:val="21"/>
          <w:highlight w:val="none"/>
          <w:lang w:eastAsia="zh-CN"/>
        </w:rPr>
        <w:t>2024年08月</w:t>
      </w:r>
      <w:r>
        <w:rPr>
          <w:rFonts w:hint="eastAsia"/>
          <w:sz w:val="21"/>
          <w:szCs w:val="21"/>
          <w:highlight w:val="none"/>
          <w:lang w:val="en-US" w:eastAsia="zh-CN"/>
        </w:rPr>
        <w:t>08</w:t>
      </w:r>
      <w:r>
        <w:rPr>
          <w:rFonts w:hint="eastAsia"/>
          <w:sz w:val="21"/>
          <w:szCs w:val="21"/>
          <w:highlight w:val="none"/>
          <w:lang w:eastAsia="zh-CN"/>
        </w:rPr>
        <w:t>日</w:t>
      </w:r>
      <w:r>
        <w:rPr>
          <w:rFonts w:hint="eastAsia"/>
          <w:sz w:val="21"/>
          <w:szCs w:val="21"/>
          <w:highlight w:val="none"/>
        </w:rPr>
        <w:t>至20</w:t>
      </w:r>
      <w:r>
        <w:rPr>
          <w:rFonts w:hint="eastAsia"/>
          <w:sz w:val="21"/>
          <w:szCs w:val="21"/>
          <w:highlight w:val="none"/>
          <w:lang w:val="en-US" w:eastAsia="zh-CN"/>
        </w:rPr>
        <w:t>24</w:t>
      </w:r>
      <w:r>
        <w:rPr>
          <w:rFonts w:hint="eastAsia"/>
          <w:sz w:val="21"/>
          <w:szCs w:val="21"/>
          <w:highlight w:val="none"/>
        </w:rPr>
        <w:t>年</w:t>
      </w:r>
      <w:r>
        <w:rPr>
          <w:rFonts w:hint="eastAsia"/>
          <w:sz w:val="21"/>
          <w:szCs w:val="21"/>
          <w:highlight w:val="none"/>
          <w:lang w:val="en-US" w:eastAsia="zh-CN"/>
        </w:rPr>
        <w:t>08</w:t>
      </w:r>
      <w:r>
        <w:rPr>
          <w:rFonts w:hint="eastAsia"/>
          <w:sz w:val="21"/>
          <w:szCs w:val="21"/>
          <w:highlight w:val="none"/>
        </w:rPr>
        <w:t>月</w:t>
      </w:r>
      <w:r>
        <w:rPr>
          <w:rFonts w:hint="eastAsia"/>
          <w:sz w:val="21"/>
          <w:szCs w:val="21"/>
          <w:highlight w:val="none"/>
          <w:lang w:val="en-US" w:eastAsia="zh-CN"/>
        </w:rPr>
        <w:t>15</w:t>
      </w:r>
      <w:r>
        <w:rPr>
          <w:rFonts w:hint="eastAsia"/>
          <w:sz w:val="21"/>
          <w:szCs w:val="21"/>
          <w:highlight w:val="none"/>
        </w:rPr>
        <w:t>日16:00（北京时间，法定节假日除外）</w:t>
      </w:r>
    </w:p>
    <w:p w14:paraId="7250753F">
      <w:pPr>
        <w:bidi w:val="0"/>
        <w:spacing w:line="240" w:lineRule="auto"/>
        <w:rPr>
          <w:sz w:val="21"/>
          <w:szCs w:val="21"/>
          <w:highlight w:val="none"/>
        </w:rPr>
      </w:pPr>
      <w:r>
        <w:rPr>
          <w:rFonts w:hint="eastAsia"/>
          <w:sz w:val="21"/>
          <w:szCs w:val="21"/>
          <w:highlight w:val="none"/>
        </w:rPr>
        <w:t>2、地点：政府采购云平台https://www.zcygov.cn/</w:t>
      </w:r>
    </w:p>
    <w:p w14:paraId="6A7C25D5">
      <w:pPr>
        <w:bidi w:val="0"/>
        <w:spacing w:line="240" w:lineRule="auto"/>
        <w:rPr>
          <w:sz w:val="21"/>
          <w:szCs w:val="21"/>
          <w:highlight w:val="none"/>
        </w:rPr>
      </w:pPr>
      <w:r>
        <w:rPr>
          <w:rFonts w:hint="eastAsia"/>
          <w:sz w:val="21"/>
          <w:szCs w:val="21"/>
          <w:highlight w:val="none"/>
        </w:rPr>
        <w:t>3、方式：供应商登录政府采购云平台https://www.zcygov.cn/在线申请获取采购文件（进入“项目采购”应用，在获取采购文件菜单中选择项目，申请获取采购文件）</w:t>
      </w:r>
    </w:p>
    <w:p w14:paraId="6173194E">
      <w:pPr>
        <w:bidi w:val="0"/>
        <w:spacing w:line="240" w:lineRule="auto"/>
        <w:rPr>
          <w:sz w:val="21"/>
          <w:szCs w:val="21"/>
          <w:highlight w:val="none"/>
        </w:rPr>
      </w:pPr>
      <w:r>
        <w:rPr>
          <w:rFonts w:hint="eastAsia"/>
          <w:sz w:val="21"/>
          <w:szCs w:val="21"/>
          <w:highlight w:val="none"/>
        </w:rPr>
        <w:t>4、售价：0元</w:t>
      </w:r>
    </w:p>
    <w:p w14:paraId="2368BF07">
      <w:pPr>
        <w:keepNext/>
        <w:keepLines/>
        <w:pageBreakBefore w:val="0"/>
        <w:widowControl w:val="0"/>
        <w:numPr>
          <w:ilvl w:val="0"/>
          <w:numId w:val="2"/>
        </w:numPr>
        <w:kinsoku/>
        <w:wordWrap/>
        <w:overflowPunct/>
        <w:topLinePunct w:val="0"/>
        <w:autoSpaceDE/>
        <w:autoSpaceDN/>
        <w:bidi w:val="0"/>
        <w:adjustRightInd/>
        <w:snapToGrid/>
        <w:spacing w:before="120" w:after="120" w:line="400" w:lineRule="exact"/>
        <w:ind w:left="420" w:leftChars="0" w:hanging="420" w:firstLineChars="0"/>
        <w:jc w:val="both"/>
        <w:textAlignment w:val="auto"/>
        <w:outlineLvl w:val="1"/>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提交投标文件截止时间、开标时间和地点</w:t>
      </w:r>
    </w:p>
    <w:p w14:paraId="2CD56CF7">
      <w:pPr>
        <w:bidi w:val="0"/>
        <w:spacing w:line="240" w:lineRule="auto"/>
        <w:rPr>
          <w:sz w:val="21"/>
          <w:szCs w:val="21"/>
          <w:highlight w:val="none"/>
        </w:rPr>
      </w:pPr>
      <w:bookmarkStart w:id="22" w:name="_Toc28359017"/>
      <w:bookmarkStart w:id="23" w:name="_Toc28359094"/>
      <w:bookmarkStart w:id="24" w:name="_Toc35393803"/>
      <w:bookmarkStart w:id="25" w:name="_Toc35393634"/>
      <w:r>
        <w:rPr>
          <w:rFonts w:hint="eastAsia"/>
          <w:sz w:val="21"/>
          <w:szCs w:val="21"/>
          <w:highlight w:val="none"/>
        </w:rPr>
        <w:t>1、截止时间（即开标时间）：</w:t>
      </w:r>
      <w:r>
        <w:rPr>
          <w:rFonts w:hint="eastAsia"/>
          <w:sz w:val="21"/>
          <w:szCs w:val="21"/>
          <w:highlight w:val="none"/>
          <w:lang w:eastAsia="zh-CN"/>
        </w:rPr>
        <w:t>2024年08月</w:t>
      </w:r>
      <w:r>
        <w:rPr>
          <w:rFonts w:hint="eastAsia"/>
          <w:sz w:val="21"/>
          <w:szCs w:val="21"/>
          <w:highlight w:val="none"/>
          <w:lang w:val="en-US" w:eastAsia="zh-CN"/>
        </w:rPr>
        <w:t>28</w:t>
      </w:r>
      <w:r>
        <w:rPr>
          <w:rFonts w:hint="eastAsia"/>
          <w:sz w:val="21"/>
          <w:szCs w:val="21"/>
          <w:highlight w:val="none"/>
          <w:lang w:eastAsia="zh-CN"/>
        </w:rPr>
        <w:t>日</w:t>
      </w:r>
      <w:r>
        <w:rPr>
          <w:rFonts w:hint="eastAsia"/>
          <w:sz w:val="21"/>
          <w:szCs w:val="21"/>
          <w:highlight w:val="none"/>
          <w:lang w:val="en-US" w:eastAsia="zh-CN"/>
        </w:rPr>
        <w:t>13时30分</w:t>
      </w:r>
      <w:r>
        <w:rPr>
          <w:rFonts w:hint="eastAsia"/>
          <w:sz w:val="21"/>
          <w:szCs w:val="21"/>
          <w:highlight w:val="none"/>
        </w:rPr>
        <w:t>（北京时间）。</w:t>
      </w:r>
    </w:p>
    <w:p w14:paraId="50B98E76">
      <w:pPr>
        <w:bidi w:val="0"/>
        <w:spacing w:line="240" w:lineRule="auto"/>
        <w:rPr>
          <w:sz w:val="21"/>
          <w:szCs w:val="21"/>
          <w:highlight w:val="none"/>
        </w:rPr>
      </w:pPr>
      <w:r>
        <w:rPr>
          <w:rFonts w:hint="eastAsia"/>
          <w:sz w:val="21"/>
          <w:szCs w:val="21"/>
          <w:highlight w:val="none"/>
        </w:rPr>
        <w:t>2、地点：在线开标</w:t>
      </w:r>
    </w:p>
    <w:p w14:paraId="326FC87C">
      <w:pPr>
        <w:bidi w:val="0"/>
        <w:spacing w:line="240" w:lineRule="auto"/>
        <w:rPr>
          <w:sz w:val="21"/>
          <w:szCs w:val="21"/>
          <w:highlight w:val="none"/>
        </w:rPr>
      </w:pPr>
      <w:r>
        <w:rPr>
          <w:rFonts w:hint="eastAsia"/>
          <w:sz w:val="21"/>
          <w:szCs w:val="21"/>
          <w:highlight w:val="none"/>
        </w:rPr>
        <w:t>3、开标方式：本项目执行电子化招投标（供应商无需到达现场），供应商须通过政府采购云平台（网址：http:// www.zcygov.cn）递交电子版投标文件</w:t>
      </w:r>
    </w:p>
    <w:p w14:paraId="4D7D1386">
      <w:pPr>
        <w:keepNext/>
        <w:keepLines/>
        <w:pageBreakBefore w:val="0"/>
        <w:widowControl w:val="0"/>
        <w:numPr>
          <w:ilvl w:val="0"/>
          <w:numId w:val="2"/>
        </w:numPr>
        <w:kinsoku/>
        <w:wordWrap/>
        <w:overflowPunct/>
        <w:topLinePunct w:val="0"/>
        <w:autoSpaceDE/>
        <w:autoSpaceDN/>
        <w:bidi w:val="0"/>
        <w:adjustRightInd/>
        <w:snapToGrid/>
        <w:spacing w:before="120" w:after="120" w:line="400" w:lineRule="exact"/>
        <w:ind w:left="420" w:leftChars="0" w:hanging="420" w:firstLineChars="0"/>
        <w:jc w:val="both"/>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公告期限</w:t>
      </w:r>
      <w:bookmarkEnd w:id="22"/>
      <w:bookmarkEnd w:id="23"/>
      <w:bookmarkEnd w:id="24"/>
      <w:bookmarkEnd w:id="25"/>
    </w:p>
    <w:p w14:paraId="3DC705A0">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自本公告发布之日起5个工作日。</w:t>
      </w:r>
    </w:p>
    <w:p w14:paraId="00BB8733">
      <w:pPr>
        <w:keepNext/>
        <w:keepLines/>
        <w:pageBreakBefore w:val="0"/>
        <w:widowControl w:val="0"/>
        <w:numPr>
          <w:ilvl w:val="0"/>
          <w:numId w:val="2"/>
        </w:numPr>
        <w:kinsoku/>
        <w:wordWrap/>
        <w:overflowPunct/>
        <w:topLinePunct w:val="0"/>
        <w:autoSpaceDE/>
        <w:autoSpaceDN/>
        <w:bidi w:val="0"/>
        <w:adjustRightInd/>
        <w:snapToGrid/>
        <w:spacing w:before="120" w:after="120" w:line="400" w:lineRule="exact"/>
        <w:ind w:left="420" w:leftChars="0" w:hanging="420" w:firstLineChars="0"/>
        <w:jc w:val="both"/>
        <w:textAlignment w:val="auto"/>
        <w:outlineLvl w:val="1"/>
        <w:rPr>
          <w:rFonts w:hint="eastAsia" w:ascii="仿宋" w:hAnsi="仿宋" w:eastAsia="仿宋" w:cs="仿宋"/>
          <w:color w:val="auto"/>
          <w:sz w:val="21"/>
          <w:szCs w:val="21"/>
          <w:highlight w:val="none"/>
        </w:rPr>
      </w:pPr>
      <w:bookmarkStart w:id="26" w:name="_Toc35393635"/>
      <w:bookmarkStart w:id="27" w:name="_Toc35393804"/>
      <w:r>
        <w:rPr>
          <w:rFonts w:hint="eastAsia" w:ascii="仿宋" w:hAnsi="仿宋" w:eastAsia="仿宋" w:cs="仿宋"/>
          <w:color w:val="auto"/>
          <w:sz w:val="21"/>
          <w:szCs w:val="21"/>
          <w:highlight w:val="none"/>
        </w:rPr>
        <w:t>其他补充事宜</w:t>
      </w:r>
      <w:bookmarkEnd w:id="26"/>
      <w:bookmarkEnd w:id="27"/>
    </w:p>
    <w:p w14:paraId="673BE234">
      <w:pPr>
        <w:bidi w:val="0"/>
        <w:spacing w:line="240" w:lineRule="auto"/>
        <w:rPr>
          <w:sz w:val="21"/>
          <w:szCs w:val="21"/>
          <w:highlight w:val="none"/>
        </w:rPr>
      </w:pPr>
      <w:bookmarkStart w:id="28" w:name="_Toc28359095"/>
      <w:bookmarkStart w:id="29" w:name="_Toc35393636"/>
      <w:bookmarkStart w:id="30" w:name="_Toc28359018"/>
      <w:bookmarkStart w:id="31" w:name="_Toc35393805"/>
      <w:r>
        <w:rPr>
          <w:rFonts w:hint="eastAsia"/>
          <w:sz w:val="21"/>
          <w:szCs w:val="21"/>
          <w:highlight w:val="none"/>
        </w:rPr>
        <w:t>1、供应商在政采云平台注册入库成为正式供应商后，在平台上按《政府采购项目电子交易管理操作指南－供应商》进行投标操作。投标人须办理数字证书方可参加投标。</w:t>
      </w:r>
    </w:p>
    <w:p w14:paraId="269659F0">
      <w:pPr>
        <w:bidi w:val="0"/>
        <w:spacing w:line="240" w:lineRule="auto"/>
        <w:rPr>
          <w:sz w:val="21"/>
          <w:szCs w:val="21"/>
          <w:highlight w:val="none"/>
        </w:rPr>
      </w:pPr>
      <w:r>
        <w:rPr>
          <w:rFonts w:hint="eastAsia"/>
          <w:sz w:val="21"/>
          <w:szCs w:val="21"/>
          <w:highlight w:val="none"/>
        </w:rPr>
        <w:t>2、收到CA锁以后在“政采云”登录界面，点击CA登录-CA驱动下载－下载并安装政采云投标客户端和CA驱动，账号绑定CA后才能进行投标文件制作。</w:t>
      </w:r>
    </w:p>
    <w:p w14:paraId="6C29F1A4">
      <w:pPr>
        <w:bidi w:val="0"/>
        <w:spacing w:line="240" w:lineRule="auto"/>
        <w:rPr>
          <w:sz w:val="21"/>
          <w:szCs w:val="21"/>
          <w:highlight w:val="none"/>
        </w:rPr>
      </w:pPr>
      <w:r>
        <w:rPr>
          <w:rFonts w:hint="eastAsia"/>
          <w:sz w:val="21"/>
          <w:szCs w:val="21"/>
          <w:highlight w:val="none"/>
        </w:rPr>
        <w:t>3、若对项目采购电子交易系统操作有疑问，可登录“政采云”平台，点击右侧咨询小采，获取采小蜜智能服务管家帮助，或拨打政采云服务热线95763获取帮助。</w:t>
      </w:r>
    </w:p>
    <w:p w14:paraId="2BDE8FE1">
      <w:pPr>
        <w:bidi w:val="0"/>
        <w:spacing w:line="240" w:lineRule="auto"/>
        <w:rPr>
          <w:sz w:val="21"/>
          <w:szCs w:val="21"/>
          <w:highlight w:val="none"/>
        </w:rPr>
      </w:pPr>
      <w:r>
        <w:rPr>
          <w:rFonts w:hint="eastAsia"/>
          <w:sz w:val="21"/>
          <w:szCs w:val="21"/>
          <w:highlight w:val="none"/>
        </w:rPr>
        <w:t>4、有效投标人不足三家时，招标人另行组织招标。</w:t>
      </w:r>
    </w:p>
    <w:p w14:paraId="48EB5F92">
      <w:pPr>
        <w:bidi w:val="0"/>
        <w:spacing w:line="240" w:lineRule="auto"/>
        <w:rPr>
          <w:sz w:val="21"/>
          <w:szCs w:val="21"/>
          <w:highlight w:val="none"/>
        </w:rPr>
      </w:pPr>
      <w:r>
        <w:rPr>
          <w:rFonts w:hint="eastAsia"/>
          <w:sz w:val="21"/>
          <w:szCs w:val="21"/>
          <w:highlight w:val="none"/>
        </w:rPr>
        <w:t>5、本次采购公告在“政采云”平台(http：//www.zcygov.cn)、中国政府采购网、中国采购与招标网上同时发布。</w:t>
      </w:r>
    </w:p>
    <w:p w14:paraId="761C6378">
      <w:pPr>
        <w:keepNext/>
        <w:keepLines/>
        <w:pageBreakBefore w:val="0"/>
        <w:widowControl w:val="0"/>
        <w:numPr>
          <w:ilvl w:val="0"/>
          <w:numId w:val="2"/>
        </w:numPr>
        <w:kinsoku/>
        <w:wordWrap/>
        <w:overflowPunct/>
        <w:topLinePunct w:val="0"/>
        <w:autoSpaceDE/>
        <w:autoSpaceDN/>
        <w:bidi w:val="0"/>
        <w:adjustRightInd/>
        <w:snapToGrid/>
        <w:spacing w:before="120" w:after="120" w:line="400" w:lineRule="exact"/>
        <w:ind w:left="420" w:leftChars="0" w:hanging="420" w:firstLineChars="0"/>
        <w:jc w:val="both"/>
        <w:textAlignment w:val="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凡对本次采购提出询问，请按以下方式联系。</w:t>
      </w:r>
      <w:bookmarkEnd w:id="28"/>
      <w:bookmarkEnd w:id="29"/>
      <w:bookmarkEnd w:id="30"/>
      <w:bookmarkEnd w:id="31"/>
    </w:p>
    <w:p w14:paraId="3ECE4E25">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rPr>
      </w:pPr>
      <w:bookmarkStart w:id="32" w:name="_Toc28359096"/>
      <w:bookmarkStart w:id="33" w:name="_Toc35393806"/>
      <w:bookmarkStart w:id="34" w:name="_Toc28359019"/>
      <w:bookmarkStart w:id="35" w:name="_Toc35393637"/>
      <w:r>
        <w:rPr>
          <w:rFonts w:hint="eastAsia" w:ascii="仿宋" w:hAnsi="仿宋" w:eastAsia="仿宋" w:cs="仿宋"/>
          <w:sz w:val="21"/>
          <w:szCs w:val="21"/>
          <w:highlight w:val="none"/>
        </w:rPr>
        <w:t>1.采购人信息</w:t>
      </w:r>
      <w:bookmarkEnd w:id="32"/>
      <w:bookmarkEnd w:id="33"/>
      <w:bookmarkEnd w:id="34"/>
      <w:bookmarkEnd w:id="35"/>
    </w:p>
    <w:p w14:paraId="7F72176B">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lang w:val="en-US" w:eastAsia="zh-CN"/>
        </w:rPr>
      </w:pPr>
      <w:bookmarkStart w:id="36" w:name="_Toc35393807"/>
      <w:bookmarkStart w:id="37" w:name="_Toc28359020"/>
      <w:bookmarkStart w:id="38" w:name="_Toc28359097"/>
      <w:bookmarkStart w:id="39" w:name="_Toc35393638"/>
      <w:r>
        <w:rPr>
          <w:rFonts w:hint="eastAsia" w:ascii="仿宋" w:hAnsi="仿宋" w:eastAsia="仿宋" w:cs="仿宋"/>
          <w:sz w:val="21"/>
          <w:szCs w:val="21"/>
          <w:highlight w:val="none"/>
        </w:rPr>
        <w:t>名    称：</w:t>
      </w:r>
      <w:r>
        <w:rPr>
          <w:rFonts w:hint="eastAsia" w:ascii="仿宋" w:hAnsi="仿宋" w:eastAsia="仿宋" w:cs="仿宋"/>
          <w:sz w:val="21"/>
          <w:szCs w:val="21"/>
          <w:highlight w:val="none"/>
          <w:lang w:val="en-US" w:eastAsia="zh-CN"/>
        </w:rPr>
        <w:t>吉林市丰满区第二实验小学校</w:t>
      </w:r>
    </w:p>
    <w:p w14:paraId="2AAF12E6">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    址：</w:t>
      </w:r>
      <w:r>
        <w:rPr>
          <w:rFonts w:hint="eastAsia" w:ascii="仿宋" w:hAnsi="仿宋" w:eastAsia="仿宋" w:cs="仿宋"/>
          <w:sz w:val="21"/>
          <w:szCs w:val="21"/>
          <w:highlight w:val="none"/>
          <w:lang w:eastAsia="zh-CN"/>
        </w:rPr>
        <w:t>吉林市高新区深圳街110号</w:t>
      </w:r>
    </w:p>
    <w:p w14:paraId="1ED8A0BC">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学校</w:t>
      </w:r>
      <w:r>
        <w:rPr>
          <w:rFonts w:hint="eastAsia" w:ascii="仿宋" w:hAnsi="仿宋" w:eastAsia="仿宋" w:cs="仿宋"/>
          <w:sz w:val="21"/>
          <w:szCs w:val="21"/>
          <w:highlight w:val="none"/>
        </w:rPr>
        <w:t>联系</w:t>
      </w:r>
      <w:r>
        <w:rPr>
          <w:rFonts w:hint="eastAsia" w:ascii="仿宋" w:hAnsi="仿宋" w:eastAsia="仿宋" w:cs="仿宋"/>
          <w:sz w:val="21"/>
          <w:szCs w:val="21"/>
          <w:highlight w:val="none"/>
          <w:lang w:eastAsia="zh-CN"/>
        </w:rPr>
        <w:t>人：</w:t>
      </w:r>
      <w:r>
        <w:rPr>
          <w:rFonts w:hint="eastAsia" w:ascii="仿宋" w:hAnsi="仿宋" w:eastAsia="仿宋" w:cs="仿宋"/>
          <w:sz w:val="21"/>
          <w:szCs w:val="21"/>
          <w:highlight w:val="none"/>
          <w:lang w:val="en-US" w:eastAsia="zh-CN"/>
        </w:rPr>
        <w:t>孙志有</w:t>
      </w:r>
    </w:p>
    <w:p w14:paraId="4D61A5CF">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lang w:val="en-US" w:eastAsia="zh-CN"/>
        </w:rPr>
        <w:t>学校</w:t>
      </w:r>
      <w:r>
        <w:rPr>
          <w:rFonts w:hint="eastAsia" w:ascii="仿宋" w:hAnsi="仿宋" w:eastAsia="仿宋" w:cs="仿宋"/>
          <w:sz w:val="21"/>
          <w:szCs w:val="21"/>
          <w:highlight w:val="none"/>
          <w:lang w:eastAsia="zh-CN"/>
        </w:rPr>
        <w:t>联系方式：</w:t>
      </w:r>
      <w:r>
        <w:rPr>
          <w:rFonts w:hint="eastAsia" w:ascii="仿宋" w:hAnsi="仿宋" w:eastAsia="仿宋" w:cs="仿宋"/>
          <w:sz w:val="21"/>
          <w:szCs w:val="21"/>
          <w:highlight w:val="none"/>
          <w:lang w:val="en-US" w:eastAsia="zh-CN"/>
        </w:rPr>
        <w:t xml:space="preserve">0432-66911606  </w:t>
      </w:r>
      <w:r>
        <w:rPr>
          <w:rFonts w:hint="eastAsia" w:ascii="仿宋" w:hAnsi="仿宋" w:eastAsia="仿宋" w:cs="仿宋"/>
          <w:sz w:val="21"/>
          <w:szCs w:val="21"/>
          <w:highlight w:val="none"/>
          <w:u w:val="none"/>
          <w:lang w:val="en-US" w:eastAsia="zh-CN"/>
        </w:rPr>
        <w:t>13943248749</w:t>
      </w:r>
    </w:p>
    <w:p w14:paraId="2D709EEF">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2.采购代理机构信息</w:t>
      </w:r>
      <w:bookmarkEnd w:id="36"/>
      <w:bookmarkEnd w:id="37"/>
      <w:bookmarkEnd w:id="38"/>
      <w:bookmarkEnd w:id="39"/>
    </w:p>
    <w:p w14:paraId="0DC40396">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名    称：</w:t>
      </w:r>
      <w:r>
        <w:rPr>
          <w:rFonts w:hint="eastAsia" w:cs="仿宋"/>
          <w:sz w:val="21"/>
          <w:szCs w:val="21"/>
          <w:highlight w:val="none"/>
          <w:lang w:eastAsia="zh-CN"/>
        </w:rPr>
        <w:t>中屹宬信建设集团有限公司</w:t>
      </w:r>
    </w:p>
    <w:p w14:paraId="616F4A8A">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　　址：</w:t>
      </w:r>
      <w:r>
        <w:rPr>
          <w:rFonts w:hint="eastAsia" w:cs="仿宋"/>
          <w:sz w:val="21"/>
          <w:szCs w:val="21"/>
          <w:highlight w:val="none"/>
          <w:lang w:eastAsia="zh-CN"/>
        </w:rPr>
        <w:t>吉林省吉林市船营区雾凇中路中凯家博汇37号楼15层</w:t>
      </w:r>
    </w:p>
    <w:p w14:paraId="6DBAADA3">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联系方式：</w:t>
      </w:r>
      <w:bookmarkStart w:id="40" w:name="_Toc28359098"/>
      <w:bookmarkStart w:id="41" w:name="_Toc28359021"/>
      <w:bookmarkStart w:id="42" w:name="_Toc35393639"/>
      <w:bookmarkStart w:id="43" w:name="_Toc35393808"/>
      <w:r>
        <w:rPr>
          <w:rFonts w:hint="eastAsia" w:ascii="仿宋" w:hAnsi="仿宋" w:eastAsia="仿宋" w:cs="仿宋"/>
          <w:sz w:val="21"/>
          <w:szCs w:val="21"/>
          <w:highlight w:val="none"/>
          <w:lang w:eastAsia="zh-CN"/>
        </w:rPr>
        <w:t>0432-63360157</w:t>
      </w:r>
    </w:p>
    <w:p w14:paraId="47BEC1B8">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3.项目联系方式</w:t>
      </w:r>
      <w:bookmarkEnd w:id="40"/>
      <w:bookmarkEnd w:id="41"/>
      <w:bookmarkEnd w:id="42"/>
      <w:bookmarkEnd w:id="43"/>
    </w:p>
    <w:p w14:paraId="2819D163">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项目联系人</w:t>
      </w:r>
      <w:r>
        <w:rPr>
          <w:rFonts w:hint="eastAsia" w:ascii="仿宋" w:hAnsi="仿宋" w:eastAsia="仿宋" w:cs="仿宋"/>
          <w:sz w:val="21"/>
          <w:szCs w:val="21"/>
          <w:highlight w:val="none"/>
          <w:lang w:eastAsia="zh-CN"/>
        </w:rPr>
        <w:t>：</w:t>
      </w:r>
      <w:r>
        <w:rPr>
          <w:rFonts w:hint="eastAsia" w:cs="仿宋"/>
          <w:sz w:val="21"/>
          <w:szCs w:val="21"/>
          <w:highlight w:val="none"/>
          <w:lang w:val="en-US" w:eastAsia="zh-CN"/>
        </w:rPr>
        <w:t>杨光普</w:t>
      </w:r>
    </w:p>
    <w:p w14:paraId="7694ECD9">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电　　 话：</w:t>
      </w:r>
      <w:r>
        <w:rPr>
          <w:rFonts w:hint="eastAsia" w:ascii="仿宋" w:hAnsi="仿宋" w:eastAsia="仿宋" w:cs="仿宋"/>
          <w:sz w:val="21"/>
          <w:szCs w:val="21"/>
          <w:highlight w:val="none"/>
          <w:lang w:eastAsia="zh-CN"/>
        </w:rPr>
        <w:t>0432-63360157</w:t>
      </w:r>
    </w:p>
    <w:p w14:paraId="2624A2BF">
      <w:pPr>
        <w:rPr>
          <w:highlight w:val="none"/>
        </w:rPr>
      </w:pPr>
    </w:p>
    <w:p w14:paraId="2CAA52A3">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4"/>
          <w:szCs w:val="24"/>
          <w:highlight w:val="none"/>
          <w:lang w:val="en-US" w:eastAsia="zh-CN"/>
        </w:rPr>
      </w:pPr>
    </w:p>
    <w:p w14:paraId="3EF764FC">
      <w:pPr>
        <w:rPr>
          <w:highlight w:val="none"/>
        </w:rPr>
      </w:pPr>
    </w:p>
    <w:p w14:paraId="33794E8A">
      <w:pPr>
        <w:pageBreakBefore w:val="0"/>
        <w:kinsoku/>
        <w:wordWrap/>
        <w:overflowPunct/>
        <w:topLinePunct w:val="0"/>
        <w:autoSpaceDE/>
        <w:autoSpaceDN/>
        <w:bidi w:val="0"/>
        <w:adjustRightInd/>
        <w:snapToGrid/>
        <w:spacing w:line="400" w:lineRule="exact"/>
        <w:ind w:leftChars="200" w:firstLine="540"/>
        <w:textAlignment w:val="auto"/>
        <w:rPr>
          <w:rFonts w:hint="eastAsia" w:ascii="仿宋" w:hAnsi="仿宋" w:eastAsia="仿宋" w:cs="仿宋"/>
          <w:sz w:val="24"/>
          <w:szCs w:val="24"/>
          <w:highlight w:val="none"/>
          <w:lang w:val="en-US" w:eastAsia="zh-CN"/>
        </w:rPr>
      </w:pPr>
    </w:p>
    <w:p w14:paraId="101AA709">
      <w:pPr>
        <w:rPr>
          <w:rFonts w:hint="eastAsia" w:ascii="仿宋" w:hAnsi="仿宋" w:eastAsia="仿宋" w:cs="仿宋"/>
          <w:highlight w:val="none"/>
        </w:rPr>
      </w:pPr>
    </w:p>
    <w:p w14:paraId="6D283956">
      <w:pPr>
        <w:pStyle w:val="4"/>
        <w:numPr>
          <w:ilvl w:val="0"/>
          <w:numId w:val="4"/>
        </w:numPr>
        <w:bidi w:val="0"/>
        <w:ind w:left="0" w:leftChars="0" w:firstLine="0" w:firstLineChars="0"/>
        <w:jc w:val="center"/>
        <w:rPr>
          <w:rFonts w:hint="eastAsia" w:ascii="仿宋" w:hAnsi="仿宋" w:eastAsia="仿宋" w:cs="仿宋"/>
          <w:sz w:val="36"/>
          <w:szCs w:val="36"/>
          <w:highlight w:val="none"/>
          <w:lang w:val="en-US" w:eastAsia="zh-CN"/>
        </w:rPr>
      </w:pPr>
      <w:r>
        <w:rPr>
          <w:rFonts w:hint="eastAsia" w:ascii="仿宋" w:hAnsi="仿宋" w:eastAsia="仿宋" w:cs="仿宋"/>
          <w:b/>
          <w:bCs/>
          <w:color w:val="auto"/>
          <w:kern w:val="44"/>
          <w:sz w:val="44"/>
          <w:szCs w:val="44"/>
          <w:highlight w:val="none"/>
          <w:lang w:val="en-US" w:eastAsia="zh-CN" w:bidi="ar-SA"/>
        </w:rPr>
        <w:br w:type="page"/>
      </w:r>
      <w:bookmarkStart w:id="44" w:name="_Toc3987"/>
      <w:bookmarkStart w:id="45" w:name="_Toc3166"/>
      <w:r>
        <w:rPr>
          <w:rFonts w:hint="eastAsia" w:ascii="仿宋" w:hAnsi="仿宋" w:eastAsia="仿宋" w:cs="仿宋"/>
          <w:sz w:val="36"/>
          <w:szCs w:val="36"/>
          <w:highlight w:val="none"/>
          <w:lang w:val="en-US" w:eastAsia="zh-CN"/>
        </w:rPr>
        <w:t>投标人须知</w:t>
      </w:r>
      <w:bookmarkEnd w:id="4"/>
      <w:bookmarkEnd w:id="5"/>
      <w:bookmarkEnd w:id="6"/>
      <w:bookmarkEnd w:id="7"/>
      <w:bookmarkEnd w:id="8"/>
      <w:bookmarkEnd w:id="9"/>
      <w:bookmarkEnd w:id="10"/>
      <w:bookmarkEnd w:id="11"/>
      <w:bookmarkEnd w:id="14"/>
      <w:bookmarkEnd w:id="15"/>
      <w:bookmarkEnd w:id="44"/>
      <w:bookmarkEnd w:id="45"/>
      <w:bookmarkStart w:id="46" w:name="_Toc152042304"/>
      <w:bookmarkStart w:id="47" w:name="_Toc246996917"/>
      <w:bookmarkStart w:id="48" w:name="_Toc296602419"/>
      <w:bookmarkStart w:id="49" w:name="_Toc144974496"/>
      <w:bookmarkStart w:id="50" w:name="_Toc179632545"/>
      <w:bookmarkStart w:id="51" w:name="_Toc246996174"/>
      <w:bookmarkStart w:id="52" w:name="_Toc247085688"/>
      <w:bookmarkStart w:id="53" w:name="_Toc152045528"/>
    </w:p>
    <w:p w14:paraId="647C5196">
      <w:pPr>
        <w:pStyle w:val="5"/>
        <w:numPr>
          <w:ilvl w:val="0"/>
          <w:numId w:val="0"/>
        </w:numPr>
        <w:ind w:leftChars="0"/>
        <w:jc w:val="center"/>
        <w:rPr>
          <w:rFonts w:hint="default"/>
          <w:highlight w:val="none"/>
          <w:lang w:val="en-US" w:eastAsia="zh-CN"/>
        </w:rPr>
      </w:pPr>
      <w:r>
        <w:rPr>
          <w:rFonts w:hint="eastAsia" w:ascii="仿宋" w:hAnsi="仿宋" w:eastAsia="仿宋" w:cs="仿宋"/>
          <w:b/>
          <w:bCs/>
          <w:color w:val="000000"/>
          <w:sz w:val="30"/>
          <w:szCs w:val="30"/>
          <w:highlight w:val="none"/>
          <w:lang w:val="en-US" w:eastAsia="zh-CN"/>
        </w:rPr>
        <w:t>投标人须知表</w:t>
      </w:r>
    </w:p>
    <w:tbl>
      <w:tblPr>
        <w:tblStyle w:val="15"/>
        <w:tblW w:w="8306" w:type="dxa"/>
        <w:tblInd w:w="103" w:type="dxa"/>
        <w:tblLayout w:type="fixed"/>
        <w:tblCellMar>
          <w:top w:w="0" w:type="dxa"/>
          <w:left w:w="108" w:type="dxa"/>
          <w:bottom w:w="0" w:type="dxa"/>
          <w:right w:w="108" w:type="dxa"/>
        </w:tblCellMar>
      </w:tblPr>
      <w:tblGrid>
        <w:gridCol w:w="1122"/>
        <w:gridCol w:w="1920"/>
        <w:gridCol w:w="5264"/>
      </w:tblGrid>
      <w:tr w14:paraId="05A8A40C">
        <w:tblPrEx>
          <w:tblCellMar>
            <w:top w:w="0" w:type="dxa"/>
            <w:left w:w="108" w:type="dxa"/>
            <w:bottom w:w="0" w:type="dxa"/>
            <w:right w:w="108" w:type="dxa"/>
          </w:tblCellMar>
        </w:tblPrEx>
        <w:trPr>
          <w:trHeight w:val="525"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1C3889F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bookmarkStart w:id="54" w:name="_Toc2590"/>
            <w:bookmarkStart w:id="55" w:name="_Toc52181462"/>
            <w:r>
              <w:rPr>
                <w:rFonts w:hint="eastAsia" w:ascii="仿宋" w:hAnsi="仿宋" w:eastAsia="仿宋" w:cs="仿宋"/>
                <w:color w:val="auto"/>
                <w:sz w:val="21"/>
                <w:szCs w:val="21"/>
                <w:highlight w:val="none"/>
              </w:rPr>
              <w:t>条款号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D50FB4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条  款  名  称</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0CB3293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编  列  内  容</w:t>
            </w:r>
          </w:p>
        </w:tc>
      </w:tr>
      <w:tr w14:paraId="32A0F639">
        <w:tblPrEx>
          <w:tblCellMar>
            <w:top w:w="0" w:type="dxa"/>
            <w:left w:w="108" w:type="dxa"/>
            <w:bottom w:w="0" w:type="dxa"/>
            <w:right w:w="108" w:type="dxa"/>
          </w:tblCellMar>
        </w:tblPrEx>
        <w:trPr>
          <w:trHeight w:val="681"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7EFE4EB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8B8846B">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5A1DC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名    称：</w:t>
            </w:r>
            <w:r>
              <w:rPr>
                <w:rFonts w:hint="eastAsia" w:ascii="仿宋" w:hAnsi="仿宋" w:eastAsia="仿宋" w:cs="仿宋"/>
                <w:sz w:val="21"/>
                <w:szCs w:val="21"/>
                <w:highlight w:val="none"/>
                <w:lang w:val="en-US" w:eastAsia="zh-CN"/>
              </w:rPr>
              <w:t>吉林市丰满区第二实验小学校</w:t>
            </w:r>
          </w:p>
          <w:p w14:paraId="415A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    址：</w:t>
            </w:r>
            <w:r>
              <w:rPr>
                <w:rFonts w:hint="eastAsia" w:ascii="仿宋" w:hAnsi="仿宋" w:eastAsia="仿宋" w:cs="仿宋"/>
                <w:sz w:val="21"/>
                <w:szCs w:val="21"/>
                <w:highlight w:val="none"/>
                <w:lang w:eastAsia="zh-CN"/>
              </w:rPr>
              <w:t>吉林市高新区深圳街110号</w:t>
            </w:r>
          </w:p>
          <w:p w14:paraId="0DAB7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学校</w:t>
            </w:r>
            <w:r>
              <w:rPr>
                <w:rFonts w:hint="eastAsia" w:ascii="仿宋" w:hAnsi="仿宋" w:eastAsia="仿宋" w:cs="仿宋"/>
                <w:sz w:val="21"/>
                <w:szCs w:val="21"/>
                <w:highlight w:val="none"/>
              </w:rPr>
              <w:t>联系</w:t>
            </w:r>
            <w:r>
              <w:rPr>
                <w:rFonts w:hint="eastAsia" w:ascii="仿宋" w:hAnsi="仿宋" w:eastAsia="仿宋" w:cs="仿宋"/>
                <w:sz w:val="21"/>
                <w:szCs w:val="21"/>
                <w:highlight w:val="none"/>
                <w:lang w:eastAsia="zh-CN"/>
              </w:rPr>
              <w:t>人：</w:t>
            </w:r>
            <w:r>
              <w:rPr>
                <w:rFonts w:hint="eastAsia" w:ascii="仿宋" w:hAnsi="仿宋" w:eastAsia="仿宋" w:cs="仿宋"/>
                <w:sz w:val="21"/>
                <w:szCs w:val="21"/>
                <w:highlight w:val="none"/>
                <w:lang w:val="en-US" w:eastAsia="zh-CN"/>
              </w:rPr>
              <w:t>孙志有</w:t>
            </w:r>
          </w:p>
          <w:p w14:paraId="48F3E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sz w:val="21"/>
                <w:szCs w:val="21"/>
                <w:highlight w:val="none"/>
                <w:lang w:val="en-US" w:eastAsia="zh-CN"/>
              </w:rPr>
              <w:t>学校</w:t>
            </w:r>
            <w:r>
              <w:rPr>
                <w:rFonts w:hint="eastAsia" w:ascii="仿宋" w:hAnsi="仿宋" w:eastAsia="仿宋" w:cs="仿宋"/>
                <w:sz w:val="21"/>
                <w:szCs w:val="21"/>
                <w:highlight w:val="none"/>
                <w:lang w:eastAsia="zh-CN"/>
              </w:rPr>
              <w:t>联系方式：</w:t>
            </w:r>
            <w:r>
              <w:rPr>
                <w:rFonts w:hint="eastAsia" w:ascii="仿宋" w:hAnsi="仿宋" w:eastAsia="仿宋" w:cs="仿宋"/>
                <w:sz w:val="21"/>
                <w:szCs w:val="21"/>
                <w:highlight w:val="none"/>
                <w:lang w:val="en-US" w:eastAsia="zh-CN"/>
              </w:rPr>
              <w:t xml:space="preserve">0432-66911606  </w:t>
            </w:r>
            <w:r>
              <w:rPr>
                <w:rFonts w:hint="eastAsia" w:ascii="仿宋" w:hAnsi="仿宋" w:eastAsia="仿宋" w:cs="仿宋"/>
                <w:sz w:val="21"/>
                <w:szCs w:val="21"/>
                <w:highlight w:val="none"/>
                <w:u w:val="none"/>
                <w:lang w:val="en-US" w:eastAsia="zh-CN"/>
              </w:rPr>
              <w:t>13943248749</w:t>
            </w:r>
          </w:p>
        </w:tc>
      </w:tr>
      <w:tr w14:paraId="533F2442">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7835EB57">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59A681D">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招标代理机构</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3DF9F829">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招标代理机构：</w:t>
            </w:r>
            <w:r>
              <w:rPr>
                <w:rFonts w:hint="eastAsia" w:cs="仿宋"/>
                <w:color w:val="auto"/>
                <w:sz w:val="21"/>
                <w:szCs w:val="21"/>
                <w:highlight w:val="none"/>
                <w:lang w:eastAsia="zh-CN"/>
              </w:rPr>
              <w:t>中屹宬信建设集团有限公司</w:t>
            </w:r>
          </w:p>
          <w:p w14:paraId="3E77F27B">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地址：</w:t>
            </w:r>
            <w:r>
              <w:rPr>
                <w:rFonts w:hint="eastAsia" w:cs="仿宋"/>
                <w:color w:val="auto"/>
                <w:sz w:val="21"/>
                <w:szCs w:val="21"/>
                <w:highlight w:val="none"/>
                <w:lang w:eastAsia="zh-CN"/>
              </w:rPr>
              <w:t>吉林省吉林市船营区雾凇中路中凯家博汇37号楼15层</w:t>
            </w:r>
          </w:p>
          <w:p w14:paraId="0796F40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联系人：</w:t>
            </w:r>
            <w:r>
              <w:rPr>
                <w:rFonts w:hint="eastAsia" w:cs="仿宋"/>
                <w:color w:val="auto"/>
                <w:sz w:val="21"/>
                <w:szCs w:val="21"/>
                <w:highlight w:val="none"/>
                <w:lang w:val="en-US" w:eastAsia="zh-CN"/>
              </w:rPr>
              <w:t>杨光普</w:t>
            </w:r>
            <w:r>
              <w:rPr>
                <w:rFonts w:hint="eastAsia" w:ascii="仿宋" w:hAnsi="仿宋" w:eastAsia="仿宋" w:cs="仿宋"/>
                <w:color w:val="auto"/>
                <w:sz w:val="21"/>
                <w:szCs w:val="21"/>
                <w:highlight w:val="none"/>
                <w:lang w:eastAsia="zh-CN"/>
              </w:rPr>
              <w:t xml:space="preserve">     </w:t>
            </w:r>
          </w:p>
          <w:p w14:paraId="331F0E1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联系电话：</w:t>
            </w:r>
            <w:r>
              <w:rPr>
                <w:rFonts w:hint="eastAsia" w:cs="仿宋"/>
                <w:color w:val="auto"/>
                <w:sz w:val="21"/>
                <w:szCs w:val="21"/>
                <w:highlight w:val="none"/>
                <w:lang w:eastAsia="zh-CN"/>
              </w:rPr>
              <w:t>0432-63360157</w:t>
            </w:r>
          </w:p>
        </w:tc>
      </w:tr>
      <w:tr w14:paraId="1F44A25B">
        <w:tblPrEx>
          <w:tblCellMar>
            <w:top w:w="0" w:type="dxa"/>
            <w:left w:w="108" w:type="dxa"/>
            <w:bottom w:w="0" w:type="dxa"/>
            <w:right w:w="108" w:type="dxa"/>
          </w:tblCellMar>
        </w:tblPrEx>
        <w:trPr>
          <w:trHeight w:val="340"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05565A6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C8871D4">
            <w:pPr>
              <w:keepNext w:val="0"/>
              <w:keepLines w:val="0"/>
              <w:widowControl/>
              <w:suppressLineNumbers w:val="0"/>
              <w:spacing w:before="0" w:beforeAutospacing="0" w:after="0" w:afterAutospacing="0" w:line="240" w:lineRule="auto"/>
              <w:ind w:left="0" w:right="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20FC250E">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吉林市丰满区第二实验小学校教师配餐服务项目</w:t>
            </w:r>
          </w:p>
        </w:tc>
      </w:tr>
      <w:tr w14:paraId="4BC6BD0F">
        <w:tblPrEx>
          <w:tblCellMar>
            <w:top w:w="0" w:type="dxa"/>
            <w:left w:w="108" w:type="dxa"/>
            <w:bottom w:w="0" w:type="dxa"/>
            <w:right w:w="108" w:type="dxa"/>
          </w:tblCellMar>
        </w:tblPrEx>
        <w:trPr>
          <w:trHeight w:val="397"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2CF65D8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9C330CE">
            <w:pPr>
              <w:keepNext w:val="0"/>
              <w:keepLines w:val="0"/>
              <w:widowControl/>
              <w:suppressLineNumbers w:val="0"/>
              <w:spacing w:before="0" w:beforeAutospacing="0" w:after="0" w:afterAutospacing="0" w:line="240" w:lineRule="auto"/>
              <w:ind w:left="0" w:right="0" w:firstLine="0" w:firstLineChars="0"/>
              <w:jc w:val="both"/>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服务地点</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3B4BB3F9">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吉林市丰满区第二实验小学校</w:t>
            </w:r>
          </w:p>
        </w:tc>
      </w:tr>
      <w:tr w14:paraId="2CCB971B">
        <w:tblPrEx>
          <w:tblCellMar>
            <w:top w:w="0" w:type="dxa"/>
            <w:left w:w="108" w:type="dxa"/>
            <w:bottom w:w="0" w:type="dxa"/>
            <w:right w:w="108" w:type="dxa"/>
          </w:tblCellMar>
        </w:tblPrEx>
        <w:trPr>
          <w:trHeight w:val="340"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31D1445F">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28B0578">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资金来源及比例</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6855295">
            <w:pPr>
              <w:keepNext w:val="0"/>
              <w:keepLines w:val="0"/>
              <w:widowControl/>
              <w:suppressLineNumbers w:val="0"/>
              <w:spacing w:before="0" w:beforeAutospacing="0" w:after="0" w:afterAutospacing="0" w:line="240" w:lineRule="auto"/>
              <w:ind w:left="0" w:right="0" w:firstLine="0" w:firstLineChars="0"/>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财政资金</w:t>
            </w:r>
          </w:p>
        </w:tc>
      </w:tr>
      <w:tr w14:paraId="00956285">
        <w:tblPrEx>
          <w:tblCellMar>
            <w:top w:w="0" w:type="dxa"/>
            <w:left w:w="108" w:type="dxa"/>
            <w:bottom w:w="0" w:type="dxa"/>
            <w:right w:w="108" w:type="dxa"/>
          </w:tblCellMar>
        </w:tblPrEx>
        <w:trPr>
          <w:trHeight w:val="340"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55BD4C8B">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D68703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资金落实情况</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6B1D6573">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已落实</w:t>
            </w:r>
          </w:p>
        </w:tc>
      </w:tr>
      <w:tr w14:paraId="20ACCE5E">
        <w:tblPrEx>
          <w:tblCellMar>
            <w:top w:w="0" w:type="dxa"/>
            <w:left w:w="108" w:type="dxa"/>
            <w:bottom w:w="0" w:type="dxa"/>
            <w:right w:w="108" w:type="dxa"/>
          </w:tblCellMar>
        </w:tblPrEx>
        <w:trPr>
          <w:trHeight w:val="340"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2D81994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82E3A62">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招标范围</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98E2CF2">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教师配餐服务</w:t>
            </w:r>
          </w:p>
        </w:tc>
      </w:tr>
      <w:tr w14:paraId="517F8A92">
        <w:tblPrEx>
          <w:tblCellMar>
            <w:top w:w="0" w:type="dxa"/>
            <w:left w:w="108" w:type="dxa"/>
            <w:bottom w:w="0" w:type="dxa"/>
            <w:right w:w="108" w:type="dxa"/>
          </w:tblCellMar>
        </w:tblPrEx>
        <w:trPr>
          <w:trHeight w:val="340"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737289B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A02CA94">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4A0D68DF">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en-US" w:eastAsia="zh-CN"/>
              </w:rPr>
            </w:pPr>
            <w:r>
              <w:rPr>
                <w:rFonts w:hint="eastAsia" w:cs="仿宋"/>
                <w:sz w:val="21"/>
                <w:szCs w:val="21"/>
                <w:highlight w:val="none"/>
                <w:u w:val="none"/>
                <w:lang w:val="en-US" w:eastAsia="zh-CN"/>
              </w:rPr>
              <w:t>一年（具体以实际发生为准）</w:t>
            </w:r>
          </w:p>
        </w:tc>
      </w:tr>
      <w:tr w14:paraId="54A52BED">
        <w:tblPrEx>
          <w:tblCellMar>
            <w:top w:w="0" w:type="dxa"/>
            <w:left w:w="108" w:type="dxa"/>
            <w:bottom w:w="0" w:type="dxa"/>
            <w:right w:w="108" w:type="dxa"/>
          </w:tblCellMar>
        </w:tblPrEx>
        <w:trPr>
          <w:trHeight w:val="360"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1B00902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DB0D055">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C32939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符合国家及行业现行的合格标准，满足采购人使用要求</w:t>
            </w:r>
          </w:p>
        </w:tc>
      </w:tr>
      <w:tr w14:paraId="30DB9D62">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261E1958">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79A8B3D">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投标人资质条件、能力</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4281E197">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1.满足《中华人民共和国政府采购法》第二十二条规定；</w:t>
            </w:r>
          </w:p>
          <w:p w14:paraId="40CB76DF">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落实政府采购政策需满足的资格要求：本次招标活动对于满足国家采购政策要求的投标人按照《中华人民共和国政府采购法》、《中华人民共和国政府采购法实施条例》及其相关配套的政府采购政策、相关规定的扶持政策执行；</w:t>
            </w:r>
          </w:p>
          <w:p w14:paraId="2801DCCF">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3.本项目的特定资格要求：</w:t>
            </w:r>
          </w:p>
          <w:p w14:paraId="4CB9061A">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在中国境内依法登记注册具有独立承担民事责任能力的法人、其他组织或者自然人，具备有效的营业执照，具有本次招标项目的经营范围</w:t>
            </w:r>
            <w:r>
              <w:rPr>
                <w:rFonts w:hint="eastAsia" w:ascii="仿宋" w:hAnsi="仿宋" w:eastAsia="仿宋" w:cs="仿宋"/>
                <w:color w:val="auto"/>
                <w:sz w:val="21"/>
                <w:szCs w:val="21"/>
                <w:highlight w:val="none"/>
                <w:lang w:eastAsia="zh-CN"/>
              </w:rPr>
              <w:t>；</w:t>
            </w:r>
          </w:p>
          <w:p w14:paraId="77AA961B">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供应商需具备食品药品行政监督部核发的《食品经营许可证》，食品经营许可证主体业态包含餐饮服务经营者“集体用餐配送”</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w:t>
            </w:r>
          </w:p>
          <w:p w14:paraId="22246E2C">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（3）需有食品安全量化等级应达到A级；</w:t>
            </w:r>
          </w:p>
          <w:p w14:paraId="700460AF">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（4）配备符合配送需要的封闭式食品专用运输车辆；</w:t>
            </w:r>
          </w:p>
          <w:p w14:paraId="31CE06DF">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（5）有食品安全管理机构，配备食品安全管理人员和至少一名具备资质的营养指导人员（公共营养师、营养配餐员、营养指导员等）；</w:t>
            </w:r>
          </w:p>
          <w:p w14:paraId="518A8C62">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近三年餐饮经营过程中没有任何食品卫生安全、消防安全、中毒事件等方面的不良记录</w:t>
            </w:r>
          </w:p>
          <w:p w14:paraId="1D12045C">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企业名称不同但法定代表人为同一个自然人的两个或者两个以上的投标人不得参加同一采购项目的投标。如果出现上述情况，相关投标人的投标均将被拒绝；</w:t>
            </w:r>
          </w:p>
          <w:p w14:paraId="4E5256AC">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按照《财政部关于在政府采购活动中查询及使用信用记录有关问题的通知》（财库〔2016〕125号）的要求，对在“信用中国”网站列入失信被执行人、重大税收违法案件当事人名单、企业经营异常名录；对在中国政府采购网列入政府采购严重违法失信行为记录名单及其他不符合《中华人民共和国政府采购法》第二十二条规定的,不得参加政府采购活动；</w:t>
            </w:r>
          </w:p>
          <w:p w14:paraId="2E8EAD39">
            <w:pPr>
              <w:keepNext w:val="0"/>
              <w:keepLines w:val="0"/>
              <w:widowControl/>
              <w:numPr>
                <w:ilvl w:val="0"/>
                <w:numId w:val="0"/>
              </w:numPr>
              <w:suppressLineNumbers w:val="0"/>
              <w:spacing w:before="0" w:beforeAutospacing="0" w:after="0" w:afterAutospacing="0" w:line="240" w:lineRule="auto"/>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投标人须在“中国裁判文书网”自行查询近三年投标人单位和个人（指法定代表人）的行贿犯罪记录（案由：行贿），且提供查询页面无行贿记录的截图并加盖公章作为无行贿犯罪记录证明；</w:t>
            </w:r>
          </w:p>
          <w:p w14:paraId="7930648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拒绝列入政府取消投标资格记录期间的企业或个人投标；</w:t>
            </w:r>
          </w:p>
        </w:tc>
      </w:tr>
      <w:tr w14:paraId="360C1D2D">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5F1FF77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CCD37EC">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是否接受联合体投标</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5A0A0D51">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不接受</w:t>
            </w:r>
          </w:p>
        </w:tc>
      </w:tr>
      <w:tr w14:paraId="27E9FB76">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3F975E5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2"/>
                <w:sz w:val="21"/>
                <w:szCs w:val="21"/>
                <w:highlight w:val="none"/>
                <w:lang w:val="en-US" w:eastAsia="zh-CN" w:bidi="ar-SA"/>
              </w:rPr>
            </w:pPr>
            <w:r>
              <w:rPr>
                <w:rFonts w:hint="eastAsia" w:cs="仿宋"/>
                <w:sz w:val="21"/>
                <w:szCs w:val="21"/>
                <w:highlight w:val="none"/>
              </w:rPr>
              <w:t>1.9.1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575C75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2"/>
                <w:sz w:val="21"/>
                <w:szCs w:val="21"/>
                <w:highlight w:val="none"/>
                <w:lang w:val="en-US" w:eastAsia="zh-CN" w:bidi="ar-SA"/>
              </w:rPr>
            </w:pPr>
            <w:r>
              <w:rPr>
                <w:rFonts w:hint="eastAsia" w:cs="仿宋"/>
                <w:sz w:val="21"/>
                <w:szCs w:val="21"/>
                <w:highlight w:val="none"/>
              </w:rPr>
              <w:t>踏勘现场</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0DD964B">
            <w:pPr>
              <w:pStyle w:val="7"/>
              <w:keepNext w:val="0"/>
              <w:keepLines w:val="0"/>
              <w:widowControl/>
              <w:suppressLineNumbers w:val="0"/>
              <w:spacing w:before="0" w:beforeAutospacing="0" w:after="0" w:afterAutospacing="0" w:line="240" w:lineRule="auto"/>
              <w:ind w:left="0" w:right="0" w:firstLine="0" w:firstLineChars="0"/>
              <w:rPr>
                <w:rFonts w:hint="default" w:ascii="仿宋" w:cs="仿宋"/>
                <w:sz w:val="21"/>
                <w:szCs w:val="21"/>
                <w:highlight w:val="none"/>
              </w:rPr>
            </w:pPr>
            <w:r>
              <w:rPr>
                <w:rFonts w:hint="eastAsia" w:ascii="仿宋" w:cs="仿宋"/>
                <w:sz w:val="21"/>
                <w:szCs w:val="21"/>
                <w:highlight w:val="none"/>
              </w:rPr>
              <w:t>☑不组织</w:t>
            </w:r>
          </w:p>
          <w:p w14:paraId="3616A5DA">
            <w:pPr>
              <w:keepNext w:val="0"/>
              <w:keepLines w:val="0"/>
              <w:widowControl/>
              <w:suppressLineNumbers w:val="0"/>
              <w:spacing w:before="0" w:beforeAutospacing="0" w:after="0" w:afterAutospacing="0" w:line="240" w:lineRule="auto"/>
              <w:ind w:left="0" w:right="0" w:firstLine="0" w:firstLineChars="0"/>
              <w:rPr>
                <w:rFonts w:hint="default" w:cs="仿宋"/>
                <w:sz w:val="21"/>
                <w:szCs w:val="21"/>
                <w:highlight w:val="none"/>
              </w:rPr>
            </w:pPr>
            <w:r>
              <w:rPr>
                <w:rFonts w:hint="eastAsia" w:cs="仿宋"/>
                <w:sz w:val="21"/>
                <w:szCs w:val="21"/>
                <w:highlight w:val="none"/>
              </w:rPr>
              <w:t>□组织，踏勘时间：</w:t>
            </w:r>
          </w:p>
          <w:p w14:paraId="120FE3BE">
            <w:pPr>
              <w:keepNext w:val="0"/>
              <w:keepLines w:val="0"/>
              <w:widowControl/>
              <w:suppressLineNumbers w:val="0"/>
              <w:spacing w:before="0" w:beforeAutospacing="0" w:after="0" w:afterAutospacing="0" w:line="240" w:lineRule="auto"/>
              <w:ind w:left="0" w:right="0" w:firstLine="210" w:firstLineChars="100"/>
              <w:rPr>
                <w:rFonts w:hint="eastAsia" w:ascii="仿宋" w:hAnsi="仿宋" w:eastAsia="仿宋" w:cs="仿宋"/>
                <w:kern w:val="2"/>
                <w:sz w:val="21"/>
                <w:szCs w:val="21"/>
                <w:highlight w:val="none"/>
                <w:lang w:val="en-US" w:eastAsia="zh-CN" w:bidi="ar-SA"/>
              </w:rPr>
            </w:pPr>
            <w:r>
              <w:rPr>
                <w:rFonts w:hint="eastAsia" w:cs="仿宋"/>
                <w:sz w:val="21"/>
                <w:szCs w:val="21"/>
                <w:highlight w:val="none"/>
              </w:rPr>
              <w:t>踏勘集中地点：</w:t>
            </w:r>
          </w:p>
        </w:tc>
      </w:tr>
      <w:tr w14:paraId="29C15E72">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2E744A5F">
            <w:pPr>
              <w:keepNext w:val="0"/>
              <w:keepLines w:val="0"/>
              <w:widowControl/>
              <w:suppressLineNumbers w:val="0"/>
              <w:spacing w:before="0" w:beforeAutospacing="0" w:after="0" w:afterAutospacing="0" w:line="240" w:lineRule="auto"/>
              <w:ind w:left="0" w:right="0" w:firstLine="0" w:firstLineChars="0"/>
              <w:jc w:val="center"/>
              <w:rPr>
                <w:rFonts w:hint="eastAsia" w:cs="仿宋"/>
                <w:sz w:val="21"/>
                <w:szCs w:val="21"/>
                <w:highlight w:val="none"/>
              </w:rPr>
            </w:pPr>
            <w:r>
              <w:rPr>
                <w:rFonts w:hint="eastAsia" w:cs="仿宋"/>
                <w:sz w:val="21"/>
                <w:szCs w:val="21"/>
                <w:highlight w:val="none"/>
              </w:rPr>
              <w:t>1.10.1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0AC11B8">
            <w:pPr>
              <w:keepNext w:val="0"/>
              <w:keepLines w:val="0"/>
              <w:widowControl/>
              <w:suppressLineNumbers w:val="0"/>
              <w:spacing w:before="0" w:beforeAutospacing="0" w:after="0" w:afterAutospacing="0" w:line="240" w:lineRule="auto"/>
              <w:ind w:left="0" w:right="0" w:firstLine="0" w:firstLineChars="0"/>
              <w:jc w:val="center"/>
              <w:rPr>
                <w:rFonts w:hint="eastAsia" w:cs="仿宋"/>
                <w:sz w:val="21"/>
                <w:szCs w:val="21"/>
                <w:highlight w:val="none"/>
              </w:rPr>
            </w:pPr>
            <w:r>
              <w:rPr>
                <w:rFonts w:hint="eastAsia" w:cs="仿宋"/>
                <w:sz w:val="21"/>
                <w:szCs w:val="21"/>
                <w:highlight w:val="none"/>
              </w:rPr>
              <w:t>投标预备会</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5025B399">
            <w:pPr>
              <w:pStyle w:val="7"/>
              <w:keepNext w:val="0"/>
              <w:keepLines w:val="0"/>
              <w:widowControl/>
              <w:suppressLineNumbers w:val="0"/>
              <w:spacing w:before="0" w:beforeAutospacing="0" w:after="0" w:afterAutospacing="0" w:line="240" w:lineRule="auto"/>
              <w:ind w:left="0" w:right="0" w:firstLine="0" w:firstLineChars="0"/>
              <w:rPr>
                <w:rFonts w:hint="default" w:ascii="仿宋" w:cs="仿宋"/>
                <w:sz w:val="21"/>
                <w:szCs w:val="21"/>
                <w:highlight w:val="none"/>
              </w:rPr>
            </w:pPr>
            <w:r>
              <w:rPr>
                <w:rFonts w:hint="eastAsia" w:ascii="仿宋" w:cs="仿宋"/>
                <w:sz w:val="21"/>
                <w:szCs w:val="21"/>
                <w:highlight w:val="none"/>
              </w:rPr>
              <w:t>☑不召开</w:t>
            </w:r>
          </w:p>
          <w:p w14:paraId="73C544BC">
            <w:pPr>
              <w:keepNext w:val="0"/>
              <w:keepLines w:val="0"/>
              <w:widowControl/>
              <w:suppressLineNumbers w:val="0"/>
              <w:spacing w:before="0" w:beforeAutospacing="0" w:after="0" w:afterAutospacing="0" w:line="240" w:lineRule="auto"/>
              <w:ind w:left="0" w:right="0" w:firstLine="0" w:firstLineChars="0"/>
              <w:rPr>
                <w:rFonts w:hint="default" w:cs="仿宋"/>
                <w:sz w:val="21"/>
                <w:szCs w:val="21"/>
                <w:highlight w:val="none"/>
              </w:rPr>
            </w:pPr>
            <w:r>
              <w:rPr>
                <w:rFonts w:hint="eastAsia" w:cs="仿宋"/>
                <w:sz w:val="21"/>
                <w:szCs w:val="21"/>
                <w:highlight w:val="none"/>
              </w:rPr>
              <w:t>□召开，召开时间：</w:t>
            </w:r>
          </w:p>
          <w:p w14:paraId="0EE0B3DF">
            <w:pPr>
              <w:pStyle w:val="7"/>
              <w:keepNext w:val="0"/>
              <w:keepLines w:val="0"/>
              <w:widowControl/>
              <w:suppressLineNumbers w:val="0"/>
              <w:spacing w:before="0" w:beforeAutospacing="0" w:after="0" w:afterAutospacing="0" w:line="240" w:lineRule="auto"/>
              <w:ind w:left="0" w:right="0" w:firstLine="210" w:firstLineChars="100"/>
              <w:rPr>
                <w:rFonts w:hint="eastAsia" w:cs="仿宋"/>
                <w:sz w:val="21"/>
                <w:szCs w:val="21"/>
                <w:highlight w:val="none"/>
              </w:rPr>
            </w:pPr>
            <w:r>
              <w:rPr>
                <w:rFonts w:hint="eastAsia" w:ascii="仿宋" w:cs="仿宋"/>
                <w:sz w:val="21"/>
                <w:szCs w:val="21"/>
                <w:highlight w:val="none"/>
              </w:rPr>
              <w:t>召开地点：</w:t>
            </w:r>
          </w:p>
        </w:tc>
      </w:tr>
      <w:tr w14:paraId="690C9F49">
        <w:tblPrEx>
          <w:tblCellMar>
            <w:top w:w="0" w:type="dxa"/>
            <w:left w:w="108" w:type="dxa"/>
            <w:bottom w:w="0" w:type="dxa"/>
            <w:right w:w="108" w:type="dxa"/>
          </w:tblCellMar>
        </w:tblPrEx>
        <w:trPr>
          <w:trHeight w:val="492"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0A3CCE3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cs="仿宋"/>
                <w:sz w:val="21"/>
                <w:szCs w:val="21"/>
                <w:highlight w:val="none"/>
              </w:rPr>
              <w:t>1.10.2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FB3C8F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cs="仿宋"/>
                <w:sz w:val="21"/>
                <w:szCs w:val="21"/>
                <w:highlight w:val="none"/>
              </w:rPr>
              <w:t>投标人提出问题的截止时间</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5DF1BA10">
            <w:pPr>
              <w:pStyle w:val="2"/>
              <w:keepNext w:val="0"/>
              <w:keepLines w:val="0"/>
              <w:widowControl/>
              <w:suppressLineNumbers w:val="0"/>
              <w:spacing w:before="0" w:beforeAutospacing="0" w:afterAutospacing="0" w:line="240" w:lineRule="auto"/>
              <w:ind w:left="0" w:leftChars="0" w:right="0" w:firstLine="0" w:firstLineChars="0"/>
              <w:rPr>
                <w:rFonts w:hint="default" w:cs="仿宋"/>
                <w:sz w:val="21"/>
                <w:szCs w:val="21"/>
                <w:highlight w:val="none"/>
              </w:rPr>
            </w:pPr>
            <w:r>
              <w:rPr>
                <w:rFonts w:hint="default"/>
                <w:highlight w:val="none"/>
              </w:rPr>
              <w:fldChar w:fldCharType="begin"/>
            </w:r>
            <w:r>
              <w:rPr>
                <w:rFonts w:hint="default"/>
                <w:highlight w:val="none"/>
              </w:rPr>
              <w:instrText xml:space="preserve"> HYPERLINK "mailto:投标人应在开标15日前将疑问电子版文件传至采购代理机构邮箱（125529446@qq.com）" </w:instrText>
            </w:r>
            <w:r>
              <w:rPr>
                <w:rFonts w:hint="default"/>
                <w:highlight w:val="none"/>
              </w:rPr>
              <w:fldChar w:fldCharType="separate"/>
            </w:r>
            <w:r>
              <w:rPr>
                <w:rStyle w:val="18"/>
                <w:rFonts w:hint="eastAsia" w:cs="仿宋"/>
                <w:color w:val="auto"/>
                <w:sz w:val="21"/>
                <w:szCs w:val="21"/>
                <w:highlight w:val="none"/>
              </w:rPr>
              <w:t>投标人应在开标5日前将疑问电子版文件传至采购代理机构邮箱（zhaobiaobu@jlzycx.com）</w:t>
            </w:r>
            <w:r>
              <w:rPr>
                <w:rStyle w:val="18"/>
                <w:rFonts w:hint="eastAsia" w:cs="仿宋"/>
                <w:color w:val="auto"/>
                <w:sz w:val="21"/>
                <w:szCs w:val="21"/>
                <w:highlight w:val="none"/>
              </w:rPr>
              <w:fldChar w:fldCharType="end"/>
            </w:r>
          </w:p>
          <w:p w14:paraId="08485357">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cs="仿宋"/>
                <w:sz w:val="21"/>
                <w:szCs w:val="21"/>
                <w:highlight w:val="none"/>
              </w:rPr>
              <w:t>注：相关疑问按上述要求递交外，还应按</w:t>
            </w:r>
            <w:r>
              <w:rPr>
                <w:rFonts w:hint="eastAsia" w:cs="仿宋"/>
                <w:sz w:val="21"/>
                <w:szCs w:val="21"/>
                <w:highlight w:val="none"/>
                <w:lang w:val="zh-CN"/>
              </w:rPr>
              <w:t>政府采购云平台电子标要求在政府采购云平台提出</w:t>
            </w:r>
          </w:p>
        </w:tc>
      </w:tr>
      <w:tr w14:paraId="3E4D7E3F">
        <w:tblPrEx>
          <w:tblCellMar>
            <w:top w:w="0" w:type="dxa"/>
            <w:left w:w="108" w:type="dxa"/>
            <w:bottom w:w="0" w:type="dxa"/>
            <w:right w:w="108" w:type="dxa"/>
          </w:tblCellMar>
        </w:tblPrEx>
        <w:trPr>
          <w:trHeight w:val="518"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5A53944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ED41F55">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招标人书面澄清的时间</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58BFBD5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在收到相应文件后24小时内</w:t>
            </w:r>
          </w:p>
        </w:tc>
      </w:tr>
      <w:tr w14:paraId="7BEB5AFA">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2D044F7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9EA81BB">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2C6F6639">
            <w:pPr>
              <w:pStyle w:val="7"/>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不允许</w:t>
            </w:r>
          </w:p>
          <w:p w14:paraId="3D9615F5">
            <w:pPr>
              <w:pStyle w:val="7"/>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□允许</w:t>
            </w:r>
          </w:p>
        </w:tc>
      </w:tr>
      <w:tr w14:paraId="4A1C084C">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76F0D2C8">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971CC3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构成招标文件的其他材料</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3136D31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招标文件的澄清、修改、补充文件，以补遗文件形式发送。</w:t>
            </w:r>
          </w:p>
        </w:tc>
      </w:tr>
      <w:tr w14:paraId="3171895B">
        <w:tblPrEx>
          <w:tblCellMar>
            <w:top w:w="0" w:type="dxa"/>
            <w:left w:w="108" w:type="dxa"/>
            <w:bottom w:w="0" w:type="dxa"/>
            <w:right w:w="108" w:type="dxa"/>
          </w:tblCellMar>
        </w:tblPrEx>
        <w:trPr>
          <w:trHeight w:val="618" w:hRule="atLeast"/>
        </w:trPr>
        <w:tc>
          <w:tcPr>
            <w:tcW w:w="1122" w:type="dxa"/>
            <w:tcBorders>
              <w:top w:val="single" w:color="auto" w:sz="4" w:space="0"/>
              <w:left w:val="single" w:color="auto" w:sz="4" w:space="0"/>
              <w:right w:val="single" w:color="auto" w:sz="4" w:space="0"/>
            </w:tcBorders>
            <w:noWrap w:val="0"/>
            <w:vAlign w:val="center"/>
          </w:tcPr>
          <w:p w14:paraId="2A4C9064">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p>
        </w:tc>
        <w:tc>
          <w:tcPr>
            <w:tcW w:w="1920" w:type="dxa"/>
            <w:tcBorders>
              <w:top w:val="single" w:color="auto" w:sz="4" w:space="0"/>
              <w:left w:val="single" w:color="auto" w:sz="4" w:space="0"/>
              <w:right w:val="single" w:color="auto" w:sz="4" w:space="0"/>
            </w:tcBorders>
            <w:noWrap w:val="0"/>
            <w:vAlign w:val="center"/>
          </w:tcPr>
          <w:p w14:paraId="097C98D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投标人要求澄清招标文件的截止时间</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069A5ED8">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时间：递交投标文件截止之日10天前</w:t>
            </w:r>
          </w:p>
        </w:tc>
      </w:tr>
      <w:tr w14:paraId="0AEF865D">
        <w:tblPrEx>
          <w:tblCellMar>
            <w:top w:w="0" w:type="dxa"/>
            <w:left w:w="108" w:type="dxa"/>
            <w:bottom w:w="0" w:type="dxa"/>
            <w:right w:w="108" w:type="dxa"/>
          </w:tblCellMar>
        </w:tblPrEx>
        <w:trPr>
          <w:trHeight w:val="324" w:hRule="atLeast"/>
        </w:trPr>
        <w:tc>
          <w:tcPr>
            <w:tcW w:w="1122" w:type="dxa"/>
            <w:vMerge w:val="restart"/>
            <w:tcBorders>
              <w:top w:val="single" w:color="auto" w:sz="4" w:space="0"/>
              <w:left w:val="single" w:color="auto" w:sz="4" w:space="0"/>
              <w:right w:val="single" w:color="auto" w:sz="4" w:space="0"/>
            </w:tcBorders>
            <w:noWrap w:val="0"/>
            <w:vAlign w:val="center"/>
          </w:tcPr>
          <w:p w14:paraId="66359AB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2.2.3</w:t>
            </w:r>
          </w:p>
        </w:tc>
        <w:tc>
          <w:tcPr>
            <w:tcW w:w="1920" w:type="dxa"/>
            <w:vMerge w:val="restart"/>
            <w:tcBorders>
              <w:top w:val="single" w:color="auto" w:sz="4" w:space="0"/>
              <w:left w:val="single" w:color="auto" w:sz="4" w:space="0"/>
              <w:right w:val="single" w:color="auto" w:sz="4" w:space="0"/>
            </w:tcBorders>
            <w:noWrap w:val="0"/>
            <w:vAlign w:val="center"/>
          </w:tcPr>
          <w:p w14:paraId="70D132E4">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投标人确认收到招标文件澄清</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3625FADE">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时间：收到澄清后24小时内（以发出时间为准）。</w:t>
            </w:r>
          </w:p>
        </w:tc>
      </w:tr>
      <w:tr w14:paraId="071FF7EE">
        <w:tblPrEx>
          <w:tblCellMar>
            <w:top w:w="0" w:type="dxa"/>
            <w:left w:w="108" w:type="dxa"/>
            <w:bottom w:w="0" w:type="dxa"/>
            <w:right w:w="108" w:type="dxa"/>
          </w:tblCellMar>
        </w:tblPrEx>
        <w:trPr>
          <w:trHeight w:val="324" w:hRule="atLeast"/>
        </w:trPr>
        <w:tc>
          <w:tcPr>
            <w:tcW w:w="1122" w:type="dxa"/>
            <w:vMerge w:val="continue"/>
            <w:tcBorders>
              <w:left w:val="single" w:color="auto" w:sz="4" w:space="0"/>
              <w:bottom w:val="single" w:color="auto" w:sz="4" w:space="0"/>
              <w:right w:val="single" w:color="auto" w:sz="4" w:space="0"/>
            </w:tcBorders>
            <w:noWrap w:val="0"/>
            <w:vAlign w:val="center"/>
          </w:tcPr>
          <w:p w14:paraId="379B65EE">
            <w:pPr>
              <w:keepNext w:val="0"/>
              <w:keepLines w:val="0"/>
              <w:widowControl/>
              <w:suppressLineNumbers w:val="0"/>
              <w:spacing w:before="0" w:beforeAutospacing="0" w:after="0" w:afterAutospacing="0" w:line="240" w:lineRule="auto"/>
              <w:ind w:left="0" w:right="0" w:firstLine="0" w:firstLineChars="0"/>
              <w:rPr>
                <w:rFonts w:hint="default"/>
                <w:highlight w:val="none"/>
              </w:rPr>
            </w:pPr>
          </w:p>
        </w:tc>
        <w:tc>
          <w:tcPr>
            <w:tcW w:w="1920" w:type="dxa"/>
            <w:vMerge w:val="continue"/>
            <w:tcBorders>
              <w:left w:val="single" w:color="auto" w:sz="4" w:space="0"/>
              <w:bottom w:val="single" w:color="auto" w:sz="4" w:space="0"/>
              <w:right w:val="single" w:color="auto" w:sz="4" w:space="0"/>
            </w:tcBorders>
            <w:noWrap w:val="0"/>
            <w:vAlign w:val="center"/>
          </w:tcPr>
          <w:p w14:paraId="25DCC839">
            <w:pPr>
              <w:keepNext w:val="0"/>
              <w:keepLines w:val="0"/>
              <w:widowControl/>
              <w:suppressLineNumbers w:val="0"/>
              <w:spacing w:before="0" w:beforeAutospacing="0" w:after="0" w:afterAutospacing="0" w:line="240" w:lineRule="auto"/>
              <w:ind w:left="0" w:right="0" w:firstLine="0" w:firstLineChars="0"/>
              <w:rPr>
                <w:rFonts w:hint="default"/>
                <w:highlight w:val="none"/>
              </w:rPr>
            </w:pPr>
          </w:p>
        </w:tc>
        <w:tc>
          <w:tcPr>
            <w:tcW w:w="5264" w:type="dxa"/>
            <w:tcBorders>
              <w:top w:val="single" w:color="auto" w:sz="4" w:space="0"/>
              <w:left w:val="single" w:color="auto" w:sz="4" w:space="0"/>
              <w:bottom w:val="single" w:color="auto" w:sz="4" w:space="0"/>
              <w:right w:val="single" w:color="auto" w:sz="4" w:space="0"/>
            </w:tcBorders>
            <w:noWrap w:val="0"/>
            <w:vAlign w:val="center"/>
          </w:tcPr>
          <w:p w14:paraId="1828A28E">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val="zh-CN"/>
              </w:rPr>
            </w:pPr>
            <w:r>
              <w:rPr>
                <w:rFonts w:hint="eastAsia" w:cs="仿宋"/>
                <w:bCs/>
                <w:sz w:val="21"/>
                <w:szCs w:val="21"/>
                <w:highlight w:val="none"/>
                <w:lang w:val="zh-CN"/>
              </w:rPr>
              <w:t>形式</w:t>
            </w:r>
            <w:r>
              <w:rPr>
                <w:rFonts w:hint="eastAsia" w:cs="仿宋"/>
                <w:bCs/>
                <w:sz w:val="21"/>
                <w:szCs w:val="21"/>
                <w:highlight w:val="none"/>
              </w:rPr>
              <w:t>：</w:t>
            </w:r>
            <w:r>
              <w:rPr>
                <w:rFonts w:hint="eastAsia" w:cs="仿宋"/>
                <w:bCs/>
                <w:sz w:val="21"/>
                <w:szCs w:val="21"/>
                <w:highlight w:val="none"/>
                <w:lang w:val="zh-CN"/>
              </w:rPr>
              <w:t>将收到澄清的答疑文件以确认函形式发送至</w:t>
            </w:r>
            <w:r>
              <w:rPr>
                <w:rFonts w:hint="eastAsia" w:cs="仿宋"/>
                <w:bCs/>
                <w:sz w:val="21"/>
                <w:szCs w:val="21"/>
                <w:highlight w:val="none"/>
              </w:rPr>
              <w:t>zhaobiaobu@jlzycx.com</w:t>
            </w:r>
            <w:r>
              <w:rPr>
                <w:rFonts w:hint="eastAsia" w:cs="仿宋"/>
                <w:bCs/>
                <w:sz w:val="21"/>
                <w:szCs w:val="21"/>
                <w:highlight w:val="none"/>
                <w:lang w:val="zh-CN"/>
              </w:rPr>
              <w:t>。</w:t>
            </w:r>
          </w:p>
        </w:tc>
      </w:tr>
      <w:tr w14:paraId="41730413">
        <w:tblPrEx>
          <w:tblCellMar>
            <w:top w:w="0" w:type="dxa"/>
            <w:left w:w="108" w:type="dxa"/>
            <w:bottom w:w="0" w:type="dxa"/>
            <w:right w:w="108" w:type="dxa"/>
          </w:tblCellMar>
        </w:tblPrEx>
        <w:trPr>
          <w:trHeight w:val="152"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03B2B6E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EEC60BD">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投标人确认收到招标文件修改的时间</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13D5AA5">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在收到相应澄清文件后24小时内</w:t>
            </w:r>
          </w:p>
        </w:tc>
      </w:tr>
      <w:tr w14:paraId="7520FAC5">
        <w:tblPrEx>
          <w:tblCellMar>
            <w:top w:w="0" w:type="dxa"/>
            <w:left w:w="108" w:type="dxa"/>
            <w:bottom w:w="0" w:type="dxa"/>
            <w:right w:w="108" w:type="dxa"/>
          </w:tblCellMar>
        </w:tblPrEx>
        <w:trPr>
          <w:trHeight w:val="90"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5377287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F4D2708">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构成投标文件的其他材料</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0AF86A54">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投标人须提供下列证明文件原件或复印件： </w:t>
            </w:r>
          </w:p>
          <w:p w14:paraId="7F183150">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企业营业执照副本或事业单位法人证书；</w:t>
            </w:r>
          </w:p>
          <w:p w14:paraId="3F369A9F">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sz w:val="21"/>
                <w:szCs w:val="21"/>
                <w:highlight w:val="none"/>
                <w:lang w:eastAsia="zh-CN"/>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lang w:val="en-US" w:eastAsia="zh-CN"/>
              </w:rPr>
              <w:t>须</w:t>
            </w:r>
            <w:r>
              <w:rPr>
                <w:rFonts w:hint="eastAsia" w:ascii="仿宋" w:hAnsi="仿宋" w:eastAsia="仿宋" w:cs="仿宋"/>
                <w:color w:val="auto"/>
                <w:sz w:val="21"/>
                <w:szCs w:val="21"/>
                <w:highlight w:val="none"/>
                <w:lang w:eastAsia="zh-CN"/>
              </w:rPr>
              <w:t>具备食品药品行政监督部核发的《食品经营许可证》，食品经营许可证主体业态包含餐饮服务经营者“集体用餐配送”等</w:t>
            </w:r>
          </w:p>
          <w:p w14:paraId="068B8CB6">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食品安全量化等级应达到A级</w:t>
            </w:r>
            <w:r>
              <w:rPr>
                <w:rFonts w:hint="eastAsia" w:cs="仿宋"/>
                <w:color w:val="auto"/>
                <w:sz w:val="21"/>
                <w:szCs w:val="21"/>
                <w:highlight w:val="none"/>
                <w:lang w:val="en-US" w:eastAsia="zh-CN"/>
              </w:rPr>
              <w:t>,企业需在吉林省市场监督管理厅最新的餐饮服务食品安全风险量化A级单位名单内，提供相关证明及真实性承诺书</w:t>
            </w:r>
            <w:r>
              <w:rPr>
                <w:rFonts w:hint="eastAsia" w:ascii="仿宋" w:hAnsi="仿宋" w:eastAsia="仿宋" w:cs="仿宋"/>
                <w:color w:val="auto"/>
                <w:sz w:val="21"/>
                <w:szCs w:val="21"/>
                <w:highlight w:val="none"/>
                <w:lang w:eastAsia="zh-CN"/>
              </w:rPr>
              <w:t>；</w:t>
            </w:r>
          </w:p>
          <w:p w14:paraId="1999876A">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缴纳投标保证金凭证；</w:t>
            </w:r>
          </w:p>
          <w:p w14:paraId="6A0DCF88">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近</w:t>
            </w:r>
            <w:r>
              <w:rPr>
                <w:rFonts w:hint="eastAsia" w:ascii="仿宋" w:hAnsi="仿宋" w:eastAsia="仿宋" w:cs="仿宋"/>
                <w:color w:val="auto"/>
                <w:sz w:val="21"/>
                <w:szCs w:val="21"/>
                <w:highlight w:val="none"/>
                <w:lang w:val="en-US" w:eastAsia="zh-CN"/>
              </w:rPr>
              <w:t>三年</w:t>
            </w:r>
            <w:r>
              <w:rPr>
                <w:rFonts w:hint="eastAsia" w:ascii="仿宋" w:hAnsi="仿宋" w:eastAsia="仿宋" w:cs="仿宋"/>
                <w:color w:val="auto"/>
                <w:sz w:val="21"/>
                <w:szCs w:val="21"/>
                <w:highlight w:val="none"/>
                <w:lang w:eastAsia="zh-CN"/>
              </w:rPr>
              <w:t>（2021年07月01至2024年06月30日）类似项目业绩证明材料（合同或中标通知书）；</w:t>
            </w:r>
          </w:p>
          <w:p w14:paraId="1DCD4EFF">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近三年（2021年至2023年）财务审计报告或财务报表</w:t>
            </w:r>
            <w:r>
              <w:rPr>
                <w:rFonts w:hint="eastAsia" w:cs="仿宋"/>
                <w:color w:val="auto"/>
                <w:sz w:val="21"/>
                <w:szCs w:val="21"/>
                <w:highlight w:val="none"/>
                <w:lang w:eastAsia="zh-CN"/>
              </w:rPr>
              <w:t>；</w:t>
            </w:r>
          </w:p>
          <w:p w14:paraId="1D68F2F5">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cs="仿宋"/>
                <w:color w:val="auto"/>
                <w:sz w:val="21"/>
                <w:szCs w:val="21"/>
                <w:highlight w:val="none"/>
                <w:lang w:val="en-US" w:eastAsia="zh-CN"/>
              </w:rPr>
              <w:t>中小企业声明函</w:t>
            </w:r>
            <w:r>
              <w:rPr>
                <w:rFonts w:hint="eastAsia" w:ascii="仿宋" w:hAnsi="仿宋" w:eastAsia="仿宋" w:cs="仿宋"/>
                <w:color w:val="auto"/>
                <w:sz w:val="21"/>
                <w:szCs w:val="21"/>
                <w:highlight w:val="none"/>
                <w:lang w:val="en-US" w:eastAsia="zh-CN"/>
              </w:rPr>
              <w:t>;</w:t>
            </w:r>
          </w:p>
          <w:p w14:paraId="31D6BA7B">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投标人如为独立法人参加政府采购活动前三年内，在“信用中国”网站（www.creditchina.gov.cn）无任何不良信用记录，须提供查询截图证明；</w:t>
            </w:r>
          </w:p>
          <w:p w14:paraId="49119815">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投标人须在中国裁判文书网</w:t>
            </w:r>
          </w:p>
          <w:p w14:paraId="43EDF13E">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（http://wenshu.court.gov.cn/）自行查询本公司行贿犯罪记录，且提供查询页面截图并加盖公章作为无行贿犯罪记录证明；</w:t>
            </w:r>
          </w:p>
          <w:p w14:paraId="72A98CF4">
            <w:pPr>
              <w:keepNext w:val="0"/>
              <w:keepLines w:val="0"/>
              <w:widowControl/>
              <w:numPr>
                <w:ilvl w:val="0"/>
                <w:numId w:val="5"/>
              </w:numPr>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招标文件要求的其他证明材料</w:t>
            </w:r>
          </w:p>
        </w:tc>
      </w:tr>
      <w:tr w14:paraId="19FB1536">
        <w:tblPrEx>
          <w:tblCellMar>
            <w:top w:w="0" w:type="dxa"/>
            <w:left w:w="108" w:type="dxa"/>
            <w:bottom w:w="0" w:type="dxa"/>
            <w:right w:w="108" w:type="dxa"/>
          </w:tblCellMar>
        </w:tblPrEx>
        <w:trPr>
          <w:trHeight w:val="1291"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63A110C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3BB1C85">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最高投标限价</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247E4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营养餐配送服务，</w:t>
            </w:r>
            <w:r>
              <w:rPr>
                <w:rFonts w:hint="eastAsia" w:ascii="仿宋" w:hAnsi="仿宋" w:eastAsia="仿宋" w:cs="仿宋"/>
                <w:sz w:val="21"/>
                <w:szCs w:val="21"/>
                <w:highlight w:val="none"/>
              </w:rPr>
              <w:t>本项目采用固定价格采购，价格不列为评审因素</w:t>
            </w:r>
            <w:r>
              <w:rPr>
                <w:rFonts w:hint="eastAsia" w:cs="仿宋"/>
                <w:sz w:val="21"/>
                <w:szCs w:val="21"/>
                <w:highlight w:val="none"/>
                <w:lang w:eastAsia="zh-CN"/>
              </w:rPr>
              <w:t>，</w:t>
            </w:r>
            <w:r>
              <w:rPr>
                <w:rFonts w:hint="eastAsia" w:cs="仿宋"/>
                <w:sz w:val="21"/>
                <w:szCs w:val="21"/>
                <w:highlight w:val="none"/>
                <w:lang w:val="en-US" w:eastAsia="zh-CN"/>
              </w:rPr>
              <w:t>本项目投标报价按照13元/餐，其他投标价格无效</w:t>
            </w:r>
            <w:r>
              <w:rPr>
                <w:rFonts w:hint="eastAsia" w:ascii="仿宋" w:hAnsi="仿宋" w:eastAsia="仿宋" w:cs="仿宋"/>
                <w:sz w:val="21"/>
                <w:szCs w:val="21"/>
                <w:highlight w:val="none"/>
              </w:rPr>
              <w:t>。</w:t>
            </w:r>
          </w:p>
          <w:p w14:paraId="4DC84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仿宋" w:hAnsi="仿宋" w:eastAsia="仿宋" w:cs="仿宋"/>
                <w:color w:val="auto"/>
                <w:sz w:val="21"/>
                <w:szCs w:val="21"/>
                <w:highlight w:val="none"/>
                <w:lang w:val="en-US" w:eastAsia="zh-CN"/>
              </w:rPr>
            </w:pPr>
            <w:r>
              <w:rPr>
                <w:rFonts w:hint="eastAsia" w:cs="仿宋"/>
                <w:sz w:val="21"/>
                <w:szCs w:val="21"/>
                <w:highlight w:val="none"/>
                <w:lang w:val="en-US" w:eastAsia="zh-CN"/>
              </w:rPr>
              <w:t>教师餐餐标与学生餐餐标保持一致，具体餐标选定由学生家长、教师代表组成的选定小组选定。</w:t>
            </w:r>
          </w:p>
        </w:tc>
      </w:tr>
      <w:tr w14:paraId="09393332">
        <w:tblPrEx>
          <w:tblCellMar>
            <w:top w:w="0" w:type="dxa"/>
            <w:left w:w="108" w:type="dxa"/>
            <w:bottom w:w="0" w:type="dxa"/>
            <w:right w:w="108" w:type="dxa"/>
          </w:tblCellMar>
        </w:tblPrEx>
        <w:trPr>
          <w:trHeight w:val="397"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1352B47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AB6A04E">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B47275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90天</w:t>
            </w:r>
          </w:p>
        </w:tc>
      </w:tr>
      <w:tr w14:paraId="43CDF130">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3AD4C27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C5D4E93">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0B7DE70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□不要求递交投标保证金</w:t>
            </w:r>
          </w:p>
          <w:p w14:paraId="7493D7F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☑要求递交投标保证金</w:t>
            </w:r>
          </w:p>
          <w:p w14:paraId="5E6DE5A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投标保证金的金额：</w:t>
            </w:r>
            <w:r>
              <w:rPr>
                <w:rFonts w:hint="eastAsia" w:cs="仿宋"/>
                <w:color w:val="auto"/>
                <w:sz w:val="21"/>
                <w:szCs w:val="21"/>
                <w:highlight w:val="none"/>
                <w:lang w:val="en-US" w:eastAsia="zh-CN"/>
              </w:rPr>
              <w:t>10000</w:t>
            </w:r>
            <w:r>
              <w:rPr>
                <w:rFonts w:hint="eastAsia" w:ascii="仿宋" w:hAnsi="仿宋" w:eastAsia="仿宋" w:cs="仿宋"/>
                <w:color w:val="auto"/>
                <w:sz w:val="21"/>
                <w:szCs w:val="21"/>
                <w:highlight w:val="none"/>
                <w:lang w:val="en-US" w:eastAsia="zh-CN"/>
              </w:rPr>
              <w:t>元</w:t>
            </w:r>
          </w:p>
          <w:p w14:paraId="37BFA2E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投标文件保证金的形式：其形式包括银行转账、银行保函或者担保公司保函；</w:t>
            </w:r>
          </w:p>
          <w:p w14:paraId="50EB7A5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账户名称:中屹宬信建设集团有限公司</w:t>
            </w:r>
          </w:p>
          <w:p w14:paraId="4954642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账    号:1620 4711 1388</w:t>
            </w:r>
          </w:p>
          <w:p w14:paraId="2ECD210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开 户 行:中国银行吉林市分行</w:t>
            </w:r>
          </w:p>
          <w:p w14:paraId="3816886B">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联系人：林铭锐 </w:t>
            </w:r>
          </w:p>
          <w:p w14:paraId="103DFC57">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联系电话：0432-63360152</w:t>
            </w:r>
          </w:p>
          <w:p w14:paraId="08C78E3C">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投标保证金提交时间：投标保证金须在投标截止时间1日前完成交纳，如开标前一天遇有公休日或法定节假日,应在公休日、法定节假日前一天交付到账。</w:t>
            </w:r>
          </w:p>
          <w:p w14:paraId="71EC964F">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注：</w:t>
            </w:r>
          </w:p>
          <w:p w14:paraId="51C14E49">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1.投标单位应在汇款时认真核对收款单位、开户行名称、账号准确无误，确保保证金按时到账，否则后果自负。</w:t>
            </w:r>
          </w:p>
          <w:p w14:paraId="23870FB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2.递交保函(所有形式的保函,需支持网查)的投标单位，须在保证金递交截止日期前，将扫描件发送至zhaobiaobu@jlzycx.com）验证</w:t>
            </w:r>
          </w:p>
        </w:tc>
      </w:tr>
      <w:tr w14:paraId="029BED5D">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5E9245B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05E7470">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其他可以不予退还投标保证金的情形</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4DD44619">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投标人在投标过程中借用他人资质，互相串通、结盟，伪造虚假业绩、人员、财务、履约情况等，或违反国家有关规定，损害招标的公正性和竞争性进行投标者。</w:t>
            </w:r>
          </w:p>
        </w:tc>
      </w:tr>
      <w:tr w14:paraId="3A5AABDA">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7325A3D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9D03C6F">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近年财务状况的年份要求</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4EE4422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bookmarkStart w:id="56" w:name="EB718167d6cb014d2b8536538e5b2a907f"/>
            <w:r>
              <w:rPr>
                <w:rFonts w:hint="eastAsia" w:ascii="仿宋" w:hAnsi="仿宋" w:eastAsia="仿宋" w:cs="仿宋"/>
                <w:color w:val="auto"/>
                <w:sz w:val="21"/>
                <w:szCs w:val="21"/>
                <w:highlight w:val="none"/>
                <w:lang w:eastAsia="zh-CN"/>
              </w:rPr>
              <w:t>3</w:t>
            </w:r>
            <w:bookmarkEnd w:id="56"/>
            <w:r>
              <w:rPr>
                <w:rFonts w:hint="eastAsia" w:ascii="仿宋" w:hAnsi="仿宋" w:eastAsia="仿宋" w:cs="仿宋"/>
                <w:color w:val="auto"/>
                <w:sz w:val="21"/>
                <w:szCs w:val="21"/>
                <w:highlight w:val="none"/>
                <w:lang w:eastAsia="zh-CN"/>
              </w:rPr>
              <w:t>年，指</w:t>
            </w:r>
            <w:r>
              <w:rPr>
                <w:rFonts w:hint="eastAsia" w:cs="仿宋"/>
                <w:color w:val="auto"/>
                <w:sz w:val="21"/>
                <w:szCs w:val="21"/>
                <w:highlight w:val="none"/>
                <w:lang w:eastAsia="zh-CN"/>
              </w:rPr>
              <w:t>2021年1月1日起至2023年12月31日</w:t>
            </w:r>
            <w:r>
              <w:rPr>
                <w:rFonts w:hint="eastAsia" w:ascii="仿宋" w:hAnsi="仿宋" w:eastAsia="仿宋" w:cs="仿宋"/>
                <w:color w:val="auto"/>
                <w:sz w:val="21"/>
                <w:szCs w:val="21"/>
                <w:highlight w:val="none"/>
                <w:lang w:eastAsia="zh-CN"/>
              </w:rPr>
              <w:t>止。</w:t>
            </w:r>
          </w:p>
        </w:tc>
      </w:tr>
      <w:tr w14:paraId="266E5BAD">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22F317A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9B0A135">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近年完成的类似项目的年份要求</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3A72FAA3">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3年，指</w:t>
            </w:r>
            <w:r>
              <w:rPr>
                <w:rFonts w:hint="eastAsia" w:cs="仿宋"/>
                <w:color w:val="auto"/>
                <w:sz w:val="21"/>
                <w:szCs w:val="21"/>
                <w:highlight w:val="none"/>
                <w:lang w:eastAsia="zh-CN"/>
              </w:rPr>
              <w:t>2021年07月01至2024年06月30日</w:t>
            </w:r>
            <w:r>
              <w:rPr>
                <w:rFonts w:hint="eastAsia" w:ascii="仿宋" w:hAnsi="仿宋" w:eastAsia="仿宋" w:cs="仿宋"/>
                <w:color w:val="auto"/>
                <w:sz w:val="21"/>
                <w:szCs w:val="21"/>
                <w:highlight w:val="none"/>
                <w:lang w:eastAsia="zh-CN"/>
              </w:rPr>
              <w:t>。</w:t>
            </w:r>
          </w:p>
        </w:tc>
      </w:tr>
      <w:tr w14:paraId="4CD9FE6C">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247337FC">
            <w:pPr>
              <w:keepNext w:val="0"/>
              <w:keepLines w:val="0"/>
              <w:widowControl/>
              <w:suppressLineNumbers w:val="0"/>
              <w:adjustRightInd w:val="0"/>
              <w:snapToGrid w:val="0"/>
              <w:spacing w:before="0" w:beforeAutospacing="0" w:after="0" w:afterAutospacing="0" w:line="240" w:lineRule="auto"/>
              <w:ind w:left="0" w:leftChars="0" w:right="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3.5.4</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8546E8A">
            <w:pPr>
              <w:keepNext w:val="0"/>
              <w:keepLines w:val="0"/>
              <w:widowControl/>
              <w:suppressLineNumbers w:val="0"/>
              <w:autoSpaceDE w:val="0"/>
              <w:autoSpaceDN w:val="0"/>
              <w:adjustRightInd w:val="0"/>
              <w:spacing w:before="0" w:beforeAutospacing="0" w:after="0" w:afterAutospacing="0" w:line="240" w:lineRule="auto"/>
              <w:ind w:left="0" w:leftChars="0" w:right="0" w:firstLine="0" w:firstLineChars="0"/>
              <w:jc w:val="left"/>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bCs/>
                <w:color w:val="auto"/>
                <w:sz w:val="21"/>
                <w:szCs w:val="21"/>
                <w:highlight w:val="none"/>
                <w:lang w:val="zh-CN"/>
              </w:rPr>
              <w:t>近年发生的诉讼及仲裁情况的年份要求</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245F518D">
            <w:pPr>
              <w:keepNext w:val="0"/>
              <w:keepLines w:val="0"/>
              <w:widowControl/>
              <w:suppressLineNumbers w:val="0"/>
              <w:spacing w:before="0" w:beforeAutospacing="0" w:after="0" w:afterAutospacing="0" w:line="240" w:lineRule="auto"/>
              <w:ind w:left="0" w:leftChars="0" w:right="0" w:firstLine="0" w:firstLineChars="0"/>
              <w:jc w:val="left"/>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u w:val="single"/>
              </w:rPr>
              <w:t>20</w:t>
            </w:r>
            <w:r>
              <w:rPr>
                <w:rFonts w:hint="eastAsia" w:ascii="仿宋" w:hAnsi="仿宋" w:eastAsia="仿宋" w:cs="仿宋"/>
                <w:color w:val="auto"/>
                <w:sz w:val="21"/>
                <w:szCs w:val="21"/>
                <w:highlight w:val="none"/>
                <w:u w:val="single"/>
                <w:lang w:val="en-US" w:eastAsia="zh-CN"/>
              </w:rPr>
              <w:t>2</w:t>
            </w:r>
            <w:r>
              <w:rPr>
                <w:rFonts w:hint="eastAsia"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年至今</w:t>
            </w:r>
            <w:r>
              <w:rPr>
                <w:rFonts w:hint="eastAsia" w:ascii="仿宋" w:hAnsi="仿宋" w:eastAsia="仿宋" w:cs="仿宋"/>
                <w:color w:val="auto"/>
                <w:sz w:val="21"/>
                <w:szCs w:val="21"/>
                <w:highlight w:val="none"/>
              </w:rPr>
              <w:t xml:space="preserve">，指 </w:t>
            </w:r>
            <w:r>
              <w:rPr>
                <w:rFonts w:hint="eastAsia" w:ascii="仿宋" w:hAnsi="仿宋" w:eastAsia="仿宋" w:cs="仿宋"/>
                <w:color w:val="auto"/>
                <w:sz w:val="21"/>
                <w:szCs w:val="21"/>
                <w:highlight w:val="none"/>
                <w:u w:val="single"/>
              </w:rPr>
              <w:t>20</w:t>
            </w:r>
            <w:r>
              <w:rPr>
                <w:rFonts w:hint="eastAsia" w:ascii="仿宋" w:hAnsi="仿宋" w:eastAsia="仿宋" w:cs="仿宋"/>
                <w:color w:val="auto"/>
                <w:sz w:val="21"/>
                <w:szCs w:val="21"/>
                <w:highlight w:val="none"/>
                <w:u w:val="single"/>
                <w:lang w:val="en-US" w:eastAsia="zh-CN"/>
              </w:rPr>
              <w:t>2</w:t>
            </w:r>
            <w:r>
              <w:rPr>
                <w:rFonts w:hint="eastAsia" w:cs="仿宋"/>
                <w:color w:val="auto"/>
                <w:sz w:val="21"/>
                <w:szCs w:val="21"/>
                <w:highlight w:val="none"/>
                <w:u w:val="single"/>
                <w:lang w:val="en-US" w:eastAsia="zh-CN"/>
              </w:rPr>
              <w:t>1</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1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1 </w:t>
            </w:r>
            <w:r>
              <w:rPr>
                <w:rFonts w:hint="eastAsia" w:ascii="仿宋" w:hAnsi="仿宋" w:eastAsia="仿宋" w:cs="仿宋"/>
                <w:color w:val="auto"/>
                <w:sz w:val="21"/>
                <w:szCs w:val="21"/>
                <w:highlight w:val="none"/>
              </w:rPr>
              <w:t>日起至今。</w:t>
            </w:r>
          </w:p>
        </w:tc>
      </w:tr>
      <w:tr w14:paraId="55E14474">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7E37860B">
            <w:pPr>
              <w:keepNext w:val="0"/>
              <w:keepLines w:val="0"/>
              <w:widowControl/>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color w:val="auto"/>
                <w:sz w:val="21"/>
                <w:szCs w:val="21"/>
                <w:highlight w:val="none"/>
                <w:lang w:val="zh-CN"/>
              </w:rPr>
              <w:t>3.6.1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638272E">
            <w:pPr>
              <w:keepNext w:val="0"/>
              <w:keepLines w:val="0"/>
              <w:widowControl/>
              <w:suppressLineNumbers w:val="0"/>
              <w:autoSpaceDE w:val="0"/>
              <w:autoSpaceDN w:val="0"/>
              <w:adjustRightInd w:val="0"/>
              <w:spacing w:before="0" w:beforeAutospacing="0" w:after="0" w:afterAutospacing="0" w:line="240" w:lineRule="auto"/>
              <w:ind w:left="0" w:leftChars="0" w:right="0" w:firstLine="0" w:firstLineChars="0"/>
              <w:jc w:val="both"/>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bCs/>
                <w:color w:val="auto"/>
                <w:sz w:val="21"/>
                <w:szCs w:val="21"/>
                <w:highlight w:val="none"/>
                <w:lang w:val="zh-CN"/>
              </w:rPr>
              <w:t>是否允许递交备选投标方案</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BC27709">
            <w:pPr>
              <w:keepNext w:val="0"/>
              <w:keepLines w:val="0"/>
              <w:widowControl/>
              <w:suppressLineNumbers w:val="0"/>
              <w:autoSpaceDE w:val="0"/>
              <w:autoSpaceDN w:val="0"/>
              <w:adjustRightInd w:val="0"/>
              <w:spacing w:before="0" w:beforeAutospacing="0" w:after="0" w:afterAutospacing="0" w:line="240" w:lineRule="auto"/>
              <w:ind w:left="0" w:leftChars="0" w:right="0" w:firstLine="0" w:firstLineChars="0"/>
              <w:jc w:val="left"/>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bCs/>
                <w:color w:val="auto"/>
                <w:sz w:val="21"/>
                <w:szCs w:val="21"/>
                <w:highlight w:val="none"/>
                <w:lang w:val="zh-CN"/>
              </w:rPr>
              <w:t>不允许</w:t>
            </w:r>
          </w:p>
        </w:tc>
      </w:tr>
      <w:tr w14:paraId="64851AB7">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5C06B5E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zh-CN"/>
              </w:rPr>
            </w:pPr>
            <w:r>
              <w:rPr>
                <w:rFonts w:hint="eastAsia" w:cs="仿宋"/>
                <w:bCs/>
                <w:sz w:val="21"/>
                <w:szCs w:val="21"/>
                <w:highlight w:val="none"/>
                <w:lang w:val="zh-CN"/>
              </w:rPr>
              <w:t>3.7.3（1）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1E4B78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cs="仿宋"/>
                <w:bCs/>
                <w:color w:val="auto"/>
                <w:sz w:val="21"/>
                <w:szCs w:val="21"/>
                <w:highlight w:val="none"/>
                <w:lang w:val="zh-CN"/>
              </w:rPr>
            </w:pPr>
            <w:r>
              <w:rPr>
                <w:rFonts w:hint="eastAsia" w:cs="仿宋"/>
                <w:bCs/>
                <w:sz w:val="21"/>
                <w:szCs w:val="21"/>
                <w:highlight w:val="none"/>
                <w:lang w:val="zh-CN"/>
              </w:rPr>
              <w:t>电子签字和（或）盖电子章要求</w:t>
            </w:r>
          </w:p>
        </w:tc>
        <w:tc>
          <w:tcPr>
            <w:tcW w:w="5264" w:type="dxa"/>
            <w:tcBorders>
              <w:top w:val="single" w:color="auto" w:sz="4" w:space="0"/>
              <w:left w:val="single" w:color="auto" w:sz="4" w:space="0"/>
              <w:bottom w:val="single" w:color="auto" w:sz="4" w:space="0"/>
              <w:right w:val="single" w:color="auto" w:sz="4" w:space="0"/>
            </w:tcBorders>
            <w:noWrap w:val="0"/>
            <w:vAlign w:val="top"/>
          </w:tcPr>
          <w:p w14:paraId="36B9D092">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bCs/>
                <w:color w:val="auto"/>
                <w:sz w:val="21"/>
                <w:szCs w:val="21"/>
                <w:highlight w:val="none"/>
                <w:lang w:val="zh-CN"/>
              </w:rPr>
            </w:pPr>
            <w:r>
              <w:rPr>
                <w:rFonts w:hint="eastAsia" w:cs="仿宋"/>
                <w:sz w:val="21"/>
                <w:szCs w:val="21"/>
                <w:highlight w:val="none"/>
              </w:rPr>
              <w:t>按系统要求签字盖章，如被授权人无法网上签字或其他无法电子签章或网上签字的情形，需将此页打印签字后扫描上传至投标文件。</w:t>
            </w:r>
          </w:p>
        </w:tc>
      </w:tr>
      <w:tr w14:paraId="12BF92B9">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7A74F5F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zh-CN" w:eastAsia="zh-CN"/>
              </w:rPr>
            </w:pPr>
            <w:r>
              <w:rPr>
                <w:rFonts w:hint="eastAsia" w:cs="仿宋"/>
                <w:bCs/>
                <w:sz w:val="21"/>
                <w:szCs w:val="21"/>
                <w:highlight w:val="none"/>
                <w:lang w:val="zh-CN"/>
              </w:rPr>
              <w:t>3.7.3（2）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FC88F9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zh-CN" w:eastAsia="zh-CN"/>
              </w:rPr>
            </w:pPr>
            <w:r>
              <w:rPr>
                <w:rFonts w:hint="eastAsia" w:cs="仿宋"/>
                <w:bCs/>
                <w:sz w:val="21"/>
                <w:szCs w:val="21"/>
                <w:highlight w:val="none"/>
                <w:lang w:val="zh-CN"/>
              </w:rPr>
              <w:t>投标文件上传</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B2FEEE4">
            <w:pPr>
              <w:keepNext w:val="0"/>
              <w:keepLines w:val="0"/>
              <w:widowControl/>
              <w:suppressLineNumbers w:val="0"/>
              <w:spacing w:before="0" w:beforeAutospacing="0" w:after="0" w:afterAutospacing="0" w:line="240" w:lineRule="auto"/>
              <w:ind w:left="0" w:right="0" w:firstLine="0" w:firstLineChars="0"/>
              <w:rPr>
                <w:rFonts w:hint="default" w:cs="仿宋"/>
                <w:sz w:val="21"/>
                <w:szCs w:val="21"/>
                <w:highlight w:val="none"/>
              </w:rPr>
            </w:pPr>
            <w:r>
              <w:rPr>
                <w:rFonts w:hint="eastAsia" w:cs="仿宋"/>
                <w:sz w:val="21"/>
                <w:szCs w:val="21"/>
                <w:highlight w:val="none"/>
              </w:rPr>
              <w:t>1、投标人需在开标时间截止前将电子投标文件政采云平台（网址：http://www.zcygov.cn）上直接上传；逾期未上传的投标文件，招标人不予受理。</w:t>
            </w:r>
          </w:p>
          <w:p w14:paraId="07D265F8">
            <w:pPr>
              <w:keepNext w:val="0"/>
              <w:keepLines w:val="0"/>
              <w:widowControl/>
              <w:suppressLineNumbers w:val="0"/>
              <w:spacing w:before="0" w:beforeAutospacing="0" w:after="0" w:afterAutospacing="0" w:line="240" w:lineRule="auto"/>
              <w:ind w:left="0" w:right="0" w:firstLine="0" w:firstLineChars="0"/>
              <w:rPr>
                <w:rFonts w:hint="default" w:cs="仿宋"/>
                <w:sz w:val="21"/>
                <w:szCs w:val="21"/>
                <w:highlight w:val="none"/>
              </w:rPr>
            </w:pPr>
            <w:r>
              <w:rPr>
                <w:rFonts w:hint="eastAsia" w:cs="仿宋"/>
                <w:sz w:val="21"/>
                <w:szCs w:val="21"/>
                <w:highlight w:val="none"/>
              </w:rPr>
              <w:t>2、电子响应文件：在相应签章处签章。</w:t>
            </w:r>
          </w:p>
          <w:p w14:paraId="39E7BE88">
            <w:pPr>
              <w:keepNext w:val="0"/>
              <w:keepLines w:val="0"/>
              <w:widowControl/>
              <w:suppressLineNumbers w:val="0"/>
              <w:spacing w:before="0" w:beforeAutospacing="0" w:after="0" w:afterAutospacing="0" w:line="240" w:lineRule="auto"/>
              <w:ind w:left="0" w:right="0" w:firstLine="0" w:firstLineChars="0"/>
              <w:rPr>
                <w:rFonts w:hint="default" w:cs="仿宋"/>
                <w:sz w:val="21"/>
                <w:szCs w:val="21"/>
                <w:highlight w:val="none"/>
              </w:rPr>
            </w:pPr>
            <w:r>
              <w:rPr>
                <w:rFonts w:hint="eastAsia" w:cs="仿宋"/>
                <w:sz w:val="21"/>
                <w:szCs w:val="21"/>
                <w:highlight w:val="none"/>
              </w:rPr>
              <w:t>3、纸质响应文件：响应文件应使用打印、复印或不能擦去的墨水书写，文字要清晰，语言要明确，并按招标文件的要求封面加盖单位公章和由法定代表人（或委托代理人）签名。</w:t>
            </w:r>
          </w:p>
          <w:p w14:paraId="4372D858">
            <w:pPr>
              <w:keepNext w:val="0"/>
              <w:keepLines w:val="0"/>
              <w:widowControl/>
              <w:suppressLineNumbers w:val="0"/>
              <w:spacing w:before="0" w:beforeAutospacing="0" w:after="0" w:afterAutospacing="0" w:line="240" w:lineRule="auto"/>
              <w:ind w:left="0" w:right="0" w:firstLine="0" w:firstLineChars="0"/>
              <w:rPr>
                <w:rFonts w:hint="default" w:cs="仿宋"/>
                <w:sz w:val="21"/>
                <w:szCs w:val="21"/>
                <w:highlight w:val="none"/>
              </w:rPr>
            </w:pPr>
            <w:r>
              <w:rPr>
                <w:rFonts w:hint="eastAsia" w:cs="仿宋"/>
                <w:sz w:val="21"/>
                <w:szCs w:val="21"/>
                <w:highlight w:val="none"/>
              </w:rPr>
              <w:t>4、工程量清单的第一页均应加盖投标单位公章和由法定代表人（或委托代理人）签名及注册造价工程师专用印章。</w:t>
            </w:r>
          </w:p>
          <w:p w14:paraId="3A8ADD47">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sz w:val="21"/>
                <w:szCs w:val="21"/>
                <w:highlight w:val="none"/>
              </w:rPr>
              <w:t>5、投标文件应尽量避免涂改和插字，若为了改正错误必须这样做时，除了按采购人书面指示进行修改的以外，均应由法定代表人（或委托代理人）在修改处盖章或签名确认。</w:t>
            </w:r>
          </w:p>
        </w:tc>
      </w:tr>
      <w:tr w14:paraId="22652B6A">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74D4C72F">
            <w:pPr>
              <w:keepNext w:val="0"/>
              <w:keepLines w:val="0"/>
              <w:widowControl/>
              <w:suppressLineNumbers w:val="0"/>
              <w:autoSpaceDE w:val="0"/>
              <w:autoSpaceDN w:val="0"/>
              <w:adjustRightInd w:val="0"/>
              <w:spacing w:before="0" w:beforeAutospacing="0" w:after="0" w:afterAutospacing="0" w:line="240" w:lineRule="auto"/>
              <w:ind w:left="0" w:leftChars="0" w:right="0" w:firstLine="0" w:firstLineChars="0"/>
              <w:jc w:val="center"/>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bCs/>
                <w:color w:val="auto"/>
                <w:sz w:val="21"/>
                <w:szCs w:val="21"/>
                <w:highlight w:val="none"/>
                <w:lang w:val="zh-CN"/>
              </w:rPr>
              <w:t>4.1.1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B086C61">
            <w:pPr>
              <w:keepNext w:val="0"/>
              <w:keepLines w:val="0"/>
              <w:widowControl/>
              <w:suppressLineNumbers w:val="0"/>
              <w:autoSpaceDE w:val="0"/>
              <w:autoSpaceDN w:val="0"/>
              <w:adjustRightInd w:val="0"/>
              <w:spacing w:before="0" w:beforeAutospacing="0" w:after="0" w:afterAutospacing="0" w:line="240" w:lineRule="auto"/>
              <w:ind w:left="0" w:leftChars="0" w:right="0" w:firstLine="0" w:firstLineChars="0"/>
              <w:jc w:val="left"/>
              <w:rPr>
                <w:rFonts w:hint="eastAsia" w:ascii="仿宋" w:hAnsi="仿宋" w:eastAsia="仿宋" w:cs="仿宋"/>
                <w:bCs/>
                <w:color w:val="auto"/>
                <w:kern w:val="2"/>
                <w:sz w:val="21"/>
                <w:szCs w:val="21"/>
                <w:highlight w:val="none"/>
                <w:lang w:val="zh-CN" w:eastAsia="zh-CN" w:bidi="ar-SA"/>
              </w:rPr>
            </w:pPr>
            <w:r>
              <w:rPr>
                <w:rFonts w:hint="eastAsia" w:ascii="仿宋" w:hAnsi="仿宋" w:eastAsia="仿宋" w:cs="仿宋"/>
                <w:bCs/>
                <w:color w:val="auto"/>
                <w:sz w:val="21"/>
                <w:szCs w:val="21"/>
                <w:highlight w:val="none"/>
                <w:lang w:val="zh-CN"/>
              </w:rPr>
              <w:t>投标截止时间</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45ADDD31">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en-US" w:eastAsia="zh-CN"/>
              </w:rPr>
            </w:pPr>
            <w:r>
              <w:rPr>
                <w:rFonts w:hint="eastAsia" w:cs="仿宋"/>
                <w:sz w:val="21"/>
                <w:szCs w:val="21"/>
                <w:highlight w:val="none"/>
                <w:u w:val="none"/>
                <w:lang w:eastAsia="zh-CN"/>
              </w:rPr>
              <w:t>2024年08月28日13时30分</w:t>
            </w:r>
            <w:r>
              <w:rPr>
                <w:rFonts w:hint="eastAsia" w:ascii="仿宋" w:hAnsi="仿宋" w:eastAsia="仿宋" w:cs="仿宋"/>
                <w:color w:val="auto"/>
                <w:sz w:val="21"/>
                <w:szCs w:val="21"/>
                <w:highlight w:val="none"/>
                <w:lang w:val="zh-CN" w:eastAsia="zh-CN"/>
              </w:rPr>
              <w:t>（北京时间）</w:t>
            </w:r>
          </w:p>
        </w:tc>
      </w:tr>
      <w:tr w14:paraId="3010382A">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0F21435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cs="仿宋"/>
                <w:bCs/>
                <w:sz w:val="21"/>
                <w:szCs w:val="21"/>
                <w:highlight w:val="none"/>
                <w:lang w:val="zh-CN"/>
              </w:rPr>
              <w:t>4.2.2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7ACA03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cs="仿宋"/>
                <w:bCs/>
                <w:sz w:val="21"/>
                <w:szCs w:val="21"/>
                <w:highlight w:val="none"/>
                <w:lang w:val="zh-CN"/>
              </w:rPr>
              <w:t>递交投标文件</w:t>
            </w:r>
            <w:r>
              <w:rPr>
                <w:rFonts w:hint="eastAsia" w:cs="仿宋"/>
                <w:bCs/>
                <w:sz w:val="21"/>
                <w:szCs w:val="21"/>
                <w:highlight w:val="none"/>
              </w:rPr>
              <w:t>时间及</w:t>
            </w:r>
            <w:r>
              <w:rPr>
                <w:rFonts w:hint="eastAsia" w:cs="仿宋"/>
                <w:bCs/>
                <w:sz w:val="21"/>
                <w:szCs w:val="21"/>
                <w:highlight w:val="none"/>
                <w:lang w:val="zh-CN"/>
              </w:rPr>
              <w:t>地点</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04A51A94">
            <w:pPr>
              <w:keepNext w:val="0"/>
              <w:keepLines w:val="0"/>
              <w:widowControl/>
              <w:suppressLineNumbers w:val="0"/>
              <w:autoSpaceDE w:val="0"/>
              <w:autoSpaceDN w:val="0"/>
              <w:adjustRightInd w:val="0"/>
              <w:spacing w:before="0" w:beforeAutospacing="0" w:after="0" w:afterAutospacing="0" w:line="240" w:lineRule="auto"/>
              <w:ind w:left="0" w:right="0" w:firstLine="0" w:firstLineChars="0"/>
              <w:rPr>
                <w:rFonts w:hint="default" w:cs="仿宋"/>
                <w:bCs/>
                <w:sz w:val="21"/>
                <w:szCs w:val="21"/>
                <w:highlight w:val="none"/>
              </w:rPr>
            </w:pPr>
            <w:r>
              <w:rPr>
                <w:rFonts w:hint="eastAsia" w:cs="仿宋"/>
                <w:bCs/>
                <w:sz w:val="21"/>
                <w:szCs w:val="21"/>
                <w:highlight w:val="none"/>
              </w:rPr>
              <w:t>1、投标文件递交的截止时间(投标截止时间，下同)</w:t>
            </w:r>
            <w:r>
              <w:rPr>
                <w:rFonts w:hint="eastAsia" w:cs="仿宋"/>
                <w:bCs/>
                <w:sz w:val="21"/>
                <w:szCs w:val="21"/>
                <w:highlight w:val="none"/>
                <w:lang w:eastAsia="zh-CN"/>
              </w:rPr>
              <w:t>2024年08月28日13时30分</w:t>
            </w:r>
            <w:r>
              <w:rPr>
                <w:rFonts w:hint="eastAsia" w:cs="仿宋"/>
                <w:bCs/>
                <w:sz w:val="21"/>
                <w:szCs w:val="21"/>
                <w:highlight w:val="none"/>
              </w:rPr>
              <w:t>,网上递交。电子投标文件在政采云平台上直接上传投标文件。逾期未上传的投标文件，招标人不予受理。</w:t>
            </w:r>
          </w:p>
          <w:p w14:paraId="22BD08AE">
            <w:pPr>
              <w:keepNext w:val="0"/>
              <w:keepLines w:val="0"/>
              <w:widowControl/>
              <w:suppressLineNumbers w:val="0"/>
              <w:autoSpaceDE w:val="0"/>
              <w:autoSpaceDN w:val="0"/>
              <w:adjustRightInd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bCs/>
                <w:sz w:val="21"/>
                <w:szCs w:val="21"/>
                <w:highlight w:val="none"/>
              </w:rPr>
              <w:t>2、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tc>
      </w:tr>
      <w:tr w14:paraId="1FDD2491">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13DF870F">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D9D0345">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是否退还投标文件</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37C1721B">
            <w:pPr>
              <w:pStyle w:val="7"/>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否</w:t>
            </w:r>
          </w:p>
          <w:p w14:paraId="44D5EEE1">
            <w:pPr>
              <w:pStyle w:val="7"/>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是</w:t>
            </w:r>
          </w:p>
        </w:tc>
      </w:tr>
      <w:tr w14:paraId="79444031">
        <w:tblPrEx>
          <w:tblCellMar>
            <w:top w:w="0" w:type="dxa"/>
            <w:left w:w="108" w:type="dxa"/>
            <w:bottom w:w="0" w:type="dxa"/>
            <w:right w:w="108" w:type="dxa"/>
          </w:tblCellMar>
        </w:tblPrEx>
        <w:trPr>
          <w:trHeight w:val="380" w:hRule="atLeast"/>
        </w:trPr>
        <w:tc>
          <w:tcPr>
            <w:tcW w:w="1122" w:type="dxa"/>
            <w:tcBorders>
              <w:top w:val="single" w:color="auto" w:sz="4" w:space="0"/>
              <w:left w:val="single" w:color="auto" w:sz="4" w:space="0"/>
              <w:right w:val="single" w:color="auto" w:sz="4" w:space="0"/>
            </w:tcBorders>
            <w:noWrap w:val="0"/>
            <w:vAlign w:val="center"/>
          </w:tcPr>
          <w:p w14:paraId="7DC7E34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1920" w:type="dxa"/>
            <w:tcBorders>
              <w:top w:val="single" w:color="auto" w:sz="4" w:space="0"/>
              <w:left w:val="single" w:color="auto" w:sz="4" w:space="0"/>
              <w:right w:val="single" w:color="auto" w:sz="4" w:space="0"/>
            </w:tcBorders>
            <w:noWrap w:val="0"/>
            <w:vAlign w:val="center"/>
          </w:tcPr>
          <w:p w14:paraId="31E24F85">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开标时间和地点</w:t>
            </w:r>
          </w:p>
        </w:tc>
        <w:tc>
          <w:tcPr>
            <w:tcW w:w="5264" w:type="dxa"/>
            <w:tcBorders>
              <w:top w:val="single" w:color="auto" w:sz="4" w:space="0"/>
              <w:left w:val="single" w:color="auto" w:sz="4" w:space="0"/>
              <w:right w:val="single" w:color="auto" w:sz="4" w:space="0"/>
            </w:tcBorders>
            <w:noWrap w:val="0"/>
            <w:vAlign w:val="center"/>
          </w:tcPr>
          <w:p w14:paraId="4D4E9299">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开标时间：</w:t>
            </w:r>
            <w:r>
              <w:rPr>
                <w:rFonts w:hint="eastAsia" w:cs="仿宋"/>
                <w:color w:val="auto"/>
                <w:sz w:val="21"/>
                <w:szCs w:val="21"/>
                <w:highlight w:val="none"/>
                <w:lang w:val="zh-CN" w:eastAsia="zh-CN"/>
              </w:rPr>
              <w:t>2024年08月28日13时30分</w:t>
            </w:r>
            <w:r>
              <w:rPr>
                <w:rFonts w:hint="eastAsia" w:ascii="仿宋" w:hAnsi="仿宋" w:eastAsia="仿宋" w:cs="仿宋"/>
                <w:color w:val="auto"/>
                <w:sz w:val="21"/>
                <w:szCs w:val="21"/>
                <w:highlight w:val="none"/>
                <w:lang w:val="zh-CN" w:eastAsia="zh-CN"/>
              </w:rPr>
              <w:t>（北京时间）</w:t>
            </w:r>
          </w:p>
          <w:p w14:paraId="635250F3">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开标地点：“政采云”平台电子开标大厅开标</w:t>
            </w:r>
          </w:p>
        </w:tc>
      </w:tr>
      <w:tr w14:paraId="02247928">
        <w:tblPrEx>
          <w:tblCellMar>
            <w:top w:w="0" w:type="dxa"/>
            <w:left w:w="108" w:type="dxa"/>
            <w:bottom w:w="0" w:type="dxa"/>
            <w:right w:w="108" w:type="dxa"/>
          </w:tblCellMar>
        </w:tblPrEx>
        <w:trPr>
          <w:trHeight w:val="381" w:hRule="atLeast"/>
        </w:trPr>
        <w:tc>
          <w:tcPr>
            <w:tcW w:w="1122" w:type="dxa"/>
            <w:tcBorders>
              <w:top w:val="single" w:color="auto" w:sz="4" w:space="0"/>
              <w:left w:val="single" w:color="auto" w:sz="4" w:space="0"/>
              <w:right w:val="single" w:color="auto" w:sz="4" w:space="0"/>
            </w:tcBorders>
            <w:noWrap w:val="0"/>
            <w:vAlign w:val="center"/>
          </w:tcPr>
          <w:p w14:paraId="79CD665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1920" w:type="dxa"/>
            <w:tcBorders>
              <w:top w:val="single" w:color="auto" w:sz="4" w:space="0"/>
              <w:left w:val="single" w:color="auto" w:sz="4" w:space="0"/>
              <w:right w:val="single" w:color="auto" w:sz="4" w:space="0"/>
            </w:tcBorders>
            <w:noWrap w:val="0"/>
            <w:vAlign w:val="center"/>
          </w:tcPr>
          <w:p w14:paraId="521DF1AB">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开标程序</w:t>
            </w:r>
          </w:p>
        </w:tc>
        <w:tc>
          <w:tcPr>
            <w:tcW w:w="5264" w:type="dxa"/>
            <w:tcBorders>
              <w:top w:val="single" w:color="auto" w:sz="4" w:space="0"/>
              <w:left w:val="single" w:color="auto" w:sz="4" w:space="0"/>
              <w:right w:val="single" w:color="auto" w:sz="4" w:space="0"/>
            </w:tcBorders>
            <w:noWrap w:val="0"/>
            <w:vAlign w:val="center"/>
          </w:tcPr>
          <w:p w14:paraId="4AE4468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开标顺序：</w:t>
            </w:r>
            <w:r>
              <w:rPr>
                <w:rFonts w:hint="eastAsia" w:cs="仿宋"/>
                <w:color w:val="auto"/>
                <w:sz w:val="21"/>
                <w:szCs w:val="21"/>
                <w:highlight w:val="none"/>
                <w:lang w:val="en-US" w:eastAsia="zh-CN"/>
              </w:rPr>
              <w:t>政采云平台自动开标</w:t>
            </w:r>
            <w:r>
              <w:rPr>
                <w:rFonts w:hint="eastAsia" w:ascii="仿宋" w:hAnsi="仿宋" w:eastAsia="仿宋" w:cs="仿宋"/>
                <w:color w:val="auto"/>
                <w:sz w:val="21"/>
                <w:szCs w:val="21"/>
                <w:highlight w:val="none"/>
                <w:lang w:val="zh-CN" w:eastAsia="zh-CN"/>
              </w:rPr>
              <w:t>。</w:t>
            </w:r>
          </w:p>
        </w:tc>
      </w:tr>
      <w:tr w14:paraId="2A3E7D5F">
        <w:tblPrEx>
          <w:tblCellMar>
            <w:top w:w="0" w:type="dxa"/>
            <w:left w:w="108" w:type="dxa"/>
            <w:bottom w:w="0" w:type="dxa"/>
            <w:right w:w="108" w:type="dxa"/>
          </w:tblCellMar>
        </w:tblPrEx>
        <w:trPr>
          <w:trHeight w:val="880" w:hRule="atLeast"/>
        </w:trPr>
        <w:tc>
          <w:tcPr>
            <w:tcW w:w="1122" w:type="dxa"/>
            <w:tcBorders>
              <w:top w:val="single" w:color="auto" w:sz="4" w:space="0"/>
              <w:left w:val="single" w:color="auto" w:sz="4" w:space="0"/>
              <w:right w:val="single" w:color="auto" w:sz="4" w:space="0"/>
            </w:tcBorders>
            <w:noWrap w:val="0"/>
            <w:vAlign w:val="center"/>
          </w:tcPr>
          <w:p w14:paraId="6568BE4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w:t>
            </w:r>
          </w:p>
        </w:tc>
        <w:tc>
          <w:tcPr>
            <w:tcW w:w="1920" w:type="dxa"/>
            <w:tcBorders>
              <w:top w:val="single" w:color="auto" w:sz="4" w:space="0"/>
              <w:left w:val="single" w:color="auto" w:sz="4" w:space="0"/>
              <w:right w:val="single" w:color="auto" w:sz="4" w:space="0"/>
            </w:tcBorders>
            <w:noWrap w:val="0"/>
            <w:vAlign w:val="center"/>
          </w:tcPr>
          <w:p w14:paraId="5226A29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评标委员会的组建</w:t>
            </w:r>
          </w:p>
        </w:tc>
        <w:tc>
          <w:tcPr>
            <w:tcW w:w="5264" w:type="dxa"/>
            <w:tcBorders>
              <w:top w:val="single" w:color="auto" w:sz="4" w:space="0"/>
              <w:left w:val="single" w:color="auto" w:sz="4" w:space="0"/>
              <w:right w:val="single" w:color="auto" w:sz="4" w:space="0"/>
            </w:tcBorders>
            <w:noWrap w:val="0"/>
            <w:vAlign w:val="center"/>
          </w:tcPr>
          <w:p w14:paraId="5CF073D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评标委员会构成：5人，其中招标人代表0-1人，专家4-5人；</w:t>
            </w:r>
          </w:p>
          <w:p w14:paraId="6EB75513">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sz w:val="21"/>
                <w:szCs w:val="21"/>
                <w:highlight w:val="none"/>
              </w:rPr>
              <w:t>评标专家确定方式：</w:t>
            </w:r>
            <w:r>
              <w:rPr>
                <w:rFonts w:hint="eastAsia" w:cs="仿宋"/>
                <w:sz w:val="21"/>
                <w:szCs w:val="21"/>
                <w:highlight w:val="none"/>
                <w:u w:val="single"/>
              </w:rPr>
              <w:t>在政府采购主管部门认定的评标专家库中随机抽取</w:t>
            </w:r>
            <w:r>
              <w:rPr>
                <w:rFonts w:hint="eastAsia" w:cs="仿宋"/>
                <w:sz w:val="21"/>
                <w:szCs w:val="21"/>
                <w:highlight w:val="none"/>
              </w:rPr>
              <w:t>。</w:t>
            </w:r>
          </w:p>
        </w:tc>
      </w:tr>
      <w:tr w14:paraId="0BB99852">
        <w:tblPrEx>
          <w:tblCellMar>
            <w:top w:w="0" w:type="dxa"/>
            <w:left w:w="108" w:type="dxa"/>
            <w:bottom w:w="0" w:type="dxa"/>
            <w:right w:w="108" w:type="dxa"/>
          </w:tblCellMar>
        </w:tblPrEx>
        <w:trPr>
          <w:trHeight w:val="880" w:hRule="atLeast"/>
        </w:trPr>
        <w:tc>
          <w:tcPr>
            <w:tcW w:w="1122" w:type="dxa"/>
            <w:tcBorders>
              <w:top w:val="single" w:color="auto" w:sz="4" w:space="0"/>
              <w:left w:val="single" w:color="auto" w:sz="4" w:space="0"/>
              <w:right w:val="single" w:color="auto" w:sz="4" w:space="0"/>
            </w:tcBorders>
            <w:noWrap w:val="0"/>
            <w:vAlign w:val="center"/>
          </w:tcPr>
          <w:p w14:paraId="378FF7A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6.3.2</w:t>
            </w:r>
          </w:p>
        </w:tc>
        <w:tc>
          <w:tcPr>
            <w:tcW w:w="1920" w:type="dxa"/>
            <w:tcBorders>
              <w:top w:val="single" w:color="auto" w:sz="4" w:space="0"/>
              <w:left w:val="single" w:color="auto" w:sz="4" w:space="0"/>
              <w:right w:val="single" w:color="auto" w:sz="4" w:space="0"/>
            </w:tcBorders>
            <w:noWrap w:val="0"/>
            <w:vAlign w:val="center"/>
          </w:tcPr>
          <w:p w14:paraId="2D4F354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是否授权评标委员会确定中标人</w:t>
            </w:r>
          </w:p>
        </w:tc>
        <w:tc>
          <w:tcPr>
            <w:tcW w:w="5264" w:type="dxa"/>
            <w:tcBorders>
              <w:top w:val="single" w:color="auto" w:sz="4" w:space="0"/>
              <w:left w:val="single" w:color="auto" w:sz="4" w:space="0"/>
              <w:right w:val="single" w:color="auto" w:sz="4" w:space="0"/>
            </w:tcBorders>
            <w:noWrap w:val="0"/>
            <w:vAlign w:val="center"/>
          </w:tcPr>
          <w:p w14:paraId="59C81295">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□是</w:t>
            </w:r>
          </w:p>
          <w:p w14:paraId="7FF9BBE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☑否，推荐的中标候选人数：3人。</w:t>
            </w:r>
          </w:p>
          <w:p w14:paraId="2A4C9AA1">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评标委员会推荐初步评审合格，综合评审得分由高到低排名第一、第二、第三的投标人为中标候选人。</w:t>
            </w:r>
          </w:p>
        </w:tc>
      </w:tr>
      <w:tr w14:paraId="5D1ED3E5">
        <w:tblPrEx>
          <w:tblCellMar>
            <w:top w:w="0" w:type="dxa"/>
            <w:left w:w="108" w:type="dxa"/>
            <w:bottom w:w="0" w:type="dxa"/>
            <w:right w:w="108" w:type="dxa"/>
          </w:tblCellMar>
        </w:tblPrEx>
        <w:trPr>
          <w:trHeight w:val="880" w:hRule="atLeast"/>
        </w:trPr>
        <w:tc>
          <w:tcPr>
            <w:tcW w:w="1122" w:type="dxa"/>
            <w:tcBorders>
              <w:top w:val="single" w:color="auto" w:sz="4" w:space="0"/>
              <w:left w:val="single" w:color="auto" w:sz="4" w:space="0"/>
              <w:right w:val="single" w:color="auto" w:sz="4" w:space="0"/>
            </w:tcBorders>
            <w:noWrap w:val="0"/>
            <w:vAlign w:val="center"/>
          </w:tcPr>
          <w:p w14:paraId="47FB3E6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1</w:t>
            </w:r>
          </w:p>
        </w:tc>
        <w:tc>
          <w:tcPr>
            <w:tcW w:w="1920" w:type="dxa"/>
            <w:tcBorders>
              <w:top w:val="single" w:color="auto" w:sz="4" w:space="0"/>
              <w:left w:val="single" w:color="auto" w:sz="4" w:space="0"/>
              <w:right w:val="single" w:color="auto" w:sz="4" w:space="0"/>
            </w:tcBorders>
            <w:noWrap w:val="0"/>
            <w:vAlign w:val="center"/>
          </w:tcPr>
          <w:p w14:paraId="2A094676">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cs="仿宋"/>
                <w:sz w:val="21"/>
                <w:szCs w:val="21"/>
                <w:highlight w:val="none"/>
                <w:lang w:val="zh-CN"/>
              </w:rPr>
              <w:t>中标人公示媒介及期限</w:t>
            </w:r>
          </w:p>
        </w:tc>
        <w:tc>
          <w:tcPr>
            <w:tcW w:w="5264" w:type="dxa"/>
            <w:tcBorders>
              <w:top w:val="single" w:color="auto" w:sz="4" w:space="0"/>
              <w:left w:val="single" w:color="auto" w:sz="4" w:space="0"/>
              <w:right w:val="single" w:color="auto" w:sz="4" w:space="0"/>
            </w:tcBorders>
            <w:noWrap w:val="0"/>
            <w:vAlign w:val="center"/>
          </w:tcPr>
          <w:p w14:paraId="0A223DD0">
            <w:pPr>
              <w:keepNext w:val="0"/>
              <w:keepLines w:val="0"/>
              <w:widowControl/>
              <w:suppressLineNumbers w:val="0"/>
              <w:spacing w:before="0" w:beforeAutospacing="0" w:after="0" w:afterAutospacing="0" w:line="240" w:lineRule="auto"/>
              <w:ind w:left="0" w:right="0" w:firstLine="0" w:firstLineChars="0"/>
              <w:rPr>
                <w:rFonts w:hint="default" w:cs="仿宋"/>
                <w:sz w:val="21"/>
                <w:szCs w:val="21"/>
                <w:highlight w:val="none"/>
              </w:rPr>
            </w:pPr>
            <w:r>
              <w:rPr>
                <w:rFonts w:hint="eastAsia" w:cs="仿宋"/>
                <w:sz w:val="21"/>
                <w:szCs w:val="21"/>
                <w:highlight w:val="none"/>
              </w:rPr>
              <w:t>公示媒介：“政采云”平台(http：//www.zcygov.cn)、中国政府采购网、中国采购与招标网；</w:t>
            </w:r>
          </w:p>
          <w:p w14:paraId="692BED3B">
            <w:pPr>
              <w:keepNext w:val="0"/>
              <w:keepLines w:val="0"/>
              <w:widowControl/>
              <w:suppressLineNumbers w:val="0"/>
              <w:spacing w:before="0" w:beforeAutospacing="0" w:after="0" w:afterAutospacing="0" w:line="240" w:lineRule="auto"/>
              <w:ind w:left="0" w:right="0" w:firstLine="0" w:firstLineChars="0"/>
              <w:rPr>
                <w:rFonts w:hint="default" w:cs="仿宋"/>
                <w:sz w:val="21"/>
                <w:szCs w:val="21"/>
                <w:highlight w:val="none"/>
              </w:rPr>
            </w:pPr>
            <w:r>
              <w:rPr>
                <w:rFonts w:hint="eastAsia" w:cs="仿宋"/>
                <w:sz w:val="21"/>
                <w:szCs w:val="21"/>
                <w:highlight w:val="none"/>
              </w:rPr>
              <w:t>公示期限：1个工作日；</w:t>
            </w:r>
          </w:p>
          <w:p w14:paraId="43480564">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sz w:val="21"/>
                <w:szCs w:val="21"/>
                <w:highlight w:val="none"/>
              </w:rPr>
              <w:t>公示的其他内容：无。</w:t>
            </w:r>
          </w:p>
        </w:tc>
      </w:tr>
      <w:tr w14:paraId="527AD584">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51A8DAFF">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AB8B24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履约担保</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00825E1">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履约担保的形式：无</w:t>
            </w:r>
          </w:p>
          <w:p w14:paraId="733B4B7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履约担保的金额：无</w:t>
            </w:r>
          </w:p>
        </w:tc>
      </w:tr>
      <w:tr w14:paraId="5B9B164A">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249957F7">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F169919">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电子招标投标</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01D9C6AE">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color w:val="auto"/>
                <w:sz w:val="21"/>
                <w:szCs w:val="21"/>
                <w:highlight w:val="none"/>
                <w:lang w:val="zh-CN" w:eastAsia="zh-CN"/>
              </w:rPr>
              <w:t>□</w:t>
            </w:r>
            <w:r>
              <w:rPr>
                <w:rFonts w:hint="eastAsia" w:ascii="仿宋" w:hAnsi="仿宋" w:eastAsia="仿宋" w:cs="仿宋"/>
                <w:color w:val="auto"/>
                <w:sz w:val="21"/>
                <w:szCs w:val="21"/>
                <w:highlight w:val="none"/>
                <w:lang w:val="zh-CN" w:eastAsia="zh-CN"/>
              </w:rPr>
              <w:t>否</w:t>
            </w:r>
          </w:p>
          <w:p w14:paraId="6ABC73F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color w:val="auto"/>
                <w:sz w:val="21"/>
                <w:szCs w:val="21"/>
                <w:highlight w:val="none"/>
                <w:lang w:val="zh-CN" w:eastAsia="zh-CN"/>
              </w:rPr>
              <w:t>☑</w:t>
            </w:r>
            <w:r>
              <w:rPr>
                <w:rFonts w:hint="eastAsia" w:ascii="仿宋" w:hAnsi="仿宋" w:eastAsia="仿宋" w:cs="仿宋"/>
                <w:color w:val="auto"/>
                <w:sz w:val="21"/>
                <w:szCs w:val="21"/>
                <w:highlight w:val="none"/>
                <w:lang w:val="zh-CN" w:eastAsia="zh-CN"/>
              </w:rPr>
              <w:t>是，具体要求：详见招标文件</w:t>
            </w:r>
          </w:p>
        </w:tc>
      </w:tr>
      <w:tr w14:paraId="137E0551">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63D16FB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184" w:type="dxa"/>
            <w:gridSpan w:val="2"/>
            <w:tcBorders>
              <w:top w:val="single" w:color="auto" w:sz="4" w:space="0"/>
              <w:left w:val="single" w:color="auto" w:sz="4" w:space="0"/>
              <w:bottom w:val="single" w:color="auto" w:sz="4" w:space="0"/>
              <w:right w:val="single" w:color="auto" w:sz="4" w:space="0"/>
            </w:tcBorders>
            <w:noWrap w:val="0"/>
            <w:vAlign w:val="center"/>
          </w:tcPr>
          <w:p w14:paraId="544891A3">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需要补充的其他内容</w:t>
            </w:r>
          </w:p>
        </w:tc>
      </w:tr>
      <w:tr w14:paraId="5CC44DCE">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291E983F">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8B265AE">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rPr>
            </w:pPr>
            <w:r>
              <w:rPr>
                <w:rFonts w:hint="eastAsia" w:ascii="仿宋" w:hAnsi="仿宋" w:eastAsia="仿宋" w:cs="仿宋"/>
                <w:bCs/>
                <w:color w:val="auto"/>
                <w:kern w:val="15"/>
                <w:sz w:val="21"/>
                <w:szCs w:val="21"/>
                <w:highlight w:val="none"/>
              </w:rPr>
              <w:t>考察中标候选人</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2FFEE28F">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采购人在招投标管理机构的监督下，可以对中标候选人进行考察</w:t>
            </w:r>
          </w:p>
        </w:tc>
      </w:tr>
      <w:tr w14:paraId="3B6B3826">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77872A1B">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0A1883B">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bCs/>
                <w:color w:val="auto"/>
                <w:kern w:val="15"/>
                <w:sz w:val="21"/>
                <w:szCs w:val="21"/>
                <w:highlight w:val="none"/>
                <w:lang w:val="en-US" w:eastAsia="zh-CN"/>
              </w:rPr>
            </w:pPr>
            <w:r>
              <w:rPr>
                <w:rFonts w:hint="eastAsia" w:ascii="仿宋" w:hAnsi="仿宋" w:eastAsia="仿宋" w:cs="仿宋"/>
                <w:bCs/>
                <w:color w:val="auto"/>
                <w:kern w:val="15"/>
                <w:sz w:val="21"/>
                <w:szCs w:val="21"/>
                <w:highlight w:val="none"/>
                <w:lang w:val="en-US" w:eastAsia="zh-CN"/>
              </w:rPr>
              <w:t>资格审查方式</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5A677322">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资格后审</w:t>
            </w:r>
          </w:p>
        </w:tc>
      </w:tr>
      <w:tr w14:paraId="6AF3A6CC">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4C565697">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7229F1D">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bCs/>
                <w:color w:val="auto"/>
                <w:kern w:val="15"/>
                <w:sz w:val="21"/>
                <w:szCs w:val="21"/>
                <w:highlight w:val="none"/>
                <w:lang w:val="en-US" w:eastAsia="zh-CN"/>
              </w:rPr>
            </w:pPr>
            <w:r>
              <w:rPr>
                <w:rFonts w:hint="eastAsia" w:ascii="仿宋" w:hAnsi="仿宋" w:eastAsia="仿宋" w:cs="仿宋"/>
                <w:bCs/>
                <w:color w:val="auto"/>
                <w:kern w:val="15"/>
                <w:sz w:val="21"/>
                <w:szCs w:val="21"/>
                <w:highlight w:val="none"/>
                <w:lang w:val="en-US" w:eastAsia="zh-CN"/>
              </w:rPr>
              <w:t>评审办法</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7ABE14A8">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综合评标法</w:t>
            </w:r>
          </w:p>
        </w:tc>
      </w:tr>
      <w:tr w14:paraId="2D60AFA9">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63E4D53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9.5</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69D4DB4">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bCs/>
                <w:color w:val="auto"/>
                <w:kern w:val="15"/>
                <w:sz w:val="21"/>
                <w:szCs w:val="21"/>
                <w:highlight w:val="none"/>
                <w:lang w:val="en-US" w:eastAsia="zh-CN"/>
              </w:rPr>
            </w:pPr>
            <w:r>
              <w:rPr>
                <w:rFonts w:hint="eastAsia" w:ascii="仿宋" w:hAnsi="仿宋" w:eastAsia="仿宋" w:cs="仿宋"/>
                <w:bCs/>
                <w:color w:val="auto"/>
                <w:kern w:val="15"/>
                <w:sz w:val="21"/>
                <w:szCs w:val="21"/>
                <w:highlight w:val="none"/>
                <w:lang w:val="en-US" w:eastAsia="zh-CN"/>
              </w:rPr>
              <w:t>招标代理费</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465E6FD8">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收费依据：按照国家发展计划委员会“发改价格【2015】299号”文要求。</w:t>
            </w:r>
          </w:p>
        </w:tc>
      </w:tr>
      <w:tr w14:paraId="306E5A69">
        <w:tblPrEx>
          <w:tblCellMar>
            <w:top w:w="0" w:type="dxa"/>
            <w:left w:w="108" w:type="dxa"/>
            <w:bottom w:w="0" w:type="dxa"/>
            <w:right w:w="108" w:type="dxa"/>
          </w:tblCellMar>
        </w:tblPrEx>
        <w:trPr>
          <w:trHeight w:val="451"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2A821B4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9.7</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CAAC950">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付款方式</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1E74E974">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以</w:t>
            </w:r>
            <w:r>
              <w:rPr>
                <w:rFonts w:hint="eastAsia" w:ascii="仿宋" w:hAnsi="仿宋" w:eastAsia="仿宋" w:cs="仿宋"/>
                <w:color w:val="auto"/>
                <w:sz w:val="21"/>
                <w:szCs w:val="21"/>
                <w:highlight w:val="none"/>
                <w:lang w:val="en-US" w:eastAsia="zh-CN"/>
              </w:rPr>
              <w:t>招标人和中标单位</w:t>
            </w:r>
            <w:r>
              <w:rPr>
                <w:rFonts w:hint="eastAsia" w:ascii="仿宋" w:hAnsi="仿宋" w:eastAsia="仿宋" w:cs="仿宋"/>
                <w:color w:val="auto"/>
                <w:sz w:val="21"/>
                <w:szCs w:val="21"/>
                <w:highlight w:val="none"/>
                <w:lang w:val="zh-CN" w:eastAsia="zh-CN"/>
              </w:rPr>
              <w:t>实际合同为准</w:t>
            </w:r>
          </w:p>
        </w:tc>
      </w:tr>
      <w:tr w14:paraId="3D0C8D5F">
        <w:tblPrEx>
          <w:tblCellMar>
            <w:top w:w="0" w:type="dxa"/>
            <w:left w:w="108" w:type="dxa"/>
            <w:bottom w:w="0" w:type="dxa"/>
            <w:right w:w="108" w:type="dxa"/>
          </w:tblCellMar>
        </w:tblPrEx>
        <w:trPr>
          <w:trHeight w:val="451" w:hRule="atLeast"/>
        </w:trPr>
        <w:tc>
          <w:tcPr>
            <w:tcW w:w="1122" w:type="dxa"/>
            <w:tcBorders>
              <w:top w:val="single" w:color="auto" w:sz="4" w:space="0"/>
              <w:left w:val="single" w:color="auto" w:sz="4" w:space="0"/>
              <w:bottom w:val="single" w:color="auto" w:sz="4" w:space="0"/>
              <w:right w:val="single" w:color="auto" w:sz="4" w:space="0"/>
            </w:tcBorders>
            <w:noWrap w:val="0"/>
            <w:vAlign w:val="center"/>
          </w:tcPr>
          <w:p w14:paraId="32114BB5">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
                <w:color w:val="auto"/>
                <w:sz w:val="21"/>
                <w:szCs w:val="21"/>
                <w:highlight w:val="none"/>
                <w:lang w:val="en-US" w:eastAsia="zh-CN"/>
              </w:rPr>
            </w:pPr>
            <w:bookmarkStart w:id="57" w:name="OLE_LINK27"/>
            <w:bookmarkStart w:id="58" w:name="OLE_LINK28"/>
            <w:bookmarkStart w:id="59" w:name="OLE_LINK29"/>
            <w:r>
              <w:rPr>
                <w:rFonts w:hint="eastAsia" w:cs="仿宋"/>
                <w:color w:val="auto"/>
                <w:sz w:val="21"/>
                <w:szCs w:val="21"/>
                <w:highlight w:val="none"/>
                <w:lang w:val="en-US" w:eastAsia="zh-CN"/>
              </w:rPr>
              <w:t>9.8</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00B3B9F">
            <w:pPr>
              <w:keepNext w:val="0"/>
              <w:keepLines w:val="0"/>
              <w:widowControl/>
              <w:suppressLineNumbers w:val="0"/>
              <w:spacing w:before="0" w:beforeAutospacing="0" w:after="0" w:afterAutospacing="0" w:line="240" w:lineRule="auto"/>
              <w:ind w:left="0" w:right="0" w:firstLine="0" w:firstLineChars="0"/>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其他要求</w:t>
            </w:r>
          </w:p>
        </w:tc>
        <w:tc>
          <w:tcPr>
            <w:tcW w:w="5264" w:type="dxa"/>
            <w:tcBorders>
              <w:top w:val="single" w:color="auto" w:sz="4" w:space="0"/>
              <w:left w:val="single" w:color="auto" w:sz="4" w:space="0"/>
              <w:bottom w:val="single" w:color="auto" w:sz="4" w:space="0"/>
              <w:right w:val="single" w:color="auto" w:sz="4" w:space="0"/>
            </w:tcBorders>
            <w:noWrap w:val="0"/>
            <w:vAlign w:val="center"/>
          </w:tcPr>
          <w:p w14:paraId="2AB50F36">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中标单位需按照丰满区要求相关税务要求，完成纳税义务。</w:t>
            </w:r>
          </w:p>
        </w:tc>
      </w:tr>
      <w:tr w14:paraId="33B0FBAD">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1A073B0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kern w:val="0"/>
                <w:sz w:val="21"/>
                <w:szCs w:val="21"/>
                <w:highlight w:val="none"/>
              </w:rPr>
              <w:t>特别提醒</w:t>
            </w:r>
          </w:p>
        </w:tc>
        <w:tc>
          <w:tcPr>
            <w:tcW w:w="7184" w:type="dxa"/>
            <w:gridSpan w:val="2"/>
            <w:tcBorders>
              <w:top w:val="single" w:color="auto" w:sz="4" w:space="0"/>
              <w:left w:val="single" w:color="auto" w:sz="4" w:space="0"/>
              <w:bottom w:val="single" w:color="auto" w:sz="4" w:space="0"/>
              <w:right w:val="single" w:color="auto" w:sz="4" w:space="0"/>
            </w:tcBorders>
            <w:noWrap w:val="0"/>
            <w:vAlign w:val="center"/>
          </w:tcPr>
          <w:p w14:paraId="3FB35E6C">
            <w:pPr>
              <w:keepNext w:val="0"/>
              <w:keepLines w:val="0"/>
              <w:widowControl/>
              <w:suppressLineNumbers w:val="0"/>
              <w:spacing w:before="0" w:beforeAutospacing="0" w:after="0" w:afterAutospacing="0" w:line="240" w:lineRule="auto"/>
              <w:ind w:left="0" w:right="0" w:firstLine="0" w:firstLineChars="0"/>
              <w:rPr>
                <w:rFonts w:hint="default" w:cs="仿宋"/>
                <w:bCs/>
                <w:kern w:val="15"/>
                <w:sz w:val="21"/>
                <w:szCs w:val="21"/>
                <w:highlight w:val="none"/>
                <w:lang w:val="zh-CN"/>
              </w:rPr>
            </w:pPr>
            <w:r>
              <w:rPr>
                <w:rFonts w:hint="eastAsia" w:cs="仿宋"/>
                <w:bCs/>
                <w:kern w:val="15"/>
                <w:sz w:val="21"/>
                <w:szCs w:val="21"/>
                <w:highlight w:val="none"/>
              </w:rPr>
              <w:t>1、</w:t>
            </w:r>
            <w:r>
              <w:rPr>
                <w:rFonts w:hint="eastAsia" w:cs="仿宋"/>
                <w:bCs/>
                <w:kern w:val="15"/>
                <w:sz w:val="21"/>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A4B48A">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bCs/>
                <w:kern w:val="15"/>
                <w:sz w:val="21"/>
                <w:szCs w:val="21"/>
                <w:highlight w:val="none"/>
              </w:rPr>
              <w:t>2、</w:t>
            </w:r>
            <w:r>
              <w:rPr>
                <w:rFonts w:hint="eastAsia" w:cs="仿宋"/>
                <w:bCs/>
                <w:kern w:val="15"/>
                <w:sz w:val="21"/>
                <w:szCs w:val="21"/>
                <w:highlight w:val="none"/>
                <w:lang w:val="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tc>
      </w:tr>
      <w:tr w14:paraId="152B1ADE">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5F6439F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zh-CN" w:eastAsia="zh-CN"/>
              </w:rPr>
            </w:pPr>
            <w:r>
              <w:rPr>
                <w:rFonts w:hint="eastAsia" w:cs="仿宋"/>
                <w:sz w:val="21"/>
                <w:szCs w:val="21"/>
                <w:highlight w:val="none"/>
              </w:rPr>
              <w:t>电子标操作说明</w:t>
            </w:r>
          </w:p>
        </w:tc>
        <w:tc>
          <w:tcPr>
            <w:tcW w:w="7184" w:type="dxa"/>
            <w:gridSpan w:val="2"/>
            <w:tcBorders>
              <w:top w:val="single" w:color="auto" w:sz="4" w:space="0"/>
              <w:left w:val="single" w:color="auto" w:sz="4" w:space="0"/>
              <w:bottom w:val="single" w:color="auto" w:sz="4" w:space="0"/>
              <w:right w:val="single" w:color="auto" w:sz="4" w:space="0"/>
            </w:tcBorders>
            <w:noWrap w:val="0"/>
            <w:vAlign w:val="center"/>
          </w:tcPr>
          <w:p w14:paraId="0CD6DC7B">
            <w:pPr>
              <w:keepNext w:val="0"/>
              <w:keepLines w:val="0"/>
              <w:widowControl/>
              <w:suppressLineNumbers w:val="0"/>
              <w:spacing w:before="0" w:beforeAutospacing="0" w:after="0" w:afterAutospacing="0" w:line="240" w:lineRule="auto"/>
              <w:ind w:left="0" w:right="0" w:firstLine="0" w:firstLineChars="0"/>
              <w:rPr>
                <w:rFonts w:hint="default" w:cs="仿宋"/>
                <w:bCs/>
                <w:kern w:val="15"/>
                <w:sz w:val="21"/>
                <w:szCs w:val="21"/>
                <w:highlight w:val="none"/>
                <w:lang w:val="zh-CN"/>
              </w:rPr>
            </w:pPr>
            <w:r>
              <w:rPr>
                <w:rFonts w:hint="eastAsia" w:cs="仿宋"/>
                <w:bCs/>
                <w:kern w:val="15"/>
                <w:sz w:val="21"/>
                <w:szCs w:val="21"/>
                <w:highlight w:val="none"/>
                <w:lang w:val="zh-CN"/>
              </w:rPr>
              <w:t>本次招标实行不见面开标，具体要求如下：</w:t>
            </w:r>
          </w:p>
          <w:p w14:paraId="404D298B">
            <w:pPr>
              <w:keepNext w:val="0"/>
              <w:keepLines w:val="0"/>
              <w:widowControl/>
              <w:suppressLineNumbers w:val="0"/>
              <w:spacing w:before="0" w:beforeAutospacing="0" w:after="0" w:afterAutospacing="0" w:line="240" w:lineRule="auto"/>
              <w:ind w:left="0" w:right="0" w:firstLine="0" w:firstLineChars="0"/>
              <w:rPr>
                <w:rFonts w:hint="default" w:cs="仿宋"/>
                <w:bCs/>
                <w:kern w:val="15"/>
                <w:sz w:val="21"/>
                <w:szCs w:val="21"/>
                <w:highlight w:val="none"/>
                <w:lang w:val="zh-CN"/>
              </w:rPr>
            </w:pPr>
            <w:r>
              <w:rPr>
                <w:rFonts w:hint="eastAsia" w:cs="仿宋"/>
                <w:bCs/>
                <w:kern w:val="15"/>
                <w:sz w:val="21"/>
                <w:szCs w:val="21"/>
                <w:highlight w:val="none"/>
                <w:lang w:val="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14:paraId="2AE42542">
            <w:pPr>
              <w:keepNext w:val="0"/>
              <w:keepLines w:val="0"/>
              <w:widowControl/>
              <w:suppressLineNumbers w:val="0"/>
              <w:spacing w:before="0" w:beforeAutospacing="0" w:after="0" w:afterAutospacing="0" w:line="240" w:lineRule="auto"/>
              <w:ind w:left="0" w:right="0" w:firstLine="0" w:firstLineChars="0"/>
              <w:rPr>
                <w:rFonts w:hint="default" w:cs="仿宋"/>
                <w:bCs/>
                <w:kern w:val="15"/>
                <w:sz w:val="21"/>
                <w:szCs w:val="21"/>
                <w:highlight w:val="none"/>
                <w:lang w:val="zh-CN"/>
              </w:rPr>
            </w:pPr>
            <w:r>
              <w:rPr>
                <w:rFonts w:hint="eastAsia" w:cs="仿宋"/>
                <w:bCs/>
                <w:kern w:val="15"/>
                <w:sz w:val="21"/>
                <w:szCs w:val="21"/>
                <w:highlight w:val="none"/>
                <w:lang w:val="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14:paraId="639EF0C1">
            <w:pPr>
              <w:keepNext w:val="0"/>
              <w:keepLines w:val="0"/>
              <w:widowControl/>
              <w:suppressLineNumbers w:val="0"/>
              <w:spacing w:before="0" w:beforeAutospacing="0" w:after="0" w:afterAutospacing="0" w:line="240" w:lineRule="auto"/>
              <w:ind w:left="0" w:right="0" w:firstLine="0" w:firstLineChars="0"/>
              <w:rPr>
                <w:rFonts w:hint="default" w:cs="仿宋"/>
                <w:bCs/>
                <w:kern w:val="15"/>
                <w:sz w:val="21"/>
                <w:szCs w:val="21"/>
                <w:highlight w:val="none"/>
                <w:lang w:val="zh-CN"/>
              </w:rPr>
            </w:pPr>
            <w:r>
              <w:rPr>
                <w:rFonts w:hint="eastAsia" w:cs="仿宋"/>
                <w:bCs/>
                <w:kern w:val="15"/>
                <w:sz w:val="21"/>
                <w:szCs w:val="21"/>
                <w:highlight w:val="none"/>
                <w:lang w:val="zh-CN"/>
              </w:rPr>
              <w:t>(3)为确保网上操作合法、有效和安全，请投标供应商确保在电子投标过程中能够对相关数据电文进行加密和使用电子签章，妥善保管CA数字证书并使用有效的CA数字证书参与整个招标活动。</w:t>
            </w:r>
          </w:p>
          <w:p w14:paraId="620DB56B">
            <w:pPr>
              <w:keepNext w:val="0"/>
              <w:keepLines w:val="0"/>
              <w:widowControl/>
              <w:suppressLineNumbers w:val="0"/>
              <w:spacing w:before="0" w:beforeAutospacing="0" w:after="0" w:afterAutospacing="0" w:line="240" w:lineRule="auto"/>
              <w:ind w:left="0" w:right="0" w:firstLine="0" w:firstLineChars="0"/>
              <w:rPr>
                <w:rFonts w:hint="default" w:cs="仿宋"/>
                <w:bCs/>
                <w:kern w:val="15"/>
                <w:sz w:val="21"/>
                <w:szCs w:val="21"/>
                <w:highlight w:val="none"/>
                <w:lang w:val="zh-CN"/>
              </w:rPr>
            </w:pPr>
            <w:r>
              <w:rPr>
                <w:rFonts w:hint="eastAsia" w:cs="仿宋"/>
                <w:bCs/>
                <w:kern w:val="15"/>
                <w:sz w:val="21"/>
                <w:szCs w:val="21"/>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02CFA361">
            <w:pPr>
              <w:keepNext w:val="0"/>
              <w:keepLines w:val="0"/>
              <w:widowControl/>
              <w:suppressLineNumbers w:val="0"/>
              <w:spacing w:before="0" w:beforeAutospacing="0" w:after="0" w:afterAutospacing="0" w:line="240" w:lineRule="auto"/>
              <w:ind w:left="0" w:right="0" w:firstLine="0" w:firstLineChars="0"/>
              <w:rPr>
                <w:rFonts w:hint="default" w:cs="仿宋"/>
                <w:bCs/>
                <w:kern w:val="15"/>
                <w:sz w:val="21"/>
                <w:szCs w:val="21"/>
                <w:highlight w:val="none"/>
                <w:lang w:val="zh-CN"/>
              </w:rPr>
            </w:pPr>
            <w:r>
              <w:rPr>
                <w:rFonts w:hint="eastAsia" w:cs="仿宋"/>
                <w:bCs/>
                <w:kern w:val="15"/>
                <w:sz w:val="21"/>
                <w:szCs w:val="21"/>
                <w:highlight w:val="none"/>
                <w:lang w:val="zh-CN"/>
              </w:rPr>
              <w:t>(4)开标地点：本次招标将于2024年08月28日13时30分(北京时间)在“政采云”平台电子开标大厅开标。</w:t>
            </w:r>
          </w:p>
          <w:p w14:paraId="121CCF39">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bCs/>
                <w:kern w:val="15"/>
                <w:sz w:val="21"/>
                <w:szCs w:val="21"/>
                <w:highlight w:val="none"/>
                <w:lang w:val="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3BEBA524">
        <w:tblPrEx>
          <w:tblCellMar>
            <w:top w:w="0" w:type="dxa"/>
            <w:left w:w="108" w:type="dxa"/>
            <w:bottom w:w="0" w:type="dxa"/>
            <w:right w:w="108" w:type="dxa"/>
          </w:tblCellMar>
        </w:tblPrEx>
        <w:tc>
          <w:tcPr>
            <w:tcW w:w="1122" w:type="dxa"/>
            <w:tcBorders>
              <w:top w:val="single" w:color="auto" w:sz="4" w:space="0"/>
              <w:left w:val="single" w:color="auto" w:sz="4" w:space="0"/>
              <w:bottom w:val="single" w:color="auto" w:sz="4" w:space="0"/>
              <w:right w:val="single" w:color="auto" w:sz="4" w:space="0"/>
            </w:tcBorders>
            <w:noWrap w:val="0"/>
            <w:vAlign w:val="center"/>
          </w:tcPr>
          <w:p w14:paraId="4307093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color w:val="auto"/>
                <w:sz w:val="21"/>
                <w:szCs w:val="21"/>
                <w:highlight w:val="none"/>
                <w:lang w:val="zh-CN" w:eastAsia="zh-CN"/>
              </w:rPr>
            </w:pPr>
            <w:r>
              <w:rPr>
                <w:rFonts w:hint="eastAsia" w:cs="仿宋"/>
                <w:sz w:val="21"/>
                <w:szCs w:val="21"/>
                <w:highlight w:val="none"/>
              </w:rPr>
              <w:t>磋商文件份数补充说明</w:t>
            </w:r>
          </w:p>
        </w:tc>
        <w:tc>
          <w:tcPr>
            <w:tcW w:w="7184" w:type="dxa"/>
            <w:gridSpan w:val="2"/>
            <w:tcBorders>
              <w:top w:val="single" w:color="auto" w:sz="4" w:space="0"/>
              <w:left w:val="single" w:color="auto" w:sz="4" w:space="0"/>
              <w:bottom w:val="single" w:color="auto" w:sz="4" w:space="0"/>
              <w:right w:val="single" w:color="auto" w:sz="4" w:space="0"/>
            </w:tcBorders>
            <w:noWrap w:val="0"/>
            <w:vAlign w:val="center"/>
          </w:tcPr>
          <w:p w14:paraId="4C806014">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cs="仿宋"/>
                <w:sz w:val="21"/>
                <w:szCs w:val="21"/>
                <w:highlight w:val="none"/>
              </w:rPr>
              <w:t>中标单位需在中标通知书领取之前到招标代理公司提交与中标文件相同的纸版投标文件3份（1正本2副本），软件制作生成的未加密及Word版电子投标文件1份，否则视为放弃中标。</w:t>
            </w:r>
          </w:p>
        </w:tc>
      </w:tr>
      <w:tr w14:paraId="09E414A1">
        <w:tblPrEx>
          <w:tblCellMar>
            <w:top w:w="0" w:type="dxa"/>
            <w:left w:w="108" w:type="dxa"/>
            <w:bottom w:w="0" w:type="dxa"/>
            <w:right w:w="108" w:type="dxa"/>
          </w:tblCellMar>
        </w:tblPrEx>
        <w:tc>
          <w:tcPr>
            <w:tcW w:w="8306" w:type="dxa"/>
            <w:gridSpan w:val="3"/>
            <w:tcBorders>
              <w:top w:val="single" w:color="auto" w:sz="4" w:space="0"/>
              <w:left w:val="single" w:color="auto" w:sz="4" w:space="0"/>
              <w:bottom w:val="single" w:color="auto" w:sz="4" w:space="0"/>
              <w:right w:val="single" w:color="auto" w:sz="4" w:space="0"/>
            </w:tcBorders>
            <w:noWrap w:val="0"/>
            <w:vAlign w:val="center"/>
          </w:tcPr>
          <w:p w14:paraId="0560EA68">
            <w:pPr>
              <w:keepNext w:val="0"/>
              <w:keepLines w:val="0"/>
              <w:widowControl/>
              <w:suppressLineNumbers w:val="0"/>
              <w:spacing w:before="0" w:beforeAutospacing="0" w:after="0" w:afterAutospacing="0" w:line="240" w:lineRule="auto"/>
              <w:ind w:left="0" w:right="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注：投标人须知前附表”用于修改、补充和完善正文中的相关事宜，前附表与正文如有冲突以正文为准</w:t>
            </w:r>
            <w:bookmarkEnd w:id="57"/>
            <w:bookmarkEnd w:id="58"/>
            <w:bookmarkEnd w:id="59"/>
            <w:r>
              <w:rPr>
                <w:rFonts w:hint="eastAsia" w:ascii="仿宋" w:hAnsi="仿宋" w:eastAsia="仿宋" w:cs="仿宋"/>
                <w:color w:val="auto"/>
                <w:sz w:val="21"/>
                <w:szCs w:val="21"/>
                <w:highlight w:val="none"/>
                <w:lang w:val="zh-CN" w:eastAsia="zh-CN"/>
              </w:rPr>
              <w:t>，招标公告与招标文件不符之处以招标文件为准。</w:t>
            </w:r>
          </w:p>
        </w:tc>
      </w:tr>
    </w:tbl>
    <w:p w14:paraId="2286FBFE">
      <w:pPr>
        <w:pStyle w:val="5"/>
        <w:numPr>
          <w:ilvl w:val="0"/>
          <w:numId w:val="0"/>
        </w:numPr>
        <w:ind w:leftChars="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bCs w:val="0"/>
          <w:color w:val="auto"/>
          <w:highlight w:val="none"/>
        </w:rPr>
        <w:br w:type="page"/>
      </w:r>
      <w:bookmarkEnd w:id="46"/>
      <w:bookmarkEnd w:id="47"/>
      <w:bookmarkEnd w:id="48"/>
      <w:bookmarkEnd w:id="49"/>
      <w:bookmarkEnd w:id="50"/>
      <w:bookmarkEnd w:id="51"/>
      <w:bookmarkEnd w:id="52"/>
      <w:bookmarkEnd w:id="53"/>
      <w:bookmarkEnd w:id="54"/>
      <w:bookmarkEnd w:id="55"/>
      <w:bookmarkStart w:id="60" w:name="_Toc152045529"/>
      <w:bookmarkStart w:id="61" w:name="_Toc179632546"/>
      <w:bookmarkStart w:id="62" w:name="_Toc247085689"/>
      <w:bookmarkStart w:id="63" w:name="_Toc246996175"/>
      <w:bookmarkStart w:id="64" w:name="_Toc144974497"/>
      <w:bookmarkStart w:id="65" w:name="_Toc152042305"/>
      <w:bookmarkStart w:id="66" w:name="_Toc296602420"/>
      <w:bookmarkStart w:id="67" w:name="_Toc246996918"/>
      <w:r>
        <w:rPr>
          <w:rFonts w:hint="eastAsia" w:ascii="仿宋" w:hAnsi="仿宋" w:eastAsia="仿宋" w:cs="仿宋"/>
          <w:b/>
          <w:bCs/>
          <w:color w:val="000000"/>
          <w:sz w:val="30"/>
          <w:szCs w:val="30"/>
          <w:highlight w:val="none"/>
          <w:lang w:val="en-US" w:eastAsia="zh-CN"/>
        </w:rPr>
        <w:t>须知表正文</w:t>
      </w:r>
    </w:p>
    <w:p w14:paraId="37531EEC">
      <w:pPr>
        <w:numPr>
          <w:ilvl w:val="0"/>
          <w:numId w:val="6"/>
        </w:numPr>
        <w:bidi w:val="0"/>
        <w:rPr>
          <w:sz w:val="21"/>
          <w:szCs w:val="21"/>
          <w:highlight w:val="none"/>
        </w:rPr>
      </w:pPr>
      <w:r>
        <w:rPr>
          <w:sz w:val="21"/>
          <w:szCs w:val="21"/>
          <w:highlight w:val="none"/>
        </w:rPr>
        <w:t>适用法律：本次招标适用法律法规为《中华人民共和国政府采购法》、《政府采购货物和服务招标投标管理办法》《中华人民共和国政府采购法实施条例》及政府采购其它相关法规。</w:t>
      </w:r>
    </w:p>
    <w:p w14:paraId="4BB9D827">
      <w:pPr>
        <w:numPr>
          <w:ilvl w:val="0"/>
          <w:numId w:val="6"/>
        </w:numPr>
        <w:bidi w:val="0"/>
        <w:rPr>
          <w:rFonts w:hint="eastAsia"/>
          <w:sz w:val="21"/>
          <w:szCs w:val="21"/>
          <w:highlight w:val="none"/>
          <w:lang w:val="zh-CN"/>
        </w:rPr>
      </w:pPr>
      <w:r>
        <w:rPr>
          <w:sz w:val="21"/>
          <w:szCs w:val="21"/>
          <w:highlight w:val="none"/>
        </w:rPr>
        <w:t>定义：</w:t>
      </w:r>
    </w:p>
    <w:p w14:paraId="3B209E80">
      <w:pPr>
        <w:numPr>
          <w:ilvl w:val="0"/>
          <w:numId w:val="0"/>
        </w:numPr>
        <w:bidi w:val="0"/>
        <w:ind w:firstLine="420" w:firstLineChars="0"/>
        <w:rPr>
          <w:rFonts w:hint="eastAsia" w:eastAsia="仿宋"/>
          <w:sz w:val="21"/>
          <w:szCs w:val="21"/>
          <w:highlight w:val="none"/>
          <w:lang w:eastAsia="zh-CN"/>
        </w:rPr>
      </w:pPr>
      <w:r>
        <w:rPr>
          <w:sz w:val="21"/>
          <w:szCs w:val="21"/>
          <w:highlight w:val="none"/>
        </w:rPr>
        <w:t>2.1“招标代理机构”指负责采购活动的组织工作。</w:t>
      </w:r>
    </w:p>
    <w:p w14:paraId="2245E54B">
      <w:pPr>
        <w:numPr>
          <w:ilvl w:val="0"/>
          <w:numId w:val="0"/>
        </w:numPr>
        <w:bidi w:val="0"/>
        <w:ind w:firstLine="420" w:firstLineChars="0"/>
        <w:rPr>
          <w:rFonts w:hint="eastAsia" w:eastAsia="仿宋"/>
          <w:sz w:val="21"/>
          <w:szCs w:val="21"/>
          <w:highlight w:val="none"/>
          <w:lang w:eastAsia="zh-CN"/>
        </w:rPr>
      </w:pPr>
      <w:r>
        <w:rPr>
          <w:sz w:val="21"/>
          <w:szCs w:val="21"/>
          <w:highlight w:val="none"/>
        </w:rPr>
        <w:t>2.2“采购人”指详见招标文件前附表，负责采购项目的整体规划、采购需求设计和可行性论证，作为合同的需方，承担质疑答复，合同履行、验收、评价等义务。</w:t>
      </w:r>
    </w:p>
    <w:p w14:paraId="0486E3E3">
      <w:pPr>
        <w:numPr>
          <w:ilvl w:val="0"/>
          <w:numId w:val="0"/>
        </w:numPr>
        <w:bidi w:val="0"/>
        <w:ind w:firstLine="420" w:firstLineChars="0"/>
        <w:rPr>
          <w:rFonts w:hint="eastAsia" w:eastAsia="仿宋"/>
          <w:sz w:val="21"/>
          <w:szCs w:val="21"/>
          <w:highlight w:val="none"/>
          <w:lang w:eastAsia="zh-CN"/>
        </w:rPr>
      </w:pPr>
      <w:r>
        <w:rPr>
          <w:sz w:val="21"/>
          <w:szCs w:val="21"/>
          <w:highlight w:val="none"/>
        </w:rPr>
        <w:t>2.3“招标内容”详见第五章《</w:t>
      </w:r>
      <w:r>
        <w:rPr>
          <w:rFonts w:hint="eastAsia"/>
          <w:sz w:val="21"/>
          <w:szCs w:val="21"/>
          <w:highlight w:val="none"/>
          <w:lang w:eastAsia="zh-CN"/>
        </w:rPr>
        <w:t>服务标准和要求</w:t>
      </w:r>
      <w:r>
        <w:rPr>
          <w:sz w:val="21"/>
          <w:szCs w:val="21"/>
          <w:highlight w:val="none"/>
        </w:rPr>
        <w:t>》。</w:t>
      </w:r>
    </w:p>
    <w:p w14:paraId="21291B6B">
      <w:pPr>
        <w:numPr>
          <w:ilvl w:val="0"/>
          <w:numId w:val="0"/>
        </w:numPr>
        <w:bidi w:val="0"/>
        <w:ind w:firstLine="420" w:firstLineChars="0"/>
        <w:rPr>
          <w:rFonts w:hint="eastAsia" w:eastAsia="仿宋"/>
          <w:sz w:val="21"/>
          <w:szCs w:val="21"/>
          <w:highlight w:val="none"/>
          <w:lang w:eastAsia="zh-CN"/>
        </w:rPr>
      </w:pPr>
      <w:r>
        <w:rPr>
          <w:sz w:val="21"/>
          <w:szCs w:val="21"/>
          <w:highlight w:val="none"/>
        </w:rPr>
        <w:t>2.4“潜在供应商”指确认参加投标的供应商。</w:t>
      </w:r>
    </w:p>
    <w:p w14:paraId="16F9F579">
      <w:pPr>
        <w:numPr>
          <w:ilvl w:val="0"/>
          <w:numId w:val="0"/>
        </w:numPr>
        <w:bidi w:val="0"/>
        <w:ind w:firstLine="420" w:firstLineChars="0"/>
        <w:rPr>
          <w:rFonts w:hint="eastAsia" w:eastAsia="仿宋"/>
          <w:sz w:val="21"/>
          <w:szCs w:val="21"/>
          <w:highlight w:val="none"/>
          <w:lang w:eastAsia="zh-CN"/>
        </w:rPr>
      </w:pPr>
      <w:r>
        <w:rPr>
          <w:sz w:val="21"/>
          <w:szCs w:val="21"/>
          <w:highlight w:val="none"/>
        </w:rPr>
        <w:t>2.5“供应商”指响应本招标文件参加投标的供应商。</w:t>
      </w:r>
    </w:p>
    <w:p w14:paraId="70B521A3">
      <w:pPr>
        <w:numPr>
          <w:ilvl w:val="0"/>
          <w:numId w:val="6"/>
        </w:numPr>
        <w:bidi w:val="0"/>
        <w:ind w:left="0" w:leftChars="0" w:firstLine="0" w:firstLineChars="0"/>
        <w:rPr>
          <w:sz w:val="21"/>
          <w:szCs w:val="21"/>
          <w:highlight w:val="none"/>
        </w:rPr>
      </w:pPr>
      <w:r>
        <w:rPr>
          <w:sz w:val="21"/>
          <w:szCs w:val="21"/>
          <w:highlight w:val="none"/>
        </w:rPr>
        <w:t>合格供应商资格条件要求：详见招标公告</w:t>
      </w:r>
    </w:p>
    <w:p w14:paraId="3ED35FB0">
      <w:pPr>
        <w:numPr>
          <w:ilvl w:val="0"/>
          <w:numId w:val="6"/>
        </w:numPr>
        <w:bidi w:val="0"/>
        <w:ind w:left="0" w:leftChars="0" w:firstLine="0" w:firstLineChars="0"/>
        <w:rPr>
          <w:rFonts w:hint="eastAsia"/>
          <w:sz w:val="21"/>
          <w:szCs w:val="21"/>
          <w:highlight w:val="none"/>
          <w:lang w:val="zh-CN"/>
        </w:rPr>
      </w:pPr>
      <w:r>
        <w:rPr>
          <w:sz w:val="21"/>
          <w:szCs w:val="21"/>
          <w:highlight w:val="none"/>
        </w:rPr>
        <w:t>项目答疑会和踏勘现场：本项目不举行项目答疑会但组织踏勘现场。</w:t>
      </w:r>
    </w:p>
    <w:p w14:paraId="363A26C9">
      <w:pPr>
        <w:numPr>
          <w:ilvl w:val="0"/>
          <w:numId w:val="6"/>
        </w:numPr>
        <w:bidi w:val="0"/>
        <w:ind w:left="0" w:leftChars="0" w:firstLine="0" w:firstLineChars="0"/>
        <w:rPr>
          <w:rFonts w:hint="eastAsia"/>
          <w:sz w:val="21"/>
          <w:szCs w:val="21"/>
          <w:highlight w:val="none"/>
          <w:lang w:val="zh-CN"/>
        </w:rPr>
      </w:pPr>
      <w:r>
        <w:rPr>
          <w:sz w:val="21"/>
          <w:szCs w:val="21"/>
          <w:highlight w:val="none"/>
        </w:rPr>
        <w:t>投标费用：供应商应自行承担所有与编写和提交投标文件有关的费用，无论投标的结果如何，采购人和采购人在任何情况下均无义务和责任承担这些费用。</w:t>
      </w:r>
    </w:p>
    <w:p w14:paraId="067031FF">
      <w:pPr>
        <w:numPr>
          <w:ilvl w:val="0"/>
          <w:numId w:val="6"/>
        </w:numPr>
        <w:bidi w:val="0"/>
        <w:ind w:left="0" w:leftChars="0" w:firstLine="0" w:firstLineChars="0"/>
        <w:rPr>
          <w:rFonts w:hint="eastAsia"/>
          <w:sz w:val="21"/>
          <w:szCs w:val="21"/>
          <w:highlight w:val="none"/>
          <w:lang w:val="zh-CN"/>
        </w:rPr>
      </w:pPr>
      <w:r>
        <w:rPr>
          <w:sz w:val="21"/>
          <w:szCs w:val="21"/>
          <w:highlight w:val="none"/>
        </w:rPr>
        <w:t>招标文件：</w:t>
      </w:r>
    </w:p>
    <w:p w14:paraId="5A8D802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6.1招标文件的构成：</w:t>
      </w:r>
    </w:p>
    <w:p w14:paraId="00A4057F">
      <w:pPr>
        <w:numPr>
          <w:ilvl w:val="0"/>
          <w:numId w:val="0"/>
        </w:numPr>
        <w:bidi w:val="0"/>
        <w:ind w:left="420" w:leftChars="0" w:firstLine="420" w:firstLineChars="0"/>
        <w:rPr>
          <w:rFonts w:hint="eastAsia" w:eastAsia="仿宋"/>
          <w:sz w:val="21"/>
          <w:szCs w:val="21"/>
          <w:highlight w:val="none"/>
          <w:lang w:eastAsia="zh-CN"/>
        </w:rPr>
      </w:pPr>
      <w:r>
        <w:rPr>
          <w:sz w:val="21"/>
          <w:szCs w:val="21"/>
          <w:highlight w:val="none"/>
        </w:rPr>
        <w:t>第一章</w:t>
      </w:r>
      <w:r>
        <w:rPr>
          <w:rFonts w:hint="eastAsia"/>
          <w:sz w:val="21"/>
          <w:szCs w:val="21"/>
          <w:highlight w:val="none"/>
          <w:lang w:val="en-US" w:eastAsia="zh-CN"/>
        </w:rPr>
        <w:t xml:space="preserve"> </w:t>
      </w:r>
      <w:r>
        <w:rPr>
          <w:sz w:val="21"/>
          <w:szCs w:val="21"/>
          <w:highlight w:val="none"/>
        </w:rPr>
        <w:t>招标公告</w:t>
      </w:r>
    </w:p>
    <w:p w14:paraId="47B91620">
      <w:pPr>
        <w:numPr>
          <w:ilvl w:val="0"/>
          <w:numId w:val="0"/>
        </w:numPr>
        <w:bidi w:val="0"/>
        <w:ind w:left="420" w:leftChars="0" w:firstLine="420" w:firstLineChars="0"/>
        <w:rPr>
          <w:rFonts w:hint="eastAsia" w:eastAsia="仿宋"/>
          <w:sz w:val="21"/>
          <w:szCs w:val="21"/>
          <w:highlight w:val="none"/>
          <w:lang w:eastAsia="zh-CN"/>
        </w:rPr>
      </w:pPr>
      <w:r>
        <w:rPr>
          <w:sz w:val="21"/>
          <w:szCs w:val="21"/>
          <w:highlight w:val="none"/>
        </w:rPr>
        <w:t>第二章</w:t>
      </w:r>
      <w:r>
        <w:rPr>
          <w:rFonts w:hint="eastAsia"/>
          <w:sz w:val="21"/>
          <w:szCs w:val="21"/>
          <w:highlight w:val="none"/>
          <w:lang w:val="en-US" w:eastAsia="zh-CN"/>
        </w:rPr>
        <w:t xml:space="preserve"> </w:t>
      </w:r>
      <w:r>
        <w:rPr>
          <w:sz w:val="21"/>
          <w:szCs w:val="21"/>
          <w:highlight w:val="none"/>
        </w:rPr>
        <w:t>供应商须知</w:t>
      </w:r>
    </w:p>
    <w:p w14:paraId="1857A667">
      <w:pPr>
        <w:numPr>
          <w:ilvl w:val="0"/>
          <w:numId w:val="0"/>
        </w:numPr>
        <w:bidi w:val="0"/>
        <w:ind w:left="420" w:leftChars="0" w:firstLine="420" w:firstLineChars="0"/>
        <w:rPr>
          <w:rFonts w:hint="eastAsia" w:eastAsia="仿宋"/>
          <w:sz w:val="21"/>
          <w:szCs w:val="21"/>
          <w:highlight w:val="none"/>
          <w:lang w:eastAsia="zh-CN"/>
        </w:rPr>
      </w:pPr>
      <w:r>
        <w:rPr>
          <w:sz w:val="21"/>
          <w:szCs w:val="21"/>
          <w:highlight w:val="none"/>
        </w:rPr>
        <w:t>第三章</w:t>
      </w:r>
      <w:r>
        <w:rPr>
          <w:rFonts w:hint="eastAsia"/>
          <w:sz w:val="21"/>
          <w:szCs w:val="21"/>
          <w:highlight w:val="none"/>
          <w:lang w:val="en-US" w:eastAsia="zh-CN"/>
        </w:rPr>
        <w:t xml:space="preserve"> </w:t>
      </w:r>
      <w:r>
        <w:rPr>
          <w:sz w:val="21"/>
          <w:szCs w:val="21"/>
          <w:highlight w:val="none"/>
        </w:rPr>
        <w:t>合同条款</w:t>
      </w:r>
    </w:p>
    <w:p w14:paraId="6DC16F4B">
      <w:pPr>
        <w:numPr>
          <w:ilvl w:val="0"/>
          <w:numId w:val="0"/>
        </w:numPr>
        <w:bidi w:val="0"/>
        <w:ind w:left="420" w:leftChars="0" w:firstLine="420" w:firstLineChars="0"/>
        <w:rPr>
          <w:rFonts w:hint="eastAsia" w:eastAsia="仿宋"/>
          <w:sz w:val="21"/>
          <w:szCs w:val="21"/>
          <w:highlight w:val="none"/>
          <w:lang w:eastAsia="zh-CN"/>
        </w:rPr>
      </w:pPr>
      <w:r>
        <w:rPr>
          <w:sz w:val="21"/>
          <w:szCs w:val="21"/>
          <w:highlight w:val="none"/>
        </w:rPr>
        <w:t>第四章</w:t>
      </w:r>
      <w:r>
        <w:rPr>
          <w:rFonts w:hint="eastAsia"/>
          <w:sz w:val="21"/>
          <w:szCs w:val="21"/>
          <w:highlight w:val="none"/>
          <w:lang w:val="en-US" w:eastAsia="zh-CN"/>
        </w:rPr>
        <w:t xml:space="preserve"> </w:t>
      </w:r>
      <w:r>
        <w:rPr>
          <w:sz w:val="21"/>
          <w:szCs w:val="21"/>
          <w:highlight w:val="none"/>
        </w:rPr>
        <w:t>合同格式</w:t>
      </w:r>
    </w:p>
    <w:p w14:paraId="3A4B839C">
      <w:pPr>
        <w:numPr>
          <w:ilvl w:val="0"/>
          <w:numId w:val="0"/>
        </w:numPr>
        <w:bidi w:val="0"/>
        <w:ind w:left="420" w:leftChars="0" w:firstLine="420" w:firstLineChars="0"/>
        <w:rPr>
          <w:rFonts w:hint="eastAsia" w:eastAsia="仿宋"/>
          <w:sz w:val="21"/>
          <w:szCs w:val="21"/>
          <w:highlight w:val="none"/>
          <w:lang w:eastAsia="zh-CN"/>
        </w:rPr>
      </w:pPr>
      <w:r>
        <w:rPr>
          <w:sz w:val="21"/>
          <w:szCs w:val="21"/>
          <w:highlight w:val="none"/>
        </w:rPr>
        <w:t>第五章</w:t>
      </w:r>
      <w:r>
        <w:rPr>
          <w:rFonts w:hint="eastAsia"/>
          <w:sz w:val="21"/>
          <w:szCs w:val="21"/>
          <w:highlight w:val="none"/>
          <w:lang w:val="en-US" w:eastAsia="zh-CN"/>
        </w:rPr>
        <w:t xml:space="preserve"> </w:t>
      </w:r>
      <w:r>
        <w:rPr>
          <w:rFonts w:hint="eastAsia"/>
          <w:sz w:val="21"/>
          <w:szCs w:val="21"/>
          <w:highlight w:val="none"/>
          <w:lang w:eastAsia="zh-CN"/>
        </w:rPr>
        <w:t>服务标准和要求</w:t>
      </w:r>
    </w:p>
    <w:p w14:paraId="143681C8">
      <w:pPr>
        <w:numPr>
          <w:ilvl w:val="0"/>
          <w:numId w:val="0"/>
        </w:numPr>
        <w:bidi w:val="0"/>
        <w:ind w:left="420" w:leftChars="0" w:firstLine="420" w:firstLineChars="0"/>
        <w:rPr>
          <w:rFonts w:hint="eastAsia" w:eastAsia="仿宋"/>
          <w:sz w:val="21"/>
          <w:szCs w:val="21"/>
          <w:highlight w:val="none"/>
          <w:lang w:eastAsia="zh-CN"/>
        </w:rPr>
      </w:pPr>
      <w:r>
        <w:rPr>
          <w:sz w:val="21"/>
          <w:szCs w:val="21"/>
          <w:highlight w:val="none"/>
        </w:rPr>
        <w:t>第六章</w:t>
      </w:r>
      <w:r>
        <w:rPr>
          <w:rFonts w:hint="eastAsia"/>
          <w:sz w:val="21"/>
          <w:szCs w:val="21"/>
          <w:highlight w:val="none"/>
          <w:lang w:val="en-US" w:eastAsia="zh-CN"/>
        </w:rPr>
        <w:t xml:space="preserve"> </w:t>
      </w:r>
      <w:r>
        <w:rPr>
          <w:rFonts w:hint="eastAsia"/>
          <w:sz w:val="21"/>
          <w:szCs w:val="21"/>
          <w:highlight w:val="none"/>
          <w:lang w:eastAsia="zh-CN"/>
        </w:rPr>
        <w:t>服务标准和要求</w:t>
      </w:r>
    </w:p>
    <w:p w14:paraId="45515247">
      <w:pPr>
        <w:numPr>
          <w:ilvl w:val="0"/>
          <w:numId w:val="0"/>
        </w:numPr>
        <w:bidi w:val="0"/>
        <w:ind w:left="420" w:leftChars="0" w:firstLine="420" w:firstLineChars="0"/>
        <w:rPr>
          <w:rFonts w:hint="eastAsia" w:eastAsia="仿宋"/>
          <w:sz w:val="21"/>
          <w:szCs w:val="21"/>
          <w:highlight w:val="none"/>
          <w:lang w:eastAsia="zh-CN"/>
        </w:rPr>
      </w:pPr>
      <w:r>
        <w:rPr>
          <w:sz w:val="21"/>
          <w:szCs w:val="21"/>
          <w:highlight w:val="none"/>
        </w:rPr>
        <w:t>第七章</w:t>
      </w:r>
      <w:r>
        <w:rPr>
          <w:rFonts w:hint="eastAsia"/>
          <w:sz w:val="21"/>
          <w:szCs w:val="21"/>
          <w:highlight w:val="none"/>
          <w:lang w:val="en-US" w:eastAsia="zh-CN"/>
        </w:rPr>
        <w:t xml:space="preserve"> </w:t>
      </w:r>
      <w:r>
        <w:rPr>
          <w:sz w:val="21"/>
          <w:szCs w:val="21"/>
          <w:highlight w:val="none"/>
        </w:rPr>
        <w:t>评标办法</w:t>
      </w:r>
    </w:p>
    <w:p w14:paraId="4905F6CB">
      <w:pPr>
        <w:numPr>
          <w:ilvl w:val="0"/>
          <w:numId w:val="0"/>
        </w:numPr>
        <w:bidi w:val="0"/>
        <w:ind w:left="420" w:leftChars="0" w:firstLine="420" w:firstLineChars="0"/>
        <w:rPr>
          <w:sz w:val="21"/>
          <w:szCs w:val="21"/>
          <w:highlight w:val="none"/>
        </w:rPr>
      </w:pPr>
      <w:r>
        <w:rPr>
          <w:sz w:val="21"/>
          <w:szCs w:val="21"/>
          <w:highlight w:val="none"/>
        </w:rPr>
        <w:t xml:space="preserve">附件 </w:t>
      </w:r>
    </w:p>
    <w:p w14:paraId="5E9B34D1">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6.2 供应商应认真阅读招标文件中所有事项、格式、条款和规范等要求。如果供应商没有按照招标文件要求提交全部文件资料或投标文件没有对招标文件在各方面都做出实质性响应，是供应商的风险。</w:t>
      </w:r>
    </w:p>
    <w:p w14:paraId="0976D6A4">
      <w:pPr>
        <w:numPr>
          <w:ilvl w:val="0"/>
          <w:numId w:val="6"/>
        </w:numPr>
        <w:bidi w:val="0"/>
        <w:ind w:firstLine="0"/>
        <w:rPr>
          <w:sz w:val="21"/>
          <w:szCs w:val="21"/>
          <w:highlight w:val="none"/>
        </w:rPr>
      </w:pPr>
      <w:r>
        <w:rPr>
          <w:sz w:val="21"/>
          <w:szCs w:val="21"/>
          <w:highlight w:val="none"/>
        </w:rPr>
        <w:t>招标文件的澄清和修改：</w:t>
      </w:r>
    </w:p>
    <w:p w14:paraId="6BC09B7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7.1任何要求对招标文件进行澄清的供应商，均应在投标截止期15天前在政采云平台（http：//www.zcygov.cn）发布，并按照招标公告中载明的招标代理机构的联系方式电话通知招标代理机构。代理机构及采购人将视所提问题具体情况的答复澄清，在政采云平台（http：//www.zcygov.cn）答疑文件中发布。供应商自行在政采云平台（http：//www.zcygov.cn）答疑文件处下载。否则，后果自负。招标代理机构及采购人不接受供应商的书面质疑。</w:t>
      </w:r>
    </w:p>
    <w:p w14:paraId="3A8784E4">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7.2采购人可在投标截止时间15日前（含）对招标文件进行修改、补充。招标文件的修改、补充文件将在政采云平台（http：//www.zcygov.cn）发布向潜在供应商发出，供应商自行在政采云平台（http：//www.zcygov.cn）下载。并在发布招标公告的媒体上公告。</w:t>
      </w:r>
    </w:p>
    <w:p w14:paraId="7410203F">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7.3招标文件的澄清、修改、补充文件均构成招标文件的组成部分，对所有供应商具有约束力，供应商未在政采云平台（http：//www.zcygov.cn）自行下载澄清、修改、补充文件，后果自负。</w:t>
      </w:r>
    </w:p>
    <w:p w14:paraId="0271F6A2">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7.4为使供应商有充分的时间对招标文件的澄清、修改、补充部分进行研究，采购人可在投标截止时间3日前（含）自行决定酌情延长投标截止时间，延长投标截止时间的公告将在发布招标公告的媒体上发告并在政采云平台（http：//www.zcygov.cn）向所有潜在供应商发布。在这种情况下，采购人和供应商受投标截止时间制约的所有权利和义务均相应延长至新的投标截止时间。</w:t>
      </w:r>
    </w:p>
    <w:p w14:paraId="66971866">
      <w:pPr>
        <w:numPr>
          <w:ilvl w:val="0"/>
          <w:numId w:val="6"/>
        </w:numPr>
        <w:bidi w:val="0"/>
        <w:ind w:firstLine="0"/>
        <w:rPr>
          <w:sz w:val="21"/>
          <w:szCs w:val="21"/>
          <w:highlight w:val="none"/>
        </w:rPr>
      </w:pPr>
      <w:r>
        <w:rPr>
          <w:sz w:val="21"/>
          <w:szCs w:val="21"/>
          <w:highlight w:val="none"/>
        </w:rPr>
        <w:t>投标文件构成：</w:t>
      </w:r>
    </w:p>
    <w:p w14:paraId="04C911F1">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8.1投标文件分为商务部分和技术部分。商务部分是供应商提交的证明其具有合格的投标资格和中标后有能力履行合同的文件。技术部分是能够证明供应商所提供货物和服务的合格性和符合招标文件规定的文件。</w:t>
      </w:r>
    </w:p>
    <w:p w14:paraId="380C20E7">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8.2供应商应提交本招标文件第六章《投标文件构成、要求及格式》规定的全部商务文件和技术文件，若有缺失、无效或者不符合招标文件要求，将导致其投标被拒绝。</w:t>
      </w:r>
    </w:p>
    <w:p w14:paraId="252E1BC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8.3第二章《供应商须知》第11条要求提交的投标保证金。</w:t>
      </w:r>
    </w:p>
    <w:p w14:paraId="2019625C">
      <w:pPr>
        <w:numPr>
          <w:ilvl w:val="0"/>
          <w:numId w:val="6"/>
        </w:numPr>
        <w:bidi w:val="0"/>
        <w:ind w:firstLine="0"/>
        <w:rPr>
          <w:sz w:val="21"/>
          <w:szCs w:val="21"/>
          <w:highlight w:val="none"/>
        </w:rPr>
      </w:pPr>
      <w:r>
        <w:rPr>
          <w:sz w:val="21"/>
          <w:szCs w:val="21"/>
          <w:highlight w:val="none"/>
        </w:rPr>
        <w:t>投标文件的编制：</w:t>
      </w:r>
    </w:p>
    <w:p w14:paraId="526C087A">
      <w:pPr>
        <w:numPr>
          <w:ilvl w:val="0"/>
          <w:numId w:val="0"/>
        </w:numPr>
        <w:bidi w:val="0"/>
        <w:ind w:leftChars="0" w:firstLine="420" w:firstLineChars="0"/>
        <w:rPr>
          <w:sz w:val="21"/>
          <w:szCs w:val="21"/>
          <w:highlight w:val="none"/>
        </w:rPr>
      </w:pPr>
      <w:r>
        <w:rPr>
          <w:sz w:val="21"/>
          <w:szCs w:val="21"/>
          <w:highlight w:val="none"/>
        </w:rPr>
        <w:t>9.1投标语言：投标文件以及供应商与采购人就有关投标的来往函电均使用中文。</w:t>
      </w:r>
    </w:p>
    <w:p w14:paraId="2C35F6DA">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9.2计量单位：中华人民共和国法定计量单位。</w:t>
      </w:r>
    </w:p>
    <w:p w14:paraId="3EBCFFA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9.3投标文件规格应采用A4幅面，打印，按照招标文件规定的顺序，统一编目编码装订。为便于评标，技术文件中的各项表格应按照招标文件第六章规定的格式制作。</w:t>
      </w:r>
    </w:p>
    <w:p w14:paraId="11158613">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9.4供应商在投标文件以及在投标、谈判、合同签订、履行过程中所签署的相关文件中所加盖的公章，均须按照招标文件的规定加盖与供应商名称全称相一致的标准公章，不得使用彩喷或者彩印的印章，否则将被视为无效。</w:t>
      </w:r>
    </w:p>
    <w:p w14:paraId="52DD1F96">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9.5采购人不接受采用传真方式提交的投标文件。</w:t>
      </w:r>
    </w:p>
    <w:p w14:paraId="3942B2E4">
      <w:pPr>
        <w:numPr>
          <w:ilvl w:val="0"/>
          <w:numId w:val="6"/>
        </w:numPr>
        <w:bidi w:val="0"/>
        <w:ind w:firstLine="0"/>
        <w:rPr>
          <w:sz w:val="21"/>
          <w:szCs w:val="21"/>
          <w:highlight w:val="none"/>
        </w:rPr>
      </w:pPr>
      <w:r>
        <w:rPr>
          <w:sz w:val="21"/>
          <w:szCs w:val="21"/>
          <w:highlight w:val="none"/>
        </w:rPr>
        <w:t>投标报价：</w:t>
      </w:r>
    </w:p>
    <w:p w14:paraId="6514F41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10.1投标货币：所有投标报价均以人民币元为计算单位。</w:t>
      </w:r>
    </w:p>
    <w:p w14:paraId="78B3332C">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10.2供应商应一次性报出投标货物的单价，每种货物只允许有一个报价，任何有选择的报价将不予接受。供应商所报价格应为在本招标文件指定地点交货、由供应商负责安装调试、验收合格并交付的全部价格。</w:t>
      </w:r>
    </w:p>
    <w:p w14:paraId="76098D91">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10.3供应商所报的价格在合同执行过程中是固定不变的，不得以任何理由予以变更。以可调整的价格提交的投标将作为非响应性投标予以拒绝。</w:t>
      </w:r>
    </w:p>
    <w:p w14:paraId="264008C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10.4最低报价不能作为中标的保证。</w:t>
      </w:r>
    </w:p>
    <w:p w14:paraId="62B845AC">
      <w:pPr>
        <w:numPr>
          <w:ilvl w:val="0"/>
          <w:numId w:val="6"/>
        </w:numPr>
        <w:bidi w:val="0"/>
        <w:ind w:firstLine="0"/>
        <w:rPr>
          <w:sz w:val="21"/>
          <w:szCs w:val="21"/>
          <w:highlight w:val="none"/>
        </w:rPr>
      </w:pPr>
      <w:r>
        <w:rPr>
          <w:sz w:val="21"/>
          <w:szCs w:val="21"/>
          <w:highlight w:val="none"/>
        </w:rPr>
        <w:t>投标保证金：</w:t>
      </w:r>
    </w:p>
    <w:p w14:paraId="2E7A5335">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11.1供应商应向采购人提交相应的投标保证金。供应商须按照《招标公告》标明的采购人帐户名称、开户银行和帐号，在投标截止时间之前将投标保证金足额汇入（存入）采购人帐户，并必须携带汇款银行出具的汇款（存款）凭证（进帐单复印件加盖供应商公章或财务章）参加开标会并领取收据。采购人特别声明：投标保证金必须以银行电汇、电子保函等形式在投标截止时间前汇入招标代理机构指定的账户，应从基本账户转出。银行电汇单据复印件及基本账户开户许可证复印件应放入投标文件中。详见投标人须知</w:t>
      </w:r>
    </w:p>
    <w:p w14:paraId="708A2F4E">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11.2投标保证金是为了弥补采购人因供应商的违规行为而蒙受的损失。采购人在因供应商的违规行为而受到损害时，将不予退还供应商的投标保证金，并作为所受损害的补偿。</w:t>
      </w:r>
    </w:p>
    <w:p w14:paraId="301DA34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11.3投标保证金是投标文件的一个组成部分。在开标时，凡没有按规定提交投标保证金的投标，将被视为非响应性投标予以拒绝。</w:t>
      </w:r>
    </w:p>
    <w:p w14:paraId="2484FD3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11.4落标人的投标保证金将在中标通知书发出后5个工作日内退还，不计利息。</w:t>
      </w:r>
    </w:p>
    <w:p w14:paraId="4BA943BF">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11.5中标人的投标保证金，在中标人按本须知第21条规定签署合同，并按第22条规定交纳了履约保证金后5个工作日内退还，不计利息。</w:t>
      </w:r>
    </w:p>
    <w:p w14:paraId="13A7AE5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11.6投标保证金将一律通过银行转帐方式退还。</w:t>
      </w:r>
    </w:p>
    <w:p w14:paraId="25B0982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11.7下列情况之一发生时，投标保证金将不予退还：</w:t>
      </w:r>
    </w:p>
    <w:p w14:paraId="4CF0763C">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（1）供应商在招标文件规定的投标有效期内撤回其投标；</w:t>
      </w:r>
    </w:p>
    <w:p w14:paraId="65F25B11">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（2）中标人在规定期限内未能做到：a.按照本须知第21条规定签订合同；b.按照本须知第22条规定提交履约保证金。</w:t>
      </w:r>
    </w:p>
    <w:p w14:paraId="307BD3FA">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（3）招标文件规定不予退还投标保证金的其他情形。</w:t>
      </w:r>
    </w:p>
    <w:p w14:paraId="347B248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11.8如投标保证金使用电子保函形式的，请务必仔细阅读公告及供应商须知前附表要求，若因未按照文件相关规定出具的，后果自负。</w:t>
      </w:r>
    </w:p>
    <w:p w14:paraId="4126CDF6">
      <w:pPr>
        <w:numPr>
          <w:ilvl w:val="0"/>
          <w:numId w:val="6"/>
        </w:numPr>
        <w:bidi w:val="0"/>
        <w:ind w:firstLine="0"/>
        <w:rPr>
          <w:sz w:val="21"/>
          <w:szCs w:val="21"/>
          <w:highlight w:val="none"/>
        </w:rPr>
      </w:pPr>
      <w:r>
        <w:rPr>
          <w:sz w:val="21"/>
          <w:szCs w:val="21"/>
          <w:highlight w:val="none"/>
        </w:rPr>
        <w:t>投标有效期：</w:t>
      </w:r>
    </w:p>
    <w:p w14:paraId="5D39902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12.1投标有效期为自开标之时起90天。投标文件在这个规定期限内应保持有效。</w:t>
      </w:r>
    </w:p>
    <w:p w14:paraId="1165F445">
      <w:pPr>
        <w:numPr>
          <w:ilvl w:val="0"/>
          <w:numId w:val="0"/>
        </w:numPr>
        <w:bidi w:val="0"/>
        <w:ind w:leftChars="0" w:firstLine="420" w:firstLineChars="0"/>
        <w:rPr>
          <w:sz w:val="21"/>
          <w:szCs w:val="21"/>
          <w:highlight w:val="none"/>
        </w:rPr>
      </w:pPr>
      <w:r>
        <w:rPr>
          <w:sz w:val="21"/>
          <w:szCs w:val="21"/>
          <w:highlight w:val="none"/>
        </w:rPr>
        <w:t>12.2在特殊情况下，采购人可与供应商协商延长投标有效期。这种要求和答复都应以书面形式进行。供应商可以拒绝接受延期要求而不会被没收投标保证金。同意延长投标有效期的供应商除按照采购人要求修改投标文件的有效期外，不能修改投标文件的其他内容。</w:t>
      </w:r>
    </w:p>
    <w:p w14:paraId="1754520A">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12.3中标人的投标文件有效期等同于合同履行期。</w:t>
      </w:r>
    </w:p>
    <w:p w14:paraId="108ACDC8">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13.投标文件的式样和签署：</w:t>
      </w:r>
    </w:p>
    <w:p w14:paraId="20415A7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13.1投标文件需打印或用不褪色墨水书写。第六章《投标文件构成、要求及格式》中凡要求签署和加盖公章的，均须由供应商的法定代表人或其授权代理人手书签字和加盖供应商公章。投标文件由法定代表人签署的，须与其企业法人营业执照相符；由授权代理人签署的，须提交以书面形式出具的《法定代表人授权书》（按第六章规定的格式提交）。</w:t>
      </w:r>
    </w:p>
    <w:p w14:paraId="744AC9E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13.2投标文件中如有修改错漏处，应在修改处加盖供应商公章。</w:t>
      </w:r>
    </w:p>
    <w:p w14:paraId="68A8658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14.投标文件的修改和撤回：</w:t>
      </w:r>
    </w:p>
    <w:p w14:paraId="256B90E9">
      <w:pPr>
        <w:numPr>
          <w:ilvl w:val="0"/>
          <w:numId w:val="0"/>
        </w:numPr>
        <w:bidi w:val="0"/>
        <w:ind w:leftChars="0" w:firstLine="420" w:firstLineChars="0"/>
        <w:rPr>
          <w:sz w:val="21"/>
          <w:szCs w:val="21"/>
          <w:highlight w:val="none"/>
        </w:rPr>
      </w:pPr>
      <w:r>
        <w:rPr>
          <w:sz w:val="21"/>
          <w:szCs w:val="21"/>
          <w:highlight w:val="none"/>
        </w:rPr>
        <w:t>14.1供应商在递交投标文件后，可以修改或撤回其投标文件，但采购人必须在规定的投标截止时间之前收到供应商的修改或撤回的书面通知。</w:t>
      </w:r>
    </w:p>
    <w:p w14:paraId="2D64DD05">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14.2供应商的修改或撤回通知书应按对投标文件的规定一样进行编制、密封、标记和递交，并标明“修改”或“撤回”字样。</w:t>
      </w:r>
    </w:p>
    <w:p w14:paraId="45F98EAC">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14.3在投标截止时间（开标时间）之后，供应商不得对其投标书做任何修改（包括开标一览表的内容）。</w:t>
      </w:r>
    </w:p>
    <w:p w14:paraId="288451B5">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14.4从开标时间起，至投标有效期期满，供应商不得撤回其投标，否则，其投标保证金将不予退还。投标（此条本项目不适用，本项目采用远程不见面投标，相关规定详见前附表）</w:t>
      </w:r>
    </w:p>
    <w:p w14:paraId="61DB3737">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15.密封：</w:t>
      </w:r>
    </w:p>
    <w:p w14:paraId="5989B130">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15.1投标文件应按以下方法分别装袋密封：投标书正本单独包封、所有副本包封到一起，正副本不得再包封。开标一览表和电子版单独封装。封口处应加盖投标单位公章。封皮上写明招标编号、招标项目名称、投标人名称，并注明“投标人名称及地址、在年月日时分前不得开启”等字样，并有投标全权代表的签字及加盖投标单位公章。封皮样式见附件。供应商应将投标文件装订成册、密封，在信封上标明招标项目名称、项目编号、供应商名称、地址、联系方式和邮编，并在封口处加盖供应商公章，在《招标公告》规定的投标地点和投标截止时间前递交给采购人。如果供应商没有按照要求密封、标记，采购人对于供应商的误投、错投以及提前拆封概不负责。</w:t>
      </w:r>
    </w:p>
    <w:p w14:paraId="1B088785">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15.2投标文件份数：供应商应提交投标文件正本1份、副本2份(副本可以是正本的复印件，但应骑页加盖供应商公章)，并标明“正本”、“副本”字样，当正本与副本内容不一致时，以正本为准，电子版3份（载体为U盘）。</w:t>
      </w:r>
    </w:p>
    <w:p w14:paraId="70BCB086">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15.3供应商应按第六章《投标文件构成、要求及格式》中的格式和要求单独编制一份《开标一览表》，按照对投标文件同样的要求单独密封和标记，与投标文件同时递交。</w:t>
      </w:r>
    </w:p>
    <w:p w14:paraId="137EFBC3">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15.4采购人将拒绝接受并原封退回在规定的投标截止时间以后递交的投标文件。</w:t>
      </w:r>
    </w:p>
    <w:p w14:paraId="604B541C">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15.5首次招标投标截止时间结束后供应商不足三家的，可按本须知第19条规定办理。</w:t>
      </w:r>
    </w:p>
    <w:p w14:paraId="42EEF0D4">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15.6招标采购单位在任何时候发现供应商提交的投标文件内容有下列情形之一时，将给予废标、解除合同及赔偿损失，同时有权依法追究供应商的责任：</w:t>
      </w:r>
    </w:p>
    <w:p w14:paraId="1BDBE61E">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15.6.1虚假的资料。</w:t>
      </w:r>
    </w:p>
    <w:p w14:paraId="22D81606">
      <w:pPr>
        <w:numPr>
          <w:ilvl w:val="0"/>
          <w:numId w:val="0"/>
        </w:numPr>
        <w:bidi w:val="0"/>
        <w:ind w:leftChars="0" w:firstLine="420" w:firstLineChars="0"/>
        <w:rPr>
          <w:sz w:val="21"/>
          <w:szCs w:val="21"/>
          <w:highlight w:val="none"/>
        </w:rPr>
      </w:pPr>
      <w:r>
        <w:rPr>
          <w:sz w:val="21"/>
          <w:szCs w:val="21"/>
          <w:highlight w:val="none"/>
        </w:rPr>
        <w:t>15.6.2在实质性方面失实。</w:t>
      </w:r>
    </w:p>
    <w:p w14:paraId="32A96BFA">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16.开标：（此条本项目不适用，本项目采用远程不见面投标，相关规定详见前附表）</w:t>
      </w:r>
    </w:p>
    <w:p w14:paraId="0521C2E6">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16.1采购人将在《招标公告》规定的时间和地点公开开标。供应商法定代表人或其授权代理人应参加并签名报到以证明其出席，并携带有效身份证件以备审查。</w:t>
      </w:r>
    </w:p>
    <w:p w14:paraId="09D54A90">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16.2开标会由采购人组织并主持。开标前，由监督人员和供应商代表检查投标文件的密封情况并当场宣布检查情况。</w:t>
      </w:r>
    </w:p>
    <w:p w14:paraId="3CE581A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16.3开标时，采购人将按照供应商提交的“开标一览表”，当众宣读供应商名称、修改和撤回投标的通知、投标价格、交货时间、是否提交了投标保证金等内容。</w:t>
      </w:r>
    </w:p>
    <w:p w14:paraId="43619F84">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16.4开标时未宣读的投标价格等实质性内容，评标时不予承认。</w:t>
      </w:r>
    </w:p>
    <w:p w14:paraId="52446CD7">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16.5按照供应商须知第14条的规定，提交了可接受的“撤回”通知的投标将不予开封。撤回的投标书将原封退回供应商。</w:t>
      </w:r>
    </w:p>
    <w:p w14:paraId="7BF935C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16.6采购人将做开标记录，开标记录包括按本须知第16.3款的规定在开标时宣读的全部内容。开标记录将在开标后由监督人员和供应商代表签字确认。</w:t>
      </w:r>
    </w:p>
    <w:p w14:paraId="7D413641">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16.7开标时有下列情形之一的为无效投标：</w:t>
      </w:r>
    </w:p>
    <w:p w14:paraId="099F48DE">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（1）投标文件在规定的投标截止时间以后送达的；</w:t>
      </w:r>
    </w:p>
    <w:p w14:paraId="7F7102B2">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（2）未按招标文件规定提交投标保证金的；</w:t>
      </w:r>
    </w:p>
    <w:p w14:paraId="262FBDA8">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（3）投标文件未按招标文件规定密封的；</w:t>
      </w:r>
    </w:p>
    <w:p w14:paraId="26A79E6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（4）未提交单独密封的开标一览表或者开标一览表未按规定加盖公章和有效签署的；</w:t>
      </w:r>
    </w:p>
    <w:p w14:paraId="0CAEEF5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（5）招标文件规定开标时属于无效投标的其他情形。</w:t>
      </w:r>
    </w:p>
    <w:p w14:paraId="3BDFC5A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16.8开标时有下列情形之一的，采购人有权宣布本项目废标：</w:t>
      </w:r>
    </w:p>
    <w:p w14:paraId="3F8F37B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（1）交货时间符合招标文件要求的供应商不足三家的；</w:t>
      </w:r>
    </w:p>
    <w:p w14:paraId="10EB859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（2）所有供应商的报价均超过采购项目预算，采购人不能支付的。</w:t>
      </w:r>
    </w:p>
    <w:p w14:paraId="0FD7CDF2">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17.评标过程的保密性：公开开标后，直至向中标的供应商授予合同时止，除按招标文件规定予以公开的评标结果外，凡与审查、澄清、评价和比较投标有关的资料以及授标意见等，均不得向供应商及与评标无关的其他人透露</w:t>
      </w:r>
    </w:p>
    <w:p w14:paraId="159C312C">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18.评标：</w:t>
      </w:r>
    </w:p>
    <w:p w14:paraId="570523DC">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18.1评标工作由采购人负责组织，具体评标工作由采购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人只负责评标组织工作，不参加评标。</w:t>
      </w:r>
    </w:p>
    <w:p w14:paraId="1C1EA163">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18.2审查是否所有供应商的报价均超过采购预算：根据《中华人民共和国政府采购法》的规定，所有供应商的报价均超过采购预算，采购人不能支付的，应予否决处理。</w:t>
      </w:r>
    </w:p>
    <w:p w14:paraId="1E2D36E0">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18.3审查供应商是否存在串通投标行为：评标委员会发现供应商有下列情形之一的，将认定属于串通投标行为，相关供应商的投标应作废标处理。评标结束后，招标机构将以书面形式报告吉林市政府采购监督管理部门：</w:t>
      </w:r>
    </w:p>
    <w:p w14:paraId="094F5330">
      <w:pPr>
        <w:numPr>
          <w:ilvl w:val="0"/>
          <w:numId w:val="0"/>
        </w:numPr>
        <w:bidi w:val="0"/>
        <w:ind w:leftChars="0" w:firstLine="420" w:firstLineChars="0"/>
        <w:rPr>
          <w:sz w:val="21"/>
          <w:szCs w:val="21"/>
          <w:highlight w:val="none"/>
        </w:rPr>
      </w:pPr>
      <w:r>
        <w:rPr>
          <w:sz w:val="21"/>
          <w:szCs w:val="21"/>
          <w:highlight w:val="none"/>
        </w:rPr>
        <w:t>（1）不同供应商的投标文件中错、漏之处相同的；</w:t>
      </w:r>
    </w:p>
    <w:p w14:paraId="4AD33B74">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（2）不同供应商的投标文件相互混装的，或者相互加盖了对方公章的，或者相互出现了对方法定代表人或者授权代理人签名的，或者相互书写了对方名称的；</w:t>
      </w:r>
    </w:p>
    <w:p w14:paraId="3CBD743E">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（3）一家供应商的投标文件中加盖了另一家供应商公章的；</w:t>
      </w:r>
    </w:p>
    <w:p w14:paraId="7B51B434">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（4）不同供应商的投标文件中，项目成员出现同一人的；</w:t>
      </w:r>
    </w:p>
    <w:p w14:paraId="026BA897">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（5）不同供应商的投标文件的制作非正常一致的；</w:t>
      </w:r>
    </w:p>
    <w:p w14:paraId="50B043BF">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（6）不同供应商的投标文件中相关内容的段落、字句、售后服务电话、联系人姓名等非正常一致的；</w:t>
      </w:r>
    </w:p>
    <w:p w14:paraId="32D0C2A3">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（7）一家供应商的投标文件中装订了标有另一家供应商名称的文件材料，或者出现了另一家法定代表人或者授予代理人签名的，其投标作废标处理；</w:t>
      </w:r>
    </w:p>
    <w:p w14:paraId="352E11DA">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（8）不同供应商的投标文件由同一供应商或者同一个人编制的；</w:t>
      </w:r>
    </w:p>
    <w:p w14:paraId="1332F4A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（9）《关于禁止串通招标投标行为的暂行规定》（国家工商行政管理局令第82号）第三条规定的串通投标行为；</w:t>
      </w:r>
    </w:p>
    <w:p w14:paraId="04706B8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（10）供应商串通投标的其他情形。</w:t>
      </w:r>
    </w:p>
    <w:p w14:paraId="02759693">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18.4对投标文件商务部分（供应商资格）进行审查：评标委员会将审查每个供应商提交的商务文件是否齐全完整，是否合法有效，是否有重大偏离和保留，是否符合招标文件要求。商务（供应商资格）审查不符合招标文件要求的投标文件将被拒绝</w:t>
      </w:r>
      <w:r>
        <w:rPr>
          <w:rFonts w:hint="eastAsia"/>
          <w:sz w:val="21"/>
          <w:szCs w:val="21"/>
          <w:highlight w:val="none"/>
          <w:lang w:eastAsia="zh-CN"/>
        </w:rPr>
        <w:t>。</w:t>
      </w:r>
    </w:p>
    <w:p w14:paraId="208F4F17">
      <w:pPr>
        <w:numPr>
          <w:ilvl w:val="0"/>
          <w:numId w:val="0"/>
        </w:numPr>
        <w:bidi w:val="0"/>
        <w:ind w:leftChars="0" w:firstLine="420" w:firstLineChars="0"/>
        <w:rPr>
          <w:rFonts w:hint="eastAsia"/>
          <w:sz w:val="21"/>
          <w:szCs w:val="21"/>
          <w:highlight w:val="none"/>
          <w:lang w:eastAsia="zh-CN"/>
        </w:rPr>
      </w:pPr>
      <w:r>
        <w:rPr>
          <w:rFonts w:hint="eastAsia"/>
          <w:sz w:val="21"/>
          <w:szCs w:val="21"/>
          <w:highlight w:val="none"/>
        </w:rPr>
        <w:t>本项目专门面向中小企业采购</w:t>
      </w:r>
      <w:r>
        <w:rPr>
          <w:rFonts w:hint="eastAsia"/>
          <w:sz w:val="21"/>
          <w:szCs w:val="21"/>
          <w:highlight w:val="none"/>
          <w:lang w:eastAsia="zh-CN"/>
        </w:rPr>
        <w:t>，</w:t>
      </w:r>
      <w:r>
        <w:rPr>
          <w:rFonts w:hint="eastAsia"/>
          <w:sz w:val="21"/>
          <w:szCs w:val="21"/>
          <w:highlight w:val="none"/>
          <w:lang w:val="en-US" w:eastAsia="zh-CN"/>
        </w:rPr>
        <w:t>采购标的对应的中小企业划分标准所属行业为“餐饮业”</w:t>
      </w:r>
      <w:r>
        <w:rPr>
          <w:rFonts w:hint="eastAsia"/>
          <w:sz w:val="21"/>
          <w:szCs w:val="21"/>
          <w:highlight w:val="none"/>
        </w:rPr>
        <w:t>。行业划分标准按《国民经济行业分类》执行。中小企业划分标准按《中小企业划型标准规定》（工信部联企业[2011]300号）文件规定执行</w:t>
      </w:r>
      <w:r>
        <w:rPr>
          <w:rFonts w:hint="eastAsia"/>
          <w:sz w:val="21"/>
          <w:szCs w:val="21"/>
          <w:highlight w:val="none"/>
          <w:lang w:eastAsia="zh-CN"/>
        </w:rPr>
        <w:t>；</w:t>
      </w:r>
    </w:p>
    <w:p w14:paraId="43D893F3">
      <w:pPr>
        <w:pStyle w:val="2"/>
        <w:ind w:left="0" w:leftChars="0" w:firstLine="0" w:firstLineChars="0"/>
        <w:rPr>
          <w:rFonts w:hint="eastAsia"/>
          <w:sz w:val="21"/>
          <w:szCs w:val="21"/>
          <w:lang w:val="en-US" w:eastAsia="zh-CN"/>
        </w:rPr>
      </w:pPr>
      <w:r>
        <w:rPr>
          <w:rFonts w:hint="eastAsia"/>
          <w:sz w:val="21"/>
          <w:szCs w:val="21"/>
          <w:lang w:val="en-US" w:eastAsia="zh-CN"/>
        </w:rPr>
        <w:t>附，中小企业声明函格式</w:t>
      </w:r>
    </w:p>
    <w:p w14:paraId="46FE6FC4">
      <w:pPr>
        <w:pStyle w:val="2"/>
        <w:ind w:left="0" w:leftChars="0" w:firstLine="0" w:firstLineChars="0"/>
        <w:jc w:val="center"/>
        <w:rPr>
          <w:rFonts w:hint="eastAsia" w:cs="Times New Roman"/>
          <w:sz w:val="21"/>
          <w:szCs w:val="21"/>
          <w:lang w:val="en-US" w:eastAsia="zh-CN"/>
        </w:rPr>
      </w:pPr>
      <w:r>
        <w:rPr>
          <w:rFonts w:hint="eastAsia" w:cs="Times New Roman"/>
          <w:sz w:val="21"/>
          <w:szCs w:val="21"/>
          <w:lang w:val="en-US" w:eastAsia="zh-CN"/>
        </w:rPr>
        <w:t>中小企业声明函（工程、服务）</w:t>
      </w:r>
    </w:p>
    <w:p w14:paraId="7728C0D8">
      <w:pPr>
        <w:spacing w:line="275" w:lineRule="auto"/>
        <w:rPr>
          <w:rFonts w:ascii="Arial"/>
          <w:sz w:val="21"/>
        </w:rPr>
      </w:pPr>
    </w:p>
    <w:p w14:paraId="07EF12C0">
      <w:pPr>
        <w:spacing w:line="275" w:lineRule="auto"/>
        <w:rPr>
          <w:rFonts w:ascii="Arial"/>
          <w:sz w:val="21"/>
        </w:rPr>
      </w:pPr>
    </w:p>
    <w:p w14:paraId="51EAB739">
      <w:pPr>
        <w:bidi w:val="0"/>
        <w:spacing w:line="360" w:lineRule="auto"/>
        <w:rPr>
          <w:rFonts w:hint="eastAsia" w:ascii="仿宋" w:hAnsi="仿宋" w:eastAsia="仿宋" w:cs="仿宋"/>
          <w:sz w:val="21"/>
          <w:szCs w:val="21"/>
        </w:rPr>
      </w:pPr>
      <w:r>
        <w:rPr>
          <w:rFonts w:hint="eastAsia" w:ascii="仿宋" w:hAnsi="仿宋" w:eastAsia="仿宋" w:cs="仿宋"/>
          <w:sz w:val="21"/>
          <w:szCs w:val="21"/>
        </w:rPr>
        <w:t>本公司（联合体）郑重声明，根据《政府采购促进中小企业发展管理办法》（财库﹝2020﹞46号）的规定，本公司（联合体）参加</w:t>
      </w:r>
      <w:r>
        <w:rPr>
          <w:rFonts w:hint="eastAsia" w:ascii="仿宋" w:hAnsi="仿宋" w:eastAsia="仿宋" w:cs="仿宋"/>
          <w:i/>
          <w:iCs/>
          <w:sz w:val="21"/>
          <w:szCs w:val="21"/>
          <w:u w:val="single"/>
        </w:rPr>
        <w:t>（单位名称）</w:t>
      </w:r>
      <w:r>
        <w:rPr>
          <w:rFonts w:hint="eastAsia" w:ascii="仿宋" w:hAnsi="仿宋" w:eastAsia="仿宋" w:cs="仿宋"/>
          <w:sz w:val="21"/>
          <w:szCs w:val="21"/>
        </w:rPr>
        <w:t>的</w:t>
      </w:r>
      <w:r>
        <w:rPr>
          <w:rFonts w:hint="eastAsia" w:ascii="仿宋" w:hAnsi="仿宋" w:eastAsia="仿宋" w:cs="仿宋"/>
          <w:i/>
          <w:iCs/>
          <w:sz w:val="21"/>
          <w:szCs w:val="21"/>
          <w:u w:val="single"/>
        </w:rPr>
        <w:t>（项目名称）</w:t>
      </w:r>
      <w:r>
        <w:rPr>
          <w:rFonts w:hint="eastAsia" w:ascii="仿宋" w:hAnsi="仿宋" w:eastAsia="仿宋" w:cs="仿宋"/>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937BF9C">
      <w:pPr>
        <w:bidi w:val="0"/>
        <w:spacing w:line="360" w:lineRule="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i/>
          <w:iCs/>
          <w:sz w:val="21"/>
          <w:szCs w:val="21"/>
          <w:u w:val="single"/>
        </w:rPr>
        <w:t>（标的名称）</w:t>
      </w:r>
      <w:r>
        <w:rPr>
          <w:rFonts w:hint="eastAsia" w:ascii="仿宋" w:hAnsi="仿宋" w:eastAsia="仿宋" w:cs="仿宋"/>
          <w:sz w:val="21"/>
          <w:szCs w:val="21"/>
        </w:rPr>
        <w:t>，属于</w:t>
      </w:r>
      <w:r>
        <w:rPr>
          <w:rFonts w:hint="eastAsia" w:ascii="仿宋" w:hAnsi="仿宋" w:eastAsia="仿宋" w:cs="仿宋"/>
          <w:i/>
          <w:iCs/>
          <w:sz w:val="21"/>
          <w:szCs w:val="21"/>
          <w:u w:val="single"/>
        </w:rPr>
        <w:t>（采购文件中明确的所属行业）</w:t>
      </w:r>
      <w:r>
        <w:rPr>
          <w:rFonts w:hint="eastAsia" w:ascii="仿宋" w:hAnsi="仿宋" w:eastAsia="仿宋" w:cs="仿宋"/>
          <w:sz w:val="21"/>
          <w:szCs w:val="21"/>
        </w:rPr>
        <w:t>；承建（承接）企业为</w:t>
      </w:r>
      <w:r>
        <w:rPr>
          <w:rFonts w:hint="eastAsia" w:ascii="仿宋" w:hAnsi="仿宋" w:eastAsia="仿宋" w:cs="仿宋"/>
          <w:i/>
          <w:iCs/>
          <w:sz w:val="21"/>
          <w:szCs w:val="21"/>
          <w:u w:val="single"/>
        </w:rPr>
        <w:t>（企业名称）</w:t>
      </w:r>
      <w:r>
        <w:rPr>
          <w:rFonts w:hint="eastAsia" w:ascii="仿宋" w:hAnsi="仿宋" w:eastAsia="仿宋" w:cs="仿宋"/>
          <w:sz w:val="21"/>
          <w:szCs w:val="21"/>
        </w:rPr>
        <w:t>，从业人员</w:t>
      </w:r>
      <w:r>
        <w:rPr>
          <w:rFonts w:hint="eastAsia" w:cs="仿宋"/>
          <w:sz w:val="21"/>
          <w:szCs w:val="21"/>
          <w:u w:val="single"/>
          <w:lang w:val="en-US" w:eastAsia="zh-CN"/>
        </w:rPr>
        <w:t xml:space="preserve">    </w:t>
      </w:r>
      <w:r>
        <w:rPr>
          <w:rFonts w:hint="eastAsia" w:ascii="仿宋" w:hAnsi="仿宋" w:eastAsia="仿宋" w:cs="仿宋"/>
          <w:sz w:val="21"/>
          <w:szCs w:val="21"/>
        </w:rPr>
        <w:t>人，营业收入为</w:t>
      </w:r>
      <w:r>
        <w:rPr>
          <w:rFonts w:hint="eastAsia" w:cs="仿宋"/>
          <w:sz w:val="21"/>
          <w:szCs w:val="21"/>
          <w:u w:val="single"/>
          <w:lang w:val="en-US" w:eastAsia="zh-CN"/>
        </w:rPr>
        <w:t xml:space="preserve">    </w:t>
      </w:r>
      <w:r>
        <w:rPr>
          <w:rFonts w:hint="eastAsia" w:ascii="仿宋" w:hAnsi="仿宋" w:eastAsia="仿宋" w:cs="仿宋"/>
          <w:sz w:val="21"/>
          <w:szCs w:val="21"/>
        </w:rPr>
        <w:t>万元，资产总额为</w:t>
      </w:r>
      <w:r>
        <w:rPr>
          <w:rFonts w:hint="eastAsia" w:cs="仿宋"/>
          <w:sz w:val="21"/>
          <w:szCs w:val="21"/>
          <w:u w:val="single"/>
          <w:lang w:val="en-US" w:eastAsia="zh-CN"/>
        </w:rPr>
        <w:t xml:space="preserve">    </w:t>
      </w:r>
      <w:r>
        <w:rPr>
          <w:rFonts w:hint="eastAsia" w:ascii="仿宋" w:hAnsi="仿宋" w:eastAsia="仿宋" w:cs="仿宋"/>
          <w:sz w:val="21"/>
          <w:szCs w:val="21"/>
        </w:rPr>
        <w:t>万元，属于（</w:t>
      </w:r>
      <w:r>
        <w:rPr>
          <w:rFonts w:hint="eastAsia" w:ascii="仿宋" w:hAnsi="仿宋" w:eastAsia="仿宋" w:cs="仿宋"/>
          <w:i/>
          <w:iCs/>
          <w:sz w:val="21"/>
          <w:szCs w:val="21"/>
          <w:u w:val="single"/>
        </w:rPr>
        <w:t>中型企业、小型企业、微型企业）</w:t>
      </w:r>
      <w:r>
        <w:rPr>
          <w:rFonts w:hint="eastAsia" w:ascii="仿宋" w:hAnsi="仿宋" w:eastAsia="仿宋" w:cs="仿宋"/>
          <w:sz w:val="21"/>
          <w:szCs w:val="21"/>
        </w:rPr>
        <w:t>；</w:t>
      </w:r>
    </w:p>
    <w:p w14:paraId="16D27D89">
      <w:pPr>
        <w:bidi w:val="0"/>
        <w:spacing w:line="360" w:lineRule="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i/>
          <w:iCs/>
          <w:sz w:val="21"/>
          <w:szCs w:val="21"/>
          <w:u w:val="single"/>
        </w:rPr>
        <w:t>（标的名称）</w:t>
      </w:r>
      <w:r>
        <w:rPr>
          <w:rFonts w:hint="eastAsia" w:ascii="仿宋" w:hAnsi="仿宋" w:eastAsia="仿宋" w:cs="仿宋"/>
          <w:sz w:val="21"/>
          <w:szCs w:val="21"/>
        </w:rPr>
        <w:t>，属于</w:t>
      </w:r>
      <w:r>
        <w:rPr>
          <w:rFonts w:hint="eastAsia" w:ascii="仿宋" w:hAnsi="仿宋" w:eastAsia="仿宋" w:cs="仿宋"/>
          <w:i/>
          <w:iCs/>
          <w:sz w:val="21"/>
          <w:szCs w:val="21"/>
          <w:u w:val="single"/>
        </w:rPr>
        <w:t>（采购文件中明确的所属行业）</w:t>
      </w:r>
      <w:r>
        <w:rPr>
          <w:rFonts w:hint="eastAsia" w:ascii="仿宋" w:hAnsi="仿宋" w:eastAsia="仿宋" w:cs="仿宋"/>
          <w:sz w:val="21"/>
          <w:szCs w:val="21"/>
        </w:rPr>
        <w:t>；承建（承接）企业为</w:t>
      </w:r>
      <w:r>
        <w:rPr>
          <w:rFonts w:hint="eastAsia" w:ascii="仿宋" w:hAnsi="仿宋" w:eastAsia="仿宋" w:cs="仿宋"/>
          <w:i/>
          <w:iCs/>
          <w:sz w:val="21"/>
          <w:szCs w:val="21"/>
          <w:u w:val="single"/>
        </w:rPr>
        <w:t>（企业名称）</w:t>
      </w:r>
      <w:r>
        <w:rPr>
          <w:rFonts w:hint="eastAsia" w:ascii="仿宋" w:hAnsi="仿宋" w:eastAsia="仿宋" w:cs="仿宋"/>
          <w:sz w:val="21"/>
          <w:szCs w:val="21"/>
        </w:rPr>
        <w:t>，从业人员</w:t>
      </w:r>
      <w:r>
        <w:rPr>
          <w:rFonts w:hint="eastAsia" w:cs="仿宋"/>
          <w:sz w:val="21"/>
          <w:szCs w:val="21"/>
          <w:u w:val="single"/>
          <w:lang w:val="en-US" w:eastAsia="zh-CN"/>
        </w:rPr>
        <w:t xml:space="preserve">    </w:t>
      </w:r>
      <w:r>
        <w:rPr>
          <w:rFonts w:hint="eastAsia" w:ascii="仿宋" w:hAnsi="仿宋" w:eastAsia="仿宋" w:cs="仿宋"/>
          <w:sz w:val="21"/>
          <w:szCs w:val="21"/>
        </w:rPr>
        <w:t>人，营业收入为</w:t>
      </w:r>
      <w:r>
        <w:rPr>
          <w:rFonts w:hint="eastAsia" w:cs="仿宋"/>
          <w:sz w:val="21"/>
          <w:szCs w:val="21"/>
          <w:u w:val="single"/>
          <w:lang w:val="en-US" w:eastAsia="zh-CN"/>
        </w:rPr>
        <w:t xml:space="preserve">    </w:t>
      </w:r>
      <w:r>
        <w:rPr>
          <w:rFonts w:hint="eastAsia" w:ascii="仿宋" w:hAnsi="仿宋" w:eastAsia="仿宋" w:cs="仿宋"/>
          <w:sz w:val="21"/>
          <w:szCs w:val="21"/>
        </w:rPr>
        <w:t>万元，资产总额为</w:t>
      </w:r>
      <w:r>
        <w:rPr>
          <w:rFonts w:hint="eastAsia" w:cs="仿宋"/>
          <w:sz w:val="21"/>
          <w:szCs w:val="21"/>
          <w:u w:val="single"/>
          <w:lang w:val="en-US" w:eastAsia="zh-CN"/>
        </w:rPr>
        <w:t xml:space="preserve">    </w:t>
      </w:r>
      <w:r>
        <w:rPr>
          <w:rFonts w:hint="eastAsia" w:ascii="仿宋" w:hAnsi="仿宋" w:eastAsia="仿宋" w:cs="仿宋"/>
          <w:sz w:val="21"/>
          <w:szCs w:val="21"/>
        </w:rPr>
        <w:t>万元，属于</w:t>
      </w:r>
      <w:r>
        <w:rPr>
          <w:rFonts w:hint="eastAsia" w:ascii="仿宋" w:hAnsi="仿宋" w:eastAsia="仿宋" w:cs="仿宋"/>
          <w:i/>
          <w:iCs/>
          <w:sz w:val="21"/>
          <w:szCs w:val="21"/>
          <w:u w:val="single"/>
        </w:rPr>
        <w:t>（中型企业、小型企业、微型企业）</w:t>
      </w:r>
      <w:r>
        <w:rPr>
          <w:rFonts w:hint="eastAsia" w:ascii="仿宋" w:hAnsi="仿宋" w:eastAsia="仿宋" w:cs="仿宋"/>
          <w:sz w:val="21"/>
          <w:szCs w:val="21"/>
        </w:rPr>
        <w:t>；</w:t>
      </w:r>
    </w:p>
    <w:p w14:paraId="5848E571">
      <w:pPr>
        <w:bidi w:val="0"/>
        <w:spacing w:line="360" w:lineRule="auto"/>
        <w:rPr>
          <w:rFonts w:hint="eastAsia" w:ascii="仿宋" w:hAnsi="仿宋" w:eastAsia="仿宋" w:cs="仿宋"/>
          <w:sz w:val="21"/>
          <w:szCs w:val="21"/>
        </w:rPr>
      </w:pPr>
      <w:r>
        <w:rPr>
          <w:rFonts w:hint="eastAsia" w:ascii="仿宋" w:hAnsi="仿宋" w:eastAsia="仿宋" w:cs="仿宋"/>
          <w:sz w:val="21"/>
          <w:szCs w:val="21"/>
        </w:rPr>
        <w:t>……</w:t>
      </w:r>
    </w:p>
    <w:p w14:paraId="1F962C90">
      <w:pPr>
        <w:bidi w:val="0"/>
        <w:spacing w:line="360" w:lineRule="auto"/>
        <w:rPr>
          <w:rFonts w:hint="eastAsia" w:ascii="仿宋" w:hAnsi="仿宋" w:eastAsia="仿宋" w:cs="仿宋"/>
          <w:sz w:val="21"/>
          <w:szCs w:val="21"/>
        </w:rPr>
      </w:pPr>
      <w:r>
        <w:rPr>
          <w:rFonts w:hint="eastAsia" w:ascii="仿宋" w:hAnsi="仿宋" w:eastAsia="仿宋" w:cs="仿宋"/>
          <w:sz w:val="21"/>
          <w:szCs w:val="21"/>
        </w:rPr>
        <w:t>以上企业，不属于大企业的分支机构，不存在控股股东为大企业的情形，也不存在与大企业的负责人为同一人的情形。</w:t>
      </w:r>
    </w:p>
    <w:p w14:paraId="43CD709C">
      <w:pPr>
        <w:bidi w:val="0"/>
        <w:spacing w:line="360" w:lineRule="auto"/>
        <w:rPr>
          <w:rFonts w:hint="eastAsia" w:ascii="仿宋" w:hAnsi="仿宋" w:eastAsia="仿宋" w:cs="仿宋"/>
          <w:sz w:val="21"/>
          <w:szCs w:val="21"/>
        </w:rPr>
      </w:pPr>
      <w:r>
        <w:rPr>
          <w:rFonts w:hint="eastAsia" w:ascii="仿宋" w:hAnsi="仿宋" w:eastAsia="仿宋" w:cs="仿宋"/>
          <w:sz w:val="21"/>
          <w:szCs w:val="21"/>
        </w:rPr>
        <w:t>本企业对上述声明内容的真实性负责。如有虚假，将依法承担相应责任。</w:t>
      </w:r>
    </w:p>
    <w:p w14:paraId="7C7AC0E9">
      <w:pPr>
        <w:wordWrap w:val="0"/>
        <w:bidi w:val="0"/>
        <w:spacing w:line="360" w:lineRule="auto"/>
        <w:jc w:val="right"/>
        <w:rPr>
          <w:rFonts w:hint="default" w:ascii="仿宋" w:hAnsi="仿宋" w:eastAsia="仿宋" w:cs="仿宋"/>
          <w:sz w:val="21"/>
          <w:szCs w:val="21"/>
          <w:lang w:val="en-US" w:eastAsia="zh-CN"/>
        </w:rPr>
      </w:pPr>
      <w:r>
        <w:rPr>
          <w:rFonts w:hint="eastAsia" w:ascii="仿宋" w:hAnsi="仿宋" w:eastAsia="仿宋" w:cs="仿宋"/>
          <w:sz w:val="21"/>
          <w:szCs w:val="21"/>
        </w:rPr>
        <w:t>企业名称（盖章）：</w:t>
      </w:r>
      <w:bookmarkStart w:id="68" w:name="bookmark1"/>
      <w:bookmarkEnd w:id="68"/>
      <w:r>
        <w:rPr>
          <w:rFonts w:hint="eastAsia" w:cs="仿宋"/>
          <w:sz w:val="21"/>
          <w:szCs w:val="21"/>
          <w:lang w:val="en-US" w:eastAsia="zh-CN"/>
        </w:rPr>
        <w:t xml:space="preserve">        </w:t>
      </w:r>
    </w:p>
    <w:p w14:paraId="5C08333D">
      <w:pPr>
        <w:wordWrap w:val="0"/>
        <w:bidi w:val="0"/>
        <w:spacing w:line="360" w:lineRule="auto"/>
        <w:jc w:val="right"/>
        <w:rPr>
          <w:rFonts w:hint="default" w:ascii="仿宋" w:hAnsi="仿宋" w:eastAsia="仿宋" w:cs="仿宋"/>
          <w:sz w:val="21"/>
          <w:szCs w:val="21"/>
          <w:lang w:val="en-US" w:eastAsia="zh-CN"/>
        </w:rPr>
      </w:pPr>
      <w:r>
        <w:rPr>
          <w:rFonts w:hint="eastAsia" w:cs="仿宋"/>
          <w:sz w:val="21"/>
          <w:szCs w:val="21"/>
          <w:lang w:val="en-US" w:eastAsia="zh-CN"/>
        </w:rPr>
        <w:t>日期</w:t>
      </w:r>
      <w:r>
        <w:rPr>
          <w:rFonts w:hint="eastAsia" w:ascii="仿宋" w:hAnsi="仿宋" w:eastAsia="仿宋" w:cs="仿宋"/>
          <w:sz w:val="21"/>
          <w:szCs w:val="21"/>
        </w:rPr>
        <w:t>：</w:t>
      </w:r>
      <w:r>
        <w:rPr>
          <w:rFonts w:hint="eastAsia" w:cs="仿宋"/>
          <w:sz w:val="21"/>
          <w:szCs w:val="21"/>
          <w:lang w:val="en-US" w:eastAsia="zh-CN"/>
        </w:rPr>
        <w:t xml:space="preserve">                    </w:t>
      </w:r>
    </w:p>
    <w:p w14:paraId="192899E9">
      <w:pPr>
        <w:spacing w:line="263" w:lineRule="auto"/>
        <w:rPr>
          <w:rFonts w:ascii="Arial"/>
          <w:sz w:val="21"/>
          <w:szCs w:val="21"/>
        </w:rPr>
      </w:pPr>
    </w:p>
    <w:p w14:paraId="7074C1CD">
      <w:pPr>
        <w:spacing w:line="263" w:lineRule="auto"/>
        <w:rPr>
          <w:rFonts w:ascii="Arial"/>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110490</wp:posOffset>
                </wp:positionV>
                <wp:extent cx="1828800" cy="0"/>
                <wp:effectExtent l="4445" t="4445" r="5080" b="5080"/>
                <wp:wrapNone/>
                <wp:docPr id="1" name="任意多边形 1"/>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7pt;margin-top:8.7pt;height:0pt;width:144pt;z-index:251659264;mso-width-relative:page;mso-height-relative:page;" filled="f" stroked="t" coordsize="2880,1" o:gfxdata="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IPm2dIA&#10;AAAHAQAADwAAAAAAAAABACAAAAAiAAAAZHJzL2Rvd25yZXYueG1sUEsBAhQAFAAAAAgAh07iQH0B&#10;W/wlAgAAhwQAAA4AAAAAAAAAAQAgAAAAIQEAAGRycy9lMm9Eb2MueG1sUEsFBgAAAAAGAAYAWQEA&#10;ALgFAAAAAA==&#10;" path="m0,0l2880,0e">
                <v:fill on="f" focussize="0,0"/>
                <v:stroke weight="0pt" color="#000000" joinstyle="bevel" endcap="square"/>
                <v:imagedata o:title=""/>
                <o:lock v:ext="edit" aspectratio="f"/>
              </v:shape>
            </w:pict>
          </mc:Fallback>
        </mc:AlternateContent>
      </w:r>
    </w:p>
    <w:p w14:paraId="18B00369">
      <w:pPr>
        <w:pStyle w:val="2"/>
        <w:ind w:left="0" w:leftChars="0" w:firstLine="0" w:firstLineChars="0"/>
        <w:rPr>
          <w:rFonts w:hint="default"/>
          <w:sz w:val="21"/>
          <w:szCs w:val="21"/>
          <w:lang w:val="en-US" w:eastAsia="zh-CN"/>
        </w:rPr>
      </w:pPr>
      <w:r>
        <w:rPr>
          <w:rFonts w:ascii="Times New Roman" w:hAnsi="Times New Roman" w:eastAsia="Times New Roman" w:cs="Times New Roman"/>
          <w:spacing w:val="-1"/>
          <w:position w:val="6"/>
          <w:sz w:val="21"/>
          <w:szCs w:val="21"/>
        </w:rPr>
        <w:t xml:space="preserve">1  </w:t>
      </w:r>
      <w:r>
        <w:rPr>
          <w:rFonts w:ascii="宋体" w:hAnsi="宋体" w:eastAsia="宋体" w:cs="宋体"/>
          <w:spacing w:val="-1"/>
          <w:sz w:val="21"/>
          <w:szCs w:val="21"/>
        </w:rPr>
        <w:t>从业人员、营业收入、资产总额填报上一年度数据，无上一年度数据的新成立企业可不填报。</w:t>
      </w:r>
      <w:r>
        <w:rPr>
          <w:rFonts w:ascii="宋体" w:hAnsi="宋体" w:eastAsia="宋体" w:cs="宋体"/>
          <w:spacing w:val="11"/>
          <w:sz w:val="21"/>
          <w:szCs w:val="21"/>
        </w:rPr>
        <w:t xml:space="preserve"> </w:t>
      </w:r>
    </w:p>
    <w:p w14:paraId="08BEBFD8">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18.5对投标文件技术部分（符合性）进行审查：</w:t>
      </w:r>
    </w:p>
    <w:p w14:paraId="39D925E5">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18.5.1对于商务审查合格的供应商，评标委员会将审查其投标文件技术部分是否对招标文件规定的事项、格式、条款和技术规格等要求都做出了实质性响应。</w:t>
      </w:r>
    </w:p>
    <w:p w14:paraId="0172D004">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18.5.2实质性响应的投标是指与招标文件规定的事项、条款、条件和技术规格相符，没有重大偏离和保留。没有实质性响应招标文件要求的投标将被拒绝。</w:t>
      </w:r>
    </w:p>
    <w:p w14:paraId="1BAEA8F0">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18.6重大偏离和保留是指实质上影响合同的供货范围、质量和性能，或者实质上限制了合同中采购人的权利或供应商的义务。投标文件有下列情形之一的属于重大偏离和保留，将作废标处理：</w:t>
      </w:r>
    </w:p>
    <w:p w14:paraId="601C57EA">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（1）供应商未按招标文件规定提交所要求提交的全部文件或者提交的文件无效或者不符合招标文件的规定；</w:t>
      </w:r>
    </w:p>
    <w:p w14:paraId="0D65C402">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（2）投标文件未按招标文件的规定有效签署和加盖公章；</w:t>
      </w:r>
    </w:p>
    <w:p w14:paraId="0480248D">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（3）投标文件载明的项目完成期限超过招标文件规定的期限；</w:t>
      </w:r>
    </w:p>
    <w:p w14:paraId="1508D900">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（4）投标文件明显不符合招标文件规定的技术规格、技术标准要求；</w:t>
      </w:r>
    </w:p>
    <w:p w14:paraId="3ECC1E56">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（5）投标文件载明的货物包装方式、检验方法和标准等不符合招标文件要求；</w:t>
      </w:r>
    </w:p>
    <w:p w14:paraId="4198A57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（6）投标文件附有采购人不能接受的条件；</w:t>
      </w:r>
    </w:p>
    <w:p w14:paraId="46AF8511">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（7）不符合招标文件规定的其他实质性要求。</w:t>
      </w:r>
    </w:p>
    <w:p w14:paraId="11EC70F2">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18.7评标委员会将允许修正投标文件中不构成重大偏离的细微偏离，但这些修正应不会对实质上响应招标文件要求的供应商的竞争地位（相互排序）产生不公正的影响。</w:t>
      </w:r>
    </w:p>
    <w:p w14:paraId="2E4E8042">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18.8评标委员会对投标文件的判定，只依据投标文件内容本身，不依据任何外来证明。</w:t>
      </w:r>
    </w:p>
    <w:p w14:paraId="6300215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18.9投标报价的审查：评标委员会将对商务审查、技术审查合格的投标文件的报价进行审核，看其是否有计算和累加上的错误。修正错误的原则如下：投标报价以《开标一览表》的报价为准，《投标报价明细表》的报价与《开标一览表》的报价不一致的，供应商应按《开标一览表》的报价相应修改《投标报价明细表》的报价，并相应修改分项报价。按上述原则调整后的价格为评标价，经供应商法定代表人或授权代理人签字确认后对供应商具有约束力。如果供应商不按照上述原则修正其投标报价及分项报价，则其投标将被拒绝。</w:t>
      </w:r>
    </w:p>
    <w:p w14:paraId="1390319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18.10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接受细微偏离有利于采购成功，不应因细微偏离而废标。</w:t>
      </w:r>
    </w:p>
    <w:p w14:paraId="4E979EB7">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19.首次招标因评标过程中出现符合专业条件的投标人或者对招标文件作实质性响应的投标人不足三家情形而否决投标，重新招标仍然出现前述情形的，以及竞争性</w:t>
      </w:r>
      <w:r>
        <w:rPr>
          <w:rFonts w:hint="eastAsia"/>
          <w:sz w:val="21"/>
          <w:szCs w:val="21"/>
          <w:highlight w:val="none"/>
          <w:lang w:val="en-US" w:eastAsia="zh-CN"/>
        </w:rPr>
        <w:t>磋商</w:t>
      </w:r>
      <w:r>
        <w:rPr>
          <w:sz w:val="21"/>
          <w:szCs w:val="21"/>
          <w:highlight w:val="none"/>
        </w:rPr>
        <w:t>、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4AD3DB7B">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（1）采用招标方式采购项目，重新招标出现前述情形的，如果有两家供应商投标或者经评审有两家合格投标供应商，可以直接变更为两家供应商招标或者向两家供应商询价采购。</w:t>
      </w:r>
    </w:p>
    <w:p w14:paraId="10EB8164">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（2）采用</w:t>
      </w:r>
      <w:r>
        <w:rPr>
          <w:rFonts w:hint="eastAsia"/>
          <w:sz w:val="21"/>
          <w:szCs w:val="21"/>
          <w:highlight w:val="none"/>
          <w:lang w:eastAsia="zh-CN"/>
        </w:rPr>
        <w:t>公开招标</w:t>
      </w:r>
      <w:r>
        <w:rPr>
          <w:sz w:val="21"/>
          <w:szCs w:val="21"/>
          <w:highlight w:val="none"/>
        </w:rPr>
        <w:t>、询价方式采购的项目，出现前述情形的，如果有两家供应商投标或者经评审由两家合格投标供应商，原采购方式为</w:t>
      </w:r>
      <w:r>
        <w:rPr>
          <w:rFonts w:hint="eastAsia"/>
          <w:sz w:val="21"/>
          <w:szCs w:val="21"/>
          <w:highlight w:val="none"/>
          <w:lang w:eastAsia="zh-CN"/>
        </w:rPr>
        <w:t>公开招标</w:t>
      </w:r>
      <w:r>
        <w:rPr>
          <w:sz w:val="21"/>
          <w:szCs w:val="21"/>
          <w:highlight w:val="none"/>
        </w:rPr>
        <w:t>的，应当直接变更为两家供应商</w:t>
      </w:r>
      <w:r>
        <w:rPr>
          <w:rFonts w:hint="eastAsia"/>
          <w:sz w:val="21"/>
          <w:szCs w:val="21"/>
          <w:highlight w:val="none"/>
          <w:lang w:eastAsia="zh-CN"/>
        </w:rPr>
        <w:t>公开招标</w:t>
      </w:r>
      <w:r>
        <w:rPr>
          <w:sz w:val="21"/>
          <w:szCs w:val="21"/>
          <w:highlight w:val="none"/>
        </w:rPr>
        <w:t>；原采购方式为询价的，应当直接变更为两家供应商询价采购。</w:t>
      </w:r>
    </w:p>
    <w:p w14:paraId="22B0B91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（3）只有1家供应商投标，或者经评审只有1家合格供应商的，不得直接变24更为单一来源方式采购。采购人需要变更为单一来源方式采购的，应当在否决投标后向采购办申请批准。</w:t>
      </w:r>
    </w:p>
    <w:p w14:paraId="57B9A519">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4）招标失败后直接变更采购方式的项目，应当当场由评标专家、采购人代表、评标监督人员和相关投标供应商授权代表共同签署《招标失败后直接变更采购方式备忘录》。评标结束后，由采购中心或者采购代理机构将《招标失败后直接变更采购方式备忘录》和评标纪要（评标报告）包采购办备案。</w:t>
      </w:r>
    </w:p>
    <w:p w14:paraId="3B098945">
      <w:pPr>
        <w:numPr>
          <w:ilvl w:val="0"/>
          <w:numId w:val="0"/>
        </w:numPr>
        <w:bidi w:val="0"/>
        <w:ind w:leftChars="0" w:firstLine="420" w:firstLineChars="0"/>
        <w:rPr>
          <w:sz w:val="21"/>
          <w:szCs w:val="21"/>
          <w:highlight w:val="none"/>
        </w:rPr>
      </w:pPr>
      <w:r>
        <w:rPr>
          <w:sz w:val="21"/>
          <w:szCs w:val="21"/>
          <w:highlight w:val="none"/>
        </w:rPr>
        <w:t>（5）招标失败后直接变更采购方式的条件应在采购文件中事先申明。</w:t>
      </w:r>
    </w:p>
    <w:p w14:paraId="32AEE79A">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20.评标方法和标准：</w:t>
      </w:r>
    </w:p>
    <w:p w14:paraId="50A64040">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20.1评标委员会将只对商务（供应商资格）审查和技术（符合性）审查均符合招标文件要求的投标进行详细评审。</w:t>
      </w:r>
    </w:p>
    <w:p w14:paraId="61264614">
      <w:pPr>
        <w:numPr>
          <w:ilvl w:val="0"/>
          <w:numId w:val="0"/>
        </w:numPr>
        <w:bidi w:val="0"/>
        <w:ind w:leftChars="0" w:firstLine="420" w:firstLineChars="0"/>
        <w:rPr>
          <w:rFonts w:hint="eastAsia" w:eastAsia="仿宋"/>
          <w:sz w:val="21"/>
          <w:szCs w:val="21"/>
          <w:highlight w:val="none"/>
          <w:lang w:eastAsia="zh-CN"/>
        </w:rPr>
      </w:pPr>
      <w:r>
        <w:rPr>
          <w:sz w:val="21"/>
          <w:szCs w:val="21"/>
          <w:highlight w:val="none"/>
        </w:rPr>
        <w:t>20.2本项目采用综合评分法评标，评标委员会将按下述标准评定预中标人：按评审后供应商得分由高到低的顺序排列；得分相同的，按投标报价由低到高顺序排列；得分且投标报价相同的，按技术指标优劣顺序排列。</w:t>
      </w:r>
    </w:p>
    <w:p w14:paraId="1240E7ED">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20.3预中标结果将在中国政府采购网及相关媒体上公示一个工作日，如果没有异议，预中标人确定为中标人。如果供应商对预中标结果有异议，应当在公示期内以书面形式向招标机构提出质疑。供应商的质疑事项应当具体、明确并提供事实依据。</w:t>
      </w:r>
    </w:p>
    <w:p w14:paraId="266DBC20">
      <w:pPr>
        <w:numPr>
          <w:ilvl w:val="0"/>
          <w:numId w:val="0"/>
        </w:numPr>
        <w:bidi w:val="0"/>
        <w:ind w:leftChars="0" w:firstLine="420" w:firstLineChars="0"/>
        <w:rPr>
          <w:rFonts w:cs="Times New Roman"/>
          <w:sz w:val="21"/>
          <w:szCs w:val="21"/>
          <w:highlight w:val="none"/>
        </w:rPr>
      </w:pPr>
      <w:r>
        <w:rPr>
          <w:rFonts w:hint="eastAsia" w:cs="Times New Roman"/>
          <w:sz w:val="21"/>
          <w:szCs w:val="21"/>
          <w:highlight w:val="none"/>
          <w:lang w:val="en-US" w:eastAsia="zh-CN"/>
        </w:rPr>
        <w:t>21.</w:t>
      </w:r>
      <w:r>
        <w:rPr>
          <w:rFonts w:cs="Times New Roman"/>
          <w:sz w:val="21"/>
          <w:szCs w:val="21"/>
          <w:highlight w:val="none"/>
        </w:rPr>
        <w:t>签订合同：</w:t>
      </w:r>
    </w:p>
    <w:p w14:paraId="57B7355E">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21.1采购人将在投标有效期期满之前向中标人发出《中标通知书》。中标通知书是合同的组成部分，对采购人和中标人均具有法律约束力。</w:t>
      </w:r>
    </w:p>
    <w:p w14:paraId="36741652">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21.2中标通知书发出后，采购人改变中标结果的，或者中标人放弃中标项目的，应当依法承担法律责任。</w:t>
      </w:r>
    </w:p>
    <w:p w14:paraId="65B0EC44">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21.3中标人应按中标通知书规定的时间与采购人和采购人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0DE25AB2">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21.4中标结果将在发布招标公告的媒体上公告，不再以书面方式通知落标人。</w:t>
      </w:r>
    </w:p>
    <w:p w14:paraId="73D11191">
      <w:pPr>
        <w:numPr>
          <w:ilvl w:val="0"/>
          <w:numId w:val="0"/>
        </w:numPr>
        <w:bidi w:val="0"/>
        <w:ind w:leftChars="0" w:firstLine="420" w:firstLineChars="0"/>
        <w:rPr>
          <w:rFonts w:cs="Times New Roman"/>
          <w:sz w:val="21"/>
          <w:szCs w:val="21"/>
          <w:highlight w:val="none"/>
        </w:rPr>
      </w:pPr>
      <w:r>
        <w:rPr>
          <w:rFonts w:cs="Times New Roman"/>
          <w:sz w:val="21"/>
          <w:szCs w:val="21"/>
          <w:highlight w:val="none"/>
        </w:rPr>
        <w:t>保密和披露：</w:t>
      </w:r>
    </w:p>
    <w:p w14:paraId="54FA0C4D">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22.1采购人有权将供应商提供的所有资料向其他政府部门或有关的非政府机构负责评审标书的人员或与评标有关的人员披露。</w:t>
      </w:r>
    </w:p>
    <w:p w14:paraId="44CB6A9B">
      <w:pPr>
        <w:numPr>
          <w:ilvl w:val="0"/>
          <w:numId w:val="0"/>
        </w:numPr>
        <w:bidi w:val="0"/>
        <w:ind w:leftChars="0" w:firstLine="420" w:firstLineChars="0"/>
        <w:rPr>
          <w:rFonts w:cs="Times New Roman"/>
          <w:sz w:val="21"/>
          <w:szCs w:val="21"/>
          <w:highlight w:val="none"/>
        </w:rPr>
      </w:pPr>
      <w:r>
        <w:rPr>
          <w:rFonts w:cs="Times New Roman"/>
          <w:sz w:val="21"/>
          <w:szCs w:val="21"/>
          <w:highlight w:val="none"/>
        </w:rPr>
        <w:t>22.2在下列情形下：当发布中标公告和其它公告时，当国家机关调查、审查、审计时，以及在其他符合法律规定的情形下，采购人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6C7C3FD8">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23履约保证金：除投标人须知前附表另有规定外，投标人应按照合同约定向采购人提交合同总价款5%的履约保证金，履约保证金期限一年。</w:t>
      </w:r>
    </w:p>
    <w:p w14:paraId="5C276028">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24招标代理服务费：</w:t>
      </w:r>
    </w:p>
    <w:p w14:paraId="30A07773">
      <w:pPr>
        <w:numPr>
          <w:ilvl w:val="0"/>
          <w:numId w:val="0"/>
        </w:numPr>
        <w:bidi w:val="0"/>
        <w:ind w:leftChars="0" w:firstLine="420" w:firstLineChars="0"/>
        <w:rPr>
          <w:rFonts w:cs="Times New Roman"/>
          <w:sz w:val="21"/>
          <w:szCs w:val="21"/>
          <w:highlight w:val="none"/>
        </w:rPr>
      </w:pPr>
      <w:r>
        <w:rPr>
          <w:rFonts w:cs="Times New Roman"/>
          <w:sz w:val="21"/>
          <w:szCs w:val="21"/>
          <w:highlight w:val="none"/>
        </w:rPr>
        <w:t>24.1招标代理服务费的收取标准按国家发展计划委员会计价格[2002]1980号文件《招标代理服务费管理暂行办法》、发改办价格[2003]857号文件和发改价格[2015]299号文件的规定执行。</w:t>
      </w:r>
    </w:p>
    <w:p w14:paraId="6170FEBB">
      <w:pPr>
        <w:numPr>
          <w:ilvl w:val="0"/>
          <w:numId w:val="0"/>
        </w:numPr>
        <w:bidi w:val="0"/>
        <w:ind w:leftChars="0" w:firstLine="420" w:firstLineChars="0"/>
        <w:rPr>
          <w:rFonts w:hint="eastAsia" w:cs="Times New Roman"/>
          <w:sz w:val="21"/>
          <w:szCs w:val="21"/>
          <w:highlight w:val="none"/>
          <w:lang w:eastAsia="zh-CN"/>
        </w:rPr>
      </w:pPr>
      <w:r>
        <w:rPr>
          <w:rFonts w:cs="Times New Roman"/>
          <w:sz w:val="21"/>
          <w:szCs w:val="21"/>
          <w:highlight w:val="none"/>
        </w:rPr>
        <w:t>24.2招标方按国家规定向中标人收取招标代理服务费。招标代理服务费从中标人的投标保证金中扣除。</w:t>
      </w:r>
    </w:p>
    <w:p w14:paraId="2A9F9879">
      <w:pPr>
        <w:numPr>
          <w:ilvl w:val="0"/>
          <w:numId w:val="0"/>
        </w:numPr>
        <w:bidi w:val="0"/>
        <w:ind w:leftChars="0" w:firstLine="420" w:firstLineChars="0"/>
        <w:rPr>
          <w:rFonts w:cs="Times New Roman"/>
          <w:highlight w:val="none"/>
        </w:rPr>
      </w:pPr>
      <w:r>
        <w:rPr>
          <w:rFonts w:cs="Times New Roman"/>
          <w:sz w:val="21"/>
          <w:szCs w:val="21"/>
          <w:highlight w:val="none"/>
        </w:rPr>
        <w:t>24.3详见供应商须知前附表</w:t>
      </w:r>
    </w:p>
    <w:p w14:paraId="0C823C9C">
      <w:pPr>
        <w:wordWrap w:val="0"/>
        <w:autoSpaceDE w:val="0"/>
        <w:autoSpaceDN w:val="0"/>
        <w:adjustRightInd w:val="0"/>
        <w:spacing w:line="400" w:lineRule="exact"/>
        <w:ind w:left="0" w:leftChars="0" w:firstLine="420" w:firstLineChars="0"/>
        <w:jc w:val="left"/>
        <w:rPr>
          <w:rFonts w:hint="eastAsia" w:ascii="仿宋" w:hAnsi="仿宋" w:eastAsia="仿宋" w:cs="仿宋"/>
          <w:b w:val="0"/>
          <w:bCs w:val="0"/>
          <w:color w:val="auto"/>
          <w:sz w:val="24"/>
          <w:szCs w:val="24"/>
          <w:highlight w:val="none"/>
          <w:lang w:val="zh-CN"/>
        </w:rPr>
      </w:pPr>
    </w:p>
    <w:bookmarkEnd w:id="60"/>
    <w:bookmarkEnd w:id="61"/>
    <w:bookmarkEnd w:id="62"/>
    <w:bookmarkEnd w:id="63"/>
    <w:bookmarkEnd w:id="64"/>
    <w:bookmarkEnd w:id="65"/>
    <w:bookmarkEnd w:id="66"/>
    <w:bookmarkEnd w:id="67"/>
    <w:p w14:paraId="238BA0C2">
      <w:pPr>
        <w:rPr>
          <w:highlight w:val="none"/>
        </w:rPr>
      </w:pPr>
      <w:bookmarkStart w:id="69" w:name="_Toc246996252"/>
      <w:bookmarkStart w:id="70" w:name="_Toc52181483"/>
      <w:bookmarkStart w:id="71" w:name="_Toc246996995"/>
      <w:bookmarkStart w:id="72" w:name="_Toc55285624"/>
      <w:bookmarkStart w:id="73" w:name="_Toc247085767"/>
      <w:bookmarkStart w:id="74" w:name="_Toc144974577"/>
      <w:bookmarkStart w:id="75" w:name="_Toc152045609"/>
      <w:bookmarkStart w:id="76" w:name="_Toc179632627"/>
      <w:bookmarkStart w:id="77" w:name="_Toc152042387"/>
    </w:p>
    <w:p w14:paraId="79F7C98B">
      <w:pPr>
        <w:pStyle w:val="8"/>
        <w:numPr>
          <w:ilvl w:val="0"/>
          <w:numId w:val="0"/>
        </w:numPr>
        <w:spacing w:after="120" w:afterLines="0" w:line="360" w:lineRule="auto"/>
        <w:jc w:val="center"/>
        <w:outlineLvl w:val="0"/>
        <w:rPr>
          <w:rFonts w:hint="eastAsia" w:ascii="仿宋" w:hAnsi="仿宋" w:eastAsia="仿宋" w:cs="仿宋"/>
          <w:b/>
          <w:bCs/>
          <w:kern w:val="44"/>
          <w:sz w:val="36"/>
          <w:szCs w:val="36"/>
          <w:highlight w:val="none"/>
          <w:lang w:val="en-US" w:eastAsia="zh-CN" w:bidi="ar-SA"/>
        </w:rPr>
      </w:pPr>
      <w:r>
        <w:rPr>
          <w:rFonts w:hint="eastAsia" w:ascii="仿宋" w:hAnsi="仿宋" w:eastAsia="仿宋" w:cs="仿宋"/>
          <w:color w:val="auto"/>
          <w:highlight w:val="none"/>
        </w:rPr>
        <w:br w:type="page"/>
      </w:r>
      <w:bookmarkStart w:id="78" w:name="_Toc2160"/>
      <w:bookmarkStart w:id="79" w:name="_Toc16960"/>
      <w:bookmarkStart w:id="80" w:name="_Toc3151"/>
      <w:bookmarkStart w:id="81" w:name="_Toc16464"/>
      <w:bookmarkStart w:id="82" w:name="_Toc22778"/>
      <w:r>
        <w:rPr>
          <w:rFonts w:hint="eastAsia" w:ascii="仿宋" w:hAnsi="仿宋" w:eastAsia="仿宋" w:cs="仿宋"/>
          <w:b/>
          <w:bCs/>
          <w:kern w:val="44"/>
          <w:sz w:val="36"/>
          <w:szCs w:val="36"/>
          <w:highlight w:val="none"/>
          <w:lang w:val="en-US" w:eastAsia="zh-CN" w:bidi="ar-SA"/>
        </w:rPr>
        <w:t xml:space="preserve">第三章 </w:t>
      </w:r>
      <w:bookmarkEnd w:id="78"/>
      <w:r>
        <w:rPr>
          <w:rFonts w:hint="eastAsia" w:ascii="仿宋" w:hAnsi="仿宋" w:eastAsia="仿宋" w:cs="仿宋"/>
          <w:b/>
          <w:bCs/>
          <w:kern w:val="44"/>
          <w:sz w:val="36"/>
          <w:szCs w:val="36"/>
          <w:highlight w:val="none"/>
          <w:lang w:val="en-US" w:eastAsia="zh-CN" w:bidi="ar-SA"/>
        </w:rPr>
        <w:t>评标办法</w:t>
      </w:r>
      <w:bookmarkEnd w:id="79"/>
      <w:bookmarkEnd w:id="80"/>
    </w:p>
    <w:p w14:paraId="3FD32A5F">
      <w:pPr>
        <w:numPr>
          <w:ilvl w:val="0"/>
          <w:numId w:val="0"/>
        </w:numPr>
        <w:spacing w:line="240" w:lineRule="auto"/>
        <w:ind w:leftChars="0"/>
        <w:jc w:val="center"/>
        <w:outlineLvl w:val="9"/>
        <w:rPr>
          <w:rFonts w:hint="eastAsia" w:ascii="仿宋" w:hAnsi="仿宋" w:eastAsia="仿宋" w:cs="仿宋"/>
          <w:color w:val="auto"/>
          <w:sz w:val="28"/>
          <w:szCs w:val="28"/>
          <w:highlight w:val="none"/>
          <w:lang w:val="en-US" w:eastAsia="zh-CN"/>
        </w:rPr>
      </w:pPr>
      <w:bookmarkStart w:id="83" w:name="_Toc27964"/>
      <w:r>
        <w:rPr>
          <w:rFonts w:hint="eastAsia" w:ascii="仿宋" w:hAnsi="仿宋" w:eastAsia="仿宋" w:cs="仿宋"/>
          <w:color w:val="auto"/>
          <w:sz w:val="28"/>
          <w:szCs w:val="28"/>
          <w:highlight w:val="none"/>
          <w:lang w:eastAsia="zh-CN"/>
        </w:rPr>
        <w:t>（综合评估法）</w:t>
      </w:r>
      <w:bookmarkEnd w:id="83"/>
    </w:p>
    <w:p w14:paraId="2144C95F">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kern w:val="2"/>
          <w:sz w:val="21"/>
          <w:szCs w:val="21"/>
          <w:highlight w:val="none"/>
        </w:rPr>
      </w:pPr>
      <w:r>
        <w:rPr>
          <w:rFonts w:hint="eastAsia" w:ascii="仿宋" w:hAnsi="仿宋" w:eastAsia="仿宋" w:cs="仿宋"/>
          <w:b w:val="0"/>
          <w:kern w:val="2"/>
          <w:sz w:val="21"/>
          <w:szCs w:val="21"/>
          <w:highlight w:val="none"/>
          <w:lang w:val="en-US" w:eastAsia="zh-CN" w:bidi="ar"/>
        </w:rPr>
        <w:t>一．说明</w:t>
      </w:r>
    </w:p>
    <w:p w14:paraId="5798F1F6">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1.概述</w:t>
      </w:r>
    </w:p>
    <w:p w14:paraId="78077271">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根据《中华人民共和国政府采购法》、《中华人民共和国政府采购法实施条例》、《政府采购货物和服务招标投标管理办法》及政府采购其它相关法律法规，在保证</w:t>
      </w:r>
      <w:r>
        <w:rPr>
          <w:rFonts w:hint="eastAsia" w:cs="仿宋"/>
          <w:sz w:val="21"/>
          <w:szCs w:val="21"/>
          <w:highlight w:val="none"/>
          <w:u w:val="single"/>
          <w:lang w:val="en-US" w:eastAsia="zh-CN"/>
        </w:rPr>
        <w:t>吉林市丰满区第二实验小学校教师配餐服务项目</w:t>
      </w:r>
      <w:r>
        <w:rPr>
          <w:rFonts w:hint="eastAsia" w:ascii="仿宋" w:hAnsi="仿宋" w:eastAsia="仿宋" w:cs="仿宋"/>
          <w:kern w:val="2"/>
          <w:sz w:val="21"/>
          <w:szCs w:val="21"/>
          <w:highlight w:val="none"/>
          <w:lang w:val="en-US" w:eastAsia="zh-CN" w:bidi="ar"/>
        </w:rPr>
        <w:t>（以下简称项目）招标公开、公平、公正的基础上，结合项目需求，由</w:t>
      </w:r>
      <w:r>
        <w:rPr>
          <w:rFonts w:hint="eastAsia" w:cs="仿宋"/>
          <w:kern w:val="2"/>
          <w:sz w:val="21"/>
          <w:szCs w:val="21"/>
          <w:highlight w:val="none"/>
          <w:lang w:val="en-US" w:eastAsia="zh-CN" w:bidi="ar"/>
        </w:rPr>
        <w:t>中屹宬信建设集团有限公司</w:t>
      </w:r>
      <w:r>
        <w:rPr>
          <w:rFonts w:hint="eastAsia" w:ascii="仿宋" w:hAnsi="仿宋" w:eastAsia="仿宋" w:cs="仿宋"/>
          <w:kern w:val="2"/>
          <w:sz w:val="21"/>
          <w:szCs w:val="21"/>
          <w:highlight w:val="none"/>
          <w:lang w:val="en-US" w:eastAsia="zh-CN" w:bidi="ar"/>
        </w:rPr>
        <w:t>制定本评标文件，内容包括本次评标的评审过程和方法。</w:t>
      </w:r>
    </w:p>
    <w:p w14:paraId="4CA5D70B">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2.定义</w:t>
      </w:r>
    </w:p>
    <w:p w14:paraId="2B031C22">
      <w:pPr>
        <w:keepNext w:val="0"/>
        <w:keepLines w:val="0"/>
        <w:pageBreakBefore w:val="0"/>
        <w:kinsoku/>
        <w:overflowPunct/>
        <w:topLinePunct w:val="0"/>
        <w:autoSpaceDN/>
        <w:bidi w:val="0"/>
        <w:adjustRightInd/>
        <w:snapToGrid/>
        <w:spacing w:line="400" w:lineRule="exact"/>
        <w:ind w:left="0" w:leftChars="0" w:firstLine="420" w:firstLineChars="200"/>
        <w:jc w:val="left"/>
        <w:textAlignment w:val="auto"/>
        <w:rPr>
          <w:rFonts w:hint="eastAsia" w:ascii="仿宋" w:hAnsi="仿宋" w:eastAsia="仿宋" w:cs="仿宋"/>
          <w:b w:val="0"/>
          <w:bCs w:val="0"/>
          <w:sz w:val="21"/>
          <w:szCs w:val="21"/>
          <w:highlight w:val="none"/>
          <w:u w:val="none"/>
          <w:lang w:val="en-US" w:eastAsia="zh-CN"/>
        </w:rPr>
      </w:pPr>
      <w:r>
        <w:rPr>
          <w:rFonts w:hint="eastAsia" w:ascii="仿宋" w:hAnsi="仿宋" w:eastAsia="仿宋" w:cs="仿宋"/>
          <w:kern w:val="2"/>
          <w:sz w:val="21"/>
          <w:szCs w:val="21"/>
          <w:highlight w:val="none"/>
          <w:lang w:val="en-US" w:eastAsia="zh-CN" w:bidi="ar"/>
        </w:rPr>
        <w:t>采购人/业主单位：</w:t>
      </w:r>
      <w:r>
        <w:rPr>
          <w:rFonts w:hint="eastAsia" w:ascii="仿宋" w:hAnsi="仿宋" w:eastAsia="仿宋" w:cs="仿宋"/>
          <w:b w:val="0"/>
          <w:bCs w:val="0"/>
          <w:kern w:val="2"/>
          <w:sz w:val="21"/>
          <w:szCs w:val="21"/>
          <w:highlight w:val="none"/>
          <w:u w:val="none"/>
          <w:lang w:val="en-US" w:eastAsia="zh-CN" w:bidi="ar"/>
        </w:rPr>
        <w:t>吉林市丰满区第二实验小学校</w:t>
      </w:r>
      <w:r>
        <w:rPr>
          <w:rFonts w:hint="eastAsia" w:ascii="仿宋" w:hAnsi="仿宋" w:eastAsia="仿宋" w:cs="仿宋"/>
          <w:b w:val="0"/>
          <w:bCs w:val="0"/>
          <w:sz w:val="21"/>
          <w:szCs w:val="21"/>
          <w:highlight w:val="none"/>
          <w:u w:val="none"/>
          <w:lang w:val="en-US" w:eastAsia="zh-CN"/>
        </w:rPr>
        <w:t>。</w:t>
      </w:r>
    </w:p>
    <w:p w14:paraId="0BBC5505">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采购代理机构：指</w:t>
      </w:r>
      <w:r>
        <w:rPr>
          <w:rFonts w:hint="eastAsia" w:cs="仿宋"/>
          <w:kern w:val="2"/>
          <w:sz w:val="21"/>
          <w:szCs w:val="21"/>
          <w:highlight w:val="none"/>
          <w:lang w:val="en-US" w:eastAsia="zh-CN" w:bidi="ar"/>
        </w:rPr>
        <w:t>中屹宬信建设集团有限公司</w:t>
      </w:r>
      <w:r>
        <w:rPr>
          <w:rFonts w:hint="eastAsia" w:ascii="仿宋" w:hAnsi="仿宋" w:eastAsia="仿宋" w:cs="仿宋"/>
          <w:kern w:val="2"/>
          <w:sz w:val="21"/>
          <w:szCs w:val="21"/>
          <w:highlight w:val="none"/>
          <w:lang w:val="en-US" w:eastAsia="zh-CN" w:bidi="ar"/>
        </w:rPr>
        <w:t>。</w:t>
      </w:r>
    </w:p>
    <w:p w14:paraId="257548CD">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3.评标委员会组成</w:t>
      </w:r>
    </w:p>
    <w:p w14:paraId="6F7155CC">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kern w:val="2"/>
          <w:sz w:val="21"/>
          <w:szCs w:val="21"/>
          <w:highlight w:val="none"/>
        </w:rPr>
      </w:pPr>
      <w:r>
        <w:rPr>
          <w:rFonts w:hint="eastAsia" w:ascii="仿宋" w:hAnsi="仿宋" w:eastAsia="仿宋" w:cs="仿宋"/>
          <w:b w:val="0"/>
          <w:bCs/>
          <w:kern w:val="2"/>
          <w:sz w:val="21"/>
          <w:szCs w:val="21"/>
          <w:highlight w:val="none"/>
          <w:lang w:val="en-US" w:eastAsia="zh-CN" w:bidi="ar"/>
        </w:rPr>
        <w:t>全部评标过程由依法组建的评标委员会负责完成，评标委员会由五人</w:t>
      </w:r>
      <w:r>
        <w:rPr>
          <w:rFonts w:hint="eastAsia" w:ascii="仿宋" w:hAnsi="仿宋" w:eastAsia="仿宋" w:cs="仿宋"/>
          <w:kern w:val="2"/>
          <w:sz w:val="21"/>
          <w:szCs w:val="21"/>
          <w:highlight w:val="none"/>
          <w:lang w:val="en-US" w:eastAsia="zh-CN" w:bidi="ar"/>
        </w:rPr>
        <w:t>组成，其中采购人代表0-1名，其余4-5名评委均由采购人在行政监督部门的监督下从吉林市公共资源交易服务中心的专家库中随机抽取产生。</w:t>
      </w:r>
    </w:p>
    <w:p w14:paraId="374A3D6D">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kern w:val="2"/>
          <w:sz w:val="21"/>
          <w:szCs w:val="21"/>
          <w:highlight w:val="none"/>
        </w:rPr>
      </w:pPr>
      <w:r>
        <w:rPr>
          <w:rFonts w:hint="eastAsia" w:ascii="仿宋" w:hAnsi="仿宋" w:eastAsia="仿宋" w:cs="仿宋"/>
          <w:b w:val="0"/>
          <w:kern w:val="2"/>
          <w:sz w:val="21"/>
          <w:szCs w:val="21"/>
          <w:highlight w:val="none"/>
          <w:lang w:val="en-US" w:eastAsia="zh-CN" w:bidi="ar"/>
        </w:rPr>
        <w:t>二．评标须知</w:t>
      </w:r>
    </w:p>
    <w:p w14:paraId="0FC713C2">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1.关于评标方案</w:t>
      </w:r>
    </w:p>
    <w:p w14:paraId="2B773685">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（1）评标委员会的每位成员（简称评委）应认真地阅读并确认已经正确理解了评标方案；</w:t>
      </w:r>
    </w:p>
    <w:p w14:paraId="0F4920F9">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（2）评委如对评标方案有异议，应在评标开始前提出。</w:t>
      </w:r>
    </w:p>
    <w:p w14:paraId="68E4DFF7">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2.关于评标纪律</w:t>
      </w:r>
    </w:p>
    <w:p w14:paraId="0B91DD4F">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评标委员会及其成员不得有下列行为：</w:t>
      </w:r>
    </w:p>
    <w:p w14:paraId="2F6FE382">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（一）确定参与评标至评标结束前私自接触投标人；</w:t>
      </w:r>
    </w:p>
    <w:p w14:paraId="73EFDC70">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（二）接受投标人提出的与投标文件不一致的澄清或者说明；</w:t>
      </w:r>
    </w:p>
    <w:p w14:paraId="3E2D2B7A">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（三）违反评标纪律发表倾向性意见或者征询采购人的倾向性意见；</w:t>
      </w:r>
    </w:p>
    <w:p w14:paraId="137FA071">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（四）对需要专业判断的主观评审因素协商评分；</w:t>
      </w:r>
    </w:p>
    <w:p w14:paraId="6303F269">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（五）在评标过程中擅离职守，影响评标程序正常进行的；</w:t>
      </w:r>
    </w:p>
    <w:p w14:paraId="246A7061">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（六）记录、复制或者带走任何评标资料；</w:t>
      </w:r>
    </w:p>
    <w:p w14:paraId="45D42309">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（七）其他不遵守评标纪律的行为。</w:t>
      </w:r>
    </w:p>
    <w:p w14:paraId="72BCDD20">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评标委员会成员有前款第一至五项行为之一的，其评审意见无效，并不得获取评审劳务报酬和报销异地评审差旅费。</w:t>
      </w:r>
    </w:p>
    <w:p w14:paraId="70073627">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3.关于评标责任</w:t>
      </w:r>
    </w:p>
    <w:p w14:paraId="0F9FFB11">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（1）评委应在其书面评审意见上签字确认；</w:t>
      </w:r>
    </w:p>
    <w:p w14:paraId="65A03605">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（2）评委对其所提出的评审意见承担个人责任。</w:t>
      </w:r>
    </w:p>
    <w:p w14:paraId="3A5DD411">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4.关于回避</w:t>
      </w:r>
    </w:p>
    <w:p w14:paraId="5763F404">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有下列情形之一的，不得担任评标委员会成员，如事先不知情的，应在宣读投标人名单及评标纪律后主动提出回避：</w:t>
      </w:r>
    </w:p>
    <w:p w14:paraId="6CA4E679">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（1）投标人或投标人主要负责人的近亲属；</w:t>
      </w:r>
    </w:p>
    <w:p w14:paraId="3853AD96">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（2）项目主管部门或者行政监督部门的人员；</w:t>
      </w:r>
    </w:p>
    <w:p w14:paraId="08981576">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（3）与投标人有经济利益关系，可能影响对投标公正评审的；</w:t>
      </w:r>
    </w:p>
    <w:p w14:paraId="278B4BB6">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（4）曾因在招标、评标以及其他与招标投标有关活动中从事违法行为而受过行政处罚或刑事处罚的；</w:t>
      </w:r>
    </w:p>
    <w:p w14:paraId="41A98443">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（5）与投标人有其他利害关系。</w:t>
      </w:r>
    </w:p>
    <w:p w14:paraId="1959BBBC">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5.关于保密</w:t>
      </w:r>
    </w:p>
    <w:p w14:paraId="7B78AECB">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评标委员会成员和与评标活动有关的工作人员不得透露对投标文件的评审和比较、中标候选人的推荐情况以及评标有关的其他情况。</w:t>
      </w:r>
    </w:p>
    <w:p w14:paraId="12942712">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前款所称与评标活动有关的工作人员，是指评标委员会成员以外的因参与评标监督工作或者事务性工作而知悉有关评标情况的所有人员。</w:t>
      </w:r>
    </w:p>
    <w:p w14:paraId="2CF259DD">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kern w:val="2"/>
          <w:sz w:val="21"/>
          <w:szCs w:val="21"/>
          <w:highlight w:val="none"/>
        </w:rPr>
      </w:pPr>
      <w:r>
        <w:rPr>
          <w:rFonts w:hint="eastAsia" w:ascii="仿宋" w:hAnsi="仿宋" w:eastAsia="仿宋" w:cs="仿宋"/>
          <w:b w:val="0"/>
          <w:kern w:val="2"/>
          <w:sz w:val="21"/>
          <w:szCs w:val="21"/>
          <w:highlight w:val="none"/>
          <w:lang w:val="en-US" w:eastAsia="zh-CN" w:bidi="ar"/>
        </w:rPr>
        <w:t>三．评标原则</w:t>
      </w:r>
    </w:p>
    <w:p w14:paraId="36FC3574">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具体方法及流程如下：</w:t>
      </w:r>
    </w:p>
    <w:p w14:paraId="5FE1C852">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1.收标及开标</w:t>
      </w:r>
    </w:p>
    <w:p w14:paraId="343C0962">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采购代理机构按招标文件规定的时间和地点收标和开标。投标人必须派代表参加并签到。采购代理机构负责唱出每个投标人、投标总价、完成时间以及采购代理机构认为必要的、合适的其它内容。采购代理机构负责做好有关记录，记录中唱出的结果由各投标人代表、公证处公证员现场确认。</w:t>
      </w:r>
    </w:p>
    <w:p w14:paraId="06EF5655">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2.评标</w:t>
      </w:r>
    </w:p>
    <w:p w14:paraId="552DF992">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投标人为排名第一的中标候选人，由公证处公证员现场公布结果。</w:t>
      </w:r>
    </w:p>
    <w:p w14:paraId="0A8B8F8E">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firstLine="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2.1初步评审标准</w:t>
      </w:r>
    </w:p>
    <w:p w14:paraId="07AFCD51">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2.1.1 形式评审标准：见初步评审表。</w:t>
      </w:r>
    </w:p>
    <w:p w14:paraId="68E17527">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投标单位有任何一项不满足形式评审标准，视为未通过形式评审，不再进入后续评标。</w:t>
      </w:r>
    </w:p>
    <w:p w14:paraId="656FDAE7">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2.1.2 资格评审标准：见初步评审表。</w:t>
      </w:r>
    </w:p>
    <w:p w14:paraId="61791EB7">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投标单位有任何一项不满足资格评审标准，视为未通过资格评审，不再进入后续评标。</w:t>
      </w:r>
    </w:p>
    <w:p w14:paraId="16D1A378">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2.1.3 响应性评审标准：见初步评审表。</w:t>
      </w:r>
    </w:p>
    <w:p w14:paraId="702F8C78">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投标单位有任何一项不满足响应性评审标准，视为未通过响应性评审，不再进入后续评标。</w:t>
      </w:r>
    </w:p>
    <w:p w14:paraId="683667AB">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2.2 分值构成与评分标准</w:t>
      </w:r>
    </w:p>
    <w:p w14:paraId="7B5E1488">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2.2.1 分值构成</w:t>
      </w:r>
    </w:p>
    <w:p w14:paraId="0E91F3DD">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(1)商务部分：见详细评审表；</w:t>
      </w:r>
    </w:p>
    <w:p w14:paraId="404FA9FE">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(2)技术部分：见详细评审表；</w:t>
      </w:r>
    </w:p>
    <w:p w14:paraId="1921A177">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2.2.2 评标基准价计算</w:t>
      </w:r>
    </w:p>
    <w:p w14:paraId="26D16DFC">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评标基准价计算方法：见详细评审表。</w:t>
      </w:r>
    </w:p>
    <w:p w14:paraId="347517CC">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2.2.3 评分标准</w:t>
      </w:r>
    </w:p>
    <w:p w14:paraId="64E5287F">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(1)商务部分评分标准：见详细评审表；</w:t>
      </w:r>
    </w:p>
    <w:p w14:paraId="0FE43A33">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(2)技术部分评分标准：见详细评审表；</w:t>
      </w:r>
    </w:p>
    <w:p w14:paraId="504C4BAA">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lang w:val="en-US" w:eastAsia="zh-CN" w:bidi="ar"/>
        </w:rPr>
      </w:pPr>
      <w:r>
        <w:rPr>
          <w:rFonts w:hint="eastAsia" w:ascii="仿宋" w:hAnsi="仿宋" w:eastAsia="仿宋" w:cs="仿宋"/>
          <w:b w:val="0"/>
          <w:bCs/>
          <w:kern w:val="2"/>
          <w:sz w:val="21"/>
          <w:szCs w:val="21"/>
          <w:highlight w:val="none"/>
          <w:lang w:val="en-US" w:eastAsia="zh-CN" w:bidi="ar"/>
        </w:rPr>
        <w:t>2.2.4小型和微型企业产品价格扣除：</w:t>
      </w:r>
    </w:p>
    <w:p w14:paraId="26FC49EA">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（1）投标人为中小企业（含中型、小型、微型企业）（包括成员均为中型、小型或微型企业的联合体）且投标产品/服务含中型、小型或微型企业产品/服务时，报价给予K 1 的价格扣除（K 1 的取值为10%），即：评标价=中小型企业投标报价-中小型企业投标报价×K 1 ；</w:t>
      </w:r>
    </w:p>
    <w:p w14:paraId="22C13978">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（2）投标人为大中型企业和其他自然人、法人或者其他组织与小型、微型企业组成联合体，且联合体协议中约定小型、微型企业的协议合同金额占到联合体协议合同总金额30%以上的，对联合体报价给予K 2 的价格扣除（K 2 的取值为2%），即：评标价=联合体投标报价-联合体投标报价×K 2 ；</w:t>
      </w:r>
    </w:p>
    <w:p w14:paraId="4B5648AB">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 xml:space="preserve">（3）小型、微型企业提供中型企业制造的货物的，视同为中型企业； </w:t>
      </w:r>
    </w:p>
    <w:p w14:paraId="297AFA84">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4）本条款所称中小企业（中型、小型或微型企业）应当符合以下条件：符合《工业和信息化部、国家统计局、国家发展改革委员会、财政部关于印发中小企业划型标准规定的通知》（工信部联企业【2011】300号）规定的对中小企业的划分标准，并且提供本企业承担的服务；</w:t>
      </w:r>
    </w:p>
    <w:p w14:paraId="200D7492">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（5）参加政府采购活动的中小企业应当提供《中小企业声明函》（见投标文件格式）；</w:t>
      </w:r>
    </w:p>
    <w:p w14:paraId="1AE992A5">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（6）组成联合体的大中型企业和其他自然人、法人或者其他组织，与联合体中的小型、微型企业之间不得存在投资关系；</w:t>
      </w:r>
    </w:p>
    <w:p w14:paraId="36213EDA">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（7）本条款中（1）和（2）两种价格扣除规则不得同时适用。</w:t>
      </w:r>
    </w:p>
    <w:p w14:paraId="20819FB4">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420" w:leftChars="0" w:right="0" w:firstLine="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2.2.5节能、环保和自主创新产品：</w:t>
      </w:r>
    </w:p>
    <w:p w14:paraId="46BB9480">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l、对于投标人投标纳入财政部、国家发改委发布的《节能产品政府采购清单》的产品：（1）对其投标价格给予 3％的价格扣除，采购项目或者分包中既包含节能产品也包含非节能产品的，只对纳入《节能产品政府采购清单》的产品按其在总报价中所占的比例给予价格扣除。（2）对于技术评分项目，给予技术评分得分的 3％的加分。</w:t>
      </w:r>
    </w:p>
    <w:p w14:paraId="4760BF8E">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2、对于投标人投标纳入财政部、国家环保总局发布的《环境标志产品政府采购清单》的产品：（1）对其投标价格给予 3％的价格扣除，采购项目或者分包中既包含环境标志产品也包含非环境标志产品的，只对纳入《环境标志产品政府采购清单》的产品按其在总报价中所占的比例给予价格扣除。（2）对于技术评分项目，给予技术评分得分的 3％的加分。</w:t>
      </w:r>
    </w:p>
    <w:p w14:paraId="64E384DB">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对于投标人投标纳入财政部公布的《政府采购自主创新产品目录》的产品：按照《财政部关于印发（自主创新产品政府采购评审办法）的通知》（财库[2007]30号）文件规定执行。采购项目或者分包中既包含自主创新产品也包含非自主创新产品的，只对纳入《政府采购自主创新产品目录》的产品按上述文件的规定执行：对技术和价格项目按下列规则给予一定幅度的加分：（一）在价格评标项中，可以对自主创新产品给予价格评标总分值的 4％-8％幅度不等的加分。（二）在技术评标项中，可以对自主创新产品给予技术评标总分值的 4％-8％幅度不等的加分。</w:t>
      </w:r>
    </w:p>
    <w:p w14:paraId="068019AE">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4、投标产品同时纳入《环境标志产品政府采购清单》、《节能产品政府采购清单》和《政府采购自主创新产品目录》的，将上述规定的价格扣除比例叠加后计算价格扣除，并将上述规定的技术分加分比例叠加后计算技术分加分。</w:t>
      </w:r>
    </w:p>
    <w:p w14:paraId="09AACA6C">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firstLine="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3.评标程序</w:t>
      </w:r>
    </w:p>
    <w:p w14:paraId="25AA9C57">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firstLine="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3.1初步评审</w:t>
      </w:r>
    </w:p>
    <w:p w14:paraId="792F508A">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firstLine="42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3.1.1评标委员会依据本章第2.1款规定的标准对投标文件进行初步评审。有一项不符合评审标准的，作否决投标处理，不再进行下一步详细评审。</w:t>
      </w:r>
    </w:p>
    <w:p w14:paraId="3C5CB72C">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firstLine="42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3.1.2 投标人有以下情形之一的，其投标将被否决：</w:t>
      </w:r>
    </w:p>
    <w:p w14:paraId="1F6C6FDF">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(1)第二章“投标人须知”前附表及正文规定的任何一种投标无效、废标、否决投标的情况；</w:t>
      </w:r>
    </w:p>
    <w:p w14:paraId="1B1C6026">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(2)串通投标或弄虚作假或有其他违法行为的：</w:t>
      </w:r>
    </w:p>
    <w:p w14:paraId="2847C4D1">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(3)不按评标委员会要求澄清、说明或补正的。</w:t>
      </w:r>
    </w:p>
    <w:p w14:paraId="26FCF44B">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firstLine="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3.2 详细评审</w:t>
      </w:r>
    </w:p>
    <w:p w14:paraId="700ECB70">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3.2.1评标委员会按本章第2.2款规定的量化因素和分值进行打分，并计算出综合评估得分。</w:t>
      </w:r>
    </w:p>
    <w:p w14:paraId="164B360B">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(1)按本章第2.2.3(1)目规定的评审因素和分值对商务部分计算出得分A；</w:t>
      </w:r>
    </w:p>
    <w:p w14:paraId="2DAE708E">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(2)按本章第2.2.3(2)目规定的评审因素和分值对技术部分计算出得分B；</w:t>
      </w:r>
    </w:p>
    <w:p w14:paraId="57993FD3">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3.2.2 评分分值计算保留小数点后两位，小数点后第三位“四舍五入”。</w:t>
      </w:r>
    </w:p>
    <w:p w14:paraId="43F6DE5D">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3.2.3 投标人得分=A+B。</w:t>
      </w:r>
    </w:p>
    <w:p w14:paraId="34A9398B">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3.2.4 评标委员会发现投标人的报价明显低于其他通过符合性审查投标人的报价，或者在设有标底时明显低于标底，使得其投标报价可能低于其个别成本的，可能影响产品质量或者不能诚信履约的，应当要求其在评标现场合理的时间内提供书面说明，必要时提交相关证明材料；投标人不能证明其报价合理性的，评标委员会应当将其作为无效投标处理。以低于成本报价竞标，其投标将被否决。</w:t>
      </w:r>
    </w:p>
    <w:p w14:paraId="76C727FB">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firstLine="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3.3 投标文件的澄清和补正</w:t>
      </w:r>
    </w:p>
    <w:p w14:paraId="51C4968E">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3.3.1 在评标过程中，评标委员会可以书面形式要求投标人对所提交投标文件中不明确的内容进行书面澄清或说明，或者对细微偏差进行补正。评标委员会不接受投标人主动提出的澄清、说明或补正。</w:t>
      </w:r>
    </w:p>
    <w:p w14:paraId="42484F7B">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3.3.2 澄清、说明和补正不得改变投标文件的实质性内容(算术性错误修正的除外)。投标人的书面澄清、说明和补正属于投标文件的组成部分。</w:t>
      </w:r>
    </w:p>
    <w:p w14:paraId="33F862B3">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3.3.3 评标委员会对投标人提交的澄清、说明或补正有疑问的，可以要求投标人进一步澄清、说明或补正，直至满足评标委员会的要求。</w:t>
      </w:r>
    </w:p>
    <w:p w14:paraId="0EDF262D">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3.3.4 评标委员会成员对需要共同认定的事项存在争议的，应当按照少数服从多数的原则作出结论。持不同意见的评标委员会成员应当在评标报告上签署不同意见及理由，否则视为同意评标报告。</w:t>
      </w:r>
    </w:p>
    <w:p w14:paraId="249A5FFA">
      <w:pPr>
        <w:keepNext w:val="0"/>
        <w:keepLines w:val="0"/>
        <w:pageBreakBefore w:val="0"/>
        <w:widowControl w:val="0"/>
        <w:suppressLineNumbers w:val="0"/>
        <w:kinsoku/>
        <w:wordWrap w:val="0"/>
        <w:overflowPunct/>
        <w:topLinePunct w:val="0"/>
        <w:autoSpaceDE w:val="0"/>
        <w:autoSpaceDN/>
        <w:bidi w:val="0"/>
        <w:adjustRightInd/>
        <w:snapToGrid/>
        <w:spacing w:before="0" w:beforeLines="50" w:beforeAutospacing="0" w:after="0" w:afterLines="50" w:afterAutospacing="0" w:line="400" w:lineRule="exact"/>
        <w:ind w:left="0" w:right="0" w:firstLine="0" w:firstLineChars="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3.4 评标结果</w:t>
      </w:r>
    </w:p>
    <w:p w14:paraId="6278AD03">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3.4.1 除第二章“投标人须知”前附表授权直接确定中标人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中标人。</w:t>
      </w:r>
    </w:p>
    <w:p w14:paraId="4318FC4A">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3.4.2 评标委员会完成评标后，应当向采购人提交书面评标报告。</w:t>
      </w:r>
    </w:p>
    <w:p w14:paraId="39D8B7E3">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本评标文件包括以下评标过程中所需文件附表：</w:t>
      </w:r>
    </w:p>
    <w:p w14:paraId="63D3F364">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leftChars="0" w:right="0" w:firstLine="0" w:firstLineChars="0"/>
        <w:jc w:val="both"/>
        <w:textAlignment w:val="auto"/>
        <w:outlineLvl w:val="1"/>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附表1 初步评审表</w:t>
      </w:r>
    </w:p>
    <w:p w14:paraId="02D7458C">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lang w:val="en-US" w:eastAsia="zh-CN" w:bidi="ar"/>
        </w:rPr>
        <w:t xml:space="preserve">项目名称：吉林市丰满区第二实验小学校教师配餐服务项目  </w:t>
      </w:r>
    </w:p>
    <w:p w14:paraId="00F341BE">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kern w:val="2"/>
          <w:sz w:val="24"/>
          <w:szCs w:val="24"/>
          <w:highlight w:val="none"/>
          <w:lang w:val="en-US" w:eastAsia="zh-CN" w:bidi="ar"/>
        </w:rPr>
      </w:pPr>
      <w:r>
        <w:rPr>
          <w:rFonts w:hint="eastAsia" w:ascii="仿宋" w:hAnsi="仿宋" w:eastAsia="仿宋" w:cs="仿宋"/>
          <w:b w:val="0"/>
          <w:bCs/>
          <w:kern w:val="2"/>
          <w:sz w:val="24"/>
          <w:szCs w:val="24"/>
          <w:highlight w:val="none"/>
          <w:lang w:val="en-US" w:eastAsia="zh-CN" w:bidi="ar"/>
        </w:rPr>
        <w:t>项目编号：</w:t>
      </w:r>
      <w:r>
        <w:rPr>
          <w:rFonts w:hint="eastAsia" w:cs="仿宋"/>
          <w:b w:val="0"/>
          <w:bCs/>
          <w:kern w:val="2"/>
          <w:sz w:val="24"/>
          <w:szCs w:val="24"/>
          <w:highlight w:val="none"/>
          <w:lang w:val="en-US" w:eastAsia="zh-CN" w:bidi="ar"/>
        </w:rPr>
        <w:t>采购计划-[2024]-00084号-ZYCXZB027</w:t>
      </w:r>
      <w:r>
        <w:rPr>
          <w:rFonts w:hint="eastAsia" w:ascii="仿宋" w:hAnsi="仿宋" w:eastAsia="仿宋" w:cs="仿宋"/>
          <w:b w:val="0"/>
          <w:bCs/>
          <w:kern w:val="2"/>
          <w:sz w:val="24"/>
          <w:szCs w:val="24"/>
          <w:highlight w:val="none"/>
          <w:lang w:val="en-US" w:eastAsia="zh-CN" w:bidi="ar"/>
        </w:rPr>
        <w:t xml:space="preserve"> </w:t>
      </w:r>
    </w:p>
    <w:p w14:paraId="2F80DC2D">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仿宋" w:hAnsi="仿宋" w:eastAsia="仿宋" w:cs="仿宋"/>
          <w:b w:val="0"/>
          <w:bCs/>
          <w:kern w:val="2"/>
          <w:sz w:val="24"/>
          <w:szCs w:val="24"/>
          <w:highlight w:val="none"/>
          <w:lang w:val="en-US" w:eastAsia="zh-CN" w:bidi="ar"/>
        </w:rPr>
      </w:pPr>
      <w:r>
        <w:rPr>
          <w:rFonts w:hint="eastAsia" w:ascii="仿宋" w:hAnsi="仿宋" w:eastAsia="仿宋" w:cs="仿宋"/>
          <w:b w:val="0"/>
          <w:bCs/>
          <w:kern w:val="2"/>
          <w:sz w:val="24"/>
          <w:szCs w:val="24"/>
          <w:highlight w:val="none"/>
          <w:lang w:val="en-US" w:eastAsia="zh-CN" w:bidi="ar"/>
        </w:rPr>
        <w:t>开标日期：</w:t>
      </w:r>
      <w:bookmarkStart w:id="106" w:name="_GoBack"/>
      <w:bookmarkEnd w:id="106"/>
      <w:r>
        <w:rPr>
          <w:rFonts w:hint="eastAsia" w:cs="仿宋"/>
          <w:b w:val="0"/>
          <w:bCs/>
          <w:kern w:val="2"/>
          <w:sz w:val="24"/>
          <w:szCs w:val="24"/>
          <w:highlight w:val="none"/>
          <w:lang w:val="en-US" w:eastAsia="zh-CN" w:bidi="ar"/>
        </w:rPr>
        <w:t>2024年08月28日</w:t>
      </w:r>
    </w:p>
    <w:tbl>
      <w:tblPr>
        <w:tblStyle w:val="15"/>
        <w:tblW w:w="831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4"/>
        <w:gridCol w:w="768"/>
        <w:gridCol w:w="1817"/>
        <w:gridCol w:w="5082"/>
      </w:tblGrid>
      <w:tr w14:paraId="692C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412" w:type="dxa"/>
            <w:gridSpan w:val="2"/>
            <w:noWrap w:val="0"/>
            <w:vAlign w:val="center"/>
          </w:tcPr>
          <w:p w14:paraId="0B7A2E4D">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条款号</w:t>
            </w:r>
          </w:p>
        </w:tc>
        <w:tc>
          <w:tcPr>
            <w:tcW w:w="1817" w:type="dxa"/>
            <w:noWrap w:val="0"/>
            <w:vAlign w:val="center"/>
          </w:tcPr>
          <w:p w14:paraId="6DF0B474">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5082" w:type="dxa"/>
            <w:noWrap w:val="0"/>
            <w:vAlign w:val="center"/>
          </w:tcPr>
          <w:p w14:paraId="680B20EF">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14:paraId="1EA51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restart"/>
            <w:noWrap w:val="0"/>
            <w:vAlign w:val="center"/>
          </w:tcPr>
          <w:p w14:paraId="41BBD05D">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w:t>
            </w:r>
          </w:p>
        </w:tc>
        <w:tc>
          <w:tcPr>
            <w:tcW w:w="768" w:type="dxa"/>
            <w:vMerge w:val="restart"/>
            <w:noWrap w:val="0"/>
            <w:vAlign w:val="center"/>
          </w:tcPr>
          <w:p w14:paraId="78E8E6AC">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形式评审标准</w:t>
            </w:r>
          </w:p>
        </w:tc>
        <w:tc>
          <w:tcPr>
            <w:tcW w:w="1817" w:type="dxa"/>
            <w:noWrap w:val="0"/>
            <w:vAlign w:val="center"/>
          </w:tcPr>
          <w:p w14:paraId="59E5DBDB">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5082" w:type="dxa"/>
            <w:noWrap w:val="0"/>
            <w:vAlign w:val="center"/>
          </w:tcPr>
          <w:p w14:paraId="4F729118">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与营业执照或事业单位法人证书一致。</w:t>
            </w:r>
          </w:p>
        </w:tc>
      </w:tr>
      <w:tr w14:paraId="68129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tcBorders>
              <w:top w:val="nil"/>
            </w:tcBorders>
            <w:noWrap w:val="0"/>
            <w:vAlign w:val="center"/>
          </w:tcPr>
          <w:p w14:paraId="7B1AE1B5">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768" w:type="dxa"/>
            <w:vMerge w:val="continue"/>
            <w:tcBorders>
              <w:top w:val="nil"/>
            </w:tcBorders>
            <w:noWrap w:val="0"/>
            <w:vAlign w:val="center"/>
          </w:tcPr>
          <w:p w14:paraId="61EDF568">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817" w:type="dxa"/>
            <w:noWrap w:val="0"/>
            <w:vAlign w:val="center"/>
          </w:tcPr>
          <w:p w14:paraId="59BA6D7E">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投标函签字盖章</w:t>
            </w:r>
          </w:p>
        </w:tc>
        <w:tc>
          <w:tcPr>
            <w:tcW w:w="5082" w:type="dxa"/>
            <w:noWrap w:val="0"/>
            <w:vAlign w:val="center"/>
          </w:tcPr>
          <w:p w14:paraId="2E1D94CF">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有投标单位印章并经法定代表人或其委托代理人签字或盖章。</w:t>
            </w:r>
          </w:p>
        </w:tc>
      </w:tr>
      <w:tr w14:paraId="26CB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tcBorders>
              <w:top w:val="nil"/>
            </w:tcBorders>
            <w:noWrap w:val="0"/>
            <w:vAlign w:val="center"/>
          </w:tcPr>
          <w:p w14:paraId="26A379E8">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768" w:type="dxa"/>
            <w:vMerge w:val="continue"/>
            <w:tcBorders>
              <w:top w:val="nil"/>
            </w:tcBorders>
            <w:noWrap w:val="0"/>
            <w:vAlign w:val="center"/>
          </w:tcPr>
          <w:p w14:paraId="28574718">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817" w:type="dxa"/>
            <w:noWrap w:val="0"/>
            <w:vAlign w:val="center"/>
          </w:tcPr>
          <w:p w14:paraId="778F09C2">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投标文件格式</w:t>
            </w:r>
          </w:p>
        </w:tc>
        <w:tc>
          <w:tcPr>
            <w:tcW w:w="5082" w:type="dxa"/>
            <w:noWrap w:val="0"/>
            <w:vAlign w:val="center"/>
          </w:tcPr>
          <w:p w14:paraId="495ED562">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w:t>
            </w:r>
            <w:r>
              <w:rPr>
                <w:rFonts w:hint="eastAsia" w:ascii="仿宋" w:hAnsi="仿宋" w:eastAsia="仿宋" w:cs="仿宋"/>
                <w:color w:val="auto"/>
                <w:sz w:val="21"/>
                <w:szCs w:val="21"/>
                <w:highlight w:val="none"/>
                <w:lang w:eastAsia="zh-CN"/>
              </w:rPr>
              <w:t>第六章“投标文件格式”</w:t>
            </w:r>
            <w:r>
              <w:rPr>
                <w:rFonts w:hint="eastAsia" w:ascii="仿宋" w:hAnsi="仿宋" w:eastAsia="仿宋" w:cs="仿宋"/>
                <w:color w:val="auto"/>
                <w:sz w:val="21"/>
                <w:szCs w:val="21"/>
                <w:highlight w:val="none"/>
              </w:rPr>
              <w:t>的要求，按招标文件的要求盖章、签署</w:t>
            </w:r>
          </w:p>
        </w:tc>
      </w:tr>
      <w:tr w14:paraId="1337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restart"/>
            <w:noWrap w:val="0"/>
            <w:vAlign w:val="center"/>
          </w:tcPr>
          <w:p w14:paraId="77CA3486">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0035D3F0">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4DED899E">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0DB7B6E9">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45F31F87">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2898957F">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4DBB3DFC">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59A10DAC">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21A15519">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1A3ED479">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0672844B">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2672AB79">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41A6D8F3">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277A387E">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4037E174">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p w14:paraId="20509C8C">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w:t>
            </w:r>
          </w:p>
        </w:tc>
        <w:tc>
          <w:tcPr>
            <w:tcW w:w="768" w:type="dxa"/>
            <w:vMerge w:val="restart"/>
            <w:noWrap w:val="0"/>
            <w:vAlign w:val="center"/>
          </w:tcPr>
          <w:p w14:paraId="69B86CD4">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资格评审标准</w:t>
            </w:r>
          </w:p>
        </w:tc>
        <w:tc>
          <w:tcPr>
            <w:tcW w:w="1817" w:type="dxa"/>
            <w:noWrap w:val="0"/>
            <w:vAlign w:val="center"/>
          </w:tcPr>
          <w:p w14:paraId="222ECC9C">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w:t>
            </w:r>
          </w:p>
        </w:tc>
        <w:tc>
          <w:tcPr>
            <w:tcW w:w="5082" w:type="dxa"/>
            <w:noWrap w:val="0"/>
            <w:vAlign w:val="center"/>
          </w:tcPr>
          <w:p w14:paraId="318E6D6A">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具备有效的营业执照或事业单位法人证书副本原件或复印件，标书内复印件加盖公章。</w:t>
            </w:r>
          </w:p>
        </w:tc>
      </w:tr>
      <w:tr w14:paraId="2628D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noWrap w:val="0"/>
            <w:vAlign w:val="center"/>
          </w:tcPr>
          <w:p w14:paraId="1D4DC218">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768" w:type="dxa"/>
            <w:vMerge w:val="continue"/>
            <w:noWrap w:val="0"/>
            <w:vAlign w:val="center"/>
          </w:tcPr>
          <w:p w14:paraId="722A5E45">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1817" w:type="dxa"/>
            <w:noWrap w:val="0"/>
            <w:vAlign w:val="center"/>
          </w:tcPr>
          <w:p w14:paraId="6FE2BDDD">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食品经营许可证</w:t>
            </w:r>
          </w:p>
        </w:tc>
        <w:tc>
          <w:tcPr>
            <w:tcW w:w="5082" w:type="dxa"/>
            <w:noWrap w:val="0"/>
            <w:vAlign w:val="center"/>
          </w:tcPr>
          <w:p w14:paraId="1E2F6DF0">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供应商需具备食品药品行政监督部核发的《食品经营许可证》，食品经营许可证主体业态包含餐饮服务经营者“集体用餐配送”</w:t>
            </w:r>
            <w:r>
              <w:rPr>
                <w:rFonts w:hint="eastAsia" w:ascii="仿宋" w:hAnsi="仿宋" w:eastAsia="仿宋" w:cs="仿宋"/>
                <w:color w:val="auto"/>
                <w:sz w:val="21"/>
                <w:szCs w:val="21"/>
                <w:highlight w:val="none"/>
                <w:lang w:val="en-US" w:eastAsia="zh-CN"/>
              </w:rPr>
              <w:t>等</w:t>
            </w:r>
          </w:p>
        </w:tc>
      </w:tr>
      <w:tr w14:paraId="28F8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644" w:type="dxa"/>
            <w:vMerge w:val="continue"/>
            <w:tcBorders>
              <w:top w:val="nil"/>
            </w:tcBorders>
            <w:noWrap w:val="0"/>
            <w:vAlign w:val="center"/>
          </w:tcPr>
          <w:p w14:paraId="13CBDC1E">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768" w:type="dxa"/>
            <w:vMerge w:val="continue"/>
            <w:tcBorders>
              <w:top w:val="nil"/>
            </w:tcBorders>
            <w:noWrap w:val="0"/>
            <w:vAlign w:val="center"/>
          </w:tcPr>
          <w:p w14:paraId="2D9D472F">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817" w:type="dxa"/>
            <w:noWrap w:val="0"/>
            <w:vAlign w:val="center"/>
          </w:tcPr>
          <w:p w14:paraId="4AC7D813">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食品安全风险量化</w:t>
            </w:r>
          </w:p>
        </w:tc>
        <w:tc>
          <w:tcPr>
            <w:tcW w:w="5082" w:type="dxa"/>
            <w:noWrap w:val="0"/>
            <w:vAlign w:val="center"/>
          </w:tcPr>
          <w:p w14:paraId="3439B274">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lang w:val="en-US" w:eastAsia="zh-CN"/>
              </w:rPr>
              <w:t>在</w:t>
            </w:r>
            <w:r>
              <w:rPr>
                <w:rFonts w:hint="eastAsia" w:cs="仿宋"/>
                <w:color w:val="auto"/>
                <w:sz w:val="21"/>
                <w:szCs w:val="21"/>
                <w:highlight w:val="none"/>
                <w:lang w:val="en-US" w:eastAsia="zh-CN"/>
              </w:rPr>
              <w:t>最新评订周期</w:t>
            </w:r>
            <w:r>
              <w:rPr>
                <w:rFonts w:hint="eastAsia" w:ascii="仿宋" w:hAnsi="仿宋" w:eastAsia="仿宋" w:cs="仿宋"/>
                <w:color w:val="auto"/>
                <w:sz w:val="21"/>
                <w:szCs w:val="21"/>
                <w:highlight w:val="none"/>
                <w:lang w:val="en-US" w:eastAsia="zh-CN"/>
              </w:rPr>
              <w:t>餐饮服务食品安全风险量化分级管理中获得A级</w:t>
            </w:r>
          </w:p>
        </w:tc>
      </w:tr>
      <w:tr w14:paraId="39E43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tcBorders>
              <w:top w:val="nil"/>
            </w:tcBorders>
            <w:noWrap w:val="0"/>
            <w:vAlign w:val="center"/>
          </w:tcPr>
          <w:p w14:paraId="405DEEE3">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768" w:type="dxa"/>
            <w:vMerge w:val="continue"/>
            <w:tcBorders>
              <w:top w:val="nil"/>
            </w:tcBorders>
            <w:noWrap w:val="0"/>
            <w:vAlign w:val="center"/>
          </w:tcPr>
          <w:p w14:paraId="77834F6E">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817" w:type="dxa"/>
            <w:noWrap w:val="0"/>
            <w:vAlign w:val="center"/>
          </w:tcPr>
          <w:p w14:paraId="1D6488FF">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食品专用运输车辆</w:t>
            </w:r>
          </w:p>
        </w:tc>
        <w:tc>
          <w:tcPr>
            <w:tcW w:w="5082" w:type="dxa"/>
            <w:noWrap w:val="0"/>
            <w:vAlign w:val="center"/>
          </w:tcPr>
          <w:p w14:paraId="7DEA6ABB">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配备符合配送需要的封闭式食品专用运输车辆</w:t>
            </w:r>
          </w:p>
        </w:tc>
      </w:tr>
      <w:tr w14:paraId="2C6C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tcBorders>
              <w:top w:val="nil"/>
            </w:tcBorders>
            <w:noWrap w:val="0"/>
            <w:vAlign w:val="center"/>
          </w:tcPr>
          <w:p w14:paraId="3A4933CA">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768" w:type="dxa"/>
            <w:vMerge w:val="continue"/>
            <w:tcBorders>
              <w:top w:val="nil"/>
            </w:tcBorders>
            <w:noWrap w:val="0"/>
            <w:vAlign w:val="center"/>
          </w:tcPr>
          <w:p w14:paraId="4EE9FFAE">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817" w:type="dxa"/>
            <w:noWrap w:val="0"/>
            <w:vAlign w:val="center"/>
          </w:tcPr>
          <w:p w14:paraId="578E9DE4">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财务状况</w:t>
            </w:r>
          </w:p>
        </w:tc>
        <w:tc>
          <w:tcPr>
            <w:tcW w:w="5082" w:type="dxa"/>
            <w:noWrap w:val="0"/>
            <w:vAlign w:val="center"/>
          </w:tcPr>
          <w:p w14:paraId="599EE0B3">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提供近三年（20</w:t>
            </w:r>
            <w:r>
              <w:rPr>
                <w:rFonts w:hint="eastAsia" w:ascii="仿宋" w:hAnsi="仿宋" w:eastAsia="仿宋" w:cs="仿宋"/>
                <w:color w:val="auto"/>
                <w:sz w:val="21"/>
                <w:szCs w:val="21"/>
                <w:highlight w:val="none"/>
                <w:lang w:val="en-US" w:eastAsia="zh-CN"/>
              </w:rPr>
              <w:t>21</w:t>
            </w:r>
            <w:r>
              <w:rPr>
                <w:rFonts w:hint="eastAsia" w:ascii="仿宋" w:hAnsi="仿宋" w:eastAsia="仿宋" w:cs="仿宋"/>
                <w:color w:val="auto"/>
                <w:sz w:val="21"/>
                <w:szCs w:val="21"/>
                <w:highlight w:val="none"/>
              </w:rPr>
              <w:t>年至20</w:t>
            </w:r>
            <w:r>
              <w:rPr>
                <w:rFonts w:hint="eastAsia" w:ascii="仿宋" w:hAnsi="仿宋" w:eastAsia="仿宋" w:cs="仿宋"/>
                <w:color w:val="auto"/>
                <w:sz w:val="21"/>
                <w:szCs w:val="21"/>
                <w:highlight w:val="none"/>
                <w:lang w:val="en-US" w:eastAsia="zh-CN"/>
              </w:rPr>
              <w:t>23</w:t>
            </w:r>
            <w:r>
              <w:rPr>
                <w:rFonts w:hint="eastAsia" w:ascii="仿宋" w:hAnsi="仿宋" w:eastAsia="仿宋" w:cs="仿宋"/>
                <w:color w:val="auto"/>
                <w:sz w:val="21"/>
                <w:szCs w:val="21"/>
                <w:highlight w:val="none"/>
              </w:rPr>
              <w:t>年）公司财务审计报告或财务报表原件或复印件，新成立企业需提供当年银行出具的公司资信证明原件。标书内复印件加盖公章。（投标人的成立时间少于规定年份的，应提供成立以来至202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年的财务报表或财务审计报告；20</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年新成立企业需提供当年银行出具的公司资信证明）</w:t>
            </w:r>
          </w:p>
        </w:tc>
      </w:tr>
      <w:tr w14:paraId="22B79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tcBorders>
              <w:top w:val="nil"/>
            </w:tcBorders>
            <w:noWrap w:val="0"/>
            <w:vAlign w:val="center"/>
          </w:tcPr>
          <w:p w14:paraId="34EEA138">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768" w:type="dxa"/>
            <w:vMerge w:val="continue"/>
            <w:tcBorders>
              <w:top w:val="nil"/>
            </w:tcBorders>
            <w:noWrap w:val="0"/>
            <w:vAlign w:val="center"/>
          </w:tcPr>
          <w:p w14:paraId="7FAB5066">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817" w:type="dxa"/>
            <w:noWrap w:val="0"/>
            <w:vAlign w:val="center"/>
          </w:tcPr>
          <w:p w14:paraId="7094724C">
            <w:pPr>
              <w:keepNext w:val="0"/>
              <w:keepLines w:val="0"/>
              <w:widowControl/>
              <w:suppressLineNumbers w:val="0"/>
              <w:bidi w:val="0"/>
              <w:spacing w:before="0" w:beforeAutospacing="0" w:after="0" w:afterAutospacing="0" w:line="240" w:lineRule="auto"/>
              <w:ind w:left="0" w:leftChars="0" w:right="0" w:firstLine="0" w:firstLineChars="0"/>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采购政策</w:t>
            </w:r>
          </w:p>
        </w:tc>
        <w:tc>
          <w:tcPr>
            <w:tcW w:w="5082" w:type="dxa"/>
            <w:noWrap w:val="0"/>
            <w:vAlign w:val="center"/>
          </w:tcPr>
          <w:p w14:paraId="587FDA2E">
            <w:pPr>
              <w:keepNext w:val="0"/>
              <w:keepLines w:val="0"/>
              <w:widowControl/>
              <w:suppressLineNumbers w:val="0"/>
              <w:bidi w:val="0"/>
              <w:spacing w:before="0" w:beforeAutospacing="0" w:after="0" w:afterAutospacing="0" w:line="240" w:lineRule="auto"/>
              <w:ind w:left="0" w:leftChars="0" w:right="0" w:firstLine="0" w:firstLineChars="0"/>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本项目专门面相中小企业，须提供中小企业声明函</w:t>
            </w:r>
          </w:p>
        </w:tc>
      </w:tr>
      <w:tr w14:paraId="5C50E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tcBorders>
              <w:top w:val="nil"/>
            </w:tcBorders>
            <w:noWrap w:val="0"/>
            <w:vAlign w:val="center"/>
          </w:tcPr>
          <w:p w14:paraId="1BDAD2D2">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768" w:type="dxa"/>
            <w:vMerge w:val="continue"/>
            <w:tcBorders>
              <w:top w:val="nil"/>
            </w:tcBorders>
            <w:noWrap w:val="0"/>
            <w:vAlign w:val="center"/>
          </w:tcPr>
          <w:p w14:paraId="3AE1AC8E">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817" w:type="dxa"/>
            <w:noWrap w:val="0"/>
            <w:vAlign w:val="center"/>
          </w:tcPr>
          <w:p w14:paraId="2A0A0AEC">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000000"/>
                <w:sz w:val="21"/>
                <w:szCs w:val="21"/>
                <w:highlight w:val="none"/>
              </w:rPr>
              <w:t>信誉要求</w:t>
            </w:r>
          </w:p>
        </w:tc>
        <w:tc>
          <w:tcPr>
            <w:tcW w:w="5082" w:type="dxa"/>
            <w:noWrap w:val="0"/>
            <w:vAlign w:val="center"/>
          </w:tcPr>
          <w:p w14:paraId="2BA19A0D">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1.拒绝列入政府不良行为记录期间的企业或个人参加投标。</w:t>
            </w:r>
          </w:p>
          <w:p w14:paraId="34664C69">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（提供法定代表人（或授权代表）签字并加盖公章的承诺书。）</w:t>
            </w:r>
          </w:p>
          <w:p w14:paraId="6F0F3FCE">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供应商不能列入失信被执行人、重大税收违法案件当事人名单、政府采购严重违法失信行为记录名单（详见财库【2016】125号；</w:t>
            </w:r>
          </w:p>
          <w:p w14:paraId="30B6E6F6">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（提供信用中国”网站（www.creditchina.gov.cn）和中国政府采购网（www.ccgp.gov.cn）渠道查询相关信用记录的网站截图加盖公章。）</w:t>
            </w:r>
          </w:p>
        </w:tc>
      </w:tr>
      <w:tr w14:paraId="68FB5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644" w:type="dxa"/>
            <w:vMerge w:val="restart"/>
            <w:noWrap w:val="0"/>
            <w:vAlign w:val="center"/>
          </w:tcPr>
          <w:p w14:paraId="73A87546">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w:t>
            </w:r>
          </w:p>
        </w:tc>
        <w:tc>
          <w:tcPr>
            <w:tcW w:w="768" w:type="dxa"/>
            <w:vMerge w:val="restart"/>
            <w:noWrap w:val="0"/>
            <w:vAlign w:val="center"/>
          </w:tcPr>
          <w:p w14:paraId="570B2B23">
            <w:pPr>
              <w:keepNext w:val="0"/>
              <w:keepLines w:val="0"/>
              <w:widowControl/>
              <w:suppressLineNumbers w:val="0"/>
              <w:bidi w:val="0"/>
              <w:spacing w:before="0" w:beforeAutospacing="0" w:after="0" w:afterAutospacing="0" w:line="240" w:lineRule="auto"/>
              <w:ind w:left="0" w:leftChars="0" w:right="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响应性评审标准</w:t>
            </w:r>
          </w:p>
        </w:tc>
        <w:tc>
          <w:tcPr>
            <w:tcW w:w="1817" w:type="dxa"/>
            <w:noWrap w:val="0"/>
            <w:vAlign w:val="center"/>
          </w:tcPr>
          <w:p w14:paraId="38C9DC96">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服务期限</w:t>
            </w:r>
          </w:p>
        </w:tc>
        <w:tc>
          <w:tcPr>
            <w:tcW w:w="5082" w:type="dxa"/>
            <w:noWrap w:val="0"/>
            <w:vAlign w:val="center"/>
          </w:tcPr>
          <w:p w14:paraId="5FDD0E30">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满足采购人的服务期限</w:t>
            </w:r>
          </w:p>
        </w:tc>
      </w:tr>
      <w:tr w14:paraId="471C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noWrap w:val="0"/>
            <w:vAlign w:val="center"/>
          </w:tcPr>
          <w:p w14:paraId="263C2036">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768" w:type="dxa"/>
            <w:vMerge w:val="continue"/>
            <w:noWrap w:val="0"/>
            <w:vAlign w:val="center"/>
          </w:tcPr>
          <w:p w14:paraId="651F1BB8">
            <w:pPr>
              <w:keepNext w:val="0"/>
              <w:keepLines w:val="0"/>
              <w:widowControl/>
              <w:suppressLineNumbers w:val="0"/>
              <w:bidi w:val="0"/>
              <w:spacing w:before="0" w:beforeAutospacing="0" w:after="0" w:afterAutospacing="0" w:line="240" w:lineRule="auto"/>
              <w:ind w:left="0" w:leftChars="0" w:right="0" w:firstLine="0" w:firstLineChars="0"/>
              <w:jc w:val="left"/>
              <w:rPr>
                <w:rFonts w:hint="eastAsia" w:ascii="仿宋" w:hAnsi="仿宋" w:eastAsia="仿宋" w:cs="仿宋"/>
                <w:color w:val="auto"/>
                <w:sz w:val="21"/>
                <w:szCs w:val="21"/>
                <w:highlight w:val="none"/>
              </w:rPr>
            </w:pPr>
          </w:p>
        </w:tc>
        <w:tc>
          <w:tcPr>
            <w:tcW w:w="1817" w:type="dxa"/>
            <w:noWrap w:val="0"/>
            <w:vAlign w:val="center"/>
          </w:tcPr>
          <w:p w14:paraId="000ED4F2">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5082" w:type="dxa"/>
            <w:noWrap w:val="0"/>
            <w:vAlign w:val="center"/>
          </w:tcPr>
          <w:p w14:paraId="619081D0">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符合国家及行业现行的合格标准，满足采购人使用要求</w:t>
            </w:r>
          </w:p>
        </w:tc>
      </w:tr>
      <w:tr w14:paraId="4DF3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noWrap w:val="0"/>
            <w:vAlign w:val="center"/>
          </w:tcPr>
          <w:p w14:paraId="23C24DEF">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768" w:type="dxa"/>
            <w:vMerge w:val="continue"/>
            <w:noWrap w:val="0"/>
            <w:vAlign w:val="center"/>
          </w:tcPr>
          <w:p w14:paraId="790FD325">
            <w:pPr>
              <w:keepNext w:val="0"/>
              <w:keepLines w:val="0"/>
              <w:widowControl/>
              <w:suppressLineNumbers w:val="0"/>
              <w:bidi w:val="0"/>
              <w:spacing w:before="0" w:beforeAutospacing="0" w:after="0" w:afterAutospacing="0" w:line="240" w:lineRule="auto"/>
              <w:ind w:left="0" w:leftChars="0" w:right="0" w:firstLine="0" w:firstLineChars="0"/>
              <w:jc w:val="left"/>
              <w:rPr>
                <w:rFonts w:hint="eastAsia" w:ascii="仿宋" w:hAnsi="仿宋" w:eastAsia="仿宋" w:cs="仿宋"/>
                <w:color w:val="auto"/>
                <w:sz w:val="21"/>
                <w:szCs w:val="21"/>
                <w:highlight w:val="none"/>
              </w:rPr>
            </w:pPr>
          </w:p>
        </w:tc>
        <w:tc>
          <w:tcPr>
            <w:tcW w:w="1817" w:type="dxa"/>
            <w:noWrap w:val="0"/>
            <w:vAlign w:val="center"/>
          </w:tcPr>
          <w:p w14:paraId="100C30F0">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082" w:type="dxa"/>
            <w:noWrap w:val="0"/>
            <w:vAlign w:val="center"/>
          </w:tcPr>
          <w:p w14:paraId="651BA1A8">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有缴纳投标保证金凭证原件，标书内附有凭证复印件加盖公章、基本账户开户许可证复印件加盖公章【要求复印件清晰可见】</w:t>
            </w:r>
          </w:p>
        </w:tc>
      </w:tr>
      <w:tr w14:paraId="77F2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44" w:type="dxa"/>
            <w:vMerge w:val="continue"/>
            <w:noWrap w:val="0"/>
            <w:vAlign w:val="center"/>
          </w:tcPr>
          <w:p w14:paraId="1F2C1BC7">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768" w:type="dxa"/>
            <w:vMerge w:val="continue"/>
            <w:noWrap w:val="0"/>
            <w:vAlign w:val="center"/>
          </w:tcPr>
          <w:p w14:paraId="679E5293">
            <w:pPr>
              <w:keepNext w:val="0"/>
              <w:keepLines w:val="0"/>
              <w:widowControl/>
              <w:suppressLineNumbers w:val="0"/>
              <w:bidi w:val="0"/>
              <w:spacing w:before="0" w:beforeAutospacing="0" w:after="0" w:afterAutospacing="0" w:line="240" w:lineRule="auto"/>
              <w:ind w:left="0" w:leftChars="0" w:right="0" w:firstLine="0" w:firstLineChars="0"/>
              <w:jc w:val="left"/>
              <w:rPr>
                <w:rFonts w:hint="eastAsia" w:ascii="仿宋" w:hAnsi="仿宋" w:eastAsia="仿宋" w:cs="仿宋"/>
                <w:color w:val="auto"/>
                <w:sz w:val="21"/>
                <w:szCs w:val="21"/>
                <w:highlight w:val="none"/>
              </w:rPr>
            </w:pPr>
          </w:p>
        </w:tc>
        <w:tc>
          <w:tcPr>
            <w:tcW w:w="1817" w:type="dxa"/>
            <w:noWrap w:val="0"/>
            <w:vAlign w:val="center"/>
          </w:tcPr>
          <w:p w14:paraId="42AA4F7F">
            <w:pPr>
              <w:keepNext w:val="0"/>
              <w:keepLines w:val="0"/>
              <w:widowControl/>
              <w:suppressLineNumbers w:val="0"/>
              <w:bidi w:val="0"/>
              <w:spacing w:before="0" w:beforeAutospacing="0" w:after="0" w:afterAutospacing="0" w:line="240" w:lineRule="auto"/>
              <w:ind w:left="0" w:leftChars="0" w:right="0" w:firstLine="0" w:firstLineChars="0"/>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投标报价</w:t>
            </w:r>
          </w:p>
        </w:tc>
        <w:tc>
          <w:tcPr>
            <w:tcW w:w="5082" w:type="dxa"/>
            <w:noWrap w:val="0"/>
            <w:vAlign w:val="center"/>
          </w:tcPr>
          <w:p w14:paraId="70905B16">
            <w:pPr>
              <w:keepNext w:val="0"/>
              <w:keepLines w:val="0"/>
              <w:widowControl/>
              <w:suppressLineNumbers w:val="0"/>
              <w:bidi w:val="0"/>
              <w:spacing w:before="0" w:beforeAutospacing="0" w:after="0" w:afterAutospacing="0" w:line="240" w:lineRule="auto"/>
              <w:ind w:left="0" w:leftChars="0" w:right="0" w:firstLine="0" w:firstLineChars="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本项目为营养餐配送服务，采用固定价格采购，价格不列为评审因素。投标报价均为13元/餐，其他报价无效</w:t>
            </w:r>
          </w:p>
        </w:tc>
      </w:tr>
    </w:tbl>
    <w:p w14:paraId="7CB92463">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lang w:val="en-US" w:eastAsia="zh-CN" w:bidi="ar"/>
        </w:rPr>
        <w:t>注：1、“通过”表示该项评审标准实质性响应招标文件的要求，“不通过”表示该项评审标准未实质性响应招标文件的要求；</w:t>
      </w:r>
    </w:p>
    <w:p w14:paraId="6AE69EE4">
      <w:pPr>
        <w:keepNext w:val="0"/>
        <w:keepLines w:val="0"/>
        <w:pageBreakBefore w:val="0"/>
        <w:widowControl w:val="0"/>
        <w:suppressLineNumbers w:val="0"/>
        <w:kinsoku/>
        <w:overflowPunct/>
        <w:topLinePunct w:val="0"/>
        <w:autoSpaceDN/>
        <w:bidi w:val="0"/>
        <w:adjustRightInd/>
        <w:snapToGrid/>
        <w:spacing w:before="0" w:beforeAutospacing="0" w:after="0" w:afterAutospacing="0" w:line="400" w:lineRule="exact"/>
        <w:ind w:left="0" w:right="0" w:firstLine="540"/>
        <w:jc w:val="both"/>
        <w:textAlignment w:val="auto"/>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lang w:val="en-US" w:eastAsia="zh-CN" w:bidi="ar"/>
        </w:rPr>
        <w:t>2、结论汇总意见采取少数服从多数原则，即超过半数评委的结论为“通过”该投标人初步评审合同，否则不合格。</w:t>
      </w:r>
    </w:p>
    <w:p w14:paraId="7264F235">
      <w:pPr>
        <w:keepNext w:val="0"/>
        <w:keepLines w:val="0"/>
        <w:widowControl w:val="0"/>
        <w:suppressLineNumbers w:val="0"/>
        <w:spacing w:before="0" w:beforeAutospacing="0" w:after="0" w:afterAutospacing="0" w:line="360" w:lineRule="auto"/>
        <w:ind w:left="0" w:right="0" w:firstLine="540"/>
        <w:jc w:val="both"/>
        <w:rPr>
          <w:rFonts w:hint="eastAsia" w:ascii="仿宋" w:hAnsi="仿宋" w:eastAsia="仿宋" w:cs="仿宋"/>
          <w:b/>
          <w:bCs w:val="0"/>
          <w:kern w:val="2"/>
          <w:sz w:val="21"/>
          <w:szCs w:val="21"/>
          <w:highlight w:val="none"/>
        </w:rPr>
      </w:pPr>
      <w:r>
        <w:rPr>
          <w:rFonts w:hint="eastAsia" w:ascii="仿宋" w:hAnsi="仿宋" w:eastAsia="仿宋" w:cs="仿宋"/>
          <w:b/>
          <w:bCs w:val="0"/>
          <w:kern w:val="2"/>
          <w:sz w:val="21"/>
          <w:szCs w:val="21"/>
          <w:highlight w:val="none"/>
          <w:lang w:val="en-US" w:eastAsia="zh-CN" w:bidi="ar"/>
        </w:rPr>
        <w:t xml:space="preserve"> </w:t>
      </w:r>
    </w:p>
    <w:p w14:paraId="50F5EE4F">
      <w:pPr>
        <w:keepNext w:val="0"/>
        <w:keepLines w:val="0"/>
        <w:widowControl w:val="0"/>
        <w:suppressLineNumbers w:val="0"/>
        <w:spacing w:before="0" w:beforeAutospacing="0" w:after="0" w:afterAutospacing="0" w:line="360" w:lineRule="exact"/>
        <w:ind w:left="0" w:leftChars="0" w:right="0" w:firstLine="0" w:firstLineChars="0"/>
        <w:jc w:val="both"/>
        <w:outlineLvl w:val="1"/>
        <w:rPr>
          <w:rFonts w:hint="eastAsia" w:ascii="仿宋" w:hAnsi="仿宋" w:eastAsia="仿宋" w:cs="仿宋"/>
          <w:b w:val="0"/>
          <w:bCs/>
          <w:kern w:val="2"/>
          <w:sz w:val="24"/>
          <w:szCs w:val="24"/>
          <w:highlight w:val="none"/>
          <w:lang w:val="en-US" w:eastAsia="zh-CN" w:bidi="ar"/>
        </w:rPr>
      </w:pPr>
      <w:r>
        <w:rPr>
          <w:rFonts w:hint="eastAsia" w:ascii="仿宋" w:hAnsi="仿宋" w:eastAsia="仿宋" w:cs="仿宋"/>
          <w:b/>
          <w:bCs w:val="0"/>
          <w:kern w:val="2"/>
          <w:sz w:val="21"/>
          <w:szCs w:val="21"/>
          <w:highlight w:val="none"/>
          <w:lang w:val="en-US" w:eastAsia="zh-CN" w:bidi="ar"/>
        </w:rPr>
        <w:br w:type="page"/>
      </w:r>
      <w:r>
        <w:rPr>
          <w:rFonts w:hint="eastAsia" w:ascii="仿宋" w:hAnsi="仿宋" w:eastAsia="仿宋" w:cs="仿宋"/>
          <w:b w:val="0"/>
          <w:bCs/>
          <w:kern w:val="2"/>
          <w:sz w:val="24"/>
          <w:szCs w:val="24"/>
          <w:highlight w:val="none"/>
          <w:lang w:val="en-US" w:eastAsia="zh-CN" w:bidi="ar"/>
        </w:rPr>
        <w:t>附表2 详细评审表</w:t>
      </w:r>
    </w:p>
    <w:p w14:paraId="76FD0FF9">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lang w:val="en-US" w:eastAsia="zh-CN" w:bidi="ar"/>
        </w:rPr>
        <w:t xml:space="preserve">项目名称：吉林市丰满区第二实验小学校教师配餐服务项目  </w:t>
      </w:r>
    </w:p>
    <w:p w14:paraId="32985091">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 w:hAnsi="仿宋" w:eastAsia="仿宋" w:cs="仿宋"/>
          <w:b w:val="0"/>
          <w:bCs/>
          <w:kern w:val="2"/>
          <w:sz w:val="24"/>
          <w:szCs w:val="24"/>
          <w:highlight w:val="none"/>
          <w:lang w:val="en-US" w:eastAsia="zh-CN" w:bidi="ar"/>
        </w:rPr>
      </w:pPr>
      <w:r>
        <w:rPr>
          <w:rFonts w:hint="eastAsia" w:ascii="仿宋" w:hAnsi="仿宋" w:eastAsia="仿宋" w:cs="仿宋"/>
          <w:b w:val="0"/>
          <w:bCs/>
          <w:kern w:val="2"/>
          <w:sz w:val="24"/>
          <w:szCs w:val="24"/>
          <w:highlight w:val="none"/>
          <w:lang w:val="en-US" w:eastAsia="zh-CN" w:bidi="ar"/>
        </w:rPr>
        <w:t>项目编号：</w:t>
      </w:r>
      <w:r>
        <w:rPr>
          <w:rFonts w:hint="eastAsia" w:cs="仿宋"/>
          <w:b w:val="0"/>
          <w:bCs/>
          <w:kern w:val="2"/>
          <w:sz w:val="24"/>
          <w:szCs w:val="24"/>
          <w:highlight w:val="none"/>
          <w:lang w:val="en-US" w:eastAsia="zh-CN" w:bidi="ar"/>
        </w:rPr>
        <w:t>采购计划-[2024]-00084号-ZYCXZB027</w:t>
      </w:r>
      <w:r>
        <w:rPr>
          <w:rFonts w:hint="eastAsia" w:ascii="仿宋" w:hAnsi="仿宋" w:eastAsia="仿宋" w:cs="仿宋"/>
          <w:b w:val="0"/>
          <w:bCs/>
          <w:kern w:val="2"/>
          <w:sz w:val="24"/>
          <w:szCs w:val="24"/>
          <w:highlight w:val="none"/>
          <w:lang w:val="en-US" w:eastAsia="zh-CN" w:bidi="ar"/>
        </w:rPr>
        <w:t xml:space="preserve"> </w:t>
      </w:r>
    </w:p>
    <w:p w14:paraId="5D1E94D4">
      <w:pPr>
        <w:keepNext w:val="0"/>
        <w:keepLines w:val="0"/>
        <w:widowControl w:val="0"/>
        <w:suppressLineNumbers w:val="0"/>
        <w:spacing w:before="0" w:beforeAutospacing="0" w:after="0" w:afterAutospacing="0" w:line="360" w:lineRule="exact"/>
        <w:ind w:left="0" w:leftChars="0" w:right="0" w:firstLine="0" w:firstLineChars="0"/>
        <w:jc w:val="both"/>
        <w:rPr>
          <w:rFonts w:hint="eastAsia" w:ascii="仿宋" w:hAnsi="仿宋" w:eastAsia="仿宋" w:cs="仿宋"/>
          <w:b w:val="0"/>
          <w:bCs/>
          <w:kern w:val="2"/>
          <w:sz w:val="24"/>
          <w:szCs w:val="24"/>
          <w:highlight w:val="none"/>
          <w:lang w:val="en-US" w:eastAsia="zh-CN" w:bidi="ar"/>
        </w:rPr>
      </w:pPr>
      <w:r>
        <w:rPr>
          <w:rFonts w:hint="eastAsia" w:ascii="仿宋" w:hAnsi="仿宋" w:eastAsia="仿宋" w:cs="仿宋"/>
          <w:b w:val="0"/>
          <w:bCs/>
          <w:kern w:val="2"/>
          <w:sz w:val="24"/>
          <w:szCs w:val="24"/>
          <w:highlight w:val="none"/>
          <w:lang w:val="en-US" w:eastAsia="zh-CN" w:bidi="ar"/>
        </w:rPr>
        <w:t>开标日期：</w:t>
      </w:r>
      <w:r>
        <w:rPr>
          <w:rFonts w:hint="eastAsia" w:cs="仿宋"/>
          <w:b w:val="0"/>
          <w:bCs/>
          <w:kern w:val="2"/>
          <w:sz w:val="24"/>
          <w:szCs w:val="24"/>
          <w:highlight w:val="none"/>
          <w:lang w:val="en-US" w:eastAsia="zh-CN" w:bidi="ar"/>
        </w:rPr>
        <w:t>2024年08月28日</w:t>
      </w:r>
    </w:p>
    <w:tbl>
      <w:tblPr>
        <w:tblStyle w:val="15"/>
        <w:tblW w:w="831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1712"/>
        <w:gridCol w:w="863"/>
        <w:gridCol w:w="4485"/>
      </w:tblGrid>
      <w:tr w14:paraId="021A9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963" w:type="dxa"/>
            <w:gridSpan w:val="2"/>
            <w:noWrap w:val="0"/>
            <w:vAlign w:val="center"/>
          </w:tcPr>
          <w:p w14:paraId="2D8CBD40">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评分项目</w:t>
            </w:r>
          </w:p>
        </w:tc>
        <w:tc>
          <w:tcPr>
            <w:tcW w:w="863" w:type="dxa"/>
            <w:noWrap w:val="0"/>
            <w:vAlign w:val="center"/>
          </w:tcPr>
          <w:p w14:paraId="5F88ED22">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4485" w:type="dxa"/>
            <w:noWrap w:val="0"/>
            <w:vAlign w:val="center"/>
          </w:tcPr>
          <w:p w14:paraId="2B21239E">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r>
      <w:tr w14:paraId="188E7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251" w:type="dxa"/>
            <w:noWrap w:val="0"/>
            <w:vAlign w:val="center"/>
          </w:tcPr>
          <w:p w14:paraId="2D82E2B0">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cs="仿宋"/>
                <w:color w:val="auto"/>
                <w:sz w:val="21"/>
                <w:szCs w:val="21"/>
                <w:highlight w:val="none"/>
                <w:lang w:val="en-US" w:eastAsia="zh-CN"/>
              </w:rPr>
            </w:pPr>
            <w:r>
              <w:rPr>
                <w:rFonts w:hint="eastAsia" w:cs="仿宋"/>
                <w:color w:val="auto"/>
                <w:sz w:val="21"/>
                <w:szCs w:val="21"/>
                <w:highlight w:val="none"/>
                <w:lang w:val="en-US" w:eastAsia="zh-CN"/>
              </w:rPr>
              <w:t>经济因素</w:t>
            </w:r>
          </w:p>
          <w:p w14:paraId="7592735F">
            <w:pPr>
              <w:keepNext w:val="0"/>
              <w:keepLines w:val="0"/>
              <w:widowControl/>
              <w:suppressLineNumbers w:val="0"/>
              <w:bidi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（10分）</w:t>
            </w:r>
          </w:p>
        </w:tc>
        <w:tc>
          <w:tcPr>
            <w:tcW w:w="1712" w:type="dxa"/>
            <w:noWrap w:val="0"/>
            <w:vAlign w:val="center"/>
          </w:tcPr>
          <w:p w14:paraId="16CC55DB">
            <w:pPr>
              <w:keepNext w:val="0"/>
              <w:keepLines w:val="0"/>
              <w:widowControl/>
              <w:suppressLineNumbers w:val="0"/>
              <w:bidi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报价得分</w:t>
            </w:r>
          </w:p>
        </w:tc>
        <w:tc>
          <w:tcPr>
            <w:tcW w:w="863" w:type="dxa"/>
            <w:noWrap w:val="0"/>
            <w:vAlign w:val="center"/>
          </w:tcPr>
          <w:p w14:paraId="4E2CE029">
            <w:pPr>
              <w:keepNext w:val="0"/>
              <w:keepLines w:val="0"/>
              <w:widowControl/>
              <w:suppressLineNumbers w:val="0"/>
              <w:bidi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10分</w:t>
            </w:r>
          </w:p>
        </w:tc>
        <w:tc>
          <w:tcPr>
            <w:tcW w:w="4485" w:type="dxa"/>
            <w:noWrap w:val="0"/>
            <w:vAlign w:val="center"/>
          </w:tcPr>
          <w:p w14:paraId="18CE6BEC">
            <w:pPr>
              <w:keepNext w:val="0"/>
              <w:keepLines w:val="0"/>
              <w:widowControl/>
              <w:suppressLineNumbers w:val="0"/>
              <w:bidi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符合条件的有效报价得10分</w:t>
            </w:r>
          </w:p>
        </w:tc>
      </w:tr>
      <w:tr w14:paraId="0550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restart"/>
            <w:noWrap w:val="0"/>
            <w:vAlign w:val="center"/>
          </w:tcPr>
          <w:p w14:paraId="403BC483">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商务因素</w:t>
            </w:r>
          </w:p>
          <w:p w14:paraId="60A26887">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30</w:t>
            </w:r>
            <w:r>
              <w:rPr>
                <w:rFonts w:hint="eastAsia" w:ascii="仿宋" w:hAnsi="仿宋" w:eastAsia="仿宋" w:cs="仿宋"/>
                <w:color w:val="auto"/>
                <w:sz w:val="21"/>
                <w:szCs w:val="21"/>
                <w:highlight w:val="none"/>
              </w:rPr>
              <w:t>分）</w:t>
            </w:r>
          </w:p>
        </w:tc>
        <w:tc>
          <w:tcPr>
            <w:tcW w:w="1712" w:type="dxa"/>
            <w:noWrap w:val="0"/>
            <w:vAlign w:val="center"/>
          </w:tcPr>
          <w:p w14:paraId="4F9AE89E">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类似</w:t>
            </w:r>
            <w:r>
              <w:rPr>
                <w:rFonts w:hint="eastAsia" w:ascii="仿宋" w:hAnsi="仿宋" w:eastAsia="仿宋" w:cs="仿宋"/>
                <w:sz w:val="21"/>
                <w:szCs w:val="21"/>
                <w:highlight w:val="none"/>
              </w:rPr>
              <w:t>业绩</w:t>
            </w:r>
          </w:p>
        </w:tc>
        <w:tc>
          <w:tcPr>
            <w:tcW w:w="863" w:type="dxa"/>
            <w:noWrap w:val="0"/>
            <w:vAlign w:val="center"/>
          </w:tcPr>
          <w:p w14:paraId="224F160E">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4485" w:type="dxa"/>
            <w:noWrap w:val="0"/>
            <w:vAlign w:val="center"/>
          </w:tcPr>
          <w:p w14:paraId="2C8CE08C">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对近三年</w:t>
            </w:r>
            <w:r>
              <w:rPr>
                <w:rFonts w:hint="eastAsia" w:ascii="仿宋" w:hAnsi="仿宋" w:eastAsia="仿宋" w:cs="仿宋"/>
                <w:color w:val="auto"/>
                <w:sz w:val="21"/>
                <w:szCs w:val="21"/>
                <w:highlight w:val="none"/>
                <w:lang w:eastAsia="zh-CN"/>
              </w:rPr>
              <w:t>（2021年07月01至2024年06月30日）</w:t>
            </w:r>
            <w:r>
              <w:rPr>
                <w:rFonts w:hint="eastAsia" w:ascii="仿宋" w:hAnsi="仿宋" w:eastAsia="仿宋" w:cs="仿宋"/>
                <w:color w:val="auto"/>
                <w:sz w:val="21"/>
                <w:szCs w:val="21"/>
                <w:highlight w:val="none"/>
              </w:rPr>
              <w:t>供应商食品配送业绩进行综合评价，每有一项计</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分，最多计</w:t>
            </w:r>
            <w:r>
              <w:rPr>
                <w:rFonts w:hint="eastAsia"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66BF9837">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（应附有供货合同或中标通知书或发票复印件，否则不计分）</w:t>
            </w:r>
          </w:p>
        </w:tc>
      </w:tr>
      <w:tr w14:paraId="37A6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noWrap w:val="0"/>
            <w:vAlign w:val="center"/>
          </w:tcPr>
          <w:p w14:paraId="01A35FCF">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p>
        </w:tc>
        <w:tc>
          <w:tcPr>
            <w:tcW w:w="1712" w:type="dxa"/>
            <w:noWrap w:val="0"/>
            <w:vAlign w:val="center"/>
          </w:tcPr>
          <w:p w14:paraId="5970F3E3">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食品安全责任保险</w:t>
            </w:r>
          </w:p>
        </w:tc>
        <w:tc>
          <w:tcPr>
            <w:tcW w:w="863" w:type="dxa"/>
            <w:noWrap w:val="0"/>
            <w:vAlign w:val="center"/>
          </w:tcPr>
          <w:p w14:paraId="42CADF48">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c>
          <w:tcPr>
            <w:tcW w:w="4485" w:type="dxa"/>
            <w:noWrap w:val="0"/>
            <w:vAlign w:val="center"/>
          </w:tcPr>
          <w:p w14:paraId="037FF0C7">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食品安全责任保险</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00万</w:t>
            </w:r>
            <w:r>
              <w:rPr>
                <w:rFonts w:hint="eastAsia" w:ascii="仿宋" w:hAnsi="仿宋" w:eastAsia="仿宋" w:cs="仿宋"/>
                <w:sz w:val="21"/>
                <w:szCs w:val="21"/>
                <w:highlight w:val="none"/>
                <w:lang w:val="en-US" w:eastAsia="zh-CN"/>
              </w:rPr>
              <w:t>及以上</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p w14:paraId="73F0DCB3">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zh-CN"/>
              </w:rPr>
              <w:t>投标文件中附复印件加盖公章</w:t>
            </w:r>
            <w:r>
              <w:rPr>
                <w:rFonts w:hint="eastAsia" w:ascii="仿宋" w:hAnsi="仿宋" w:eastAsia="仿宋" w:cs="仿宋"/>
                <w:sz w:val="21"/>
                <w:szCs w:val="21"/>
                <w:highlight w:val="none"/>
              </w:rPr>
              <w:t>）</w:t>
            </w:r>
          </w:p>
        </w:tc>
      </w:tr>
      <w:tr w14:paraId="3935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noWrap w:val="0"/>
            <w:vAlign w:val="center"/>
          </w:tcPr>
          <w:p w14:paraId="091859D9">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p>
        </w:tc>
        <w:tc>
          <w:tcPr>
            <w:tcW w:w="1712" w:type="dxa"/>
            <w:vMerge w:val="restart"/>
            <w:noWrap w:val="0"/>
            <w:vAlign w:val="center"/>
          </w:tcPr>
          <w:p w14:paraId="1B6C52D0">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企业认证</w:t>
            </w:r>
          </w:p>
        </w:tc>
        <w:tc>
          <w:tcPr>
            <w:tcW w:w="863" w:type="dxa"/>
            <w:vMerge w:val="restart"/>
            <w:noWrap w:val="0"/>
            <w:vAlign w:val="center"/>
          </w:tcPr>
          <w:p w14:paraId="225AE7DC">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3分</w:t>
            </w:r>
          </w:p>
        </w:tc>
        <w:tc>
          <w:tcPr>
            <w:tcW w:w="4485" w:type="dxa"/>
            <w:noWrap w:val="0"/>
            <w:vAlign w:val="center"/>
          </w:tcPr>
          <w:p w14:paraId="177B1BAE">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企业取得ISO9001质量管理体系认证得1分，没有不得分；（</w:t>
            </w:r>
            <w:r>
              <w:rPr>
                <w:rFonts w:hint="eastAsia" w:ascii="仿宋" w:hAnsi="仿宋" w:eastAsia="仿宋" w:cs="仿宋"/>
                <w:sz w:val="21"/>
                <w:szCs w:val="21"/>
                <w:highlight w:val="none"/>
                <w:lang w:val="zh-CN"/>
              </w:rPr>
              <w:t>投标文件中附复印件加盖公章</w:t>
            </w:r>
            <w:r>
              <w:rPr>
                <w:rFonts w:hint="eastAsia" w:ascii="仿宋" w:hAnsi="仿宋" w:eastAsia="仿宋" w:cs="仿宋"/>
                <w:sz w:val="21"/>
                <w:szCs w:val="21"/>
                <w:highlight w:val="none"/>
              </w:rPr>
              <w:t>）</w:t>
            </w:r>
          </w:p>
        </w:tc>
      </w:tr>
      <w:tr w14:paraId="39BD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noWrap w:val="0"/>
            <w:vAlign w:val="center"/>
          </w:tcPr>
          <w:p w14:paraId="145624A8">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p>
        </w:tc>
        <w:tc>
          <w:tcPr>
            <w:tcW w:w="1712" w:type="dxa"/>
            <w:vMerge w:val="continue"/>
            <w:noWrap w:val="0"/>
            <w:vAlign w:val="center"/>
          </w:tcPr>
          <w:p w14:paraId="32AC9A1B">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sz w:val="21"/>
                <w:szCs w:val="21"/>
                <w:highlight w:val="none"/>
                <w:lang w:val="en-US" w:eastAsia="zh-CN"/>
              </w:rPr>
            </w:pPr>
          </w:p>
        </w:tc>
        <w:tc>
          <w:tcPr>
            <w:tcW w:w="863" w:type="dxa"/>
            <w:vMerge w:val="continue"/>
            <w:noWrap w:val="0"/>
            <w:vAlign w:val="center"/>
          </w:tcPr>
          <w:p w14:paraId="02788E74">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4485" w:type="dxa"/>
            <w:noWrap w:val="0"/>
            <w:vAlign w:val="center"/>
          </w:tcPr>
          <w:p w14:paraId="201D03D4">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企业取得ISO22000食品安全管理体系认证得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分，没有不得分；</w:t>
            </w:r>
            <w:r>
              <w:rPr>
                <w:rFonts w:hint="eastAsia" w:ascii="仿宋" w:hAnsi="仿宋" w:eastAsia="仿宋" w:cs="仿宋"/>
                <w:spacing w:val="-2"/>
                <w:sz w:val="21"/>
                <w:szCs w:val="21"/>
                <w:highlight w:val="none"/>
              </w:rPr>
              <w:t>（</w:t>
            </w:r>
            <w:r>
              <w:rPr>
                <w:rFonts w:hint="eastAsia" w:ascii="仿宋" w:hAnsi="仿宋" w:eastAsia="仿宋" w:cs="仿宋"/>
                <w:bCs/>
                <w:sz w:val="21"/>
                <w:szCs w:val="21"/>
                <w:highlight w:val="none"/>
                <w:lang w:val="zh-CN"/>
              </w:rPr>
              <w:t>投标文件中附复印件加盖公章</w:t>
            </w:r>
            <w:r>
              <w:rPr>
                <w:rFonts w:hint="eastAsia" w:ascii="仿宋" w:hAnsi="仿宋" w:eastAsia="仿宋" w:cs="仿宋"/>
                <w:spacing w:val="-2"/>
                <w:sz w:val="21"/>
                <w:szCs w:val="21"/>
                <w:highlight w:val="none"/>
              </w:rPr>
              <w:t>）</w:t>
            </w:r>
          </w:p>
        </w:tc>
      </w:tr>
      <w:tr w14:paraId="5D598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noWrap w:val="0"/>
            <w:vAlign w:val="center"/>
          </w:tcPr>
          <w:p w14:paraId="56720B4A">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p>
        </w:tc>
        <w:tc>
          <w:tcPr>
            <w:tcW w:w="1712" w:type="dxa"/>
            <w:vMerge w:val="continue"/>
            <w:noWrap w:val="0"/>
            <w:vAlign w:val="center"/>
          </w:tcPr>
          <w:p w14:paraId="53876C88">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sz w:val="21"/>
                <w:szCs w:val="21"/>
                <w:highlight w:val="none"/>
                <w:lang w:val="en-US" w:eastAsia="zh-CN"/>
              </w:rPr>
            </w:pPr>
          </w:p>
        </w:tc>
        <w:tc>
          <w:tcPr>
            <w:tcW w:w="863" w:type="dxa"/>
            <w:vMerge w:val="continue"/>
            <w:noWrap w:val="0"/>
            <w:vAlign w:val="center"/>
          </w:tcPr>
          <w:p w14:paraId="572801D4">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4485" w:type="dxa"/>
            <w:noWrap w:val="0"/>
            <w:vAlign w:val="center"/>
          </w:tcPr>
          <w:p w14:paraId="61C1CE53">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企业</w:t>
            </w:r>
            <w:r>
              <w:rPr>
                <w:rFonts w:hint="eastAsia" w:ascii="仿宋" w:hAnsi="仿宋" w:eastAsia="仿宋" w:cs="仿宋"/>
                <w:bCs/>
                <w:sz w:val="21"/>
                <w:szCs w:val="21"/>
                <w:highlight w:val="none"/>
                <w:lang w:val="zh-CN"/>
              </w:rPr>
              <w:t>取得</w:t>
            </w:r>
            <w:r>
              <w:rPr>
                <w:rFonts w:hint="eastAsia" w:ascii="仿宋" w:hAnsi="仿宋" w:eastAsia="仿宋" w:cs="仿宋"/>
                <w:bCs/>
                <w:sz w:val="21"/>
                <w:szCs w:val="21"/>
                <w:highlight w:val="none"/>
                <w:lang w:val="en-US" w:eastAsia="zh-CN"/>
              </w:rPr>
              <w:t>HACCP体系认证证书</w:t>
            </w:r>
            <w:r>
              <w:rPr>
                <w:rFonts w:hint="eastAsia" w:ascii="仿宋" w:hAnsi="仿宋" w:eastAsia="仿宋" w:cs="仿宋"/>
                <w:sz w:val="21"/>
                <w:szCs w:val="21"/>
                <w:highlight w:val="none"/>
              </w:rPr>
              <w:t>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分，没有不得分；</w:t>
            </w:r>
            <w:r>
              <w:rPr>
                <w:rFonts w:hint="eastAsia" w:ascii="仿宋" w:hAnsi="仿宋" w:eastAsia="仿宋" w:cs="仿宋"/>
                <w:spacing w:val="-2"/>
                <w:sz w:val="21"/>
                <w:szCs w:val="21"/>
                <w:highlight w:val="none"/>
              </w:rPr>
              <w:t>（</w:t>
            </w:r>
            <w:r>
              <w:rPr>
                <w:rFonts w:hint="eastAsia" w:ascii="仿宋" w:hAnsi="仿宋" w:eastAsia="仿宋" w:cs="仿宋"/>
                <w:bCs/>
                <w:sz w:val="21"/>
                <w:szCs w:val="21"/>
                <w:highlight w:val="none"/>
                <w:lang w:val="zh-CN"/>
              </w:rPr>
              <w:t>投标文件中附复印件加盖公章</w:t>
            </w:r>
            <w:r>
              <w:rPr>
                <w:rFonts w:hint="eastAsia" w:ascii="仿宋" w:hAnsi="仿宋" w:eastAsia="仿宋" w:cs="仿宋"/>
                <w:spacing w:val="-2"/>
                <w:sz w:val="21"/>
                <w:szCs w:val="21"/>
                <w:highlight w:val="none"/>
              </w:rPr>
              <w:t>）</w:t>
            </w:r>
          </w:p>
        </w:tc>
      </w:tr>
      <w:tr w14:paraId="2043F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1251" w:type="dxa"/>
            <w:vMerge w:val="continue"/>
            <w:noWrap w:val="0"/>
            <w:vAlign w:val="center"/>
          </w:tcPr>
          <w:p w14:paraId="2D729900">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1712" w:type="dxa"/>
            <w:vMerge w:val="restart"/>
            <w:noWrap w:val="0"/>
            <w:vAlign w:val="center"/>
          </w:tcPr>
          <w:p w14:paraId="7BE33EDA">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企业实力</w:t>
            </w:r>
          </w:p>
        </w:tc>
        <w:tc>
          <w:tcPr>
            <w:tcW w:w="863" w:type="dxa"/>
            <w:noWrap w:val="0"/>
            <w:vAlign w:val="center"/>
          </w:tcPr>
          <w:p w14:paraId="38C1C52E">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3分</w:t>
            </w:r>
          </w:p>
        </w:tc>
        <w:tc>
          <w:tcPr>
            <w:tcW w:w="4485" w:type="dxa"/>
            <w:noWrap w:val="0"/>
            <w:vAlign w:val="center"/>
          </w:tcPr>
          <w:p w14:paraId="6F0AD962">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提供办公场所及营养餐加工场所1分；</w:t>
            </w:r>
          </w:p>
          <w:p w14:paraId="07314106">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供应商在吉林市辖区设有仓库得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分，无不得0分。</w:t>
            </w:r>
          </w:p>
          <w:p w14:paraId="13CA4E4C">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（应附仓库照片</w:t>
            </w:r>
            <w:r>
              <w:rPr>
                <w:rFonts w:hint="eastAsia" w:cs="仿宋"/>
                <w:b/>
                <w:bCs/>
                <w:color w:val="auto"/>
                <w:sz w:val="21"/>
                <w:szCs w:val="21"/>
                <w:highlight w:val="none"/>
                <w:lang w:eastAsia="zh-CN"/>
              </w:rPr>
              <w:t>，</w:t>
            </w:r>
            <w:r>
              <w:rPr>
                <w:rFonts w:hint="eastAsia" w:cs="仿宋"/>
                <w:b/>
                <w:bCs/>
                <w:color w:val="auto"/>
                <w:sz w:val="21"/>
                <w:szCs w:val="21"/>
                <w:highlight w:val="none"/>
                <w:lang w:val="en-US" w:eastAsia="zh-CN"/>
              </w:rPr>
              <w:t>自有仓库场所提供产权证明，租赁仓库场所提供租赁协议及近期房租证明</w:t>
            </w:r>
            <w:r>
              <w:rPr>
                <w:rFonts w:hint="eastAsia" w:ascii="仿宋" w:hAnsi="仿宋" w:eastAsia="仿宋" w:cs="仿宋"/>
                <w:b/>
                <w:bCs/>
                <w:color w:val="auto"/>
                <w:sz w:val="21"/>
                <w:szCs w:val="21"/>
                <w:highlight w:val="none"/>
              </w:rPr>
              <w:t>，且标书内附加盖公章的复印件，否则不计）</w:t>
            </w:r>
          </w:p>
        </w:tc>
      </w:tr>
      <w:tr w14:paraId="2D24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 w:hRule="atLeast"/>
        </w:trPr>
        <w:tc>
          <w:tcPr>
            <w:tcW w:w="1251" w:type="dxa"/>
            <w:vMerge w:val="continue"/>
            <w:noWrap w:val="0"/>
            <w:vAlign w:val="center"/>
          </w:tcPr>
          <w:p w14:paraId="12A279FE">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1712" w:type="dxa"/>
            <w:vMerge w:val="continue"/>
            <w:noWrap w:val="0"/>
            <w:vAlign w:val="center"/>
          </w:tcPr>
          <w:p w14:paraId="11A7433A">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p>
        </w:tc>
        <w:tc>
          <w:tcPr>
            <w:tcW w:w="863" w:type="dxa"/>
            <w:noWrap w:val="0"/>
            <w:vAlign w:val="center"/>
          </w:tcPr>
          <w:p w14:paraId="03B46BD0">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c>
          <w:tcPr>
            <w:tcW w:w="4485" w:type="dxa"/>
            <w:noWrap w:val="0"/>
            <w:vAlign w:val="center"/>
          </w:tcPr>
          <w:p w14:paraId="2073A6CA">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供应商有配送车辆4台及以上的得2分，有</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台以</w:t>
            </w:r>
            <w:r>
              <w:rPr>
                <w:rFonts w:hint="eastAsia" w:ascii="仿宋" w:hAnsi="仿宋" w:eastAsia="仿宋" w:cs="仿宋"/>
                <w:color w:val="auto"/>
                <w:sz w:val="21"/>
                <w:szCs w:val="21"/>
                <w:highlight w:val="none"/>
                <w:lang w:val="en-US" w:eastAsia="zh-CN"/>
              </w:rPr>
              <w:t>下</w:t>
            </w:r>
            <w:r>
              <w:rPr>
                <w:rFonts w:hint="eastAsia" w:ascii="仿宋" w:hAnsi="仿宋" w:eastAsia="仿宋" w:cs="仿宋"/>
                <w:color w:val="auto"/>
                <w:sz w:val="21"/>
                <w:szCs w:val="21"/>
                <w:highlight w:val="none"/>
              </w:rPr>
              <w:t>的得1分，</w:t>
            </w:r>
            <w:r>
              <w:rPr>
                <w:rFonts w:hint="eastAsia" w:ascii="仿宋" w:hAnsi="仿宋" w:eastAsia="仿宋" w:cs="仿宋"/>
                <w:color w:val="auto"/>
                <w:sz w:val="21"/>
                <w:szCs w:val="21"/>
                <w:highlight w:val="none"/>
                <w:lang w:val="en-US" w:eastAsia="zh-CN"/>
              </w:rPr>
              <w:t>没有不得分</w:t>
            </w:r>
            <w:r>
              <w:rPr>
                <w:rFonts w:hint="eastAsia" w:ascii="仿宋" w:hAnsi="仿宋" w:eastAsia="仿宋" w:cs="仿宋"/>
                <w:color w:val="auto"/>
                <w:sz w:val="21"/>
                <w:szCs w:val="21"/>
                <w:highlight w:val="none"/>
              </w:rPr>
              <w:t>。</w:t>
            </w:r>
          </w:p>
          <w:p w14:paraId="1F1C551B">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（提供车辆图片及证明材料原件（自有车辆提供行车证</w:t>
            </w:r>
            <w:r>
              <w:rPr>
                <w:rFonts w:hint="eastAsia" w:cs="仿宋"/>
                <w:b/>
                <w:bCs/>
                <w:color w:val="auto"/>
                <w:sz w:val="21"/>
                <w:szCs w:val="21"/>
                <w:highlight w:val="none"/>
                <w:lang w:val="en-US" w:eastAsia="zh-CN"/>
              </w:rPr>
              <w:t>及购买发票</w:t>
            </w:r>
            <w:r>
              <w:rPr>
                <w:rFonts w:hint="eastAsia" w:ascii="仿宋" w:hAnsi="仿宋" w:eastAsia="仿宋" w:cs="仿宋"/>
                <w:b/>
                <w:bCs/>
                <w:color w:val="auto"/>
                <w:sz w:val="21"/>
                <w:szCs w:val="21"/>
                <w:highlight w:val="none"/>
              </w:rPr>
              <w:t>，租赁车辆提供租赁协议），且标书内附加盖公章的复印件，否则不计分。)</w:t>
            </w:r>
          </w:p>
        </w:tc>
      </w:tr>
      <w:tr w14:paraId="49B9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1251" w:type="dxa"/>
            <w:vMerge w:val="continue"/>
            <w:noWrap w:val="0"/>
            <w:vAlign w:val="center"/>
          </w:tcPr>
          <w:p w14:paraId="5432EA81">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1712" w:type="dxa"/>
            <w:vMerge w:val="restart"/>
            <w:noWrap w:val="0"/>
            <w:vAlign w:val="center"/>
          </w:tcPr>
          <w:p w14:paraId="33156E31">
            <w:pPr>
              <w:keepNext w:val="0"/>
              <w:keepLines w:val="0"/>
              <w:widowControl/>
              <w:suppressLineNumbers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人员</w:t>
            </w:r>
          </w:p>
        </w:tc>
        <w:tc>
          <w:tcPr>
            <w:tcW w:w="863" w:type="dxa"/>
            <w:vMerge w:val="restart"/>
            <w:noWrap w:val="0"/>
            <w:vAlign w:val="center"/>
          </w:tcPr>
          <w:p w14:paraId="6C4D9AC4">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5分</w:t>
            </w:r>
          </w:p>
        </w:tc>
        <w:tc>
          <w:tcPr>
            <w:tcW w:w="4485" w:type="dxa"/>
            <w:noWrap w:val="0"/>
            <w:vAlign w:val="center"/>
          </w:tcPr>
          <w:p w14:paraId="45BC91A9">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针对本项目</w:t>
            </w:r>
            <w:r>
              <w:rPr>
                <w:rFonts w:hint="eastAsia" w:ascii="仿宋" w:hAnsi="仿宋" w:eastAsia="仿宋" w:cs="仿宋"/>
                <w:color w:val="auto"/>
                <w:sz w:val="21"/>
                <w:szCs w:val="21"/>
                <w:highlight w:val="none"/>
                <w:lang w:val="en-US" w:eastAsia="zh-CN"/>
              </w:rPr>
              <w:t>负责</w:t>
            </w:r>
            <w:r>
              <w:rPr>
                <w:rFonts w:hint="eastAsia" w:ascii="仿宋" w:hAnsi="仿宋" w:eastAsia="仿宋" w:cs="仿宋"/>
                <w:color w:val="auto"/>
                <w:sz w:val="21"/>
                <w:szCs w:val="21"/>
                <w:highlight w:val="none"/>
              </w:rPr>
              <w:t>人员</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人及以上</w:t>
            </w:r>
            <w:r>
              <w:rPr>
                <w:rFonts w:hint="eastAsia" w:ascii="仿宋" w:hAnsi="仿宋" w:eastAsia="仿宋" w:cs="仿宋"/>
                <w:color w:val="auto"/>
                <w:sz w:val="21"/>
                <w:szCs w:val="21"/>
                <w:highlight w:val="none"/>
                <w:lang w:val="en-US" w:eastAsia="zh-CN"/>
              </w:rPr>
              <w:t>且</w:t>
            </w:r>
            <w:r>
              <w:rPr>
                <w:rFonts w:hint="eastAsia" w:ascii="仿宋" w:hAnsi="仿宋" w:eastAsia="仿宋" w:cs="仿宋"/>
                <w:color w:val="auto"/>
                <w:sz w:val="21"/>
                <w:szCs w:val="21"/>
                <w:highlight w:val="none"/>
              </w:rPr>
              <w:t>均持有有效的健康证，得</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分，少于</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人得</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没有不得分</w:t>
            </w:r>
            <w:r>
              <w:rPr>
                <w:rFonts w:hint="eastAsia" w:ascii="仿宋" w:hAnsi="仿宋" w:eastAsia="仿宋" w:cs="仿宋"/>
                <w:color w:val="auto"/>
                <w:sz w:val="21"/>
                <w:szCs w:val="21"/>
                <w:highlight w:val="none"/>
              </w:rPr>
              <w:t>。</w:t>
            </w:r>
          </w:p>
          <w:p w14:paraId="59462489">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（提供配送人员身份证及劳动合同复印件加盖公章）</w:t>
            </w:r>
          </w:p>
        </w:tc>
      </w:tr>
      <w:tr w14:paraId="5C23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1251" w:type="dxa"/>
            <w:vMerge w:val="continue"/>
            <w:noWrap w:val="0"/>
            <w:vAlign w:val="center"/>
          </w:tcPr>
          <w:p w14:paraId="021ADA55">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1712" w:type="dxa"/>
            <w:vMerge w:val="continue"/>
            <w:noWrap w:val="0"/>
            <w:vAlign w:val="center"/>
          </w:tcPr>
          <w:p w14:paraId="69F67F04">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863" w:type="dxa"/>
            <w:vMerge w:val="continue"/>
            <w:noWrap w:val="0"/>
            <w:vAlign w:val="center"/>
          </w:tcPr>
          <w:p w14:paraId="23D7BC03">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4485" w:type="dxa"/>
            <w:noWrap w:val="0"/>
            <w:vAlign w:val="center"/>
          </w:tcPr>
          <w:p w14:paraId="17A3460D">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针对本项目负责人员具备营养师、健康管理师，每有一项计1分，最多计</w:t>
            </w:r>
            <w:r>
              <w:rPr>
                <w:rFonts w:hint="eastAsia" w:cs="仿宋"/>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分。（提供人员身份证、证书、社保证明、劳动合同，且标书内附复印件加盖公章，否则不计分）</w:t>
            </w:r>
          </w:p>
        </w:tc>
      </w:tr>
      <w:tr w14:paraId="78B39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noWrap w:val="0"/>
            <w:vAlign w:val="center"/>
          </w:tcPr>
          <w:p w14:paraId="5D210533">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p>
        </w:tc>
        <w:tc>
          <w:tcPr>
            <w:tcW w:w="1712" w:type="dxa"/>
            <w:noWrap w:val="0"/>
            <w:vAlign w:val="center"/>
          </w:tcPr>
          <w:p w14:paraId="621D7055">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优惠条件及服务承诺</w:t>
            </w:r>
          </w:p>
        </w:tc>
        <w:tc>
          <w:tcPr>
            <w:tcW w:w="863" w:type="dxa"/>
            <w:noWrap w:val="0"/>
            <w:vAlign w:val="center"/>
          </w:tcPr>
          <w:p w14:paraId="01C2157E">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4485" w:type="dxa"/>
            <w:noWrap w:val="0"/>
            <w:vAlign w:val="center"/>
          </w:tcPr>
          <w:p w14:paraId="35FECB93">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b/>
                <w:bCs/>
                <w:color w:val="auto"/>
                <w:sz w:val="21"/>
                <w:szCs w:val="21"/>
                <w:highlight w:val="none"/>
              </w:rPr>
            </w:pPr>
            <w:r>
              <w:rPr>
                <w:rFonts w:hint="eastAsia" w:ascii="仿宋" w:hAnsi="仿宋" w:eastAsia="仿宋" w:cs="仿宋"/>
                <w:sz w:val="21"/>
                <w:szCs w:val="21"/>
                <w:highlight w:val="none"/>
              </w:rPr>
              <w:t>各投标人的服务承诺及优惠条件相互比较，优得</w:t>
            </w:r>
            <w:r>
              <w:rPr>
                <w:rFonts w:hint="eastAsia" w:ascii="仿宋" w:hAnsi="仿宋" w:eastAsia="仿宋" w:cs="仿宋"/>
                <w:sz w:val="21"/>
                <w:szCs w:val="21"/>
                <w:highlight w:val="none"/>
                <w:lang w:val="en-US" w:eastAsia="zh-CN"/>
              </w:rPr>
              <w:t>4-5</w:t>
            </w:r>
            <w:r>
              <w:rPr>
                <w:rFonts w:hint="eastAsia" w:ascii="仿宋" w:hAnsi="仿宋" w:eastAsia="仿宋" w:cs="仿宋"/>
                <w:sz w:val="21"/>
                <w:szCs w:val="21"/>
                <w:highlight w:val="none"/>
              </w:rPr>
              <w:t>分；良得</w:t>
            </w: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分；一般得1分；没有不得分。</w:t>
            </w:r>
          </w:p>
        </w:tc>
      </w:tr>
      <w:tr w14:paraId="1E071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restart"/>
            <w:noWrap w:val="0"/>
            <w:vAlign w:val="center"/>
          </w:tcPr>
          <w:p w14:paraId="30A8D905">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技术标评分标准</w:t>
            </w:r>
          </w:p>
          <w:p w14:paraId="58C3D2F7">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（服务方案）</w:t>
            </w:r>
          </w:p>
          <w:p w14:paraId="40A48DC3">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rPr>
            </w:pPr>
            <w:r>
              <w:rPr>
                <w:rFonts w:hint="eastAsia" w:cs="仿宋"/>
                <w:color w:val="auto"/>
                <w:sz w:val="21"/>
                <w:szCs w:val="21"/>
                <w:highlight w:val="none"/>
                <w:lang w:val="en-US" w:eastAsia="zh-CN"/>
              </w:rPr>
              <w:t>60</w:t>
            </w:r>
            <w:r>
              <w:rPr>
                <w:rFonts w:hint="eastAsia" w:ascii="仿宋" w:hAnsi="仿宋" w:eastAsia="仿宋" w:cs="仿宋"/>
                <w:color w:val="auto"/>
                <w:sz w:val="21"/>
                <w:szCs w:val="21"/>
                <w:highlight w:val="none"/>
                <w:lang w:val="en-US" w:eastAsia="zh-CN"/>
              </w:rPr>
              <w:t>分</w:t>
            </w:r>
          </w:p>
        </w:tc>
        <w:tc>
          <w:tcPr>
            <w:tcW w:w="1712" w:type="dxa"/>
            <w:noWrap w:val="0"/>
            <w:vAlign w:val="center"/>
          </w:tcPr>
          <w:p w14:paraId="0966AB81">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供餐服务方案</w:t>
            </w:r>
          </w:p>
        </w:tc>
        <w:tc>
          <w:tcPr>
            <w:tcW w:w="863" w:type="dxa"/>
            <w:noWrap w:val="0"/>
            <w:vAlign w:val="center"/>
          </w:tcPr>
          <w:p w14:paraId="026F7819">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eastAsia="zh-CN"/>
              </w:rPr>
              <w:t>10分</w:t>
            </w:r>
          </w:p>
        </w:tc>
        <w:tc>
          <w:tcPr>
            <w:tcW w:w="4485" w:type="dxa"/>
            <w:noWrap w:val="0"/>
            <w:vAlign w:val="center"/>
          </w:tcPr>
          <w:p w14:paraId="7B00C51A">
            <w:pPr>
              <w:keepNext w:val="0"/>
              <w:keepLines w:val="0"/>
              <w:widowControl/>
              <w:suppressLineNumbers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整体方案设想、工作职能及组织运行图、人员职责与管理方案及服务规范、服务标准、考核措施、有且科学合理得</w:t>
            </w:r>
            <w:r>
              <w:rPr>
                <w:rFonts w:hint="eastAsia" w:ascii="仿宋" w:hAnsi="仿宋" w:eastAsia="仿宋" w:cs="仿宋"/>
                <w:color w:val="auto"/>
                <w:sz w:val="21"/>
                <w:szCs w:val="21"/>
                <w:highlight w:val="none"/>
                <w:lang w:val="en-US" w:eastAsia="zh-CN"/>
              </w:rPr>
              <w:t>7-10</w:t>
            </w:r>
            <w:r>
              <w:rPr>
                <w:rFonts w:hint="eastAsia" w:ascii="仿宋" w:hAnsi="仿宋" w:eastAsia="仿宋" w:cs="仿宋"/>
                <w:color w:val="auto"/>
                <w:sz w:val="21"/>
                <w:szCs w:val="21"/>
                <w:highlight w:val="none"/>
              </w:rPr>
              <w:t>分；一般得</w:t>
            </w:r>
            <w:r>
              <w:rPr>
                <w:rFonts w:hint="eastAsia" w:ascii="仿宋" w:hAnsi="仿宋" w:eastAsia="仿宋" w:cs="仿宋"/>
                <w:color w:val="auto"/>
                <w:sz w:val="21"/>
                <w:szCs w:val="21"/>
                <w:highlight w:val="none"/>
                <w:lang w:val="en-US" w:eastAsia="zh-CN"/>
              </w:rPr>
              <w:t>4-6</w:t>
            </w:r>
            <w:r>
              <w:rPr>
                <w:rFonts w:hint="eastAsia" w:ascii="仿宋" w:hAnsi="仿宋" w:eastAsia="仿宋" w:cs="仿宋"/>
                <w:color w:val="auto"/>
                <w:sz w:val="21"/>
                <w:szCs w:val="21"/>
                <w:highlight w:val="none"/>
              </w:rPr>
              <w:t>分；较差得</w:t>
            </w: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分；没有不得分。</w:t>
            </w:r>
          </w:p>
        </w:tc>
      </w:tr>
      <w:tr w14:paraId="009C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tcBorders>
              <w:top w:val="nil"/>
            </w:tcBorders>
            <w:noWrap w:val="0"/>
            <w:vAlign w:val="center"/>
          </w:tcPr>
          <w:p w14:paraId="38617661">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712" w:type="dxa"/>
            <w:noWrap w:val="0"/>
            <w:vAlign w:val="center"/>
          </w:tcPr>
          <w:p w14:paraId="74C65D17">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食品安全保证措施</w:t>
            </w:r>
          </w:p>
        </w:tc>
        <w:tc>
          <w:tcPr>
            <w:tcW w:w="863" w:type="dxa"/>
            <w:noWrap w:val="0"/>
            <w:vAlign w:val="center"/>
          </w:tcPr>
          <w:p w14:paraId="45E429F1">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p>
        </w:tc>
        <w:tc>
          <w:tcPr>
            <w:tcW w:w="4485" w:type="dxa"/>
            <w:noWrap w:val="0"/>
            <w:vAlign w:val="center"/>
          </w:tcPr>
          <w:p w14:paraId="13F5F94E">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在食品安全控制方案完善、合理、可行，优得</w:t>
            </w:r>
            <w:r>
              <w:rPr>
                <w:rFonts w:hint="eastAsia" w:ascii="仿宋" w:hAnsi="仿宋" w:eastAsia="仿宋" w:cs="仿宋"/>
                <w:color w:val="auto"/>
                <w:sz w:val="21"/>
                <w:szCs w:val="21"/>
                <w:highlight w:val="none"/>
                <w:lang w:val="en-US" w:eastAsia="zh-CN"/>
              </w:rPr>
              <w:t>7-10</w:t>
            </w:r>
            <w:r>
              <w:rPr>
                <w:rFonts w:hint="eastAsia" w:ascii="仿宋" w:hAnsi="仿宋" w:eastAsia="仿宋" w:cs="仿宋"/>
                <w:color w:val="auto"/>
                <w:sz w:val="21"/>
                <w:szCs w:val="21"/>
                <w:highlight w:val="none"/>
              </w:rPr>
              <w:t>分；一般得</w:t>
            </w:r>
            <w:r>
              <w:rPr>
                <w:rFonts w:hint="eastAsia" w:ascii="仿宋" w:hAnsi="仿宋" w:eastAsia="仿宋" w:cs="仿宋"/>
                <w:color w:val="auto"/>
                <w:sz w:val="21"/>
                <w:szCs w:val="21"/>
                <w:highlight w:val="none"/>
                <w:lang w:val="en-US" w:eastAsia="zh-CN"/>
              </w:rPr>
              <w:t>4-6</w:t>
            </w:r>
            <w:r>
              <w:rPr>
                <w:rFonts w:hint="eastAsia" w:ascii="仿宋" w:hAnsi="仿宋" w:eastAsia="仿宋" w:cs="仿宋"/>
                <w:color w:val="auto"/>
                <w:sz w:val="21"/>
                <w:szCs w:val="21"/>
                <w:highlight w:val="none"/>
              </w:rPr>
              <w:t>分；较差得</w:t>
            </w: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分；没有不得分。</w:t>
            </w:r>
          </w:p>
        </w:tc>
      </w:tr>
      <w:tr w14:paraId="013CB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tcBorders>
              <w:top w:val="nil"/>
            </w:tcBorders>
            <w:noWrap w:val="0"/>
            <w:vAlign w:val="center"/>
          </w:tcPr>
          <w:p w14:paraId="26688BEC">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712" w:type="dxa"/>
            <w:vMerge w:val="restart"/>
            <w:noWrap w:val="0"/>
            <w:vAlign w:val="center"/>
          </w:tcPr>
          <w:p w14:paraId="5AF07BF4">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人员配置方案及设备投入</w:t>
            </w:r>
          </w:p>
        </w:tc>
        <w:tc>
          <w:tcPr>
            <w:tcW w:w="863" w:type="dxa"/>
            <w:vMerge w:val="restart"/>
            <w:noWrap w:val="0"/>
            <w:vAlign w:val="center"/>
          </w:tcPr>
          <w:p w14:paraId="29D45681">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10分</w:t>
            </w:r>
          </w:p>
        </w:tc>
        <w:tc>
          <w:tcPr>
            <w:tcW w:w="4485" w:type="dxa"/>
            <w:noWrap w:val="0"/>
            <w:vAlign w:val="center"/>
          </w:tcPr>
          <w:p w14:paraId="199499CF">
            <w:pPr>
              <w:keepNext w:val="0"/>
              <w:keepLines w:val="0"/>
              <w:widowControl/>
              <w:suppressLineNumbers w:val="0"/>
              <w:spacing w:before="0" w:beforeAutospacing="0" w:after="6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spacing w:val="-10"/>
                <w:sz w:val="21"/>
                <w:szCs w:val="21"/>
                <w:highlight w:val="none"/>
              </w:rPr>
              <w:t>拟投入本项目的管理人员专业齐全，人员持证上岗，能够最大化满足招标人需求优得</w:t>
            </w:r>
            <w:r>
              <w:rPr>
                <w:rFonts w:hint="eastAsia" w:ascii="仿宋" w:hAnsi="仿宋" w:eastAsia="仿宋" w:cs="仿宋"/>
                <w:spacing w:val="-10"/>
                <w:sz w:val="21"/>
                <w:szCs w:val="21"/>
                <w:highlight w:val="none"/>
                <w:lang w:val="en-US" w:eastAsia="zh-CN"/>
              </w:rPr>
              <w:t>4-5</w:t>
            </w:r>
            <w:r>
              <w:rPr>
                <w:rFonts w:hint="eastAsia" w:ascii="仿宋" w:hAnsi="仿宋" w:eastAsia="仿宋" w:cs="仿宋"/>
                <w:spacing w:val="-10"/>
                <w:sz w:val="21"/>
                <w:szCs w:val="21"/>
                <w:highlight w:val="none"/>
              </w:rPr>
              <w:t>分；一般得</w:t>
            </w:r>
            <w:r>
              <w:rPr>
                <w:rFonts w:hint="eastAsia" w:ascii="仿宋" w:hAnsi="仿宋" w:eastAsia="仿宋" w:cs="仿宋"/>
                <w:spacing w:val="-10"/>
                <w:sz w:val="21"/>
                <w:szCs w:val="21"/>
                <w:highlight w:val="none"/>
                <w:lang w:val="en-US" w:eastAsia="zh-CN"/>
              </w:rPr>
              <w:t>2-3</w:t>
            </w:r>
            <w:r>
              <w:rPr>
                <w:rFonts w:hint="eastAsia" w:ascii="仿宋" w:hAnsi="仿宋" w:eastAsia="仿宋" w:cs="仿宋"/>
                <w:spacing w:val="-10"/>
                <w:sz w:val="21"/>
                <w:szCs w:val="21"/>
                <w:highlight w:val="none"/>
              </w:rPr>
              <w:t>分；基本满足得1分；没有不得分。</w:t>
            </w:r>
          </w:p>
        </w:tc>
      </w:tr>
      <w:tr w14:paraId="04A5F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noWrap w:val="0"/>
            <w:vAlign w:val="center"/>
          </w:tcPr>
          <w:p w14:paraId="0FFF735F">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1712" w:type="dxa"/>
            <w:vMerge w:val="continue"/>
            <w:noWrap w:val="0"/>
            <w:vAlign w:val="center"/>
          </w:tcPr>
          <w:p w14:paraId="7CC5321A">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863" w:type="dxa"/>
            <w:vMerge w:val="continue"/>
            <w:noWrap w:val="0"/>
            <w:vAlign w:val="center"/>
          </w:tcPr>
          <w:p w14:paraId="4294345D">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4485" w:type="dxa"/>
            <w:noWrap w:val="0"/>
            <w:vAlign w:val="center"/>
          </w:tcPr>
          <w:p w14:paraId="785B6663">
            <w:pPr>
              <w:keepNext w:val="0"/>
              <w:keepLines w:val="0"/>
              <w:widowControl/>
              <w:suppressLineNumbers w:val="0"/>
              <w:spacing w:before="0" w:beforeAutospacing="0" w:after="6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拟投入本项目的设备配置情况相互比较，最大化满足招标人需求优得</w:t>
            </w:r>
            <w:r>
              <w:rPr>
                <w:rFonts w:hint="eastAsia" w:ascii="仿宋" w:hAnsi="仿宋" w:eastAsia="仿宋" w:cs="仿宋"/>
                <w:sz w:val="21"/>
                <w:szCs w:val="21"/>
                <w:highlight w:val="none"/>
                <w:lang w:val="en-US" w:eastAsia="zh-CN"/>
              </w:rPr>
              <w:t>4-5</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分</w:t>
            </w:r>
            <w:r>
              <w:rPr>
                <w:rFonts w:hint="eastAsia" w:ascii="仿宋" w:hAnsi="仿宋" w:eastAsia="仿宋" w:cs="仿宋"/>
                <w:spacing w:val="-10"/>
                <w:sz w:val="21"/>
                <w:szCs w:val="21"/>
                <w:highlight w:val="none"/>
              </w:rPr>
              <w:t>；基本满足得1分；没有不得分。</w:t>
            </w:r>
          </w:p>
        </w:tc>
      </w:tr>
      <w:tr w14:paraId="2077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tcBorders>
              <w:top w:val="nil"/>
            </w:tcBorders>
            <w:noWrap w:val="0"/>
            <w:vAlign w:val="center"/>
          </w:tcPr>
          <w:p w14:paraId="58BB0E26">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712" w:type="dxa"/>
            <w:vMerge w:val="restart"/>
            <w:noWrap w:val="0"/>
            <w:vAlign w:val="center"/>
          </w:tcPr>
          <w:p w14:paraId="7DE95B5D">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场地整合方案及卫生环境管理方案</w:t>
            </w:r>
          </w:p>
        </w:tc>
        <w:tc>
          <w:tcPr>
            <w:tcW w:w="863" w:type="dxa"/>
            <w:vMerge w:val="restart"/>
            <w:noWrap w:val="0"/>
            <w:vAlign w:val="center"/>
          </w:tcPr>
          <w:p w14:paraId="3E5B7EB3">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4485" w:type="dxa"/>
            <w:noWrap w:val="0"/>
            <w:vAlign w:val="center"/>
          </w:tcPr>
          <w:p w14:paraId="1453B84E">
            <w:pPr>
              <w:keepNext w:val="0"/>
              <w:keepLines w:val="0"/>
              <w:widowControl/>
              <w:suppressLineNumbers w:val="0"/>
              <w:spacing w:before="0" w:beforeAutospacing="0" w:after="6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食品加工场地划分、处理等方案完善、合理、可行，优得</w:t>
            </w:r>
            <w:r>
              <w:rPr>
                <w:rFonts w:hint="eastAsia" w:ascii="仿宋" w:hAnsi="仿宋" w:eastAsia="仿宋" w:cs="仿宋"/>
                <w:sz w:val="21"/>
                <w:szCs w:val="21"/>
                <w:highlight w:val="none"/>
                <w:lang w:val="en-US" w:eastAsia="zh-CN"/>
              </w:rPr>
              <w:t>4-5</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分；</w:t>
            </w:r>
            <w:r>
              <w:rPr>
                <w:rFonts w:hint="eastAsia" w:ascii="仿宋" w:hAnsi="仿宋" w:eastAsia="仿宋" w:cs="仿宋"/>
                <w:spacing w:val="-10"/>
                <w:sz w:val="21"/>
                <w:szCs w:val="21"/>
                <w:highlight w:val="none"/>
              </w:rPr>
              <w:t>基本满足得1分；没有不得分</w:t>
            </w:r>
            <w:r>
              <w:rPr>
                <w:rFonts w:hint="eastAsia" w:ascii="仿宋" w:hAnsi="仿宋" w:eastAsia="仿宋" w:cs="仿宋"/>
                <w:sz w:val="21"/>
                <w:szCs w:val="21"/>
                <w:highlight w:val="none"/>
              </w:rPr>
              <w:t>。</w:t>
            </w:r>
          </w:p>
        </w:tc>
      </w:tr>
      <w:tr w14:paraId="74F3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noWrap w:val="0"/>
            <w:vAlign w:val="center"/>
          </w:tcPr>
          <w:p w14:paraId="3571DE3E">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1712" w:type="dxa"/>
            <w:vMerge w:val="continue"/>
            <w:noWrap w:val="0"/>
            <w:vAlign w:val="center"/>
          </w:tcPr>
          <w:p w14:paraId="56C2B9CF">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863" w:type="dxa"/>
            <w:vMerge w:val="continue"/>
            <w:noWrap w:val="0"/>
            <w:vAlign w:val="center"/>
          </w:tcPr>
          <w:p w14:paraId="208BCFF8">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4485" w:type="dxa"/>
            <w:noWrap w:val="0"/>
            <w:vAlign w:val="center"/>
          </w:tcPr>
          <w:p w14:paraId="78AFBD44">
            <w:pPr>
              <w:keepNext w:val="0"/>
              <w:keepLines w:val="0"/>
              <w:widowControl/>
              <w:suppressLineNumbers w:val="0"/>
              <w:spacing w:before="0" w:beforeAutospacing="0" w:after="6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食品卫生、人员卫生、环境卫生，垃圾处理等控制方案完善、合理、可行，优得</w:t>
            </w:r>
            <w:r>
              <w:rPr>
                <w:rFonts w:hint="eastAsia" w:ascii="仿宋" w:hAnsi="仿宋" w:eastAsia="仿宋" w:cs="仿宋"/>
                <w:sz w:val="21"/>
                <w:szCs w:val="21"/>
                <w:highlight w:val="none"/>
                <w:lang w:val="en-US" w:eastAsia="zh-CN"/>
              </w:rPr>
              <w:t>4-5</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分；</w:t>
            </w:r>
            <w:r>
              <w:rPr>
                <w:rFonts w:hint="eastAsia" w:ascii="仿宋" w:hAnsi="仿宋" w:eastAsia="仿宋" w:cs="仿宋"/>
                <w:spacing w:val="-10"/>
                <w:sz w:val="21"/>
                <w:szCs w:val="21"/>
                <w:highlight w:val="none"/>
              </w:rPr>
              <w:t>基本满足得1分；没有不得分</w:t>
            </w:r>
            <w:r>
              <w:rPr>
                <w:rFonts w:hint="eastAsia" w:ascii="仿宋" w:hAnsi="仿宋" w:eastAsia="仿宋" w:cs="仿宋"/>
                <w:sz w:val="21"/>
                <w:szCs w:val="21"/>
                <w:highlight w:val="none"/>
              </w:rPr>
              <w:t>。</w:t>
            </w:r>
          </w:p>
        </w:tc>
      </w:tr>
      <w:tr w14:paraId="4E25E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51" w:type="dxa"/>
            <w:vMerge w:val="continue"/>
            <w:tcBorders>
              <w:top w:val="nil"/>
            </w:tcBorders>
            <w:noWrap w:val="0"/>
            <w:vAlign w:val="center"/>
          </w:tcPr>
          <w:p w14:paraId="366330A3">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712" w:type="dxa"/>
            <w:vMerge w:val="restart"/>
            <w:noWrap w:val="0"/>
            <w:vAlign w:val="center"/>
          </w:tcPr>
          <w:p w14:paraId="1839C2CF">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菜谱方案</w:t>
            </w:r>
          </w:p>
        </w:tc>
        <w:tc>
          <w:tcPr>
            <w:tcW w:w="863" w:type="dxa"/>
            <w:vMerge w:val="restart"/>
            <w:noWrap w:val="0"/>
            <w:vAlign w:val="center"/>
          </w:tcPr>
          <w:p w14:paraId="4C9610F7">
            <w:pPr>
              <w:keepNext w:val="0"/>
              <w:keepLines w:val="0"/>
              <w:widowControl/>
              <w:suppressLineNumbers w:val="0"/>
              <w:bidi w:val="0"/>
              <w:spacing w:before="0" w:beforeAutospacing="0" w:after="0" w:afterAutospacing="0" w:line="240" w:lineRule="auto"/>
              <w:ind w:left="0" w:leftChars="0" w:right="0" w:rightChars="0" w:firstLine="0" w:firstLineChars="0"/>
              <w:jc w:val="center"/>
              <w:rPr>
                <w:rFonts w:hint="eastAsia" w:ascii="仿宋" w:hAnsi="仿宋" w:eastAsia="仿宋" w:cs="仿宋"/>
                <w:color w:val="auto"/>
                <w:sz w:val="21"/>
                <w:szCs w:val="21"/>
                <w:highlight w:val="none"/>
                <w:lang w:val="en-US" w:eastAsia="zh-CN"/>
              </w:rPr>
            </w:pPr>
            <w:r>
              <w:rPr>
                <w:rFonts w:hint="eastAsia" w:cs="仿宋"/>
                <w:sz w:val="21"/>
                <w:szCs w:val="21"/>
                <w:highlight w:val="none"/>
                <w:lang w:val="en-US" w:eastAsia="zh-CN"/>
              </w:rPr>
              <w:t>10</w:t>
            </w:r>
            <w:r>
              <w:rPr>
                <w:rFonts w:hint="eastAsia" w:ascii="仿宋" w:hAnsi="仿宋" w:eastAsia="仿宋" w:cs="仿宋"/>
                <w:sz w:val="21"/>
                <w:szCs w:val="21"/>
                <w:highlight w:val="none"/>
              </w:rPr>
              <w:t>分</w:t>
            </w:r>
          </w:p>
        </w:tc>
        <w:tc>
          <w:tcPr>
            <w:tcW w:w="4485" w:type="dxa"/>
            <w:noWrap w:val="0"/>
            <w:vAlign w:val="center"/>
          </w:tcPr>
          <w:p w14:paraId="63F118D7">
            <w:pPr>
              <w:keepNext w:val="0"/>
              <w:keepLines w:val="0"/>
              <w:widowControl/>
              <w:suppressLineNumbers w:val="0"/>
              <w:spacing w:before="0" w:beforeAutospacing="0" w:after="60" w:afterAutospacing="0" w:line="240" w:lineRule="auto"/>
              <w:ind w:left="0" w:leftChars="0" w:right="0" w:rightChars="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提供一周菜品及营养控制方案完善、合理、可行满足用餐服务需求优得</w:t>
            </w:r>
            <w:r>
              <w:rPr>
                <w:rFonts w:hint="eastAsia" w:ascii="仿宋" w:hAnsi="仿宋" w:eastAsia="仿宋" w:cs="仿宋"/>
                <w:sz w:val="21"/>
                <w:szCs w:val="21"/>
                <w:highlight w:val="none"/>
                <w:lang w:val="en-US" w:eastAsia="zh-CN"/>
              </w:rPr>
              <w:t>4-5</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分；</w:t>
            </w:r>
            <w:r>
              <w:rPr>
                <w:rFonts w:hint="eastAsia" w:ascii="仿宋" w:hAnsi="仿宋" w:eastAsia="仿宋" w:cs="仿宋"/>
                <w:spacing w:val="-10"/>
                <w:sz w:val="21"/>
                <w:szCs w:val="21"/>
                <w:highlight w:val="none"/>
              </w:rPr>
              <w:t>基本满足得1分；没有不得分</w:t>
            </w:r>
            <w:r>
              <w:rPr>
                <w:rFonts w:hint="eastAsia" w:ascii="仿宋" w:hAnsi="仿宋" w:eastAsia="仿宋" w:cs="仿宋"/>
                <w:sz w:val="21"/>
                <w:szCs w:val="21"/>
                <w:highlight w:val="none"/>
              </w:rPr>
              <w:t>。</w:t>
            </w:r>
          </w:p>
        </w:tc>
      </w:tr>
      <w:tr w14:paraId="27584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51" w:type="dxa"/>
            <w:vMerge w:val="continue"/>
            <w:noWrap w:val="0"/>
            <w:vAlign w:val="center"/>
          </w:tcPr>
          <w:p w14:paraId="1723E5F7">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1712" w:type="dxa"/>
            <w:vMerge w:val="continue"/>
            <w:noWrap w:val="0"/>
            <w:vAlign w:val="center"/>
          </w:tcPr>
          <w:p w14:paraId="5C3728ED">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sz w:val="21"/>
                <w:szCs w:val="21"/>
                <w:highlight w:val="none"/>
              </w:rPr>
            </w:pPr>
          </w:p>
        </w:tc>
        <w:tc>
          <w:tcPr>
            <w:tcW w:w="863" w:type="dxa"/>
            <w:vMerge w:val="continue"/>
            <w:noWrap w:val="0"/>
            <w:vAlign w:val="center"/>
          </w:tcPr>
          <w:p w14:paraId="6EF15ADE">
            <w:pPr>
              <w:keepNext w:val="0"/>
              <w:keepLines w:val="0"/>
              <w:widowControl/>
              <w:suppressLineNumbers w:val="0"/>
              <w:bidi w:val="0"/>
              <w:spacing w:before="0" w:beforeAutospacing="0" w:after="0" w:afterAutospacing="0" w:line="240" w:lineRule="auto"/>
              <w:ind w:left="0" w:leftChars="0" w:right="0" w:rightChars="0" w:firstLine="0" w:firstLineChars="0"/>
              <w:rPr>
                <w:rFonts w:hint="eastAsia" w:ascii="仿宋" w:hAnsi="仿宋" w:eastAsia="仿宋" w:cs="仿宋"/>
                <w:sz w:val="21"/>
                <w:szCs w:val="21"/>
                <w:highlight w:val="none"/>
              </w:rPr>
            </w:pPr>
          </w:p>
        </w:tc>
        <w:tc>
          <w:tcPr>
            <w:tcW w:w="4485" w:type="dxa"/>
            <w:noWrap w:val="0"/>
            <w:vAlign w:val="center"/>
          </w:tcPr>
          <w:p w14:paraId="10C5B93F">
            <w:pPr>
              <w:keepNext w:val="0"/>
              <w:keepLines w:val="0"/>
              <w:widowControl/>
              <w:suppressLineNumbers w:val="0"/>
              <w:spacing w:before="0" w:beforeAutospacing="0" w:after="60" w:afterAutospacing="0" w:line="240" w:lineRule="auto"/>
              <w:ind w:left="0" w:leftChars="0" w:right="0" w:rightChars="0" w:firstLine="0" w:firstLineChars="0"/>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原材料采购管理方案和进货渠道，能够提供各种食材的质检报告，具有食材追溯机制和手段，控制方案完善、合理、可行，优得</w:t>
            </w:r>
            <w:r>
              <w:rPr>
                <w:rFonts w:hint="eastAsia" w:ascii="仿宋" w:hAnsi="仿宋" w:eastAsia="仿宋" w:cs="仿宋"/>
                <w:sz w:val="21"/>
                <w:szCs w:val="21"/>
                <w:highlight w:val="none"/>
                <w:lang w:val="en-US" w:eastAsia="zh-CN"/>
              </w:rPr>
              <w:t>4-5</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分；</w:t>
            </w:r>
            <w:r>
              <w:rPr>
                <w:rFonts w:hint="eastAsia" w:ascii="仿宋" w:hAnsi="仿宋" w:eastAsia="仿宋" w:cs="仿宋"/>
                <w:spacing w:val="-10"/>
                <w:sz w:val="21"/>
                <w:szCs w:val="21"/>
                <w:highlight w:val="none"/>
              </w:rPr>
              <w:t>基本满足得1分；没有不得分</w:t>
            </w:r>
            <w:r>
              <w:rPr>
                <w:rFonts w:hint="eastAsia" w:ascii="仿宋" w:hAnsi="仿宋" w:eastAsia="仿宋" w:cs="仿宋"/>
                <w:sz w:val="21"/>
                <w:szCs w:val="21"/>
                <w:highlight w:val="none"/>
              </w:rPr>
              <w:t>。</w:t>
            </w:r>
          </w:p>
        </w:tc>
      </w:tr>
      <w:tr w14:paraId="77B92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51" w:type="dxa"/>
            <w:vMerge w:val="continue"/>
            <w:tcBorders>
              <w:top w:val="nil"/>
            </w:tcBorders>
            <w:noWrap w:val="0"/>
            <w:vAlign w:val="center"/>
          </w:tcPr>
          <w:p w14:paraId="6FC586B9">
            <w:pPr>
              <w:keepNext w:val="0"/>
              <w:keepLines w:val="0"/>
              <w:widowControl/>
              <w:suppressLineNumbers w:val="0"/>
              <w:bidi w:val="0"/>
              <w:spacing w:before="0" w:beforeAutospacing="0" w:after="0" w:afterAutospacing="0" w:line="240" w:lineRule="auto"/>
              <w:ind w:left="0" w:right="0"/>
              <w:rPr>
                <w:rFonts w:hint="eastAsia" w:ascii="仿宋" w:hAnsi="仿宋" w:eastAsia="仿宋" w:cs="仿宋"/>
                <w:color w:val="auto"/>
                <w:sz w:val="21"/>
                <w:szCs w:val="21"/>
                <w:highlight w:val="none"/>
              </w:rPr>
            </w:pPr>
          </w:p>
        </w:tc>
        <w:tc>
          <w:tcPr>
            <w:tcW w:w="1712" w:type="dxa"/>
            <w:noWrap w:val="0"/>
            <w:vAlign w:val="center"/>
          </w:tcPr>
          <w:p w14:paraId="2033CA33">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紧急情况处理措施</w:t>
            </w:r>
          </w:p>
        </w:tc>
        <w:tc>
          <w:tcPr>
            <w:tcW w:w="863" w:type="dxa"/>
            <w:noWrap w:val="0"/>
            <w:vAlign w:val="center"/>
          </w:tcPr>
          <w:p w14:paraId="277F625F">
            <w:pPr>
              <w:keepNext w:val="0"/>
              <w:keepLines w:val="0"/>
              <w:widowControl/>
              <w:suppressLineNumbers w:val="0"/>
              <w:bidi w:val="0"/>
              <w:spacing w:before="0" w:beforeAutospacing="0" w:after="0" w:afterAutospacing="0" w:line="240" w:lineRule="auto"/>
              <w:ind w:left="0" w:leftChars="0" w:right="0"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 xml:space="preserve"> 分</w:t>
            </w:r>
          </w:p>
        </w:tc>
        <w:tc>
          <w:tcPr>
            <w:tcW w:w="4485" w:type="dxa"/>
            <w:noWrap w:val="0"/>
            <w:vAlign w:val="center"/>
          </w:tcPr>
          <w:p w14:paraId="2DB7BD1C">
            <w:pPr>
              <w:keepNext w:val="0"/>
              <w:keepLines w:val="0"/>
              <w:widowControl/>
              <w:suppressLineNumbers w:val="0"/>
              <w:bidi w:val="0"/>
              <w:spacing w:before="0" w:beforeAutospacing="0" w:after="0" w:afterAutospacing="0" w:line="240" w:lineRule="auto"/>
              <w:ind w:left="0" w:leftChars="0" w:right="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紧急情况处理措施符合实际、能够提供完善、全面、可行的措施，</w:t>
            </w:r>
            <w:r>
              <w:rPr>
                <w:rFonts w:hint="eastAsia" w:ascii="仿宋" w:hAnsi="仿宋" w:eastAsia="仿宋" w:cs="仿宋"/>
                <w:sz w:val="21"/>
                <w:szCs w:val="21"/>
                <w:highlight w:val="none"/>
              </w:rPr>
              <w:t>优得</w:t>
            </w:r>
            <w:r>
              <w:rPr>
                <w:rFonts w:hint="eastAsia" w:ascii="仿宋" w:hAnsi="仿宋" w:eastAsia="仿宋" w:cs="仿宋"/>
                <w:sz w:val="21"/>
                <w:szCs w:val="21"/>
                <w:highlight w:val="none"/>
                <w:lang w:val="en-US" w:eastAsia="zh-CN"/>
              </w:rPr>
              <w:t>7-10</w:t>
            </w:r>
            <w:r>
              <w:rPr>
                <w:rFonts w:hint="eastAsia" w:ascii="仿宋" w:hAnsi="仿宋" w:eastAsia="仿宋" w:cs="仿宋"/>
                <w:sz w:val="21"/>
                <w:szCs w:val="21"/>
                <w:highlight w:val="none"/>
              </w:rPr>
              <w:t>分；一般得</w:t>
            </w:r>
            <w:r>
              <w:rPr>
                <w:rFonts w:hint="eastAsia" w:ascii="仿宋" w:hAnsi="仿宋" w:eastAsia="仿宋" w:cs="仿宋"/>
                <w:sz w:val="21"/>
                <w:szCs w:val="21"/>
                <w:highlight w:val="none"/>
                <w:lang w:val="en-US" w:eastAsia="zh-CN"/>
              </w:rPr>
              <w:t>4-6</w:t>
            </w:r>
            <w:r>
              <w:rPr>
                <w:rFonts w:hint="eastAsia" w:ascii="仿宋" w:hAnsi="仿宋" w:eastAsia="仿宋" w:cs="仿宋"/>
                <w:sz w:val="21"/>
                <w:szCs w:val="21"/>
                <w:highlight w:val="none"/>
              </w:rPr>
              <w:t>分；较差得</w:t>
            </w:r>
            <w:r>
              <w:rPr>
                <w:rFonts w:hint="eastAsia" w:ascii="仿宋" w:hAnsi="仿宋" w:eastAsia="仿宋" w:cs="仿宋"/>
                <w:sz w:val="21"/>
                <w:szCs w:val="21"/>
                <w:highlight w:val="none"/>
                <w:lang w:val="en-US" w:eastAsia="zh-CN"/>
              </w:rPr>
              <w:t>1-3</w:t>
            </w:r>
            <w:r>
              <w:rPr>
                <w:rFonts w:hint="eastAsia" w:ascii="仿宋" w:hAnsi="仿宋" w:eastAsia="仿宋" w:cs="仿宋"/>
                <w:sz w:val="21"/>
                <w:szCs w:val="21"/>
                <w:highlight w:val="none"/>
              </w:rPr>
              <w:t>分；没有不得分。</w:t>
            </w:r>
          </w:p>
        </w:tc>
      </w:tr>
    </w:tbl>
    <w:p w14:paraId="7045D7AF">
      <w:pPr>
        <w:ind w:left="0" w:leftChars="0" w:firstLine="0" w:firstLineChars="0"/>
        <w:rPr>
          <w:rFonts w:hint="eastAsia" w:ascii="仿宋" w:hAnsi="仿宋" w:eastAsia="仿宋" w:cs="仿宋"/>
          <w:highlight w:val="none"/>
        </w:rPr>
      </w:pPr>
    </w:p>
    <w:p w14:paraId="0039F142">
      <w:pPr>
        <w:pStyle w:val="2"/>
        <w:rPr>
          <w:rFonts w:hint="eastAsia" w:ascii="仿宋" w:hAnsi="仿宋" w:eastAsia="仿宋" w:cs="仿宋"/>
          <w:highlight w:val="none"/>
        </w:rPr>
      </w:pPr>
    </w:p>
    <w:bookmarkEnd w:id="69"/>
    <w:bookmarkEnd w:id="70"/>
    <w:bookmarkEnd w:id="71"/>
    <w:bookmarkEnd w:id="72"/>
    <w:bookmarkEnd w:id="73"/>
    <w:bookmarkEnd w:id="74"/>
    <w:bookmarkEnd w:id="75"/>
    <w:bookmarkEnd w:id="76"/>
    <w:bookmarkEnd w:id="77"/>
    <w:bookmarkEnd w:id="81"/>
    <w:bookmarkEnd w:id="82"/>
    <w:p w14:paraId="77DFFA9B">
      <w:pPr>
        <w:pStyle w:val="4"/>
        <w:bidi w:val="0"/>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lang w:val="en-US" w:eastAsia="zh-CN"/>
        </w:rPr>
        <w:br w:type="page"/>
      </w:r>
      <w:bookmarkStart w:id="84" w:name="_Toc14156"/>
      <w:r>
        <w:rPr>
          <w:rFonts w:hint="eastAsia" w:ascii="仿宋" w:hAnsi="仿宋" w:eastAsia="仿宋" w:cs="仿宋"/>
          <w:sz w:val="36"/>
          <w:szCs w:val="36"/>
          <w:highlight w:val="none"/>
          <w:lang w:val="en-US" w:eastAsia="zh-CN"/>
        </w:rPr>
        <w:t>第四章 服务要求</w:t>
      </w:r>
      <w:bookmarkEnd w:id="84"/>
    </w:p>
    <w:p w14:paraId="717C62C8">
      <w:pPr>
        <w:spacing w:line="360" w:lineRule="auto"/>
        <w:ind w:left="0" w:leftChars="0" w:firstLine="0" w:firstLineChars="0"/>
        <w:rPr>
          <w:rFonts w:hint="eastAsia" w:ascii="仿宋" w:hAnsi="仿宋" w:eastAsia="仿宋" w:cs="仿宋"/>
          <w:b w:val="0"/>
          <w:bCs/>
          <w:sz w:val="24"/>
          <w:szCs w:val="24"/>
          <w:highlight w:val="none"/>
          <w:lang w:eastAsia="zh-CN"/>
        </w:rPr>
      </w:pPr>
      <w:bookmarkStart w:id="85" w:name="_Toc6025"/>
      <w:r>
        <w:rPr>
          <w:rFonts w:hint="eastAsia" w:ascii="仿宋" w:hAnsi="仿宋" w:eastAsia="仿宋" w:cs="仿宋"/>
          <w:b/>
          <w:sz w:val="24"/>
          <w:szCs w:val="24"/>
          <w:highlight w:val="none"/>
        </w:rPr>
        <w:t>一</w:t>
      </w:r>
      <w:r>
        <w:rPr>
          <w:rFonts w:hint="eastAsia" w:ascii="仿宋" w:hAnsi="仿宋" w:eastAsia="仿宋" w:cs="仿宋"/>
          <w:b w:val="0"/>
          <w:bCs/>
          <w:sz w:val="24"/>
          <w:szCs w:val="24"/>
          <w:highlight w:val="none"/>
        </w:rPr>
        <w:t>、项目名称：</w:t>
      </w:r>
      <w:r>
        <w:rPr>
          <w:rFonts w:hint="eastAsia" w:ascii="仿宋" w:hAnsi="仿宋" w:eastAsia="仿宋" w:cs="仿宋"/>
          <w:b w:val="0"/>
          <w:bCs/>
          <w:sz w:val="24"/>
          <w:szCs w:val="24"/>
          <w:highlight w:val="none"/>
          <w:lang w:eastAsia="zh-CN"/>
        </w:rPr>
        <w:t>吉林市丰满区第二实验小学校教师配餐服务项目</w:t>
      </w:r>
    </w:p>
    <w:p w14:paraId="7FE206E3">
      <w:pPr>
        <w:spacing w:line="360" w:lineRule="auto"/>
        <w:ind w:left="0" w:leftChars="0" w:firstLine="0" w:firstLineChars="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二、招标编号：</w:t>
      </w:r>
      <w:r>
        <w:rPr>
          <w:rFonts w:hint="eastAsia" w:cs="仿宋"/>
          <w:b w:val="0"/>
          <w:bCs/>
          <w:sz w:val="24"/>
          <w:szCs w:val="24"/>
          <w:highlight w:val="none"/>
          <w:lang w:eastAsia="zh-CN"/>
        </w:rPr>
        <w:t>采购计划-[2024]-00084号-ZYCXZB027</w:t>
      </w:r>
      <w:r>
        <w:rPr>
          <w:rFonts w:hint="eastAsia" w:ascii="仿宋" w:hAnsi="仿宋" w:eastAsia="仿宋" w:cs="仿宋"/>
          <w:b w:val="0"/>
          <w:bCs/>
          <w:sz w:val="24"/>
          <w:szCs w:val="24"/>
          <w:highlight w:val="none"/>
          <w:lang w:eastAsia="zh-CN"/>
        </w:rPr>
        <w:t xml:space="preserve"> </w:t>
      </w:r>
    </w:p>
    <w:p w14:paraId="2C000318">
      <w:pPr>
        <w:spacing w:line="360" w:lineRule="auto"/>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三、</w:t>
      </w:r>
      <w:r>
        <w:rPr>
          <w:rFonts w:hint="eastAsia" w:cs="仿宋"/>
          <w:b w:val="0"/>
          <w:bCs/>
          <w:sz w:val="24"/>
          <w:szCs w:val="24"/>
          <w:highlight w:val="none"/>
          <w:lang w:val="en-US" w:eastAsia="zh-CN"/>
        </w:rPr>
        <w:t>配餐企业资格条件</w:t>
      </w:r>
      <w:r>
        <w:rPr>
          <w:rFonts w:hint="eastAsia" w:ascii="仿宋" w:hAnsi="仿宋" w:eastAsia="仿宋" w:cs="仿宋"/>
          <w:b w:val="0"/>
          <w:bCs/>
          <w:sz w:val="24"/>
          <w:szCs w:val="24"/>
          <w:highlight w:val="none"/>
        </w:rPr>
        <w:t>：</w:t>
      </w:r>
    </w:p>
    <w:p w14:paraId="520E6E1F">
      <w:pPr>
        <w:pStyle w:val="9"/>
        <w:rPr>
          <w:rFonts w:hint="eastAsia" w:ascii="仿宋" w:hAnsi="仿宋" w:cs="仿宋"/>
          <w:b w:val="0"/>
          <w:bCs/>
          <w:sz w:val="24"/>
          <w:szCs w:val="24"/>
          <w:highlight w:val="none"/>
          <w:lang w:val="en-US" w:eastAsia="zh-CN"/>
        </w:rPr>
      </w:pPr>
      <w:r>
        <w:rPr>
          <w:rFonts w:hint="eastAsia" w:ascii="仿宋" w:hAnsi="仿宋" w:cs="仿宋"/>
          <w:b w:val="0"/>
          <w:bCs/>
          <w:sz w:val="24"/>
          <w:szCs w:val="24"/>
          <w:highlight w:val="none"/>
          <w:lang w:val="en-US" w:eastAsia="zh-CN"/>
        </w:rPr>
        <w:t>参照《关于加强学校学生集中用餐管理工作的指导意见（试行）（吉林省中小学校校外供餐管理细则）》要求，配餐企业应满足以下条件：</w:t>
      </w:r>
    </w:p>
    <w:p w14:paraId="0EA01CDE">
      <w:pPr>
        <w:pStyle w:val="9"/>
        <w:rPr>
          <w:rFonts w:hint="default" w:ascii="仿宋" w:hAnsi="仿宋" w:cs="仿宋"/>
          <w:b w:val="0"/>
          <w:bCs/>
          <w:sz w:val="24"/>
          <w:szCs w:val="24"/>
          <w:highlight w:val="none"/>
          <w:lang w:val="en-US" w:eastAsia="zh-CN"/>
        </w:rPr>
      </w:pPr>
      <w:r>
        <w:rPr>
          <w:rFonts w:hint="default" w:ascii="仿宋" w:hAnsi="仿宋" w:cs="仿宋"/>
          <w:b w:val="0"/>
          <w:bCs/>
          <w:sz w:val="24"/>
          <w:szCs w:val="24"/>
          <w:highlight w:val="none"/>
          <w:lang w:val="en-US" w:eastAsia="zh-CN"/>
        </w:rPr>
        <w:t xml:space="preserve">（一）取得食品经营许可和集体用餐配送资质； </w:t>
      </w:r>
    </w:p>
    <w:p w14:paraId="3E168EE5">
      <w:pPr>
        <w:pStyle w:val="9"/>
        <w:rPr>
          <w:rFonts w:hint="default" w:ascii="仿宋" w:hAnsi="仿宋" w:cs="仿宋"/>
          <w:b w:val="0"/>
          <w:bCs/>
          <w:sz w:val="24"/>
          <w:szCs w:val="24"/>
          <w:highlight w:val="none"/>
          <w:lang w:val="en-US" w:eastAsia="zh-CN"/>
        </w:rPr>
      </w:pPr>
      <w:r>
        <w:rPr>
          <w:rFonts w:hint="default" w:ascii="仿宋" w:hAnsi="仿宋" w:cs="仿宋"/>
          <w:b w:val="0"/>
          <w:bCs/>
          <w:sz w:val="24"/>
          <w:szCs w:val="24"/>
          <w:highlight w:val="none"/>
          <w:lang w:val="en-US" w:eastAsia="zh-CN"/>
        </w:rPr>
        <w:t xml:space="preserve">（二）食品安全量化等级应达到A级； </w:t>
      </w:r>
    </w:p>
    <w:p w14:paraId="17EB86C9">
      <w:pPr>
        <w:pStyle w:val="9"/>
        <w:rPr>
          <w:rFonts w:hint="default" w:ascii="仿宋" w:hAnsi="仿宋" w:cs="仿宋"/>
          <w:b w:val="0"/>
          <w:bCs/>
          <w:sz w:val="24"/>
          <w:szCs w:val="24"/>
          <w:highlight w:val="none"/>
          <w:lang w:val="en-US" w:eastAsia="zh-CN"/>
        </w:rPr>
      </w:pPr>
      <w:r>
        <w:rPr>
          <w:rFonts w:hint="default" w:ascii="仿宋" w:hAnsi="仿宋" w:cs="仿宋"/>
          <w:b w:val="0"/>
          <w:bCs/>
          <w:sz w:val="24"/>
          <w:szCs w:val="24"/>
          <w:highlight w:val="none"/>
          <w:lang w:val="en-US" w:eastAsia="zh-CN"/>
        </w:rPr>
        <w:t xml:space="preserve">（三）配备符合配送需要的封闭式食品专用运输车辆； </w:t>
      </w:r>
    </w:p>
    <w:p w14:paraId="7C63DD61">
      <w:pPr>
        <w:pStyle w:val="9"/>
        <w:rPr>
          <w:rFonts w:hint="default" w:ascii="仿宋" w:hAnsi="仿宋" w:cs="仿宋"/>
          <w:b w:val="0"/>
          <w:bCs/>
          <w:sz w:val="24"/>
          <w:szCs w:val="24"/>
          <w:highlight w:val="none"/>
          <w:lang w:val="en-US" w:eastAsia="zh-CN"/>
        </w:rPr>
      </w:pPr>
      <w:r>
        <w:rPr>
          <w:rFonts w:hint="default" w:ascii="仿宋" w:hAnsi="仿宋" w:cs="仿宋"/>
          <w:b w:val="0"/>
          <w:bCs/>
          <w:sz w:val="24"/>
          <w:szCs w:val="24"/>
          <w:highlight w:val="none"/>
          <w:lang w:val="en-US" w:eastAsia="zh-CN"/>
        </w:rPr>
        <w:t xml:space="preserve">（四）在中国政府采购、信用中国、中国裁判文书等网站和国家企业信用信息公示系统中未被列为严重违法失信的； </w:t>
      </w:r>
    </w:p>
    <w:p w14:paraId="095BEF8B">
      <w:pPr>
        <w:pStyle w:val="9"/>
        <w:rPr>
          <w:rFonts w:hint="eastAsia"/>
          <w:highlight w:val="none"/>
          <w:lang w:val="en-US" w:eastAsia="zh-CN"/>
        </w:rPr>
      </w:pPr>
      <w:r>
        <w:rPr>
          <w:rFonts w:hint="default" w:ascii="仿宋" w:hAnsi="仿宋" w:cs="仿宋"/>
          <w:b w:val="0"/>
          <w:bCs/>
          <w:sz w:val="24"/>
          <w:szCs w:val="24"/>
          <w:highlight w:val="none"/>
          <w:lang w:val="en-US" w:eastAsia="zh-CN"/>
        </w:rPr>
        <w:t>（五）有食品安全管理机构，配备食品安全管理人员和至少1名具备资质的营养指导人员（公共营养师、营养配餐员、营养指导员等）</w:t>
      </w:r>
    </w:p>
    <w:p w14:paraId="7CFE4F32">
      <w:pPr>
        <w:spacing w:line="360" w:lineRule="auto"/>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三、采购需求：</w:t>
      </w:r>
    </w:p>
    <w:p w14:paraId="57B36CC3">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3.1送餐方式：热链配送。</w:t>
      </w:r>
    </w:p>
    <w:p w14:paraId="122ED3D1">
      <w:pPr>
        <w:spacing w:line="360" w:lineRule="auto"/>
        <w:ind w:left="0" w:leftChars="0" w:firstLine="480" w:firstLineChars="200"/>
        <w:rPr>
          <w:rFonts w:hint="eastAsia"/>
          <w:highlight w:val="none"/>
          <w:lang w:eastAsia="zh-CN"/>
        </w:rPr>
      </w:pPr>
      <w:r>
        <w:rPr>
          <w:rFonts w:hint="eastAsia" w:ascii="仿宋" w:hAnsi="仿宋" w:eastAsia="仿宋" w:cs="仿宋"/>
          <w:b w:val="0"/>
          <w:bCs/>
          <w:sz w:val="24"/>
          <w:szCs w:val="24"/>
          <w:highlight w:val="none"/>
        </w:rPr>
        <w:t>热链配送食品应在制作完成后保证时间</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午休前半个小时内</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保证温度送达到学生</w:t>
      </w:r>
      <w:r>
        <w:rPr>
          <w:rFonts w:hint="eastAsia" w:cs="仿宋"/>
          <w:b w:val="0"/>
          <w:bCs/>
          <w:sz w:val="24"/>
          <w:szCs w:val="24"/>
          <w:highlight w:val="none"/>
          <w:lang w:eastAsia="zh-CN"/>
        </w:rPr>
        <w:t>、</w:t>
      </w:r>
      <w:r>
        <w:rPr>
          <w:rFonts w:hint="eastAsia" w:cs="仿宋"/>
          <w:b w:val="0"/>
          <w:bCs/>
          <w:sz w:val="24"/>
          <w:szCs w:val="24"/>
          <w:highlight w:val="none"/>
          <w:lang w:val="en-US" w:eastAsia="zh-CN"/>
        </w:rPr>
        <w:t>教师</w:t>
      </w:r>
      <w:r>
        <w:rPr>
          <w:rFonts w:hint="eastAsia" w:ascii="仿宋" w:hAnsi="仿宋" w:eastAsia="仿宋" w:cs="仿宋"/>
          <w:b w:val="0"/>
          <w:bCs/>
          <w:sz w:val="24"/>
          <w:szCs w:val="24"/>
          <w:highlight w:val="none"/>
        </w:rPr>
        <w:t>手中</w:t>
      </w:r>
      <w:r>
        <w:rPr>
          <w:rFonts w:hint="eastAsia" w:ascii="仿宋" w:hAnsi="仿宋" w:eastAsia="仿宋" w:cs="仿宋"/>
          <w:b w:val="0"/>
          <w:bCs/>
          <w:sz w:val="24"/>
          <w:szCs w:val="24"/>
          <w:highlight w:val="none"/>
          <w:lang w:eastAsia="zh-CN"/>
        </w:rPr>
        <w:t>。应采用新鲜安全的原料制作食品，当餐加工、当餐供应，食品应烧熟煮透，烹饪时食品中心温度应达到 70℃以上。烧熟后 2 小时，食品的中心温度保持在60℃以上（热藏）的，其食用时限为烧熟后 4 小时。加工制作食品应控油限盐减糖，尽量减少煎、炸等可能产生有毒有害物质的烹调方式。每周油炸类、肉糜类半成品和鸡肉类制品累计不得超过 2 次，不得供应火腿肠等深加工食品。不得加工制作四季豆、鲜黄花菜、野生蘑菇、发芽土豆等高风险食品，不得制售冷荤类食品、生食类食品、裱花蛋糕。</w:t>
      </w:r>
      <w:r>
        <w:rPr>
          <w:rFonts w:hint="eastAsia"/>
          <w:highlight w:val="none"/>
          <w:lang w:eastAsia="zh-CN"/>
        </w:rPr>
        <w:t xml:space="preserve">米面油、肉蛋奶等大宗物资和原辅材料应采购社会认可度较高的品牌产品，做到价质相符。校外供餐单位禁止采购、使用下列食品、食品添加剂、食品相关产品： </w:t>
      </w:r>
    </w:p>
    <w:p w14:paraId="6160D539">
      <w:pPr>
        <w:pStyle w:val="9"/>
        <w:rPr>
          <w:rFonts w:hint="eastAsia"/>
          <w:highlight w:val="none"/>
          <w:lang w:eastAsia="zh-CN"/>
        </w:rPr>
      </w:pPr>
      <w:r>
        <w:rPr>
          <w:rFonts w:hint="eastAsia"/>
          <w:highlight w:val="none"/>
          <w:lang w:eastAsia="zh-CN"/>
        </w:rPr>
        <w:t xml:space="preserve">（一）超过保质期的食品、食品添加剂； </w:t>
      </w:r>
    </w:p>
    <w:p w14:paraId="7113A6E8">
      <w:pPr>
        <w:pStyle w:val="9"/>
        <w:rPr>
          <w:rFonts w:hint="eastAsia"/>
          <w:highlight w:val="none"/>
          <w:lang w:eastAsia="zh-CN"/>
        </w:rPr>
      </w:pPr>
      <w:r>
        <w:rPr>
          <w:rFonts w:hint="eastAsia"/>
          <w:highlight w:val="none"/>
          <w:lang w:eastAsia="zh-CN"/>
        </w:rPr>
        <w:t xml:space="preserve">（二）腐败变质、油脂酸败、霉变生虫、污秽不洁、混有异物、掺假掺杂或者感官性状异常的食品、食品添加剂； </w:t>
      </w:r>
    </w:p>
    <w:p w14:paraId="5DE79F36">
      <w:pPr>
        <w:pStyle w:val="9"/>
        <w:rPr>
          <w:rFonts w:hint="eastAsia"/>
          <w:highlight w:val="none"/>
          <w:lang w:eastAsia="zh-CN"/>
        </w:rPr>
      </w:pPr>
      <w:r>
        <w:rPr>
          <w:rFonts w:hint="eastAsia"/>
          <w:highlight w:val="none"/>
          <w:lang w:eastAsia="zh-CN"/>
        </w:rPr>
        <w:t xml:space="preserve">（三）未按规定进行检疫或者检疫不合格的肉类，未经检验及检验不合格的肉类制品； </w:t>
      </w:r>
    </w:p>
    <w:p w14:paraId="0CE48122">
      <w:pPr>
        <w:pStyle w:val="9"/>
        <w:rPr>
          <w:rFonts w:hint="eastAsia"/>
          <w:highlight w:val="none"/>
          <w:lang w:eastAsia="zh-CN"/>
        </w:rPr>
      </w:pPr>
      <w:r>
        <w:rPr>
          <w:rFonts w:hint="eastAsia"/>
          <w:highlight w:val="none"/>
          <w:lang w:eastAsia="zh-CN"/>
        </w:rPr>
        <w:t xml:space="preserve">（四）不符合食品安全标准的食品原料、食品添加剂以及消毒剂、洗涤剂等食品相关产品； </w:t>
      </w:r>
    </w:p>
    <w:p w14:paraId="62C7B3AD">
      <w:pPr>
        <w:pStyle w:val="9"/>
        <w:rPr>
          <w:rFonts w:hint="eastAsia"/>
          <w:highlight w:val="none"/>
          <w:lang w:eastAsia="zh-CN"/>
        </w:rPr>
      </w:pPr>
      <w:r>
        <w:rPr>
          <w:rFonts w:hint="eastAsia"/>
          <w:highlight w:val="none"/>
          <w:lang w:eastAsia="zh-CN"/>
        </w:rPr>
        <w:t xml:space="preserve">（五）法律法规规章规定的其他禁止生产经营或者不符合食品安全标准的食品、食品添加剂等产品。 </w:t>
      </w:r>
    </w:p>
    <w:p w14:paraId="16A5ACCB">
      <w:pPr>
        <w:pStyle w:val="9"/>
        <w:rPr>
          <w:rFonts w:hint="eastAsia"/>
          <w:highlight w:val="none"/>
          <w:lang w:eastAsia="zh-CN"/>
        </w:rPr>
      </w:pPr>
      <w:r>
        <w:rPr>
          <w:rFonts w:hint="eastAsia"/>
          <w:highlight w:val="none"/>
          <w:lang w:eastAsia="zh-CN"/>
        </w:rPr>
        <w:t xml:space="preserve">在加工前应检查待加工的食品及原料，发现有前款规定情形的，不得加工或者使用。 </w:t>
      </w:r>
    </w:p>
    <w:p w14:paraId="057B727F">
      <w:pPr>
        <w:pStyle w:val="9"/>
        <w:rPr>
          <w:rFonts w:hint="eastAsia"/>
          <w:highlight w:val="none"/>
          <w:lang w:eastAsia="zh-CN"/>
        </w:rPr>
      </w:pPr>
      <w:r>
        <w:rPr>
          <w:rFonts w:hint="eastAsia"/>
          <w:highlight w:val="none"/>
          <w:lang w:eastAsia="zh-CN"/>
        </w:rPr>
        <w:t>供餐单位提供蔬菜、水果，以及按照国际惯例或者民族习惯需要提供的食品应符合食品安全要求。</w:t>
      </w:r>
    </w:p>
    <w:p w14:paraId="382B7CEB">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3.2是否进行分餐：否。</w:t>
      </w:r>
    </w:p>
    <w:p w14:paraId="0C7B93C0">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3.3使用水：供餐单位用水应符合国家规定的生活饮用水卫生标准。采用直饮水、二次供水、自建式供水方式的应按规定开展水质检测，并取得水质检测合格报告。定期对供水设施进行检修、清洁、消毒，确保用水安全。。</w:t>
      </w:r>
    </w:p>
    <w:p w14:paraId="5060E4DD">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3.4餐盒要求：中标企业无偿提供食品级可循环使用的保温餐盒（所有权归企业），餐盒的容积可采用1000ml-1500ml规格，材质：PP。配餐企业需提供餐盒的检测报告。</w:t>
      </w:r>
    </w:p>
    <w:p w14:paraId="31D2F2CA">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rPr>
        <w:t>餐具的存放、消毒：餐盒由配餐企业无偿消毒保存，筷子或勺由学生自带。</w:t>
      </w:r>
    </w:p>
    <w:p w14:paraId="33D080D3">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消毒：采用高温消毒、紫外线消毒等多种消毒方式对餐饮器具进行消毒。</w:t>
      </w:r>
    </w:p>
    <w:p w14:paraId="53FC223B">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存放：餐饮器具清洗消毒后，应放置专门存放餐盒、保温箱等器具的消毒库。</w:t>
      </w:r>
    </w:p>
    <w:p w14:paraId="10F3A7C1">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运输食品的车辆和配送容器具：应每天进行清洗消毒，做好相应记录并形成档案以备查验。</w:t>
      </w:r>
    </w:p>
    <w:p w14:paraId="3A3F97A3">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lang w:eastAsia="zh-CN"/>
        </w:rPr>
        <w:t>食品</w:t>
      </w:r>
      <w:r>
        <w:rPr>
          <w:rFonts w:hint="eastAsia" w:ascii="仿宋" w:hAnsi="仿宋" w:eastAsia="仿宋" w:cs="仿宋"/>
          <w:b w:val="0"/>
          <w:bCs/>
          <w:sz w:val="24"/>
          <w:szCs w:val="24"/>
          <w:highlight w:val="none"/>
        </w:rPr>
        <w:t>检验室：配餐企业应设置食品检验室，配备相应的检验设备和检验人员，具备快速检测食品原料中兽药残留、农药残留等理化指标和检验食品菌落总数、大肠菌群等微生物指标，快速检测接触直接入口食品的餐具大肠菌群等项目的能力。配餐企业应对加工制作的每批次食品进行抽样检测，检测结果应做好记录并形成档案以备查验。</w:t>
      </w:r>
    </w:p>
    <w:p w14:paraId="7E48849F">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val="en-US" w:eastAsia="zh-CN"/>
        </w:rPr>
        <w:t>7</w:t>
      </w:r>
      <w:r>
        <w:rPr>
          <w:rFonts w:hint="eastAsia" w:ascii="仿宋" w:hAnsi="仿宋" w:eastAsia="仿宋" w:cs="仿宋"/>
          <w:b w:val="0"/>
          <w:bCs/>
          <w:sz w:val="24"/>
          <w:szCs w:val="24"/>
          <w:highlight w:val="none"/>
        </w:rPr>
        <w:t>食品留样：配餐企业要按照相关规定进行留样，设置专用留样容器、冷藏设备，每批次提供的所有食品必须留样，留样不得不少于200g并密闭于清洁容器内，冷藏存留48小时。留样应做好记录并形成档案以备查验。</w:t>
      </w:r>
    </w:p>
    <w:p w14:paraId="16401DD9">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val="en-US" w:eastAsia="zh-CN"/>
        </w:rPr>
        <w:t>8</w:t>
      </w:r>
      <w:r>
        <w:rPr>
          <w:rFonts w:hint="eastAsia" w:ascii="仿宋" w:hAnsi="仿宋" w:eastAsia="仿宋" w:cs="仿宋"/>
          <w:b w:val="0"/>
          <w:bCs/>
          <w:sz w:val="24"/>
          <w:szCs w:val="24"/>
          <w:highlight w:val="none"/>
        </w:rPr>
        <w:t>配餐企业应配齐专业管理人员：具备资质的专职食品安全管理员、餐饮职业经理、营养师、厨师、人力资源管理员。</w:t>
      </w:r>
    </w:p>
    <w:p w14:paraId="04AC2C68">
      <w:pPr>
        <w:spacing w:line="360" w:lineRule="auto"/>
        <w:ind w:left="0" w:leftChars="0"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营养餐原则：应根据卫生健康主管部门发布的《学生餐营养指南》标准，科学设计并向学校提供学生餐每周带量食谱和营养素供给量，每餐供应的食物应包括谷薯杂豆类、蔬菜水果类、水产畜禽蛋类、奶及大豆类等 4 种食物中的3类以上</w:t>
      </w:r>
      <w:r>
        <w:rPr>
          <w:rFonts w:hint="eastAsia" w:ascii="仿宋" w:hAnsi="仿宋" w:eastAsia="仿宋" w:cs="仿宋"/>
          <w:b w:val="0"/>
          <w:bCs/>
          <w:sz w:val="24"/>
          <w:szCs w:val="24"/>
          <w:highlight w:val="none"/>
          <w:lang w:val="en-US" w:eastAsia="zh-CN"/>
        </w:rPr>
        <w:t>;</w:t>
      </w:r>
    </w:p>
    <w:p w14:paraId="6717B07E">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w:t>
      </w:r>
      <w:r>
        <w:rPr>
          <w:rFonts w:hint="eastAsia" w:ascii="仿宋" w:hAnsi="仿宋" w:eastAsia="仿宋" w:cs="仿宋"/>
          <w:b w:val="0"/>
          <w:bCs/>
          <w:sz w:val="24"/>
          <w:szCs w:val="24"/>
          <w:highlight w:val="none"/>
          <w:lang w:val="en-US" w:eastAsia="zh-CN"/>
        </w:rPr>
        <w:t>0</w:t>
      </w:r>
      <w:r>
        <w:rPr>
          <w:rFonts w:hint="eastAsia" w:ascii="仿宋" w:hAnsi="仿宋" w:eastAsia="仿宋" w:cs="仿宋"/>
          <w:b w:val="0"/>
          <w:bCs/>
          <w:sz w:val="24"/>
          <w:szCs w:val="24"/>
          <w:highlight w:val="none"/>
        </w:rPr>
        <w:t>食品交接：学校安排专人负责供餐单位配送食品的接收查验：</w:t>
      </w:r>
    </w:p>
    <w:p w14:paraId="32FAAA8A">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（一）索取并留存供餐单位配送清单（出货单）；</w:t>
      </w:r>
    </w:p>
    <w:p w14:paraId="60812DAB">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（二）检查核对送餐人员健康证明和工作证件；检查盛装集体用餐食品容器是否有封装标识，表面是否注明加工单位、成品(烧熟)时间和食用时限；</w:t>
      </w:r>
    </w:p>
    <w:p w14:paraId="4DAE9AA5">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（三）检查配送车辆是否为封闭式食品专用运输车辆，是否采取食品保温措施，检查食品容器和配送车辆的消毒记录；</w:t>
      </w:r>
    </w:p>
    <w:p w14:paraId="548393DD">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（四）重点检查配送食品包装是否完整，感官性状是否正常，餐食温度、配送时间是否符合要求，配送食品是否与食谱一致，不合格食品坚决退回；</w:t>
      </w:r>
    </w:p>
    <w:p w14:paraId="665E3EBE">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（五）填写交接单，做好各项记录。</w:t>
      </w:r>
    </w:p>
    <w:p w14:paraId="2A68195F">
      <w:pPr>
        <w:pStyle w:val="9"/>
        <w:rPr>
          <w:rFonts w:hint="default" w:eastAsia="仿宋"/>
          <w:highlight w:val="none"/>
          <w:lang w:val="en-US" w:eastAsia="zh-CN"/>
        </w:rPr>
      </w:pPr>
      <w:r>
        <w:rPr>
          <w:rFonts w:hint="eastAsia" w:ascii="仿宋" w:hAnsi="仿宋" w:cs="仿宋"/>
          <w:b w:val="0"/>
          <w:bCs/>
          <w:sz w:val="24"/>
          <w:szCs w:val="24"/>
          <w:highlight w:val="none"/>
          <w:lang w:val="en-US" w:eastAsia="zh-CN"/>
        </w:rPr>
        <w:t>3.11 中标单位需按照丰满区要求相关税务要求，完成纳税义务。</w:t>
      </w:r>
    </w:p>
    <w:p w14:paraId="71B40F27">
      <w:pPr>
        <w:spacing w:line="360" w:lineRule="auto"/>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四、监督：</w:t>
      </w:r>
    </w:p>
    <w:p w14:paraId="654EFC3C">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4.1配餐企业应自觉接受教育行政、市场监督、卫生健康等部门的监督检查。</w:t>
      </w:r>
    </w:p>
    <w:p w14:paraId="4F4FEDC7">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4.2学校组建膳食委员会，膳食委员会定期抽查用餐的质量与品种，如发现问题，及时反馈给配餐企业，并要求配餐企业限期整改。</w:t>
      </w:r>
    </w:p>
    <w:p w14:paraId="26BF754A">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4.3学校膳食委员会定期（每学期至少1次）到配餐企业监督检查食品采购、企业管理等方面。</w:t>
      </w:r>
    </w:p>
    <w:p w14:paraId="5290B344">
      <w:pPr>
        <w:spacing w:line="360" w:lineRule="auto"/>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五、责任追究</w:t>
      </w:r>
    </w:p>
    <w:p w14:paraId="6C00C7AC">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5.1配餐企业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p w14:paraId="5DB86ED4">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5.2监督检查过程中发现配餐企业采购、贮存亚硝酸盐（包括亚硝酸钠、亚硝酸钾）的,由县级以上人民政府食品安全监督管理部门责令改正，给予警告，并处5000元以上3万元以下罚款。</w:t>
      </w:r>
    </w:p>
    <w:p w14:paraId="5CEC4F9D">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5.3监督检查过程中发现配餐企业制售冷荤类食品、生食类食品、裱花蛋糕，或者加工制作四季豆、鲜黄花菜、野生蘑菇、发芽土豆等高风险食品的，由县级以上人民政府食品安全监督管理部门责令改正；拒不改正的，给予警告，并处5000元以上3万元以下罚款。</w:t>
      </w:r>
    </w:p>
    <w:p w14:paraId="548F902D">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5.4配餐企业未按要求留样的,由县级以上人民政府食品安全监督管理部门责令改正，给予警告；拒不改正的，处5000元以上3万元以下罚款。</w:t>
      </w:r>
    </w:p>
    <w:p w14:paraId="10E5EBD5">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5.5出现以下情况停止服务：</w:t>
      </w:r>
    </w:p>
    <w:p w14:paraId="0982685F">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5.5.1.发生食品安全事故的。　　</w:t>
      </w:r>
    </w:p>
    <w:p w14:paraId="46F02051">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5.5.2.违反双方合同（协议）的。　　</w:t>
      </w:r>
    </w:p>
    <w:p w14:paraId="45A32175">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5.5.3.违反食品安全法律法规、被处以罚款或吊销食品经营许可证的。　</w:t>
      </w:r>
    </w:p>
    <w:p w14:paraId="4119BA1D">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5.5.4.采购、加工《食品安全法》等法律法规禁止生产经营食品的。　　</w:t>
      </w:r>
    </w:p>
    <w:p w14:paraId="5C895857">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5.5.5.因企业自身原因造成严重社会不良影响的。　　</w:t>
      </w:r>
    </w:p>
    <w:p w14:paraId="19F0D84B">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5.5.6.学生用餐满意度测评，每学年2次均低于80%的。　　</w:t>
      </w:r>
    </w:p>
    <w:p w14:paraId="3462795A">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5.5.7.被政府有关部门列入黑名单或不良诚信记录的企业的。</w:t>
      </w:r>
    </w:p>
    <w:p w14:paraId="747A2C65">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5.5.8.食材原料采用预包装的陈化粮、转基因粮油的。</w:t>
      </w:r>
    </w:p>
    <w:p w14:paraId="1A238A15">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5.5.9.违反法律法规和地方规定的。</w:t>
      </w:r>
    </w:p>
    <w:p w14:paraId="7E4F72E0">
      <w:pPr>
        <w:spacing w:line="360" w:lineRule="auto"/>
        <w:ind w:left="0" w:leftChars="0"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5.5.10.配餐企业转让或分包配餐的。</w:t>
      </w:r>
    </w:p>
    <w:p w14:paraId="7EC47097">
      <w:pPr>
        <w:pStyle w:val="4"/>
        <w:numPr>
          <w:ilvl w:val="0"/>
          <w:numId w:val="0"/>
        </w:numPr>
        <w:spacing w:line="240" w:lineRule="auto"/>
        <w:ind w:left="402" w:leftChars="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bookmarkStart w:id="86" w:name="_Toc6745"/>
      <w:r>
        <w:rPr>
          <w:rFonts w:hint="eastAsia" w:ascii="仿宋" w:hAnsi="仿宋" w:eastAsia="仿宋" w:cs="仿宋"/>
          <w:sz w:val="36"/>
          <w:szCs w:val="36"/>
          <w:highlight w:val="none"/>
          <w:lang w:val="en-US" w:eastAsia="zh-CN"/>
        </w:rPr>
        <w:t>第五章 合同格式书</w:t>
      </w:r>
      <w:bookmarkEnd w:id="86"/>
    </w:p>
    <w:p w14:paraId="3D6E302E">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sz w:val="24"/>
          <w:szCs w:val="24"/>
          <w:highlight w:val="none"/>
        </w:rPr>
        <w:t>合同协议条款由招标人（甲方）与中标人（乙方）结合招标文件、投标文件和本项目具体情况共同协商后签订。如甲方对乙方提供的服务不满意，甲方有权提前终止合同。</w:t>
      </w:r>
    </w:p>
    <w:p w14:paraId="02042C37">
      <w:pPr>
        <w:ind w:left="0" w:leftChars="0" w:firstLine="0" w:firstLineChars="0"/>
        <w:rPr>
          <w:rStyle w:val="19"/>
          <w:rFonts w:hint="eastAsia" w:ascii="仿宋" w:hAnsi="仿宋" w:eastAsia="仿宋" w:cs="仿宋"/>
          <w:sz w:val="24"/>
          <w:szCs w:val="24"/>
          <w:highlight w:val="none"/>
          <w:lang w:val="en-US" w:eastAsia="zh-CN"/>
        </w:rPr>
      </w:pPr>
    </w:p>
    <w:p w14:paraId="32F212AF">
      <w:pPr>
        <w:pStyle w:val="4"/>
        <w:bidi w:val="0"/>
        <w:ind w:left="0" w:leftChars="0" w:firstLine="0" w:firstLineChars="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bookmarkStart w:id="87" w:name="_Toc2022"/>
      <w:bookmarkStart w:id="88" w:name="_Toc22485"/>
      <w:r>
        <w:rPr>
          <w:rFonts w:hint="eastAsia" w:ascii="仿宋" w:hAnsi="仿宋" w:eastAsia="仿宋" w:cs="仿宋"/>
          <w:sz w:val="36"/>
          <w:szCs w:val="36"/>
          <w:highlight w:val="none"/>
          <w:lang w:val="en-US" w:eastAsia="zh-CN"/>
        </w:rPr>
        <w:t>第六章 投标文件格式</w:t>
      </w:r>
      <w:bookmarkEnd w:id="85"/>
      <w:bookmarkEnd w:id="87"/>
      <w:bookmarkEnd w:id="88"/>
    </w:p>
    <w:p w14:paraId="5DE998E8">
      <w:pPr>
        <w:wordWrap w:val="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1CEF37C">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000000"/>
          <w:kern w:val="0"/>
          <w:sz w:val="32"/>
          <w:szCs w:val="32"/>
          <w:highlight w:val="none"/>
          <w:lang w:val="en-US"/>
        </w:rPr>
      </w:pPr>
      <w:r>
        <w:rPr>
          <w:rFonts w:hint="eastAsia" w:ascii="仿宋" w:hAnsi="仿宋" w:eastAsia="仿宋" w:cs="仿宋"/>
          <w:b/>
          <w:bCs w:val="0"/>
          <w:color w:val="000000"/>
          <w:kern w:val="0"/>
          <w:sz w:val="32"/>
          <w:szCs w:val="32"/>
          <w:highlight w:val="none"/>
          <w:bdr w:val="single" w:color="auto" w:sz="4" w:space="0"/>
          <w:lang w:val="en-US" w:eastAsia="zh-CN" w:bidi="ar"/>
        </w:rPr>
        <w:t>正本或副本</w:t>
      </w:r>
    </w:p>
    <w:p w14:paraId="33D18741">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color w:val="000000"/>
          <w:kern w:val="0"/>
          <w:sz w:val="48"/>
          <w:szCs w:val="48"/>
          <w:highlight w:val="none"/>
          <w:lang w:val="en-US"/>
        </w:rPr>
      </w:pPr>
    </w:p>
    <w:p w14:paraId="3178D4A8">
      <w:pPr>
        <w:keepNext w:val="0"/>
        <w:keepLines w:val="0"/>
        <w:widowControl w:val="0"/>
        <w:suppressLineNumbers w:val="0"/>
        <w:spacing w:before="0" w:beforeAutospacing="0" w:after="0" w:afterAutospacing="0"/>
        <w:ind w:left="0" w:right="0" w:firstLine="3618" w:firstLineChars="1005"/>
        <w:jc w:val="center"/>
        <w:rPr>
          <w:rFonts w:hint="eastAsia" w:ascii="仿宋" w:hAnsi="仿宋" w:eastAsia="仿宋" w:cs="仿宋"/>
          <w:sz w:val="36"/>
          <w:szCs w:val="36"/>
          <w:highlight w:val="none"/>
          <w:lang w:val="en-US"/>
        </w:rPr>
      </w:pPr>
      <w:r>
        <w:rPr>
          <w:rFonts w:hint="eastAsia" w:ascii="仿宋" w:hAnsi="仿宋" w:eastAsia="仿宋" w:cs="仿宋"/>
          <w:kern w:val="2"/>
          <w:sz w:val="36"/>
          <w:szCs w:val="36"/>
          <w:highlight w:val="none"/>
          <w:u w:val="single"/>
          <w:lang w:val="en-US" w:eastAsia="zh-CN" w:bidi="ar"/>
        </w:rPr>
        <w:t xml:space="preserve">             </w:t>
      </w:r>
      <w:r>
        <w:rPr>
          <w:rFonts w:hint="eastAsia" w:ascii="仿宋" w:hAnsi="仿宋" w:eastAsia="仿宋" w:cs="仿宋"/>
          <w:kern w:val="2"/>
          <w:sz w:val="36"/>
          <w:szCs w:val="36"/>
          <w:highlight w:val="none"/>
          <w:lang w:val="en-US" w:eastAsia="zh-CN" w:bidi="ar"/>
        </w:rPr>
        <w:t>（项目名称）</w:t>
      </w:r>
    </w:p>
    <w:p w14:paraId="103823D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000000"/>
          <w:sz w:val="32"/>
          <w:szCs w:val="32"/>
          <w:highlight w:val="none"/>
          <w:lang w:val="en-US"/>
        </w:rPr>
      </w:pPr>
    </w:p>
    <w:p w14:paraId="39B4CB1A">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000000"/>
          <w:sz w:val="18"/>
          <w:szCs w:val="18"/>
          <w:highlight w:val="none"/>
          <w:lang w:val="en-US"/>
        </w:rPr>
      </w:pPr>
    </w:p>
    <w:p w14:paraId="39560E8F">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000000"/>
          <w:sz w:val="18"/>
          <w:szCs w:val="18"/>
          <w:highlight w:val="none"/>
          <w:lang w:val="en-US"/>
        </w:rPr>
      </w:pPr>
    </w:p>
    <w:p w14:paraId="64209F1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000000"/>
          <w:sz w:val="18"/>
          <w:szCs w:val="18"/>
          <w:highlight w:val="none"/>
          <w:lang w:val="en-US"/>
        </w:rPr>
      </w:pPr>
    </w:p>
    <w:p w14:paraId="1F78B8FE">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color w:val="000000"/>
          <w:sz w:val="84"/>
          <w:szCs w:val="84"/>
          <w:highlight w:val="none"/>
          <w:lang w:val="en-US"/>
        </w:rPr>
      </w:pPr>
      <w:r>
        <w:rPr>
          <w:rFonts w:hint="eastAsia" w:ascii="仿宋" w:hAnsi="仿宋" w:eastAsia="仿宋" w:cs="仿宋"/>
          <w:b/>
          <w:color w:val="000000"/>
          <w:kern w:val="2"/>
          <w:sz w:val="84"/>
          <w:szCs w:val="84"/>
          <w:highlight w:val="none"/>
          <w:lang w:val="en-US" w:eastAsia="zh-CN" w:bidi="ar"/>
        </w:rPr>
        <w:t>投 标 文 件</w:t>
      </w:r>
    </w:p>
    <w:p w14:paraId="3788C413">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color w:val="000000"/>
          <w:kern w:val="0"/>
          <w:sz w:val="28"/>
          <w:szCs w:val="28"/>
          <w:highlight w:val="none"/>
          <w:u w:val="single"/>
          <w:lang w:val="en-US"/>
        </w:rPr>
      </w:pPr>
      <w:r>
        <w:rPr>
          <w:rFonts w:hint="eastAsia" w:ascii="仿宋" w:hAnsi="仿宋" w:eastAsia="仿宋" w:cs="仿宋"/>
          <w:b/>
          <w:color w:val="000000"/>
          <w:kern w:val="2"/>
          <w:sz w:val="30"/>
          <w:szCs w:val="30"/>
          <w:highlight w:val="none"/>
          <w:lang w:val="en-US" w:eastAsia="zh-CN" w:bidi="ar"/>
        </w:rPr>
        <w:t>项目编号：</w:t>
      </w:r>
    </w:p>
    <w:p w14:paraId="263B5881">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highlight w:val="none"/>
          <w:lang w:val="en-US"/>
        </w:rPr>
      </w:pPr>
    </w:p>
    <w:p w14:paraId="22DDE9D6">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highlight w:val="none"/>
          <w:lang w:val="en-US"/>
        </w:rPr>
      </w:pPr>
    </w:p>
    <w:p w14:paraId="416FA1F2">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highlight w:val="none"/>
          <w:lang w:val="en-US"/>
        </w:rPr>
      </w:pPr>
    </w:p>
    <w:p w14:paraId="2E148EEC">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highlight w:val="none"/>
          <w:lang w:val="en-US"/>
        </w:rPr>
      </w:pPr>
    </w:p>
    <w:p w14:paraId="18C125FF">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highlight w:val="none"/>
          <w:lang w:val="en-US"/>
        </w:rPr>
      </w:pPr>
    </w:p>
    <w:p w14:paraId="44B4E145">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highlight w:val="none"/>
          <w:lang w:val="en-US"/>
        </w:rPr>
      </w:pPr>
    </w:p>
    <w:p w14:paraId="550FD500">
      <w:pPr>
        <w:pStyle w:val="14"/>
        <w:rPr>
          <w:rFonts w:hint="eastAsia" w:ascii="仿宋" w:hAnsi="仿宋" w:eastAsia="仿宋" w:cs="仿宋"/>
          <w:color w:val="000000"/>
          <w:highlight w:val="none"/>
          <w:lang w:val="en-US"/>
        </w:rPr>
      </w:pPr>
    </w:p>
    <w:p w14:paraId="44A11B36">
      <w:pPr>
        <w:pStyle w:val="14"/>
        <w:rPr>
          <w:rFonts w:hint="eastAsia" w:ascii="仿宋" w:hAnsi="仿宋" w:eastAsia="仿宋" w:cs="仿宋"/>
          <w:color w:val="000000"/>
          <w:highlight w:val="none"/>
          <w:lang w:val="en-US"/>
        </w:rPr>
      </w:pPr>
    </w:p>
    <w:p w14:paraId="1C7D252A">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highlight w:val="none"/>
          <w:lang w:val="en-US"/>
        </w:rPr>
      </w:pPr>
    </w:p>
    <w:p w14:paraId="022E2E1D">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000000"/>
          <w:kern w:val="0"/>
          <w:sz w:val="28"/>
          <w:szCs w:val="28"/>
          <w:highlight w:val="none"/>
          <w:u w:val="single"/>
          <w:lang w:val="en-US"/>
        </w:rPr>
      </w:pPr>
      <w:r>
        <w:rPr>
          <w:rFonts w:hint="eastAsia" w:ascii="仿宋" w:hAnsi="仿宋" w:eastAsia="仿宋" w:cs="仿宋"/>
          <w:color w:val="000000"/>
          <w:kern w:val="0"/>
          <w:sz w:val="28"/>
          <w:szCs w:val="28"/>
          <w:highlight w:val="none"/>
          <w:lang w:val="en-US" w:eastAsia="zh-CN" w:bidi="ar"/>
        </w:rPr>
        <w:t>投标人：</w:t>
      </w:r>
      <w:r>
        <w:rPr>
          <w:rFonts w:hint="eastAsia" w:ascii="仿宋" w:hAnsi="仿宋" w:eastAsia="仿宋" w:cs="仿宋"/>
          <w:color w:val="000000"/>
          <w:kern w:val="0"/>
          <w:sz w:val="28"/>
          <w:szCs w:val="28"/>
          <w:highlight w:val="none"/>
          <w:u w:val="single"/>
          <w:lang w:val="en-US" w:eastAsia="zh-CN" w:bidi="ar"/>
        </w:rPr>
        <w:t xml:space="preserve">                            (盖章)</w:t>
      </w:r>
    </w:p>
    <w:p w14:paraId="61746124">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000000"/>
          <w:kern w:val="0"/>
          <w:sz w:val="28"/>
          <w:szCs w:val="28"/>
          <w:highlight w:val="none"/>
          <w:u w:val="single"/>
          <w:lang w:val="en-US"/>
        </w:rPr>
      </w:pPr>
      <w:r>
        <w:rPr>
          <w:rFonts w:hint="eastAsia" w:ascii="仿宋" w:hAnsi="仿宋" w:eastAsia="仿宋" w:cs="仿宋"/>
          <w:color w:val="000000"/>
          <w:kern w:val="0"/>
          <w:sz w:val="28"/>
          <w:szCs w:val="28"/>
          <w:highlight w:val="none"/>
          <w:lang w:val="en-US" w:eastAsia="zh-CN" w:bidi="ar"/>
        </w:rPr>
        <w:t>法定代表人或其委托代理人：</w:t>
      </w:r>
      <w:r>
        <w:rPr>
          <w:rFonts w:hint="eastAsia" w:ascii="仿宋" w:hAnsi="仿宋" w:eastAsia="仿宋" w:cs="仿宋"/>
          <w:color w:val="000000"/>
          <w:kern w:val="0"/>
          <w:sz w:val="28"/>
          <w:szCs w:val="28"/>
          <w:highlight w:val="none"/>
          <w:u w:val="single"/>
          <w:lang w:val="en-US" w:eastAsia="zh-CN" w:bidi="ar"/>
        </w:rPr>
        <w:t xml:space="preserve">    (签字或盖章)</w:t>
      </w:r>
    </w:p>
    <w:p w14:paraId="40C39A00">
      <w:pPr>
        <w:keepNext w:val="0"/>
        <w:keepLines w:val="0"/>
        <w:widowControl w:val="0"/>
        <w:suppressLineNumbers w:val="0"/>
        <w:autoSpaceDE w:val="0"/>
        <w:autoSpaceDN w:val="0"/>
        <w:adjustRightInd w:val="0"/>
        <w:spacing w:before="0" w:beforeAutospacing="0" w:after="0" w:afterAutospacing="0"/>
        <w:ind w:right="0"/>
        <w:jc w:val="both"/>
        <w:rPr>
          <w:rFonts w:hint="eastAsia" w:ascii="仿宋" w:hAnsi="仿宋" w:eastAsia="仿宋" w:cs="仿宋"/>
          <w:color w:val="000000"/>
          <w:kern w:val="0"/>
          <w:sz w:val="36"/>
          <w:szCs w:val="36"/>
          <w:highlight w:val="none"/>
          <w:lang w:val="en-US"/>
        </w:rPr>
      </w:pPr>
      <w:r>
        <w:rPr>
          <w:rFonts w:hint="eastAsia" w:ascii="仿宋" w:hAnsi="仿宋" w:eastAsia="仿宋" w:cs="仿宋"/>
          <w:color w:val="000000"/>
          <w:kern w:val="0"/>
          <w:sz w:val="28"/>
          <w:szCs w:val="28"/>
          <w:highlight w:val="none"/>
          <w:lang w:val="en-US" w:eastAsia="zh-CN" w:bidi="ar"/>
        </w:rPr>
        <w:t>日期：</w:t>
      </w:r>
      <w:r>
        <w:rPr>
          <w:rFonts w:hint="eastAsia" w:ascii="仿宋" w:hAnsi="仿宋" w:eastAsia="仿宋" w:cs="仿宋"/>
          <w:color w:val="000000"/>
          <w:kern w:val="0"/>
          <w:sz w:val="28"/>
          <w:szCs w:val="28"/>
          <w:highlight w:val="none"/>
          <w:u w:val="single"/>
          <w:lang w:val="en-US" w:eastAsia="zh-CN" w:bidi="ar"/>
        </w:rPr>
        <w:t xml:space="preserve">      年    月    日</w:t>
      </w:r>
    </w:p>
    <w:p w14:paraId="2FB56763">
      <w:pPr>
        <w:keepNext w:val="0"/>
        <w:keepLines w:val="0"/>
        <w:widowControl w:val="0"/>
        <w:suppressLineNumbers w:val="0"/>
        <w:spacing w:before="0" w:beforeAutospacing="0" w:after="0" w:afterAutospacing="0"/>
        <w:ind w:left="0" w:right="0"/>
        <w:jc w:val="both"/>
        <w:rPr>
          <w:rFonts w:hint="eastAsia" w:ascii="仿宋" w:hAnsi="仿宋" w:eastAsia="仿宋" w:cs="仿宋"/>
          <w:highlight w:val="none"/>
          <w:lang w:val="en-US"/>
        </w:rPr>
      </w:pPr>
    </w:p>
    <w:p w14:paraId="45E7197C">
      <w:pPr>
        <w:tabs>
          <w:tab w:val="left" w:pos="1365"/>
        </w:tabs>
        <w:wordWrap w:val="0"/>
        <w:spacing w:line="360" w:lineRule="auto"/>
        <w:jc w:val="center"/>
        <w:rPr>
          <w:rFonts w:hint="eastAsia" w:ascii="仿宋" w:hAnsi="仿宋" w:eastAsia="仿宋" w:cs="仿宋"/>
          <w:b/>
          <w:color w:val="auto"/>
          <w:sz w:val="36"/>
          <w:szCs w:val="36"/>
          <w:highlight w:val="none"/>
        </w:rPr>
      </w:pPr>
    </w:p>
    <w:p w14:paraId="7A5F99EB">
      <w:pPr>
        <w:bidi w:val="0"/>
        <w:jc w:val="center"/>
        <w:rPr>
          <w:rFonts w:hint="eastAsia" w:ascii="仿宋" w:hAnsi="仿宋" w:eastAsia="仿宋" w:cs="仿宋"/>
          <w:highlight w:val="none"/>
          <w:lang w:eastAsia="zh-CN"/>
        </w:rPr>
      </w:pPr>
      <w:r>
        <w:rPr>
          <w:rFonts w:hint="eastAsia" w:ascii="仿宋" w:hAnsi="仿宋" w:eastAsia="仿宋" w:cs="仿宋"/>
          <w:b/>
          <w:color w:val="auto"/>
          <w:szCs w:val="36"/>
          <w:highlight w:val="none"/>
        </w:rPr>
        <w:br w:type="page"/>
      </w:r>
      <w:r>
        <w:rPr>
          <w:rFonts w:hint="eastAsia" w:ascii="仿宋" w:hAnsi="仿宋" w:eastAsia="仿宋" w:cs="仿宋"/>
          <w:highlight w:val="none"/>
          <w:lang w:eastAsia="zh-CN"/>
        </w:rPr>
        <w:t>目   录</w:t>
      </w:r>
    </w:p>
    <w:p w14:paraId="5C0D9016">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投标函及投标函附录表</w:t>
      </w:r>
    </w:p>
    <w:p w14:paraId="1BC5C140">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法定代表人身份证明</w:t>
      </w:r>
    </w:p>
    <w:p w14:paraId="0539ED39">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授权委托书</w:t>
      </w:r>
    </w:p>
    <w:p w14:paraId="4F7A7901">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投标保证金</w:t>
      </w:r>
    </w:p>
    <w:p w14:paraId="5D2EF01D">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开标一览表</w:t>
      </w:r>
    </w:p>
    <w:p w14:paraId="3BD555EF">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资格证明文件</w:t>
      </w:r>
    </w:p>
    <w:p w14:paraId="011612AE">
      <w:pPr>
        <w:bidi w:val="0"/>
        <w:rPr>
          <w:rFonts w:hint="eastAsia" w:ascii="仿宋" w:hAnsi="仿宋" w:eastAsia="仿宋" w:cs="仿宋"/>
          <w:highlight w:val="none"/>
          <w:lang w:eastAsia="zh-CN"/>
        </w:rPr>
      </w:pPr>
      <w:r>
        <w:rPr>
          <w:rFonts w:hint="eastAsia" w:ascii="仿宋" w:hAnsi="仿宋" w:eastAsia="仿宋" w:cs="仿宋"/>
          <w:highlight w:val="none"/>
          <w:lang w:val="en-US" w:eastAsia="zh-CN"/>
        </w:rPr>
        <w:t>服务工作方案</w:t>
      </w:r>
      <w:r>
        <w:rPr>
          <w:rFonts w:hint="eastAsia" w:ascii="仿宋" w:hAnsi="仿宋" w:eastAsia="仿宋" w:cs="仿宋"/>
          <w:highlight w:val="none"/>
          <w:lang w:eastAsia="zh-CN"/>
        </w:rPr>
        <w:tab/>
      </w:r>
    </w:p>
    <w:p w14:paraId="246C4B63">
      <w:pPr>
        <w:bidi w:val="0"/>
        <w:rPr>
          <w:rFonts w:hint="eastAsia" w:ascii="仿宋" w:hAnsi="仿宋" w:eastAsia="仿宋" w:cs="仿宋"/>
          <w:b/>
          <w:color w:val="auto"/>
          <w:szCs w:val="36"/>
          <w:highlight w:val="none"/>
          <w:lang w:eastAsia="zh-CN"/>
        </w:rPr>
      </w:pPr>
      <w:r>
        <w:rPr>
          <w:rFonts w:hint="eastAsia" w:ascii="仿宋" w:hAnsi="仿宋" w:eastAsia="仿宋" w:cs="仿宋"/>
          <w:highlight w:val="none"/>
          <w:lang w:eastAsia="zh-CN"/>
        </w:rPr>
        <w:tab/>
      </w:r>
    </w:p>
    <w:p w14:paraId="51600DCC">
      <w:pPr>
        <w:bidi w:val="0"/>
        <w:rPr>
          <w:rFonts w:hint="eastAsia" w:ascii="仿宋" w:hAnsi="仿宋" w:eastAsia="仿宋" w:cs="仿宋"/>
          <w:highlight w:val="none"/>
          <w:lang w:eastAsia="zh-CN"/>
        </w:rPr>
      </w:pPr>
    </w:p>
    <w:p w14:paraId="3AD53971">
      <w:pPr>
        <w:tabs>
          <w:tab w:val="left" w:pos="1365"/>
        </w:tabs>
        <w:wordWrap w:val="0"/>
        <w:spacing w:line="360" w:lineRule="auto"/>
        <w:ind w:left="0" w:leftChars="0" w:firstLine="0" w:firstLineChars="0"/>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2"/>
          <w:szCs w:val="32"/>
          <w:highlight w:val="none"/>
        </w:rPr>
        <w:t>1、投标函及投标函附表</w:t>
      </w:r>
    </w:p>
    <w:p w14:paraId="07C88A68">
      <w:pPr>
        <w:tabs>
          <w:tab w:val="left" w:pos="1365"/>
        </w:tabs>
        <w:wordWrap w:val="0"/>
        <w:spacing w:line="360" w:lineRule="auto"/>
        <w:ind w:left="0" w:leftChars="0"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（1）投标函</w:t>
      </w:r>
    </w:p>
    <w:p w14:paraId="0689FAC0">
      <w:pPr>
        <w:wordWrap w:val="0"/>
        <w:spacing w:line="36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（采购人名称）</w:t>
      </w:r>
    </w:p>
    <w:p w14:paraId="7A5EEEF1">
      <w:pPr>
        <w:wordWrap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w:t>
      </w:r>
      <w:r>
        <w:rPr>
          <w:rFonts w:hint="eastAsia" w:ascii="仿宋" w:hAnsi="仿宋" w:eastAsia="仿宋" w:cs="仿宋"/>
          <w:color w:val="auto"/>
          <w:sz w:val="24"/>
          <w:szCs w:val="24"/>
          <w:highlight w:val="none"/>
          <w:u w:val="single"/>
        </w:rPr>
        <w:t>方“          （项目名称及编号：）”</w:t>
      </w:r>
      <w:r>
        <w:rPr>
          <w:rFonts w:hint="eastAsia" w:ascii="仿宋" w:hAnsi="仿宋" w:eastAsia="仿宋" w:cs="仿宋"/>
          <w:color w:val="auto"/>
          <w:sz w:val="24"/>
          <w:szCs w:val="24"/>
          <w:highlight w:val="none"/>
        </w:rPr>
        <w:t>的招标邀请正式授权下述签字人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（姓名和职务）代表投标方（投标人名称）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,已按招标文件要求</w:t>
      </w:r>
      <w:r>
        <w:rPr>
          <w:rFonts w:hint="eastAsia" w:ascii="仿宋" w:hAnsi="仿宋" w:eastAsia="仿宋" w:cs="仿宋"/>
          <w:color w:val="auto"/>
          <w:sz w:val="24"/>
          <w:szCs w:val="24"/>
          <w:highlight w:val="none"/>
          <w:lang w:val="en-US" w:eastAsia="zh-CN"/>
        </w:rPr>
        <w:t>递交</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zh-CN"/>
        </w:rPr>
        <w:t>并保证所提供的全部文件是真实的、有效的和准确的</w:t>
      </w:r>
      <w:r>
        <w:rPr>
          <w:rFonts w:hint="eastAsia" w:ascii="仿宋" w:hAnsi="仿宋" w:eastAsia="仿宋" w:cs="仿宋"/>
          <w:color w:val="auto"/>
          <w:sz w:val="24"/>
          <w:szCs w:val="24"/>
          <w:highlight w:val="none"/>
        </w:rPr>
        <w:t>。</w:t>
      </w:r>
    </w:p>
    <w:p w14:paraId="722D7B1F">
      <w:pPr>
        <w:wordWrap w:val="0"/>
        <w:autoSpaceDE w:val="0"/>
        <w:autoSpaceDN w:val="0"/>
        <w:adjustRightInd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据此函，签字人同意如下：</w:t>
      </w:r>
    </w:p>
    <w:p w14:paraId="64E01B20">
      <w:pPr>
        <w:pageBreakBefore w:val="0"/>
        <w:kinsoku/>
        <w:wordWrap/>
        <w:overflowPunct/>
        <w:topLinePunct w:val="0"/>
        <w:autoSpaceDE/>
        <w:autoSpaceDN/>
        <w:bidi w:val="0"/>
        <w:adjustRightInd/>
        <w:snapToGrid/>
        <w:spacing w:line="400" w:lineRule="exact"/>
        <w:ind w:firstLine="54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1.按招标文件规定提供货物及服务的投标</w:t>
      </w:r>
      <w:r>
        <w:rPr>
          <w:rFonts w:hint="eastAsia" w:ascii="仿宋" w:hAnsi="仿宋" w:eastAsia="仿宋" w:cs="仿宋"/>
          <w:color w:val="auto"/>
          <w:sz w:val="24"/>
          <w:szCs w:val="24"/>
          <w:highlight w:val="none"/>
          <w:lang w:val="en-US" w:eastAsia="zh-CN"/>
        </w:rPr>
        <w:t>报</w:t>
      </w:r>
      <w:r>
        <w:rPr>
          <w:rFonts w:hint="eastAsia" w:ascii="仿宋" w:hAnsi="仿宋" w:eastAsia="仿宋" w:cs="仿宋"/>
          <w:color w:val="auto"/>
          <w:sz w:val="24"/>
          <w:szCs w:val="24"/>
          <w:highlight w:val="none"/>
          <w:lang w:val="zh-CN"/>
        </w:rPr>
        <w:t>价为</w:t>
      </w:r>
      <w:r>
        <w:rPr>
          <w:rFonts w:hint="eastAsia" w:cs="仿宋"/>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w:t>
      </w:r>
    </w:p>
    <w:p w14:paraId="189223D9">
      <w:pPr>
        <w:tabs>
          <w:tab w:val="left" w:pos="8175"/>
        </w:tabs>
        <w:wordWrap w:val="0"/>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2.如果我方中标，我们保证根据招标文件规定履行合同责任和义务。具体服务期承诺如下；</w:t>
      </w:r>
    </w:p>
    <w:p w14:paraId="6BFC7048">
      <w:pPr>
        <w:wordWrap w:val="0"/>
        <w:autoSpaceDE w:val="0"/>
        <w:autoSpaceDN w:val="0"/>
        <w:adjustRightInd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3.我方人民币</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元的投标保证金与本投标文件同时提交。</w:t>
      </w:r>
    </w:p>
    <w:p w14:paraId="6831DE28">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4.如果我方中标，我方保证按照招标文件规定提交履约保证金，承担履约责任，</w:t>
      </w:r>
      <w:r>
        <w:rPr>
          <w:rFonts w:hint="eastAsia" w:ascii="仿宋" w:hAnsi="仿宋" w:eastAsia="仿宋" w:cs="仿宋"/>
          <w:color w:val="auto"/>
          <w:sz w:val="24"/>
          <w:szCs w:val="24"/>
          <w:highlight w:val="none"/>
        </w:rPr>
        <w:t>保证按时签定合同并于合同签字生效后立即开始依合同要求履行相关义务。</w:t>
      </w:r>
    </w:p>
    <w:p w14:paraId="4A513FB5">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5.我们已详细阅读了全部招标文件，包括招标文件的修改、补充文件、参考资料及有关的附件，我们接受招标文件的全部条款和条件，</w:t>
      </w:r>
      <w:r>
        <w:rPr>
          <w:rFonts w:hint="eastAsia" w:ascii="仿宋" w:hAnsi="仿宋" w:eastAsia="仿宋" w:cs="仿宋"/>
          <w:color w:val="auto"/>
          <w:sz w:val="24"/>
          <w:szCs w:val="24"/>
          <w:highlight w:val="none"/>
        </w:rPr>
        <w:t>并严格按照招标文件要求编制投标书和履行一切 必要手续。</w:t>
      </w:r>
    </w:p>
    <w:p w14:paraId="430D0CAA">
      <w:pPr>
        <w:wordWrap w:val="0"/>
        <w:autoSpaceDE w:val="0"/>
        <w:autoSpaceDN w:val="0"/>
        <w:adjustRightInd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6.我们对招标文件关于时限、程序方面的规定没有异议，保证按照招标文件规定的时限和程序参加投标活动。</w:t>
      </w:r>
    </w:p>
    <w:p w14:paraId="314ABE84">
      <w:pPr>
        <w:wordWrap w:val="0"/>
        <w:autoSpaceDE w:val="0"/>
        <w:autoSpaceDN w:val="0"/>
        <w:adjustRightInd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7.我们同意在投标人须知规定的</w:t>
      </w:r>
      <w:r>
        <w:rPr>
          <w:rFonts w:hint="eastAsia" w:ascii="仿宋" w:hAnsi="仿宋" w:eastAsia="仿宋" w:cs="仿宋"/>
          <w:color w:val="auto"/>
          <w:sz w:val="24"/>
          <w:szCs w:val="24"/>
          <w:highlight w:val="none"/>
        </w:rPr>
        <w:t>开标时间及上传递交投标文件截止时间</w:t>
      </w:r>
      <w:r>
        <w:rPr>
          <w:rFonts w:hint="eastAsia" w:ascii="仿宋" w:hAnsi="仿宋" w:eastAsia="仿宋" w:cs="仿宋"/>
          <w:color w:val="auto"/>
          <w:sz w:val="24"/>
          <w:szCs w:val="24"/>
          <w:highlight w:val="none"/>
          <w:lang w:val="zh-CN"/>
        </w:rPr>
        <w:t>起遵循本投标书，并在投标人须知规定的投标有效期满之前均具有约束力。</w:t>
      </w:r>
    </w:p>
    <w:p w14:paraId="39C7BB07">
      <w:pPr>
        <w:wordWrap w:val="0"/>
        <w:autoSpaceDE w:val="0"/>
        <w:autoSpaceDN w:val="0"/>
        <w:adjustRightInd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8.我们如果在规定的投标有效期内撤回投标，则你方可不予退还我们的投标保证金。</w:t>
      </w:r>
    </w:p>
    <w:p w14:paraId="3F3CA56E">
      <w:pPr>
        <w:wordWrap w:val="0"/>
        <w:autoSpaceDE w:val="0"/>
        <w:autoSpaceDN w:val="0"/>
        <w:adjustRightInd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9.我们保证向你方提供你方可能要求的与本投标有关的任何证据或资料。</w:t>
      </w:r>
    </w:p>
    <w:p w14:paraId="55944C69">
      <w:pPr>
        <w:wordWrap w:val="0"/>
        <w:autoSpaceDE w:val="0"/>
        <w:autoSpaceDN w:val="0"/>
        <w:adjustRightInd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10.我们完全理解你方不一定要接受最低报价的投标或收到的任何投标。</w:t>
      </w:r>
    </w:p>
    <w:p w14:paraId="1A728E45">
      <w:pPr>
        <w:wordWrap w:val="0"/>
        <w:autoSpaceDE w:val="0"/>
        <w:autoSpaceDN w:val="0"/>
        <w:adjustRightInd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11.本投标自开标之日起</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天内有效。</w:t>
      </w:r>
    </w:p>
    <w:p w14:paraId="542A3111">
      <w:pPr>
        <w:tabs>
          <w:tab w:val="left" w:pos="709"/>
        </w:tabs>
        <w:wordWrap w:val="0"/>
        <w:autoSpaceDE w:val="0"/>
        <w:autoSpaceDN w:val="0"/>
        <w:adjustRightInd w:val="0"/>
        <w:spacing w:line="360" w:lineRule="auto"/>
        <w:ind w:firstLine="482"/>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BB29762">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）提供虚假材料谋取中标、成交的；</w:t>
      </w:r>
    </w:p>
    <w:p w14:paraId="355ADB2A">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）采取不正当手段诋毁、排挤其他投标人的；</w:t>
      </w:r>
    </w:p>
    <w:p w14:paraId="63675FE4">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）与其他投标人、招标机构或者采购单位人员或者其他有关人员恶意串通的；</w:t>
      </w:r>
    </w:p>
    <w:p w14:paraId="149162D6">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）向评标委员会成员、招标机构或者采购单位人员或者其他有关人员行贿或者提供其他不正当利益的；</w:t>
      </w:r>
    </w:p>
    <w:p w14:paraId="5285AEF7">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0D75AE5A">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）将中标项目转让给他人或者将中标项目分包给他人的；</w:t>
      </w:r>
    </w:p>
    <w:p w14:paraId="4D5A29CC">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）签订合同后拒绝履行合同义务的；</w:t>
      </w:r>
    </w:p>
    <w:p w14:paraId="4152FCB8">
      <w:pPr>
        <w:wordWrap w:val="0"/>
        <w:autoSpaceDE w:val="0"/>
        <w:autoSpaceDN w:val="0"/>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）拒绝有关部门监督检查或提供虚假情况的。</w:t>
      </w:r>
    </w:p>
    <w:p w14:paraId="56279293">
      <w:pPr>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与本投标有关的正式通讯地址为：</w:t>
      </w:r>
    </w:p>
    <w:p w14:paraId="5F780C9B">
      <w:pPr>
        <w:wordWrap w:val="0"/>
        <w:spacing w:line="480" w:lineRule="auto"/>
        <w:rPr>
          <w:rFonts w:hint="eastAsia" w:ascii="仿宋" w:hAnsi="仿宋" w:eastAsia="仿宋" w:cs="仿宋"/>
          <w:color w:val="auto"/>
          <w:sz w:val="24"/>
          <w:szCs w:val="24"/>
          <w:highlight w:val="none"/>
        </w:rPr>
      </w:pPr>
    </w:p>
    <w:p w14:paraId="2CFF11EF">
      <w:pPr>
        <w:wordWrap w:val="0"/>
        <w:spacing w:line="480" w:lineRule="auto"/>
        <w:rPr>
          <w:rFonts w:hint="eastAsia" w:ascii="仿宋" w:hAnsi="仿宋" w:eastAsia="仿宋" w:cs="仿宋"/>
          <w:color w:val="auto"/>
          <w:sz w:val="24"/>
          <w:szCs w:val="24"/>
          <w:highlight w:val="none"/>
        </w:rPr>
      </w:pPr>
    </w:p>
    <w:p w14:paraId="74730B7C">
      <w:pPr>
        <w:wordWrap w:val="0"/>
        <w:spacing w:line="480" w:lineRule="auto"/>
        <w:rPr>
          <w:rFonts w:hint="eastAsia" w:ascii="仿宋" w:hAnsi="仿宋" w:eastAsia="仿宋" w:cs="仿宋"/>
          <w:color w:val="auto"/>
          <w:sz w:val="24"/>
          <w:szCs w:val="24"/>
          <w:highlight w:val="none"/>
        </w:rPr>
      </w:pPr>
    </w:p>
    <w:p w14:paraId="48084BA1">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（盖单位公章）</w:t>
      </w:r>
    </w:p>
    <w:p w14:paraId="62DE91B5">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bCs/>
          <w:color w:val="auto"/>
          <w:sz w:val="24"/>
          <w:szCs w:val="24"/>
          <w:highlight w:val="none"/>
        </w:rPr>
        <w:t>委托代理人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14:paraId="284E4106">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1"/>
          <w:highlight w:val="none"/>
          <w:u w:val="single"/>
        </w:rPr>
        <w:t xml:space="preserve">                                  </w:t>
      </w:r>
    </w:p>
    <w:p w14:paraId="1905B31D">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1"/>
          <w:highlight w:val="none"/>
          <w:u w:val="single"/>
        </w:rPr>
        <w:t xml:space="preserve">                                  </w:t>
      </w:r>
    </w:p>
    <w:p w14:paraId="220BD029">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编：</w:t>
      </w:r>
      <w:r>
        <w:rPr>
          <w:rFonts w:hint="eastAsia" w:ascii="仿宋" w:hAnsi="仿宋" w:eastAsia="仿宋" w:cs="仿宋"/>
          <w:color w:val="auto"/>
          <w:sz w:val="24"/>
          <w:szCs w:val="21"/>
          <w:highlight w:val="none"/>
          <w:u w:val="single"/>
        </w:rPr>
        <w:t xml:space="preserve">                                  </w:t>
      </w:r>
    </w:p>
    <w:p w14:paraId="1AFD15D6">
      <w:pPr>
        <w:ind w:left="0" w:leftChars="0" w:firstLine="480" w:firstLineChars="20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val="en-US" w:eastAsia="zh-CN"/>
        </w:rPr>
        <w:t xml:space="preserve">                          </w:t>
      </w:r>
      <w:r>
        <w:rPr>
          <w:rFonts w:hint="eastAsia" w:ascii="仿宋" w:hAnsi="仿宋" w:eastAsia="仿宋" w:cs="仿宋"/>
          <w:color w:val="auto"/>
          <w:sz w:val="24"/>
          <w:szCs w:val="21"/>
          <w:highlight w:val="none"/>
          <w:u w:val="single"/>
        </w:rPr>
        <w:t xml:space="preserve">  </w:t>
      </w:r>
    </w:p>
    <w:p w14:paraId="4388AD70">
      <w:pPr>
        <w:pStyle w:val="22"/>
        <w:numPr>
          <w:ilvl w:val="0"/>
          <w:numId w:val="5"/>
        </w:numPr>
        <w:wordWrap w:val="0"/>
        <w:ind w:left="0" w:leftChars="0" w:firstLine="0" w:firstLineChars="0"/>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法定代表人身份证明</w:t>
      </w:r>
    </w:p>
    <w:p w14:paraId="212CC1FB">
      <w:pPr>
        <w:pStyle w:val="22"/>
        <w:numPr>
          <w:ilvl w:val="0"/>
          <w:numId w:val="0"/>
        </w:numPr>
        <w:wordWrap w:val="0"/>
        <w:ind w:leftChars="0"/>
        <w:jc w:val="both"/>
        <w:outlineLvl w:val="9"/>
        <w:rPr>
          <w:rFonts w:hint="eastAsia" w:ascii="仿宋" w:hAnsi="仿宋" w:eastAsia="仿宋" w:cs="仿宋"/>
          <w:b/>
          <w:color w:val="auto"/>
          <w:sz w:val="32"/>
          <w:szCs w:val="32"/>
          <w:highlight w:val="none"/>
        </w:rPr>
      </w:pPr>
    </w:p>
    <w:p w14:paraId="29AB391B">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 标 人：</w:t>
      </w:r>
      <w:r>
        <w:rPr>
          <w:rFonts w:hint="eastAsia" w:ascii="仿宋" w:hAnsi="仿宋" w:eastAsia="仿宋" w:cs="仿宋"/>
          <w:color w:val="auto"/>
          <w:sz w:val="24"/>
          <w:szCs w:val="21"/>
          <w:highlight w:val="none"/>
          <w:u w:val="single"/>
        </w:rPr>
        <w:t xml:space="preserve">                                          </w:t>
      </w:r>
    </w:p>
    <w:p w14:paraId="1491DACF">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单位性质:</w:t>
      </w:r>
      <w:r>
        <w:rPr>
          <w:rFonts w:hint="eastAsia" w:ascii="仿宋" w:hAnsi="仿宋" w:eastAsia="仿宋" w:cs="仿宋"/>
          <w:color w:val="auto"/>
          <w:sz w:val="24"/>
          <w:szCs w:val="21"/>
          <w:highlight w:val="none"/>
          <w:u w:val="single"/>
        </w:rPr>
        <w:t xml:space="preserve">                                            </w:t>
      </w:r>
    </w:p>
    <w:p w14:paraId="7C0438B8">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    址：</w:t>
      </w:r>
      <w:r>
        <w:rPr>
          <w:rFonts w:hint="eastAsia" w:ascii="仿宋" w:hAnsi="仿宋" w:eastAsia="仿宋" w:cs="仿宋"/>
          <w:color w:val="auto"/>
          <w:sz w:val="24"/>
          <w:szCs w:val="21"/>
          <w:highlight w:val="none"/>
          <w:u w:val="single"/>
        </w:rPr>
        <w:t xml:space="preserve">                                           </w:t>
      </w:r>
    </w:p>
    <w:p w14:paraId="3FBF4EC4">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成立时间：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14:paraId="01ABF445">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经营期限：</w:t>
      </w:r>
      <w:r>
        <w:rPr>
          <w:rFonts w:hint="eastAsia" w:ascii="仿宋" w:hAnsi="仿宋" w:eastAsia="仿宋" w:cs="仿宋"/>
          <w:color w:val="auto"/>
          <w:sz w:val="24"/>
          <w:szCs w:val="21"/>
          <w:highlight w:val="none"/>
          <w:u w:val="single"/>
        </w:rPr>
        <w:t xml:space="preserve">                                           </w:t>
      </w:r>
    </w:p>
    <w:p w14:paraId="4B3D5ACE">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姓    名：</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性     别：</w:t>
      </w:r>
      <w:r>
        <w:rPr>
          <w:rFonts w:hint="eastAsia" w:ascii="仿宋" w:hAnsi="仿宋" w:eastAsia="仿宋" w:cs="仿宋"/>
          <w:color w:val="auto"/>
          <w:sz w:val="24"/>
          <w:szCs w:val="21"/>
          <w:highlight w:val="none"/>
          <w:u w:val="single"/>
        </w:rPr>
        <w:t xml:space="preserve">                </w:t>
      </w:r>
    </w:p>
    <w:p w14:paraId="5C8F5455">
      <w:pPr>
        <w:tabs>
          <w:tab w:val="left" w:pos="1710"/>
        </w:tabs>
        <w:wordWrap w:val="0"/>
        <w:spacing w:line="480"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年    龄：</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职     务：</w:t>
      </w:r>
      <w:r>
        <w:rPr>
          <w:rFonts w:hint="eastAsia" w:ascii="仿宋" w:hAnsi="仿宋" w:eastAsia="仿宋" w:cs="仿宋"/>
          <w:color w:val="auto"/>
          <w:sz w:val="24"/>
          <w:szCs w:val="21"/>
          <w:highlight w:val="none"/>
          <w:u w:val="single"/>
        </w:rPr>
        <w:t xml:space="preserve">                </w:t>
      </w:r>
    </w:p>
    <w:p w14:paraId="0CB2CF37">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w:t>
      </w:r>
    </w:p>
    <w:p w14:paraId="150CAF94">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特此证明。</w:t>
      </w:r>
    </w:p>
    <w:tbl>
      <w:tblPr>
        <w:tblStyle w:val="15"/>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22FCBBC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noWrap w:val="0"/>
            <w:vAlign w:val="center"/>
          </w:tcPr>
          <w:p w14:paraId="78042C3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法定代表人居民身份证复印件（正、反面）</w:t>
            </w:r>
          </w:p>
        </w:tc>
      </w:tr>
    </w:tbl>
    <w:p w14:paraId="7EE8FB5C">
      <w:pPr>
        <w:wordWrap w:val="0"/>
        <w:spacing w:line="360" w:lineRule="auto"/>
        <w:rPr>
          <w:rFonts w:hint="eastAsia" w:ascii="仿宋" w:hAnsi="仿宋" w:eastAsia="仿宋" w:cs="仿宋"/>
          <w:color w:val="auto"/>
          <w:sz w:val="24"/>
          <w:szCs w:val="24"/>
          <w:highlight w:val="none"/>
        </w:rPr>
      </w:pPr>
    </w:p>
    <w:p w14:paraId="58C1E899">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（盖单位公章）</w:t>
      </w:r>
    </w:p>
    <w:p w14:paraId="166AE748">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4"/>
          <w:highlight w:val="none"/>
        </w:rPr>
        <w:t>（签字）</w:t>
      </w:r>
    </w:p>
    <w:p w14:paraId="52338355">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F291583">
      <w:pPr>
        <w:tabs>
          <w:tab w:val="left" w:pos="1365"/>
        </w:tabs>
        <w:wordWrap w:val="0"/>
        <w:spacing w:afterLines="10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、授权委托书</w:t>
      </w:r>
    </w:p>
    <w:p w14:paraId="5BD516C1">
      <w:pPr>
        <w:adjustRightInd w:val="0"/>
        <w:snapToGrid w:val="0"/>
        <w:spacing w:line="56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本人</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（姓名）系</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（投标人名称）的法定代表人，现委托</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（姓名）为我方代理人，代理人根据授权，以我方名义签署、澄清、说明、补正、递交、撤回、修改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（项目名称）投标文件、签订合同和处理有关事宜，其法律后果由我方承担。</w:t>
      </w:r>
    </w:p>
    <w:p w14:paraId="503ECB61">
      <w:pPr>
        <w:adjustRightInd w:val="0"/>
        <w:snapToGrid w:val="0"/>
        <w:spacing w:line="560" w:lineRule="exact"/>
        <w:ind w:firstLine="480" w:firstLineChars="200"/>
        <w:outlineLvl w:val="9"/>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委托期限：</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p>
    <w:p w14:paraId="51BFC718">
      <w:pPr>
        <w:spacing w:line="56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代理人无转委托权。</w:t>
      </w:r>
    </w:p>
    <w:p w14:paraId="5AFB2D87">
      <w:pPr>
        <w:spacing w:line="560" w:lineRule="exact"/>
        <w:ind w:firstLine="480" w:firstLineChars="200"/>
        <w:outlineLvl w:val="9"/>
        <w:rPr>
          <w:rFonts w:hint="eastAsia" w:ascii="仿宋" w:hAnsi="仿宋" w:eastAsia="仿宋" w:cs="仿宋"/>
          <w:color w:val="auto"/>
          <w:sz w:val="24"/>
          <w:szCs w:val="24"/>
          <w:highlight w:val="none"/>
        </w:rPr>
      </w:pPr>
    </w:p>
    <w:tbl>
      <w:tblPr>
        <w:tblStyle w:val="15"/>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46067E7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14:paraId="78EDCAF9">
            <w:pPr>
              <w:pStyle w:val="23"/>
              <w:keepNext w:val="0"/>
              <w:keepLines w:val="0"/>
              <w:widowControl/>
              <w:suppressLineNumbers w:val="0"/>
              <w:spacing w:before="0" w:beforeAutospacing="0" w:after="0" w:afterAutospacing="0" w:line="560" w:lineRule="exact"/>
              <w:ind w:left="105" w:right="0"/>
              <w:jc w:val="center"/>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委托代理人居民身份证复印件（正、反面）</w:t>
            </w:r>
          </w:p>
        </w:tc>
      </w:tr>
    </w:tbl>
    <w:p w14:paraId="74BB8CD6">
      <w:pPr>
        <w:spacing w:line="560" w:lineRule="exact"/>
        <w:ind w:left="0" w:leftChars="0" w:firstLine="0" w:firstLineChars="0"/>
        <w:outlineLvl w:val="9"/>
        <w:rPr>
          <w:rFonts w:hint="eastAsia" w:ascii="仿宋" w:hAnsi="仿宋" w:eastAsia="仿宋" w:cs="仿宋"/>
          <w:color w:val="auto"/>
          <w:sz w:val="24"/>
          <w:szCs w:val="24"/>
          <w:highlight w:val="none"/>
        </w:rPr>
      </w:pPr>
    </w:p>
    <w:p w14:paraId="6B572513">
      <w:pPr>
        <w:tabs>
          <w:tab w:val="left" w:pos="1365"/>
        </w:tabs>
        <w:spacing w:line="560" w:lineRule="exact"/>
        <w:ind w:left="-2" w:leftChars="-1" w:right="720" w:firstLine="2"/>
        <w:outlineLvl w:val="9"/>
        <w:rPr>
          <w:rFonts w:hint="eastAsia" w:ascii="仿宋" w:hAnsi="仿宋" w:eastAsia="仿宋" w:cs="仿宋"/>
          <w:color w:val="auto"/>
          <w:sz w:val="24"/>
          <w:szCs w:val="24"/>
          <w:highlight w:val="none"/>
        </w:rPr>
      </w:pPr>
      <w:bookmarkStart w:id="89" w:name="_Toc16666385"/>
      <w:bookmarkStart w:id="90" w:name="_Toc16858218"/>
      <w:bookmarkStart w:id="91" w:name="_Toc492451837"/>
      <w:bookmarkStart w:id="92" w:name="_Toc10824"/>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（盖单位章）</w:t>
      </w:r>
      <w:bookmarkEnd w:id="89"/>
      <w:bookmarkEnd w:id="90"/>
    </w:p>
    <w:p w14:paraId="60134626">
      <w:pPr>
        <w:tabs>
          <w:tab w:val="left" w:pos="1365"/>
        </w:tabs>
        <w:spacing w:line="560" w:lineRule="exact"/>
        <w:ind w:left="-2" w:leftChars="-1" w:right="480" w:firstLine="2"/>
        <w:outlineLvl w:val="9"/>
        <w:rPr>
          <w:rFonts w:hint="eastAsia" w:ascii="仿宋" w:hAnsi="仿宋" w:eastAsia="仿宋" w:cs="仿宋"/>
          <w:color w:val="auto"/>
          <w:sz w:val="24"/>
          <w:szCs w:val="24"/>
          <w:highlight w:val="none"/>
        </w:rPr>
      </w:pPr>
      <w:bookmarkStart w:id="93" w:name="_Toc16858219"/>
      <w:bookmarkStart w:id="94" w:name="_Toc16666386"/>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93"/>
      <w:bookmarkEnd w:id="94"/>
    </w:p>
    <w:p w14:paraId="033E071B">
      <w:pPr>
        <w:tabs>
          <w:tab w:val="left" w:pos="1365"/>
        </w:tabs>
        <w:spacing w:line="560" w:lineRule="exact"/>
        <w:ind w:right="480"/>
        <w:outlineLvl w:val="9"/>
        <w:rPr>
          <w:rFonts w:hint="eastAsia" w:ascii="仿宋" w:hAnsi="仿宋" w:eastAsia="仿宋" w:cs="仿宋"/>
          <w:color w:val="auto"/>
          <w:sz w:val="24"/>
          <w:szCs w:val="24"/>
          <w:highlight w:val="none"/>
        </w:rPr>
      </w:pPr>
      <w:bookmarkStart w:id="95" w:name="_Toc16666387"/>
      <w:bookmarkStart w:id="96" w:name="_Toc16858220"/>
      <w:r>
        <w:rPr>
          <w:rFonts w:hint="eastAsia" w:ascii="仿宋" w:hAnsi="仿宋" w:eastAsia="仿宋" w:cs="仿宋"/>
          <w:color w:val="auto"/>
          <w:sz w:val="24"/>
          <w:szCs w:val="24"/>
          <w:highlight w:val="none"/>
        </w:rPr>
        <w:t>身份证号码：</w:t>
      </w:r>
      <w:bookmarkEnd w:id="95"/>
      <w:bookmarkEnd w:id="96"/>
      <w:r>
        <w:rPr>
          <w:rFonts w:hint="eastAsia" w:ascii="仿宋" w:hAnsi="仿宋" w:eastAsia="仿宋" w:cs="仿宋"/>
          <w:color w:val="auto"/>
          <w:sz w:val="24"/>
          <w:szCs w:val="24"/>
          <w:highlight w:val="none"/>
          <w:u w:val="single"/>
        </w:rPr>
        <w:t xml:space="preserve">                                   </w:t>
      </w:r>
    </w:p>
    <w:p w14:paraId="1DA90530">
      <w:pPr>
        <w:tabs>
          <w:tab w:val="left" w:pos="1365"/>
        </w:tabs>
        <w:spacing w:line="560" w:lineRule="exact"/>
        <w:ind w:left="-2" w:leftChars="-1" w:right="480" w:firstLine="2"/>
        <w:outlineLvl w:val="9"/>
        <w:rPr>
          <w:rFonts w:hint="eastAsia" w:ascii="仿宋" w:hAnsi="仿宋" w:eastAsia="仿宋" w:cs="仿宋"/>
          <w:color w:val="auto"/>
          <w:sz w:val="24"/>
          <w:szCs w:val="24"/>
          <w:highlight w:val="none"/>
        </w:rPr>
      </w:pPr>
      <w:bookmarkStart w:id="97" w:name="_Toc16666388"/>
      <w:bookmarkStart w:id="98" w:name="_Toc16858221"/>
      <w:bookmarkStart w:id="99" w:name="_Toc16666389"/>
      <w:bookmarkStart w:id="100" w:name="_Toc16858222"/>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bookmarkEnd w:id="97"/>
      <w:bookmarkEnd w:id="98"/>
    </w:p>
    <w:p w14:paraId="247D6CB4">
      <w:pPr>
        <w:tabs>
          <w:tab w:val="left" w:pos="1365"/>
        </w:tabs>
        <w:spacing w:line="560" w:lineRule="exact"/>
        <w:ind w:left="-2" w:leftChars="-1" w:right="480" w:firstLine="2"/>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bookmarkEnd w:id="99"/>
      <w:bookmarkEnd w:id="100"/>
      <w:r>
        <w:rPr>
          <w:rFonts w:hint="eastAsia" w:ascii="仿宋" w:hAnsi="仿宋" w:eastAsia="仿宋" w:cs="仿宋"/>
          <w:color w:val="auto"/>
          <w:sz w:val="24"/>
          <w:szCs w:val="24"/>
          <w:highlight w:val="none"/>
          <w:u w:val="single"/>
        </w:rPr>
        <w:t xml:space="preserve">                                    </w:t>
      </w:r>
    </w:p>
    <w:p w14:paraId="7298EC78">
      <w:pPr>
        <w:tabs>
          <w:tab w:val="left" w:pos="1365"/>
        </w:tabs>
        <w:spacing w:line="560" w:lineRule="exact"/>
        <w:ind w:left="-2" w:leftChars="-1" w:right="480" w:firstLine="2"/>
        <w:outlineLvl w:val="9"/>
        <w:rPr>
          <w:rFonts w:hint="eastAsia" w:ascii="仿宋" w:hAnsi="仿宋" w:eastAsia="仿宋" w:cs="仿宋"/>
          <w:color w:val="auto"/>
          <w:sz w:val="24"/>
          <w:szCs w:val="24"/>
          <w:highlight w:val="none"/>
        </w:rPr>
      </w:pPr>
      <w:bookmarkStart w:id="101" w:name="_Toc16858223"/>
      <w:bookmarkStart w:id="102" w:name="_Toc16666390"/>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bookmarkEnd w:id="91"/>
      <w:bookmarkEnd w:id="92"/>
      <w:bookmarkEnd w:id="101"/>
      <w:bookmarkEnd w:id="102"/>
    </w:p>
    <w:p w14:paraId="675CB833">
      <w:pPr>
        <w:wordWrap w:val="0"/>
        <w:spacing w:line="480" w:lineRule="exact"/>
        <w:rPr>
          <w:rFonts w:hint="eastAsia" w:ascii="仿宋" w:hAnsi="仿宋" w:eastAsia="仿宋" w:cs="仿宋"/>
          <w:b/>
          <w:color w:val="auto"/>
          <w:sz w:val="24"/>
          <w:szCs w:val="24"/>
          <w:highlight w:val="none"/>
        </w:rPr>
      </w:pPr>
    </w:p>
    <w:p w14:paraId="46EE3F69">
      <w:pPr>
        <w:keepNext w:val="0"/>
        <w:keepLines w:val="0"/>
        <w:widowControl/>
        <w:suppressLineNumbers w:val="0"/>
        <w:jc w:val="left"/>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 xml:space="preserve">注：必须按照以上格式填写并在开标时单独打印一份签字盖章、手持，否则予以废标处理。 </w:t>
      </w:r>
    </w:p>
    <w:p w14:paraId="793D1BF5">
      <w:pPr>
        <w:pStyle w:val="2"/>
        <w:rPr>
          <w:rFonts w:hint="eastAsia" w:ascii="仿宋" w:hAnsi="仿宋" w:eastAsia="仿宋" w:cs="仿宋"/>
          <w:b/>
          <w:color w:val="auto"/>
          <w:kern w:val="0"/>
          <w:sz w:val="24"/>
          <w:szCs w:val="24"/>
          <w:highlight w:val="none"/>
          <w:lang w:val="en-US" w:eastAsia="zh-CN" w:bidi="ar"/>
        </w:rPr>
      </w:pPr>
    </w:p>
    <w:p w14:paraId="10F551DE">
      <w:pPr>
        <w:pStyle w:val="2"/>
        <w:rPr>
          <w:rFonts w:hint="eastAsia" w:ascii="仿宋" w:hAnsi="仿宋" w:eastAsia="仿宋" w:cs="仿宋"/>
          <w:b/>
          <w:color w:val="auto"/>
          <w:kern w:val="0"/>
          <w:sz w:val="24"/>
          <w:szCs w:val="24"/>
          <w:highlight w:val="none"/>
          <w:lang w:val="en-US" w:eastAsia="zh-CN" w:bidi="ar"/>
        </w:rPr>
      </w:pPr>
    </w:p>
    <w:p w14:paraId="1B6EAAF3">
      <w:pPr>
        <w:keepNext w:val="0"/>
        <w:keepLines w:val="0"/>
        <w:widowControl/>
        <w:suppressLineNumbers w:val="0"/>
        <w:jc w:val="center"/>
        <w:outlineLvl w:val="1"/>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4、投标保证金</w:t>
      </w:r>
    </w:p>
    <w:p w14:paraId="63D5878C">
      <w:pPr>
        <w:bidi w:val="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（招标人名称）： </w:t>
      </w:r>
    </w:p>
    <w:p w14:paraId="6709FDE9">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本投标人自愿参加</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（项目名称）的投标，并按招标文件要求交纳投标保证金，金额为人民币（大写）</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元（￥</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p>
    <w:p w14:paraId="518960C6">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本投标人承诺所交纳投标保证金是从本公司基本账户以转账方式交纳的，若有虚假，由此引起的一切责任均由我公司承担。 </w:t>
      </w:r>
    </w:p>
    <w:p w14:paraId="26586FD2">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附： </w:t>
      </w:r>
    </w:p>
    <w:p w14:paraId="587F4245">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银行给投标人的转账回单复印件或保函文件</w:t>
      </w:r>
    </w:p>
    <w:p w14:paraId="592EEB7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C00412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2132C86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6EEE10A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05681A3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00EC6D64">
      <w:pPr>
        <w:bidi w:val="0"/>
        <w:jc w:val="righ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（盖单位章） </w:t>
      </w:r>
    </w:p>
    <w:p w14:paraId="5305F3C7">
      <w:pPr>
        <w:bidi w:val="0"/>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法定代表人或其委托代理人：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（签字） </w:t>
      </w:r>
    </w:p>
    <w:p w14:paraId="7649A756">
      <w:pPr>
        <w:bidi w:val="0"/>
        <w:ind w:firstLine="960" w:firstLineChars="400"/>
        <w:jc w:val="right"/>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年</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月</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日</w:t>
      </w:r>
    </w:p>
    <w:p w14:paraId="6BEC281E">
      <w:pPr>
        <w:pStyle w:val="5"/>
        <w:numPr>
          <w:ilvl w:val="0"/>
          <w:numId w:val="0"/>
        </w:numPr>
        <w:wordWrap w:val="0"/>
        <w:spacing w:before="0" w:line="360" w:lineRule="auto"/>
        <w:ind w:leftChars="0"/>
        <w:jc w:val="center"/>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br w:type="page"/>
      </w:r>
      <w:bookmarkStart w:id="103" w:name="_Toc24137"/>
      <w:r>
        <w:rPr>
          <w:rFonts w:hint="eastAsia" w:ascii="仿宋" w:hAnsi="仿宋" w:eastAsia="仿宋" w:cs="仿宋"/>
          <w:b/>
          <w:bCs w:val="0"/>
          <w:color w:val="auto"/>
          <w:kern w:val="2"/>
          <w:sz w:val="32"/>
          <w:szCs w:val="32"/>
          <w:highlight w:val="none"/>
          <w:lang w:val="en-US" w:eastAsia="zh-CN" w:bidi="ar-SA"/>
        </w:rPr>
        <w:t>5、</w:t>
      </w:r>
      <w:r>
        <w:rPr>
          <w:rFonts w:hint="eastAsia" w:ascii="仿宋" w:hAnsi="仿宋" w:eastAsia="仿宋" w:cs="仿宋"/>
          <w:b/>
          <w:bCs w:val="0"/>
          <w:color w:val="auto"/>
          <w:sz w:val="32"/>
          <w:szCs w:val="32"/>
          <w:highlight w:val="none"/>
          <w:lang w:val="en-US" w:eastAsia="zh-CN" w:bidi="ar-SA"/>
        </w:rPr>
        <w:t>开标一览表</w:t>
      </w:r>
      <w:bookmarkEnd w:id="103"/>
    </w:p>
    <w:p w14:paraId="18FE3B34">
      <w:pPr>
        <w:bidi w:val="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招标单位： </w:t>
      </w:r>
    </w:p>
    <w:p w14:paraId="3C084E14">
      <w:pPr>
        <w:bidi w:val="0"/>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lang w:val="en-US" w:eastAsia="zh-CN"/>
        </w:rPr>
        <w:t>招标编号：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744"/>
        <w:gridCol w:w="1744"/>
        <w:gridCol w:w="1354"/>
        <w:gridCol w:w="2322"/>
      </w:tblGrid>
      <w:tr w14:paraId="569F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noWrap w:val="0"/>
            <w:vAlign w:val="top"/>
          </w:tcPr>
          <w:p w14:paraId="4F46201D">
            <w:pPr>
              <w:pStyle w:val="8"/>
              <w:ind w:left="0" w:leftChars="0" w:firstLine="0" w:firstLineChar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项目名称</w:t>
            </w:r>
          </w:p>
        </w:tc>
        <w:tc>
          <w:tcPr>
            <w:tcW w:w="1744" w:type="dxa"/>
            <w:noWrap w:val="0"/>
            <w:vAlign w:val="top"/>
          </w:tcPr>
          <w:p w14:paraId="7D5B43E0">
            <w:pPr>
              <w:pStyle w:val="8"/>
              <w:ind w:left="0" w:leftChars="0" w:firstLine="0" w:firstLineChars="0"/>
              <w:jc w:val="center"/>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投标报价(元/餐）</w:t>
            </w:r>
          </w:p>
        </w:tc>
        <w:tc>
          <w:tcPr>
            <w:tcW w:w="1744" w:type="dxa"/>
            <w:noWrap w:val="0"/>
            <w:vAlign w:val="top"/>
          </w:tcPr>
          <w:p w14:paraId="4BF42E61">
            <w:pPr>
              <w:pStyle w:val="8"/>
              <w:ind w:left="0" w:leftChars="0" w:firstLine="0" w:firstLineChars="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投标保证金</w:t>
            </w:r>
          </w:p>
        </w:tc>
        <w:tc>
          <w:tcPr>
            <w:tcW w:w="1354" w:type="dxa"/>
            <w:noWrap w:val="0"/>
            <w:vAlign w:val="top"/>
          </w:tcPr>
          <w:p w14:paraId="33720A08">
            <w:pPr>
              <w:pStyle w:val="8"/>
              <w:ind w:left="0" w:leftChars="0" w:firstLine="0" w:firstLineChars="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服务期限</w:t>
            </w:r>
          </w:p>
        </w:tc>
        <w:tc>
          <w:tcPr>
            <w:tcW w:w="2322" w:type="dxa"/>
            <w:noWrap w:val="0"/>
            <w:vAlign w:val="top"/>
          </w:tcPr>
          <w:p w14:paraId="1FAB6021">
            <w:pPr>
              <w:pStyle w:val="8"/>
              <w:ind w:left="0" w:leftChars="0" w:firstLine="0" w:firstLineChars="0"/>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质量标准</w:t>
            </w:r>
          </w:p>
        </w:tc>
      </w:tr>
      <w:tr w14:paraId="519D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noWrap w:val="0"/>
            <w:vAlign w:val="top"/>
          </w:tcPr>
          <w:p w14:paraId="1B11C146">
            <w:pPr>
              <w:pStyle w:val="8"/>
              <w:rPr>
                <w:rFonts w:hint="eastAsia" w:ascii="仿宋" w:hAnsi="仿宋" w:eastAsia="仿宋" w:cs="仿宋"/>
                <w:color w:val="auto"/>
                <w:highlight w:val="none"/>
                <w:vertAlign w:val="baseline"/>
              </w:rPr>
            </w:pPr>
          </w:p>
        </w:tc>
        <w:tc>
          <w:tcPr>
            <w:tcW w:w="1744" w:type="dxa"/>
            <w:noWrap w:val="0"/>
            <w:vAlign w:val="top"/>
          </w:tcPr>
          <w:p w14:paraId="654005DC">
            <w:pPr>
              <w:pStyle w:val="8"/>
              <w:rPr>
                <w:rFonts w:hint="eastAsia" w:ascii="仿宋" w:hAnsi="仿宋" w:eastAsia="仿宋" w:cs="仿宋"/>
                <w:color w:val="auto"/>
                <w:highlight w:val="none"/>
                <w:vertAlign w:val="baseline"/>
              </w:rPr>
            </w:pPr>
          </w:p>
        </w:tc>
        <w:tc>
          <w:tcPr>
            <w:tcW w:w="1744" w:type="dxa"/>
            <w:noWrap w:val="0"/>
            <w:vAlign w:val="top"/>
          </w:tcPr>
          <w:p w14:paraId="419F5C2E">
            <w:pPr>
              <w:pStyle w:val="8"/>
              <w:rPr>
                <w:rFonts w:hint="eastAsia" w:ascii="仿宋" w:hAnsi="仿宋" w:eastAsia="仿宋" w:cs="仿宋"/>
                <w:color w:val="auto"/>
                <w:highlight w:val="none"/>
                <w:vertAlign w:val="baseline"/>
              </w:rPr>
            </w:pPr>
          </w:p>
        </w:tc>
        <w:tc>
          <w:tcPr>
            <w:tcW w:w="1354" w:type="dxa"/>
            <w:noWrap w:val="0"/>
            <w:vAlign w:val="top"/>
          </w:tcPr>
          <w:p w14:paraId="17CA84D9">
            <w:pPr>
              <w:pStyle w:val="8"/>
              <w:rPr>
                <w:rFonts w:hint="eastAsia" w:ascii="仿宋" w:hAnsi="仿宋" w:eastAsia="仿宋" w:cs="仿宋"/>
                <w:color w:val="auto"/>
                <w:highlight w:val="none"/>
                <w:vertAlign w:val="baseline"/>
              </w:rPr>
            </w:pPr>
          </w:p>
        </w:tc>
        <w:tc>
          <w:tcPr>
            <w:tcW w:w="2322" w:type="dxa"/>
            <w:noWrap w:val="0"/>
            <w:vAlign w:val="top"/>
          </w:tcPr>
          <w:p w14:paraId="0441E70D">
            <w:pPr>
              <w:pStyle w:val="8"/>
              <w:rPr>
                <w:rFonts w:hint="eastAsia" w:ascii="仿宋" w:hAnsi="仿宋" w:eastAsia="仿宋" w:cs="仿宋"/>
                <w:color w:val="auto"/>
                <w:highlight w:val="none"/>
                <w:vertAlign w:val="baseline"/>
              </w:rPr>
            </w:pPr>
          </w:p>
        </w:tc>
      </w:tr>
    </w:tbl>
    <w:p w14:paraId="40D46889">
      <w:pPr>
        <w:pStyle w:val="8"/>
        <w:rPr>
          <w:rFonts w:hint="eastAsia" w:ascii="仿宋" w:hAnsi="仿宋" w:eastAsia="仿宋" w:cs="仿宋"/>
          <w:color w:val="auto"/>
          <w:highlight w:val="none"/>
        </w:rPr>
      </w:pPr>
    </w:p>
    <w:p w14:paraId="073E37E4">
      <w:pPr>
        <w:bidi w:val="0"/>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投标单位（盖公章）：</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p>
    <w:p w14:paraId="018D2CD9">
      <w:pPr>
        <w:bidi w:val="0"/>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法人代表人或其授权代理人（签字）：</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p>
    <w:p w14:paraId="4BA55400">
      <w:pPr>
        <w:bidi w:val="0"/>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日期：</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年</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月</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日 </w:t>
      </w:r>
    </w:p>
    <w:p w14:paraId="1C56E3DA">
      <w:pPr>
        <w:bidi w:val="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（注：开标一览表还应另用小信封单独密封，用于开标时唱标使用）</w:t>
      </w:r>
      <w:r>
        <w:rPr>
          <w:rFonts w:hint="eastAsia" w:ascii="仿宋" w:hAnsi="仿宋" w:eastAsia="仿宋" w:cs="仿宋"/>
          <w:color w:val="auto"/>
          <w:kern w:val="0"/>
          <w:sz w:val="24"/>
          <w:szCs w:val="24"/>
          <w:highlight w:val="none"/>
          <w:lang w:val="en-US" w:eastAsia="zh-CN" w:bidi="ar"/>
        </w:rPr>
        <w:t xml:space="preserve"> </w:t>
      </w:r>
    </w:p>
    <w:p w14:paraId="4A1220CD">
      <w:pPr>
        <w:rPr>
          <w:rFonts w:hint="eastAsia" w:ascii="仿宋" w:hAnsi="仿宋" w:eastAsia="仿宋" w:cs="仿宋"/>
          <w:color w:val="auto"/>
          <w:highlight w:val="none"/>
          <w:lang w:val="en-US" w:eastAsia="zh-CN"/>
        </w:rPr>
      </w:pPr>
    </w:p>
    <w:p w14:paraId="1D7F0683">
      <w:pPr>
        <w:wordWrap w:val="0"/>
        <w:spacing w:line="360" w:lineRule="auto"/>
        <w:ind w:left="0" w:leftChars="0" w:firstLine="0" w:firstLineChars="0"/>
        <w:rPr>
          <w:rFonts w:hint="eastAsia" w:ascii="仿宋" w:hAnsi="仿宋" w:eastAsia="仿宋" w:cs="仿宋"/>
          <w:b/>
          <w:color w:val="auto"/>
          <w:sz w:val="24"/>
          <w:szCs w:val="24"/>
          <w:highlight w:val="none"/>
        </w:rPr>
      </w:pPr>
    </w:p>
    <w:p w14:paraId="5A5472A4">
      <w:pPr>
        <w:wordWrap w:val="0"/>
        <w:spacing w:line="36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 xml:space="preserve"> </w:t>
      </w:r>
    </w:p>
    <w:p w14:paraId="4ED947E7">
      <w:pPr>
        <w:numPr>
          <w:ilvl w:val="0"/>
          <w:numId w:val="7"/>
        </w:numPr>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“开标一览表”以电子投标文件中的格式进行填写，开标时唱标使用解密后的“开标一览表”。</w:t>
      </w:r>
    </w:p>
    <w:p w14:paraId="361F3E97">
      <w:pPr>
        <w:numPr>
          <w:ilvl w:val="0"/>
          <w:numId w:val="7"/>
        </w:numPr>
        <w:wordWrap w:val="0"/>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“开标一览表”的内容应与“投标报价明细表”以及投标文件的其他相关内容一致。</w:t>
      </w:r>
      <w:r>
        <w:rPr>
          <w:rFonts w:hint="eastAsia" w:ascii="仿宋" w:hAnsi="仿宋" w:eastAsia="仿宋" w:cs="仿宋"/>
          <w:bCs/>
          <w:color w:val="auto"/>
          <w:sz w:val="24"/>
          <w:szCs w:val="24"/>
          <w:highlight w:val="none"/>
        </w:rPr>
        <w:t>如果“开标一览表”的内容与“投标报价明细表”以及投标文件的其他相关内容不一致，则以“开标一览表”的内容为准。</w:t>
      </w:r>
    </w:p>
    <w:p w14:paraId="429A9860">
      <w:pPr>
        <w:wordWrap w:val="0"/>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3、“开标一览表”中各个栏目都必须完整、准确填写。</w:t>
      </w:r>
      <w:r>
        <w:rPr>
          <w:rFonts w:hint="eastAsia" w:ascii="仿宋" w:hAnsi="仿宋" w:eastAsia="仿宋" w:cs="仿宋"/>
          <w:bCs/>
          <w:color w:val="auto"/>
          <w:sz w:val="24"/>
          <w:szCs w:val="24"/>
          <w:highlight w:val="none"/>
        </w:rPr>
        <w:t>开标时，“开标一览表”的所有内容都不允许补充或者修改。</w:t>
      </w:r>
    </w:p>
    <w:p w14:paraId="2B21A760">
      <w:pPr>
        <w:wordWrap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4、“开标一览表”是投标文件的组成部分，必须按要求签署和加盖公章，否则为无效投标。</w:t>
      </w:r>
    </w:p>
    <w:p w14:paraId="7897BF41">
      <w:pPr>
        <w:autoSpaceDE w:val="0"/>
        <w:autoSpaceDN w:val="0"/>
        <w:adjustRightInd w:val="0"/>
        <w:jc w:val="center"/>
        <w:outlineLvl w:val="1"/>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color w:val="auto"/>
          <w:highlight w:val="none"/>
        </w:rPr>
        <w:br w:type="page"/>
      </w:r>
      <w:r>
        <w:rPr>
          <w:rFonts w:hint="eastAsia" w:ascii="仿宋" w:hAnsi="仿宋" w:eastAsia="仿宋" w:cs="仿宋"/>
          <w:b/>
          <w:bCs w:val="0"/>
          <w:color w:val="auto"/>
          <w:kern w:val="2"/>
          <w:sz w:val="32"/>
          <w:szCs w:val="32"/>
          <w:highlight w:val="none"/>
          <w:lang w:val="en-US" w:eastAsia="zh-CN" w:bidi="ar-SA"/>
        </w:rPr>
        <w:t>6、投标人基本情况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898"/>
        <w:gridCol w:w="514"/>
        <w:gridCol w:w="505"/>
        <w:gridCol w:w="1059"/>
        <w:gridCol w:w="1051"/>
        <w:gridCol w:w="543"/>
        <w:gridCol w:w="516"/>
        <w:gridCol w:w="2011"/>
      </w:tblGrid>
      <w:tr w14:paraId="7683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54F08187">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投标人名称</w:t>
            </w:r>
          </w:p>
        </w:tc>
        <w:tc>
          <w:tcPr>
            <w:tcW w:w="7097" w:type="dxa"/>
            <w:gridSpan w:val="8"/>
            <w:noWrap w:val="0"/>
            <w:vAlign w:val="center"/>
          </w:tcPr>
          <w:p w14:paraId="17781EA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00A7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1EFE2137">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注册地址</w:t>
            </w:r>
          </w:p>
        </w:tc>
        <w:tc>
          <w:tcPr>
            <w:tcW w:w="2976" w:type="dxa"/>
            <w:gridSpan w:val="4"/>
            <w:noWrap w:val="0"/>
            <w:vAlign w:val="center"/>
          </w:tcPr>
          <w:p w14:paraId="5FA3465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c>
          <w:tcPr>
            <w:tcW w:w="1594" w:type="dxa"/>
            <w:gridSpan w:val="2"/>
            <w:noWrap w:val="0"/>
            <w:vAlign w:val="center"/>
          </w:tcPr>
          <w:p w14:paraId="5F176A0A">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邮政</w:t>
            </w:r>
          </w:p>
          <w:p w14:paraId="1657275E">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vertAlign w:val="baseline"/>
                <w:lang w:val="en-US" w:eastAsia="zh-CN" w:bidi="ar"/>
              </w:rPr>
              <w:t>编码</w:t>
            </w:r>
          </w:p>
        </w:tc>
        <w:tc>
          <w:tcPr>
            <w:tcW w:w="2527" w:type="dxa"/>
            <w:gridSpan w:val="2"/>
            <w:noWrap w:val="0"/>
            <w:vAlign w:val="center"/>
          </w:tcPr>
          <w:p w14:paraId="3AA524C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099D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25" w:type="dxa"/>
            <w:vMerge w:val="restart"/>
            <w:noWrap w:val="0"/>
            <w:vAlign w:val="center"/>
          </w:tcPr>
          <w:p w14:paraId="796B6A97">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联系方式</w:t>
            </w:r>
          </w:p>
        </w:tc>
        <w:tc>
          <w:tcPr>
            <w:tcW w:w="1412" w:type="dxa"/>
            <w:gridSpan w:val="2"/>
            <w:noWrap w:val="0"/>
            <w:vAlign w:val="center"/>
          </w:tcPr>
          <w:p w14:paraId="17C6B176">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联系人</w:t>
            </w:r>
          </w:p>
        </w:tc>
        <w:tc>
          <w:tcPr>
            <w:tcW w:w="1564" w:type="dxa"/>
            <w:gridSpan w:val="2"/>
            <w:noWrap w:val="0"/>
            <w:vAlign w:val="center"/>
          </w:tcPr>
          <w:p w14:paraId="66A5CAA7">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p>
        </w:tc>
        <w:tc>
          <w:tcPr>
            <w:tcW w:w="1594" w:type="dxa"/>
            <w:gridSpan w:val="2"/>
            <w:noWrap w:val="0"/>
            <w:vAlign w:val="center"/>
          </w:tcPr>
          <w:p w14:paraId="2963D8BF">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电话</w:t>
            </w:r>
          </w:p>
        </w:tc>
        <w:tc>
          <w:tcPr>
            <w:tcW w:w="2527" w:type="dxa"/>
            <w:gridSpan w:val="2"/>
            <w:noWrap w:val="0"/>
            <w:vAlign w:val="center"/>
          </w:tcPr>
          <w:p w14:paraId="550E3AF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3183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25" w:type="dxa"/>
            <w:vMerge w:val="continue"/>
            <w:noWrap w:val="0"/>
            <w:vAlign w:val="center"/>
          </w:tcPr>
          <w:p w14:paraId="40EFB22E">
            <w:pPr>
              <w:keepNext w:val="0"/>
              <w:keepLines w:val="0"/>
              <w:widowControl/>
              <w:suppressLineNumbers w:val="0"/>
              <w:spacing w:before="0" w:beforeAutospacing="0" w:after="0" w:afterAutospacing="0"/>
              <w:ind w:left="0" w:right="0"/>
              <w:jc w:val="center"/>
              <w:rPr>
                <w:rFonts w:hint="eastAsia" w:ascii="仿宋" w:hAnsi="仿宋" w:eastAsia="仿宋" w:cs="仿宋"/>
                <w:color w:val="auto"/>
                <w:highlight w:val="none"/>
              </w:rPr>
            </w:pPr>
          </w:p>
        </w:tc>
        <w:tc>
          <w:tcPr>
            <w:tcW w:w="1412" w:type="dxa"/>
            <w:gridSpan w:val="2"/>
            <w:noWrap w:val="0"/>
            <w:vAlign w:val="center"/>
          </w:tcPr>
          <w:p w14:paraId="3DE98247">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传真</w:t>
            </w:r>
          </w:p>
        </w:tc>
        <w:tc>
          <w:tcPr>
            <w:tcW w:w="1564" w:type="dxa"/>
            <w:gridSpan w:val="2"/>
            <w:noWrap w:val="0"/>
            <w:vAlign w:val="center"/>
          </w:tcPr>
          <w:p w14:paraId="6CCD12C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c>
          <w:tcPr>
            <w:tcW w:w="1594" w:type="dxa"/>
            <w:gridSpan w:val="2"/>
            <w:noWrap w:val="0"/>
            <w:vAlign w:val="center"/>
          </w:tcPr>
          <w:p w14:paraId="264A1F5D">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网址</w:t>
            </w:r>
          </w:p>
        </w:tc>
        <w:tc>
          <w:tcPr>
            <w:tcW w:w="2527" w:type="dxa"/>
            <w:gridSpan w:val="2"/>
            <w:noWrap w:val="0"/>
            <w:vAlign w:val="center"/>
          </w:tcPr>
          <w:p w14:paraId="34ADA6A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7246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4A34188F">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组织结构</w:t>
            </w:r>
          </w:p>
        </w:tc>
        <w:tc>
          <w:tcPr>
            <w:tcW w:w="7097" w:type="dxa"/>
            <w:gridSpan w:val="8"/>
            <w:noWrap w:val="0"/>
            <w:vAlign w:val="center"/>
          </w:tcPr>
          <w:p w14:paraId="2D54BC7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5E95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53E9575C">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法定代表人</w:t>
            </w:r>
          </w:p>
        </w:tc>
        <w:tc>
          <w:tcPr>
            <w:tcW w:w="898" w:type="dxa"/>
            <w:noWrap w:val="0"/>
            <w:vAlign w:val="center"/>
          </w:tcPr>
          <w:p w14:paraId="3BF864CD">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姓名</w:t>
            </w:r>
          </w:p>
        </w:tc>
        <w:tc>
          <w:tcPr>
            <w:tcW w:w="1019" w:type="dxa"/>
            <w:gridSpan w:val="2"/>
            <w:noWrap w:val="0"/>
            <w:vAlign w:val="center"/>
          </w:tcPr>
          <w:p w14:paraId="002E3920">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p>
        </w:tc>
        <w:tc>
          <w:tcPr>
            <w:tcW w:w="1059" w:type="dxa"/>
            <w:noWrap w:val="0"/>
            <w:vAlign w:val="center"/>
          </w:tcPr>
          <w:p w14:paraId="5F03F2DC">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技术职称</w:t>
            </w:r>
          </w:p>
        </w:tc>
        <w:tc>
          <w:tcPr>
            <w:tcW w:w="1051" w:type="dxa"/>
            <w:noWrap w:val="0"/>
            <w:vAlign w:val="center"/>
          </w:tcPr>
          <w:p w14:paraId="16CE45DE">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p>
        </w:tc>
        <w:tc>
          <w:tcPr>
            <w:tcW w:w="1059" w:type="dxa"/>
            <w:gridSpan w:val="2"/>
            <w:noWrap w:val="0"/>
            <w:vAlign w:val="center"/>
          </w:tcPr>
          <w:p w14:paraId="52E8D3B6">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电话</w:t>
            </w:r>
          </w:p>
        </w:tc>
        <w:tc>
          <w:tcPr>
            <w:tcW w:w="2011" w:type="dxa"/>
            <w:noWrap w:val="0"/>
            <w:vAlign w:val="center"/>
          </w:tcPr>
          <w:p w14:paraId="47182C1D">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p>
        </w:tc>
      </w:tr>
      <w:tr w14:paraId="0B93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61F06FCC">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成立时间</w:t>
            </w:r>
          </w:p>
        </w:tc>
        <w:tc>
          <w:tcPr>
            <w:tcW w:w="7097" w:type="dxa"/>
            <w:gridSpan w:val="8"/>
            <w:noWrap w:val="0"/>
            <w:vAlign w:val="center"/>
          </w:tcPr>
          <w:p w14:paraId="502C306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6C28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1E227BBF">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营业执照号</w:t>
            </w:r>
          </w:p>
        </w:tc>
        <w:tc>
          <w:tcPr>
            <w:tcW w:w="7097" w:type="dxa"/>
            <w:gridSpan w:val="8"/>
            <w:noWrap w:val="0"/>
            <w:vAlign w:val="center"/>
          </w:tcPr>
          <w:p w14:paraId="26CD834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36CD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3C45D1DC">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注册资金</w:t>
            </w:r>
          </w:p>
        </w:tc>
        <w:tc>
          <w:tcPr>
            <w:tcW w:w="7097" w:type="dxa"/>
            <w:gridSpan w:val="8"/>
            <w:noWrap w:val="0"/>
            <w:vAlign w:val="center"/>
          </w:tcPr>
          <w:p w14:paraId="4E37EA1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1BCC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5687A945">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基本账户</w:t>
            </w:r>
          </w:p>
          <w:p w14:paraId="39AA2B46">
            <w:pPr>
              <w:pStyle w:val="8"/>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vertAlign w:val="baseline"/>
                <w:lang w:val="en-US" w:eastAsia="zh-CN" w:bidi="ar"/>
              </w:rPr>
              <w:t>开户银行</w:t>
            </w:r>
          </w:p>
        </w:tc>
        <w:tc>
          <w:tcPr>
            <w:tcW w:w="7097" w:type="dxa"/>
            <w:gridSpan w:val="8"/>
            <w:noWrap w:val="0"/>
            <w:vAlign w:val="center"/>
          </w:tcPr>
          <w:p w14:paraId="76A7B42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5872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20D8235D">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账号</w:t>
            </w:r>
          </w:p>
        </w:tc>
        <w:tc>
          <w:tcPr>
            <w:tcW w:w="7097" w:type="dxa"/>
            <w:gridSpan w:val="8"/>
            <w:noWrap w:val="0"/>
            <w:vAlign w:val="center"/>
          </w:tcPr>
          <w:p w14:paraId="4DEAFDC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6C16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425" w:type="dxa"/>
            <w:noWrap w:val="0"/>
            <w:vAlign w:val="center"/>
          </w:tcPr>
          <w:p w14:paraId="090F00EB">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经营范围</w:t>
            </w:r>
          </w:p>
        </w:tc>
        <w:tc>
          <w:tcPr>
            <w:tcW w:w="7097" w:type="dxa"/>
            <w:gridSpan w:val="8"/>
            <w:noWrap w:val="0"/>
            <w:vAlign w:val="center"/>
          </w:tcPr>
          <w:p w14:paraId="201BFAB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r w14:paraId="63AB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noWrap w:val="0"/>
            <w:vAlign w:val="center"/>
          </w:tcPr>
          <w:p w14:paraId="5928661B">
            <w:pPr>
              <w:keepNext w:val="0"/>
              <w:keepLines w:val="0"/>
              <w:widowControl/>
              <w:suppressLineNumbers w:val="0"/>
              <w:spacing w:before="0" w:beforeAutospacing="0" w:after="0" w:afterAutospacing="0"/>
              <w:ind w:left="0" w:leftChars="0" w:right="0" w:firstLine="0" w:firstLineChars="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备注</w:t>
            </w:r>
          </w:p>
        </w:tc>
        <w:tc>
          <w:tcPr>
            <w:tcW w:w="7097" w:type="dxa"/>
            <w:gridSpan w:val="8"/>
            <w:noWrap w:val="0"/>
            <w:vAlign w:val="center"/>
          </w:tcPr>
          <w:p w14:paraId="2B7B3D1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vertAlign w:val="baseline"/>
                <w:lang w:val="en-US" w:eastAsia="zh-CN" w:bidi="ar"/>
              </w:rPr>
            </w:pPr>
          </w:p>
        </w:tc>
      </w:tr>
    </w:tbl>
    <w:p w14:paraId="575A4154">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color w:val="auto"/>
          <w:kern w:val="0"/>
          <w:sz w:val="24"/>
          <w:szCs w:val="24"/>
          <w:highlight w:val="none"/>
          <w:lang w:val="en-US" w:eastAsia="zh-CN" w:bidi="ar"/>
        </w:rPr>
        <w:t xml:space="preserve">注：后附企业营业执照、《食品经营许可证》等的复印件加盖公章。 </w:t>
      </w:r>
    </w:p>
    <w:p w14:paraId="6CFEDB81">
      <w:pPr>
        <w:tabs>
          <w:tab w:val="left" w:pos="1365"/>
        </w:tabs>
        <w:wordWrap w:val="0"/>
        <w:jc w:val="center"/>
        <w:outlineLvl w:val="1"/>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color w:val="auto"/>
          <w:highlight w:val="none"/>
        </w:rPr>
        <w:br w:type="page"/>
      </w:r>
      <w:r>
        <w:rPr>
          <w:rFonts w:hint="eastAsia" w:ascii="仿宋" w:hAnsi="仿宋" w:eastAsia="仿宋" w:cs="仿宋"/>
          <w:b/>
          <w:color w:val="auto"/>
          <w:kern w:val="0"/>
          <w:sz w:val="32"/>
          <w:szCs w:val="32"/>
          <w:highlight w:val="none"/>
          <w:lang w:val="en-US" w:eastAsia="zh-CN" w:bidi="ar-SA"/>
        </w:rPr>
        <w:t>7、资格证明文件</w:t>
      </w:r>
    </w:p>
    <w:p w14:paraId="7F887C32">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color w:val="auto"/>
          <w:kern w:val="0"/>
          <w:sz w:val="24"/>
          <w:szCs w:val="24"/>
          <w:highlight w:val="none"/>
          <w:lang w:val="en-US" w:eastAsia="zh-CN" w:bidi="ar"/>
        </w:rPr>
        <w:t>（一）投标人的资格声明</w:t>
      </w:r>
    </w:p>
    <w:p w14:paraId="604B83D2">
      <w:pPr>
        <w:keepNext w:val="0"/>
        <w:keepLines w:val="0"/>
        <w:widowControl/>
        <w:suppressLineNumbers w:val="0"/>
        <w:ind w:left="0" w:leftChars="0" w:firstLine="0" w:firstLineChars="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u w:val="none"/>
          <w:lang w:val="en-US" w:eastAsia="zh-CN" w:bidi="ar"/>
        </w:rPr>
        <w:t>致</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kern w:val="0"/>
          <w:sz w:val="24"/>
          <w:szCs w:val="24"/>
          <w:highlight w:val="none"/>
          <w:lang w:val="en-US" w:eastAsia="zh-CN" w:bidi="ar"/>
        </w:rPr>
        <w:t>（招标人名称）：</w:t>
      </w:r>
    </w:p>
    <w:p w14:paraId="5DA54D9B">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按照《中华人民共和国政府采购法》第二十二条和你方发布的</w:t>
      </w:r>
      <w:r>
        <w:rPr>
          <w:rFonts w:hint="eastAsia" w:ascii="仿宋" w:hAnsi="仿宋" w:eastAsia="仿宋" w:cs="仿宋"/>
          <w:color w:val="auto"/>
          <w:kern w:val="0"/>
          <w:sz w:val="24"/>
          <w:szCs w:val="24"/>
          <w:highlight w:val="none"/>
          <w:u w:val="single"/>
          <w:lang w:val="en-US" w:eastAsia="zh-CN" w:bidi="ar"/>
        </w:rPr>
        <w:t xml:space="preserve">  项目名称  </w:t>
      </w:r>
      <w:r>
        <w:rPr>
          <w:rFonts w:hint="eastAsia" w:ascii="仿宋" w:hAnsi="仿宋" w:eastAsia="仿宋" w:cs="仿宋"/>
          <w:color w:val="auto"/>
          <w:kern w:val="0"/>
          <w:sz w:val="24"/>
          <w:szCs w:val="24"/>
          <w:highlight w:val="none"/>
          <w:lang w:val="en-US" w:eastAsia="zh-CN" w:bidi="ar"/>
        </w:rPr>
        <w:t>招标文件（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编号）的规定，我公司郑重声明如下：</w:t>
      </w:r>
    </w:p>
    <w:p w14:paraId="27F0E61B">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1、我公司是按照中华人民共和国法律在工商管理机关登记注册的企业法人，注册地点为，公司全称为，法定代表人为，具有独立承担民事责任的能力。</w:t>
      </w:r>
    </w:p>
    <w:p w14:paraId="6CBD459C">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2、我公司具有良好的商业信誉和健全的财务会计制度。</w:t>
      </w:r>
    </w:p>
    <w:p w14:paraId="4B985A7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3、我公司具有履行本项目采购合同所必需的设备和专业技术能力。</w:t>
      </w:r>
    </w:p>
    <w:p w14:paraId="6E0903C8">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4、我公司具有依法缴纳税收和社会保障资金的良好记录。</w:t>
      </w:r>
    </w:p>
    <w:p w14:paraId="3033C75F">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5、我公司在参与本次政府采购活动之前三年内，在经营活动中无重大违法记录。</w:t>
      </w:r>
    </w:p>
    <w:p w14:paraId="77652992">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6、我公司在参与本次政府采购活动时未受到任何地方政府采购部门作出的暂停参加政府采购活动的处罚。</w:t>
      </w:r>
    </w:p>
    <w:p w14:paraId="44104262">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我公司保证上述声明的事项都是真实的，如有虚假，我公司承担相应的法律责任，并承担因此给本项目招标人所造成的损失。</w:t>
      </w:r>
    </w:p>
    <w:p w14:paraId="5350621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我公司已经按照本项目招标人招标文件的要求提交了所要求提交的能够证明上述声明事项真实性的全部文件材料，并保证随时按照本项目招标人的要求提供能够证明上述声明事项真实性的任何有效文件。</w:t>
      </w:r>
    </w:p>
    <w:p w14:paraId="52496374">
      <w:pPr>
        <w:pStyle w:val="8"/>
        <w:rPr>
          <w:rFonts w:hint="eastAsia" w:ascii="仿宋" w:hAnsi="仿宋" w:eastAsia="仿宋" w:cs="仿宋"/>
          <w:color w:val="auto"/>
          <w:kern w:val="0"/>
          <w:sz w:val="24"/>
          <w:szCs w:val="24"/>
          <w:highlight w:val="none"/>
          <w:lang w:val="en-US" w:eastAsia="zh-CN" w:bidi="ar"/>
        </w:rPr>
      </w:pPr>
    </w:p>
    <w:p w14:paraId="40ED8CFD">
      <w:pPr>
        <w:pStyle w:val="8"/>
        <w:rPr>
          <w:rFonts w:hint="eastAsia" w:ascii="仿宋" w:hAnsi="仿宋" w:eastAsia="仿宋" w:cs="仿宋"/>
          <w:color w:val="auto"/>
          <w:kern w:val="0"/>
          <w:sz w:val="24"/>
          <w:szCs w:val="24"/>
          <w:highlight w:val="none"/>
          <w:lang w:val="en-US" w:eastAsia="zh-CN" w:bidi="ar"/>
        </w:rPr>
      </w:pPr>
    </w:p>
    <w:p w14:paraId="2B4EC009">
      <w:pPr>
        <w:pStyle w:val="8"/>
        <w:rPr>
          <w:rFonts w:hint="eastAsia" w:ascii="仿宋" w:hAnsi="仿宋" w:eastAsia="仿宋" w:cs="仿宋"/>
          <w:color w:val="auto"/>
          <w:kern w:val="0"/>
          <w:sz w:val="24"/>
          <w:szCs w:val="24"/>
          <w:highlight w:val="none"/>
          <w:lang w:val="en-US" w:eastAsia="zh-CN" w:bidi="ar"/>
        </w:rPr>
      </w:pPr>
    </w:p>
    <w:p w14:paraId="068DC16F">
      <w:pPr>
        <w:pStyle w:val="8"/>
        <w:rPr>
          <w:rFonts w:hint="eastAsia" w:ascii="仿宋" w:hAnsi="仿宋" w:eastAsia="仿宋" w:cs="仿宋"/>
          <w:color w:val="auto"/>
          <w:kern w:val="0"/>
          <w:sz w:val="24"/>
          <w:szCs w:val="24"/>
          <w:highlight w:val="none"/>
          <w:lang w:val="en-US" w:eastAsia="zh-CN" w:bidi="ar"/>
        </w:rPr>
      </w:pPr>
    </w:p>
    <w:p w14:paraId="12531E6B">
      <w:pPr>
        <w:keepNext w:val="0"/>
        <w:keepLines w:val="0"/>
        <w:widowControl/>
        <w:suppressLineNumbers w:val="0"/>
        <w:ind w:firstLine="3403" w:firstLineChars="1418"/>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投标人名称全称：</w:t>
      </w:r>
    </w:p>
    <w:p w14:paraId="306D8DB4">
      <w:pPr>
        <w:keepNext w:val="0"/>
        <w:keepLines w:val="0"/>
        <w:widowControl/>
        <w:suppressLineNumbers w:val="0"/>
        <w:ind w:firstLine="3403" w:firstLineChars="1418"/>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投标人单位公章：</w:t>
      </w:r>
    </w:p>
    <w:p w14:paraId="296715DD">
      <w:pPr>
        <w:keepNext w:val="0"/>
        <w:keepLines w:val="0"/>
        <w:widowControl/>
        <w:suppressLineNumbers w:val="0"/>
        <w:ind w:firstLine="3403" w:firstLineChars="1418"/>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法定代表人或授权代理人签字：</w:t>
      </w:r>
    </w:p>
    <w:p w14:paraId="08DF9732">
      <w:pPr>
        <w:keepNext w:val="0"/>
        <w:keepLines w:val="0"/>
        <w:widowControl/>
        <w:suppressLineNumbers w:val="0"/>
        <w:ind w:firstLine="3403" w:firstLineChars="1418"/>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时间：    年    月    日</w:t>
      </w:r>
    </w:p>
    <w:p w14:paraId="5E229CBC">
      <w:pPr>
        <w:keepNext w:val="0"/>
        <w:keepLines w:val="0"/>
        <w:widowControl/>
        <w:suppressLineNumbers w:val="0"/>
        <w:ind w:firstLine="3403" w:firstLineChars="1418"/>
        <w:jc w:val="left"/>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br w:type="page"/>
      </w:r>
      <w:r>
        <w:rPr>
          <w:rFonts w:hint="eastAsia" w:ascii="仿宋" w:hAnsi="仿宋" w:eastAsia="仿宋" w:cs="仿宋"/>
          <w:b/>
          <w:color w:val="auto"/>
          <w:kern w:val="0"/>
          <w:sz w:val="24"/>
          <w:szCs w:val="24"/>
          <w:highlight w:val="none"/>
          <w:lang w:val="en-US" w:eastAsia="zh-CN" w:bidi="ar"/>
        </w:rPr>
        <w:t>（二）公司简介</w:t>
      </w:r>
    </w:p>
    <w:p w14:paraId="3E310637">
      <w:pPr>
        <w:bidi w:val="0"/>
        <w:ind w:left="0" w:leftChars="0" w:firstLine="42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文字描述：企业性质、发展历程、经营规模、服务理念、技术力量等。 </w:t>
      </w:r>
    </w:p>
    <w:p w14:paraId="303CA05E">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color w:val="auto"/>
          <w:kern w:val="0"/>
          <w:sz w:val="24"/>
          <w:szCs w:val="24"/>
          <w:highlight w:val="none"/>
          <w:lang w:val="en-US" w:eastAsia="zh-CN" w:bidi="ar"/>
        </w:rPr>
        <w:br w:type="page"/>
      </w:r>
      <w:r>
        <w:rPr>
          <w:rFonts w:hint="eastAsia" w:ascii="仿宋" w:hAnsi="仿宋" w:eastAsia="仿宋" w:cs="仿宋"/>
          <w:b/>
          <w:color w:val="auto"/>
          <w:kern w:val="0"/>
          <w:sz w:val="24"/>
          <w:szCs w:val="24"/>
          <w:highlight w:val="none"/>
          <w:lang w:val="en-US" w:eastAsia="zh-CN" w:bidi="ar"/>
        </w:rPr>
        <w:t>（三）公司财务状况</w:t>
      </w:r>
    </w:p>
    <w:p w14:paraId="6E2F07B9">
      <w:pPr>
        <w:bidi w:val="0"/>
        <w:ind w:left="0" w:leftChars="0" w:firstLine="42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提供近三年（</w:t>
      </w:r>
      <w:r>
        <w:rPr>
          <w:rFonts w:hint="eastAsia" w:cs="仿宋"/>
          <w:color w:val="auto"/>
          <w:highlight w:val="none"/>
          <w:lang w:val="en-US" w:eastAsia="zh-CN"/>
        </w:rPr>
        <w:t>2021年至2023年</w:t>
      </w:r>
      <w:r>
        <w:rPr>
          <w:rFonts w:hint="eastAsia" w:ascii="仿宋" w:hAnsi="仿宋" w:eastAsia="仿宋" w:cs="仿宋"/>
          <w:color w:val="auto"/>
          <w:highlight w:val="none"/>
          <w:lang w:val="en-US" w:eastAsia="zh-CN"/>
        </w:rPr>
        <w:t>）公司财务审计报告或财务报表原件或复印件，新成立企业需提供当年银行出具的公司资信证明原件。标书内复印件加盖公章。（投标人的成立时间少于规定年份的，应提供成立以来至2023年的财务报表或财务审计报告；202</w:t>
      </w:r>
      <w:r>
        <w:rPr>
          <w:rFonts w:hint="eastAsia" w:cs="仿宋"/>
          <w:color w:val="auto"/>
          <w:highlight w:val="none"/>
          <w:lang w:val="en-US" w:eastAsia="zh-CN"/>
        </w:rPr>
        <w:t>4</w:t>
      </w:r>
      <w:r>
        <w:rPr>
          <w:rFonts w:hint="eastAsia" w:ascii="仿宋" w:hAnsi="仿宋" w:eastAsia="仿宋" w:cs="仿宋"/>
          <w:color w:val="auto"/>
          <w:highlight w:val="none"/>
          <w:lang w:val="en-US" w:eastAsia="zh-CN"/>
        </w:rPr>
        <w:t xml:space="preserve">年新成立企业需提供当年银行出具的公司资信证明） </w:t>
      </w:r>
    </w:p>
    <w:p w14:paraId="6675B458">
      <w:pPr>
        <w:keepNext w:val="0"/>
        <w:keepLines w:val="0"/>
        <w:widowControl/>
        <w:suppressLineNumbers w:val="0"/>
        <w:jc w:val="center"/>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br w:type="page"/>
      </w:r>
      <w:r>
        <w:rPr>
          <w:rFonts w:hint="eastAsia" w:ascii="仿宋" w:hAnsi="仿宋" w:eastAsia="仿宋" w:cs="仿宋"/>
          <w:b/>
          <w:color w:val="auto"/>
          <w:kern w:val="0"/>
          <w:sz w:val="24"/>
          <w:szCs w:val="24"/>
          <w:highlight w:val="none"/>
          <w:lang w:val="en-US" w:eastAsia="zh-CN" w:bidi="ar"/>
        </w:rPr>
        <w:t>（四）信用证明</w:t>
      </w:r>
    </w:p>
    <w:p w14:paraId="32999245">
      <w:pPr>
        <w:bidi w:val="0"/>
        <w:ind w:left="0" w:leftChars="0" w:firstLine="42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参加政府采购活动前 3 年内在经营活动中没有重大违法记录的书面声明。</w:t>
      </w:r>
    </w:p>
    <w:p w14:paraId="49E17C15">
      <w:pPr>
        <w:pStyle w:val="8"/>
        <w:jc w:val="center"/>
        <w:rPr>
          <w:rFonts w:hint="eastAsia" w:ascii="仿宋" w:hAnsi="仿宋" w:eastAsia="仿宋" w:cs="仿宋"/>
          <w:color w:val="auto"/>
          <w:highlight w:val="none"/>
          <w:lang w:val="en-US" w:eastAsia="zh-CN"/>
        </w:rPr>
      </w:pPr>
    </w:p>
    <w:p w14:paraId="1EAB3AEF">
      <w:pPr>
        <w:pStyle w:val="8"/>
        <w:jc w:val="center"/>
        <w:rPr>
          <w:rFonts w:hint="eastAsia" w:ascii="仿宋" w:hAnsi="仿宋" w:eastAsia="仿宋" w:cs="仿宋"/>
          <w:color w:val="auto"/>
          <w:highlight w:val="none"/>
          <w:lang w:val="en-US" w:eastAsia="zh-CN"/>
        </w:rPr>
      </w:pPr>
    </w:p>
    <w:p w14:paraId="3A407D39">
      <w:pPr>
        <w:pStyle w:val="8"/>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（格式自拟）</w:t>
      </w:r>
    </w:p>
    <w:p w14:paraId="1491E0FE">
      <w:pPr>
        <w:keepNext w:val="0"/>
        <w:keepLines w:val="0"/>
        <w:widowControl/>
        <w:suppressLineNumbers w:val="0"/>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kern w:val="0"/>
          <w:sz w:val="24"/>
          <w:szCs w:val="24"/>
          <w:highlight w:val="none"/>
          <w:lang w:val="en-US" w:eastAsia="zh-CN" w:bidi="ar"/>
        </w:rPr>
        <w:t>（五）类似项目经验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406"/>
        <w:gridCol w:w="1800"/>
        <w:gridCol w:w="2063"/>
        <w:gridCol w:w="1312"/>
        <w:gridCol w:w="849"/>
      </w:tblGrid>
      <w:tr w14:paraId="7ACB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106A0250">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1406" w:type="dxa"/>
            <w:noWrap w:val="0"/>
            <w:vAlign w:val="top"/>
          </w:tcPr>
          <w:p w14:paraId="377D091E">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项目名称</w:t>
            </w:r>
          </w:p>
        </w:tc>
        <w:tc>
          <w:tcPr>
            <w:tcW w:w="1800" w:type="dxa"/>
            <w:noWrap w:val="0"/>
            <w:vAlign w:val="top"/>
          </w:tcPr>
          <w:p w14:paraId="35443427">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合同买方名称</w:t>
            </w:r>
          </w:p>
        </w:tc>
        <w:tc>
          <w:tcPr>
            <w:tcW w:w="2063" w:type="dxa"/>
            <w:noWrap w:val="0"/>
            <w:vAlign w:val="top"/>
          </w:tcPr>
          <w:p w14:paraId="07C1F3CA">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合同金额（万元）</w:t>
            </w:r>
          </w:p>
        </w:tc>
        <w:tc>
          <w:tcPr>
            <w:tcW w:w="1312" w:type="dxa"/>
            <w:noWrap w:val="0"/>
            <w:vAlign w:val="top"/>
          </w:tcPr>
          <w:p w14:paraId="16DC29C3">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合同日期</w:t>
            </w:r>
          </w:p>
        </w:tc>
        <w:tc>
          <w:tcPr>
            <w:tcW w:w="849" w:type="dxa"/>
            <w:noWrap w:val="0"/>
            <w:vAlign w:val="top"/>
          </w:tcPr>
          <w:p w14:paraId="166B9A35">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备注</w:t>
            </w:r>
          </w:p>
        </w:tc>
      </w:tr>
      <w:tr w14:paraId="39E6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29C8E3D7">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1406" w:type="dxa"/>
            <w:noWrap w:val="0"/>
            <w:vAlign w:val="top"/>
          </w:tcPr>
          <w:p w14:paraId="5D24F0C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5D4AD11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1FE54FC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19E49C6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77D8573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75C4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1B0C062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w:t>
            </w:r>
          </w:p>
        </w:tc>
        <w:tc>
          <w:tcPr>
            <w:tcW w:w="1406" w:type="dxa"/>
            <w:noWrap w:val="0"/>
            <w:vAlign w:val="top"/>
          </w:tcPr>
          <w:p w14:paraId="4CF4E31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6F2A3F8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03B5C3F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5CCD2D69">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4C78A32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060D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3B5B572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w:t>
            </w:r>
          </w:p>
        </w:tc>
        <w:tc>
          <w:tcPr>
            <w:tcW w:w="1406" w:type="dxa"/>
            <w:noWrap w:val="0"/>
            <w:vAlign w:val="top"/>
          </w:tcPr>
          <w:p w14:paraId="06BB243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57B6E8B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537982D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0AD358A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25879F6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0EED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6BD0BB4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p>
        </w:tc>
        <w:tc>
          <w:tcPr>
            <w:tcW w:w="1406" w:type="dxa"/>
            <w:noWrap w:val="0"/>
            <w:vAlign w:val="top"/>
          </w:tcPr>
          <w:p w14:paraId="2623311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17D64F1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16F5031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0BFCEFD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2C27DCF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2C95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37AD571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w:t>
            </w:r>
          </w:p>
        </w:tc>
        <w:tc>
          <w:tcPr>
            <w:tcW w:w="1406" w:type="dxa"/>
            <w:noWrap w:val="0"/>
            <w:vAlign w:val="top"/>
          </w:tcPr>
          <w:p w14:paraId="3EF4EF9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26B43A3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60878B3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477118D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05738CC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1568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48085BB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tc>
        <w:tc>
          <w:tcPr>
            <w:tcW w:w="1406" w:type="dxa"/>
            <w:noWrap w:val="0"/>
            <w:vAlign w:val="top"/>
          </w:tcPr>
          <w:p w14:paraId="0F94EBA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0592884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1D532097">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6AD36DC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108C2837">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672A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02FE868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p>
        </w:tc>
        <w:tc>
          <w:tcPr>
            <w:tcW w:w="1406" w:type="dxa"/>
            <w:noWrap w:val="0"/>
            <w:vAlign w:val="top"/>
          </w:tcPr>
          <w:p w14:paraId="6BB7C29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0F1C29B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0EF22CB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456A95D2">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2C674FF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7A49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7BB38B2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p>
        </w:tc>
        <w:tc>
          <w:tcPr>
            <w:tcW w:w="1406" w:type="dxa"/>
            <w:noWrap w:val="0"/>
            <w:vAlign w:val="top"/>
          </w:tcPr>
          <w:p w14:paraId="46A31BD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2DE6E17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48A8559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19EE70E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1FBA610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4EFC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1CB63DD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p>
        </w:tc>
        <w:tc>
          <w:tcPr>
            <w:tcW w:w="1406" w:type="dxa"/>
            <w:noWrap w:val="0"/>
            <w:vAlign w:val="top"/>
          </w:tcPr>
          <w:p w14:paraId="5B848DB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23CC59F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5F8BC18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22478F6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4E033EA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r w14:paraId="6170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noWrap w:val="0"/>
            <w:vAlign w:val="top"/>
          </w:tcPr>
          <w:p w14:paraId="1EBE77F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lang w:val="en-US" w:eastAsia="zh-CN"/>
              </w:rPr>
            </w:pPr>
          </w:p>
        </w:tc>
        <w:tc>
          <w:tcPr>
            <w:tcW w:w="1406" w:type="dxa"/>
            <w:noWrap w:val="0"/>
            <w:vAlign w:val="top"/>
          </w:tcPr>
          <w:p w14:paraId="649D892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800" w:type="dxa"/>
            <w:noWrap w:val="0"/>
            <w:vAlign w:val="top"/>
          </w:tcPr>
          <w:p w14:paraId="706AF88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2063" w:type="dxa"/>
            <w:noWrap w:val="0"/>
            <w:vAlign w:val="top"/>
          </w:tcPr>
          <w:p w14:paraId="1C47F85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1312" w:type="dxa"/>
            <w:noWrap w:val="0"/>
            <w:vAlign w:val="top"/>
          </w:tcPr>
          <w:p w14:paraId="57F1B72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c>
          <w:tcPr>
            <w:tcW w:w="849" w:type="dxa"/>
            <w:noWrap w:val="0"/>
            <w:vAlign w:val="top"/>
          </w:tcPr>
          <w:p w14:paraId="135D65B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highlight w:val="none"/>
                <w:vertAlign w:val="baseline"/>
              </w:rPr>
            </w:pPr>
          </w:p>
        </w:tc>
      </w:tr>
    </w:tbl>
    <w:p w14:paraId="155F79CF">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注：后附近年（</w:t>
      </w:r>
      <w:r>
        <w:rPr>
          <w:rFonts w:hint="eastAsia" w:cs="仿宋"/>
          <w:color w:val="auto"/>
          <w:kern w:val="0"/>
          <w:sz w:val="24"/>
          <w:szCs w:val="24"/>
          <w:highlight w:val="none"/>
          <w:lang w:val="en-US" w:eastAsia="zh-CN" w:bidi="ar"/>
        </w:rPr>
        <w:t>2021年07月01至2024年06月30日</w:t>
      </w:r>
      <w:r>
        <w:rPr>
          <w:rFonts w:hint="eastAsia" w:ascii="仿宋" w:hAnsi="仿宋" w:eastAsia="仿宋" w:cs="仿宋"/>
          <w:color w:val="auto"/>
          <w:kern w:val="0"/>
          <w:sz w:val="24"/>
          <w:szCs w:val="24"/>
          <w:highlight w:val="none"/>
          <w:lang w:val="en-US" w:eastAsia="zh-CN" w:bidi="ar"/>
        </w:rPr>
        <w:t xml:space="preserve">）内类似项目业绩证明材料（中标通知书或合同）的复印件加盖公章。 </w:t>
      </w:r>
    </w:p>
    <w:p w14:paraId="199050A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0D7605C">
      <w:pPr>
        <w:keepNext w:val="0"/>
        <w:keepLines w:val="0"/>
        <w:widowControl/>
        <w:suppressLineNumbers w:val="0"/>
        <w:ind w:left="0" w:leftChars="0" w:firstLine="0" w:firstLineChars="0"/>
        <w:jc w:val="both"/>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（六）招标文件规定或投标人认为有必要提供的其他材料</w:t>
      </w:r>
    </w:p>
    <w:p w14:paraId="1F3F3344">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（招标文件中要求提交的其他材料，招标文件中无格式的请投标单位格式自拟依次附后） </w:t>
      </w:r>
    </w:p>
    <w:p w14:paraId="418A61FD">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招标文件规定的、与投标人资格审查有关的其他资料。若附其他文件， 请详列如下 </w:t>
      </w:r>
    </w:p>
    <w:p w14:paraId="551D31B7">
      <w:pPr>
        <w:bidi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（投标人不应在其投标文件中附有宣传性材料，这些材料在资格评审时将不被考虑）。</w:t>
      </w:r>
    </w:p>
    <w:p w14:paraId="62C81258">
      <w:pPr>
        <w:numPr>
          <w:ilvl w:val="0"/>
          <w:numId w:val="0"/>
        </w:numPr>
        <w:tabs>
          <w:tab w:val="left" w:pos="1365"/>
        </w:tabs>
        <w:wordWrap w:val="0"/>
        <w:jc w:val="center"/>
        <w:outlineLvl w:val="1"/>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color w:val="auto"/>
          <w:highlight w:val="none"/>
        </w:rPr>
        <w:br w:type="page"/>
      </w:r>
      <w:r>
        <w:rPr>
          <w:rFonts w:hint="eastAsia" w:ascii="仿宋" w:hAnsi="仿宋" w:eastAsia="仿宋" w:cs="仿宋"/>
          <w:b/>
          <w:color w:val="auto"/>
          <w:kern w:val="0"/>
          <w:sz w:val="32"/>
          <w:szCs w:val="32"/>
          <w:highlight w:val="none"/>
          <w:lang w:val="en-US" w:eastAsia="zh-CN" w:bidi="ar-SA"/>
        </w:rPr>
        <w:t>8、技术文件</w:t>
      </w:r>
    </w:p>
    <w:p w14:paraId="6E8C5102">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投标人应按照文件要求，根据“</w:t>
      </w:r>
      <w:r>
        <w:rPr>
          <w:rFonts w:hint="eastAsia" w:ascii="仿宋" w:hAnsi="仿宋" w:eastAsia="仿宋" w:cs="仿宋"/>
          <w:color w:val="auto"/>
          <w:sz w:val="24"/>
          <w:szCs w:val="24"/>
          <w:highlight w:val="none"/>
          <w:lang w:val="en-US" w:eastAsia="zh-CN"/>
        </w:rPr>
        <w:t>技术要求</w:t>
      </w:r>
      <w:r>
        <w:rPr>
          <w:rFonts w:hint="eastAsia" w:ascii="仿宋" w:hAnsi="仿宋" w:eastAsia="仿宋" w:cs="仿宋"/>
          <w:color w:val="auto"/>
          <w:sz w:val="24"/>
          <w:szCs w:val="24"/>
          <w:highlight w:val="none"/>
        </w:rPr>
        <w:t>”内容作出全面响应。编制和提交的内容应包括但不限于以下各项。对必须满足的内容，必须完全满足。对响应有差异的，则说明差异的内容。</w:t>
      </w:r>
    </w:p>
    <w:p w14:paraId="02A3C1A5">
      <w:pPr>
        <w:rPr>
          <w:rFonts w:hint="eastAsia" w:ascii="仿宋" w:hAnsi="仿宋" w:eastAsia="仿宋" w:cs="仿宋"/>
          <w:color w:val="auto"/>
          <w:highlight w:val="none"/>
        </w:rPr>
      </w:pPr>
      <w:bookmarkStart w:id="104" w:name="_Toc95116107"/>
      <w:bookmarkStart w:id="105" w:name="_Toc403061851"/>
    </w:p>
    <w:bookmarkEnd w:id="104"/>
    <w:bookmarkEnd w:id="105"/>
    <w:p w14:paraId="5F42C904">
      <w:pPr>
        <w:numPr>
          <w:ilvl w:val="0"/>
          <w:numId w:val="8"/>
        </w:numPr>
        <w:adjustRightInd w:val="0"/>
        <w:snapToGrid w:val="0"/>
        <w:spacing w:line="50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工作方案</w:t>
      </w:r>
    </w:p>
    <w:p w14:paraId="3ADAB955">
      <w:pPr>
        <w:numPr>
          <w:ilvl w:val="0"/>
          <w:numId w:val="8"/>
        </w:numPr>
        <w:adjustRightInd w:val="0"/>
        <w:snapToGrid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人员配备</w:t>
      </w:r>
    </w:p>
    <w:p w14:paraId="288DC3F1">
      <w:pPr>
        <w:numPr>
          <w:ilvl w:val="0"/>
          <w:numId w:val="8"/>
        </w:numPr>
        <w:adjustRightInd w:val="0"/>
        <w:snapToGrid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服务体系</w:t>
      </w:r>
    </w:p>
    <w:p w14:paraId="19001665">
      <w:pPr>
        <w:numPr>
          <w:ilvl w:val="0"/>
          <w:numId w:val="8"/>
        </w:numPr>
        <w:adjustRightInd w:val="0"/>
        <w:snapToGrid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服务保证措施</w:t>
      </w:r>
    </w:p>
    <w:p w14:paraId="4EC64D86">
      <w:pPr>
        <w:numPr>
          <w:ilvl w:val="0"/>
          <w:numId w:val="8"/>
        </w:numPr>
        <w:adjustRightInd w:val="0"/>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优惠条件</w:t>
      </w:r>
    </w:p>
    <w:p w14:paraId="1E0E4C8F">
      <w:pPr>
        <w:numPr>
          <w:ilvl w:val="0"/>
          <w:numId w:val="8"/>
        </w:numPr>
        <w:adjustRightInd w:val="0"/>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其他补充内容</w:t>
      </w:r>
    </w:p>
    <w:p w14:paraId="7F568004">
      <w:pPr>
        <w:pStyle w:val="8"/>
        <w:numPr>
          <w:ilvl w:val="0"/>
          <w:numId w:val="0"/>
        </w:numPr>
        <w:spacing w:after="120" w:afterLines="0" w:line="360" w:lineRule="auto"/>
        <w:rPr>
          <w:rFonts w:hint="eastAsia" w:ascii="仿宋" w:hAnsi="仿宋" w:eastAsia="仿宋" w:cs="仿宋"/>
          <w:color w:val="auto"/>
          <w:highlight w:val="none"/>
          <w:lang w:val="en-US" w:eastAsia="zh-CN"/>
        </w:rPr>
      </w:pPr>
    </w:p>
    <w:p w14:paraId="09836E41">
      <w:pPr>
        <w:pStyle w:val="8"/>
        <w:numPr>
          <w:ilvl w:val="0"/>
          <w:numId w:val="0"/>
        </w:numPr>
        <w:spacing w:after="120" w:afterLines="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（格式自拟）</w:t>
      </w:r>
    </w:p>
    <w:p w14:paraId="070896FD">
      <w:pPr>
        <w:ind w:left="0" w:leftChars="0" w:firstLine="0" w:firstLineChars="0"/>
        <w:rPr>
          <w:rFonts w:hint="eastAsia" w:ascii="仿宋" w:hAnsi="仿宋" w:eastAsia="仿宋" w:cs="仿宋"/>
          <w:highlight w:val="none"/>
        </w:rPr>
      </w:pPr>
    </w:p>
    <w:sectPr>
      <w:headerReference r:id="rId7" w:type="default"/>
      <w:footerReference r:id="rId8" w:type="default"/>
      <w:type w:val="continuous"/>
      <w:pgSz w:w="11906" w:h="16838"/>
      <w:pgMar w:top="1440" w:right="1800" w:bottom="1440" w:left="1800" w:header="510" w:footer="737" w:gutter="0"/>
      <w:pgNumType w:fmt="decimal"/>
      <w:cols w:space="720" w:num="1"/>
      <w:rtlGutter w:val="0"/>
      <w:docGrid w:type="lines" w:linePitch="3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1C31">
    <w:pPr>
      <w:pStyle w:val="10"/>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F686">
    <w:pPr>
      <w:pStyle w:val="10"/>
      <w:ind w:firstLine="360"/>
      <w:rPr>
        <w:rFonts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909DD6">
                          <w:pPr>
                            <w:pStyle w:val="1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14:paraId="16909DD6">
                    <w:pPr>
                      <w:pStyle w:val="1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6C41">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95DA0">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03DE7"/>
    <w:multiLevelType w:val="singleLevel"/>
    <w:tmpl w:val="95D03DE7"/>
    <w:lvl w:ilvl="0" w:tentative="0">
      <w:start w:val="1"/>
      <w:numFmt w:val="decimal"/>
      <w:suff w:val="nothing"/>
      <w:lvlText w:val="%1、"/>
      <w:lvlJc w:val="left"/>
    </w:lvl>
  </w:abstractNum>
  <w:abstractNum w:abstractNumId="1">
    <w:nsid w:val="BD4F477C"/>
    <w:multiLevelType w:val="multilevel"/>
    <w:tmpl w:val="BD4F477C"/>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BDD79502"/>
    <w:multiLevelType w:val="singleLevel"/>
    <w:tmpl w:val="BDD79502"/>
    <w:lvl w:ilvl="0" w:tentative="0">
      <w:start w:val="1"/>
      <w:numFmt w:val="chineseCounting"/>
      <w:suff w:val="nothing"/>
      <w:lvlText w:val="（%1）"/>
      <w:lvlJc w:val="left"/>
      <w:rPr>
        <w:rFonts w:hint="eastAsia"/>
      </w:rPr>
    </w:lvl>
  </w:abstractNum>
  <w:abstractNum w:abstractNumId="3">
    <w:nsid w:val="DC2D0C16"/>
    <w:multiLevelType w:val="singleLevel"/>
    <w:tmpl w:val="DC2D0C16"/>
    <w:lvl w:ilvl="0" w:tentative="0">
      <w:start w:val="1"/>
      <w:numFmt w:val="decimal"/>
      <w:suff w:val="nothing"/>
      <w:lvlText w:val="%1．"/>
      <w:lvlJc w:val="left"/>
    </w:lvl>
  </w:abstractNum>
  <w:abstractNum w:abstractNumId="4">
    <w:nsid w:val="211755D6"/>
    <w:multiLevelType w:val="singleLevel"/>
    <w:tmpl w:val="211755D6"/>
    <w:lvl w:ilvl="0" w:tentative="0">
      <w:start w:val="2"/>
      <w:numFmt w:val="chineseCounting"/>
      <w:suff w:val="space"/>
      <w:lvlText w:val="第%1章"/>
      <w:lvlJc w:val="left"/>
      <w:rPr>
        <w:rFonts w:hint="eastAsia"/>
      </w:rPr>
    </w:lvl>
  </w:abstractNum>
  <w:abstractNum w:abstractNumId="5">
    <w:nsid w:val="222107B4"/>
    <w:multiLevelType w:val="multilevel"/>
    <w:tmpl w:val="222107B4"/>
    <w:lvl w:ilvl="0" w:tentative="0">
      <w:start w:val="1"/>
      <w:numFmt w:val="chineseCountingThousand"/>
      <w:pStyle w:val="5"/>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6E956A"/>
    <w:multiLevelType w:val="singleLevel"/>
    <w:tmpl w:val="666E956A"/>
    <w:lvl w:ilvl="0" w:tentative="0">
      <w:start w:val="1"/>
      <w:numFmt w:val="decimal"/>
      <w:suff w:val="nothing"/>
      <w:lvlText w:val="%1、"/>
      <w:lvlJc w:val="left"/>
    </w:lvl>
  </w:abstractNum>
  <w:abstractNum w:abstractNumId="7">
    <w:nsid w:val="7902A412"/>
    <w:multiLevelType w:val="multilevel"/>
    <w:tmpl w:val="7902A412"/>
    <w:lvl w:ilvl="0" w:tentative="0">
      <w:start w:val="1"/>
      <w:numFmt w:val="chineseCountingThousand"/>
      <w:suff w:val="nothing"/>
      <w:lvlText w:val="%1、"/>
      <w:lvlJc w:val="left"/>
      <w:pPr>
        <w:tabs>
          <w:tab w:val="left" w:pos="0"/>
        </w:tabs>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7"/>
  </w:num>
  <w:num w:numId="3">
    <w:abstractNumId w:val="1"/>
  </w:num>
  <w:num w:numId="4">
    <w:abstractNumId w:val="4"/>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hyphenationZone w:val="360"/>
  <w:drawingGridVerticalSpacing w:val="16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zNmNTJiNTNhOGI3YzZhODE3ODdlNjNjMjNlNGEifQ=="/>
  </w:docVars>
  <w:rsids>
    <w:rsidRoot w:val="00172A27"/>
    <w:rsid w:val="0015667C"/>
    <w:rsid w:val="00964E3D"/>
    <w:rsid w:val="00D622D0"/>
    <w:rsid w:val="01545A05"/>
    <w:rsid w:val="018F0C23"/>
    <w:rsid w:val="01BD1FDF"/>
    <w:rsid w:val="01FC2C01"/>
    <w:rsid w:val="021C29C7"/>
    <w:rsid w:val="022725F5"/>
    <w:rsid w:val="022B0E5C"/>
    <w:rsid w:val="0243797A"/>
    <w:rsid w:val="024D66B0"/>
    <w:rsid w:val="02906F11"/>
    <w:rsid w:val="030E5CC5"/>
    <w:rsid w:val="03413109"/>
    <w:rsid w:val="03B94341"/>
    <w:rsid w:val="04CF6AAB"/>
    <w:rsid w:val="04FF447D"/>
    <w:rsid w:val="056A4A5E"/>
    <w:rsid w:val="05715487"/>
    <w:rsid w:val="05C869C2"/>
    <w:rsid w:val="05CC5007"/>
    <w:rsid w:val="06563FCE"/>
    <w:rsid w:val="0657380F"/>
    <w:rsid w:val="066E5E88"/>
    <w:rsid w:val="06813E88"/>
    <w:rsid w:val="06B534DE"/>
    <w:rsid w:val="07221A59"/>
    <w:rsid w:val="075664D1"/>
    <w:rsid w:val="07612FA0"/>
    <w:rsid w:val="07FE491D"/>
    <w:rsid w:val="08BC1C68"/>
    <w:rsid w:val="08DA0EE6"/>
    <w:rsid w:val="08DD6040"/>
    <w:rsid w:val="094D4BDF"/>
    <w:rsid w:val="097E27B0"/>
    <w:rsid w:val="09B42D2B"/>
    <w:rsid w:val="09CE75D5"/>
    <w:rsid w:val="0A6E0F4E"/>
    <w:rsid w:val="0A9A137D"/>
    <w:rsid w:val="0ABD1960"/>
    <w:rsid w:val="0AD32091"/>
    <w:rsid w:val="0AE1421C"/>
    <w:rsid w:val="0B0B439E"/>
    <w:rsid w:val="0B4660C1"/>
    <w:rsid w:val="0BB67BCC"/>
    <w:rsid w:val="0BF202F5"/>
    <w:rsid w:val="0C4F6BDA"/>
    <w:rsid w:val="0C676F35"/>
    <w:rsid w:val="0CD25AD0"/>
    <w:rsid w:val="0D5F5E5E"/>
    <w:rsid w:val="0D6866F7"/>
    <w:rsid w:val="0DB717F6"/>
    <w:rsid w:val="0DDF6F9F"/>
    <w:rsid w:val="0E0573DD"/>
    <w:rsid w:val="0E2055ED"/>
    <w:rsid w:val="0E363440"/>
    <w:rsid w:val="0E9865BC"/>
    <w:rsid w:val="0EC75013"/>
    <w:rsid w:val="0EE635E4"/>
    <w:rsid w:val="0F3E263A"/>
    <w:rsid w:val="0FCE2519"/>
    <w:rsid w:val="0FD36335"/>
    <w:rsid w:val="102E271A"/>
    <w:rsid w:val="104628A1"/>
    <w:rsid w:val="104B091B"/>
    <w:rsid w:val="109B53FF"/>
    <w:rsid w:val="10B464C1"/>
    <w:rsid w:val="10C91CFA"/>
    <w:rsid w:val="10E50915"/>
    <w:rsid w:val="11154434"/>
    <w:rsid w:val="11381B99"/>
    <w:rsid w:val="11875983"/>
    <w:rsid w:val="11B606A0"/>
    <w:rsid w:val="11FE4B78"/>
    <w:rsid w:val="11FE71D7"/>
    <w:rsid w:val="120479C7"/>
    <w:rsid w:val="12071944"/>
    <w:rsid w:val="12152F8F"/>
    <w:rsid w:val="122F67F7"/>
    <w:rsid w:val="12437AFC"/>
    <w:rsid w:val="124766D9"/>
    <w:rsid w:val="12B91B6C"/>
    <w:rsid w:val="12FB317B"/>
    <w:rsid w:val="13462F18"/>
    <w:rsid w:val="134F282A"/>
    <w:rsid w:val="135A7A27"/>
    <w:rsid w:val="13B65E1E"/>
    <w:rsid w:val="13F05A62"/>
    <w:rsid w:val="143D057B"/>
    <w:rsid w:val="144E0FC2"/>
    <w:rsid w:val="15022041"/>
    <w:rsid w:val="15C72DBA"/>
    <w:rsid w:val="15CB055B"/>
    <w:rsid w:val="16475E8F"/>
    <w:rsid w:val="16A62408"/>
    <w:rsid w:val="16AE4F75"/>
    <w:rsid w:val="16B816E1"/>
    <w:rsid w:val="16EF3DAF"/>
    <w:rsid w:val="17266FCF"/>
    <w:rsid w:val="173C0FBE"/>
    <w:rsid w:val="1741325D"/>
    <w:rsid w:val="175F6681"/>
    <w:rsid w:val="17A63B09"/>
    <w:rsid w:val="17C84C12"/>
    <w:rsid w:val="17DE753B"/>
    <w:rsid w:val="193F1086"/>
    <w:rsid w:val="195C77FA"/>
    <w:rsid w:val="1A060EFD"/>
    <w:rsid w:val="1A140FD0"/>
    <w:rsid w:val="1A1670E6"/>
    <w:rsid w:val="1A6B441F"/>
    <w:rsid w:val="1AB102B3"/>
    <w:rsid w:val="1B1C0EEA"/>
    <w:rsid w:val="1B5F527B"/>
    <w:rsid w:val="1B753643"/>
    <w:rsid w:val="1B770323"/>
    <w:rsid w:val="1BE85270"/>
    <w:rsid w:val="1C1B1B51"/>
    <w:rsid w:val="1C3E3591"/>
    <w:rsid w:val="1C574D96"/>
    <w:rsid w:val="1CF9270A"/>
    <w:rsid w:val="1D1120A0"/>
    <w:rsid w:val="1D207523"/>
    <w:rsid w:val="1D393638"/>
    <w:rsid w:val="1D8027D0"/>
    <w:rsid w:val="1DA94FD3"/>
    <w:rsid w:val="1DC615E1"/>
    <w:rsid w:val="1DE216B1"/>
    <w:rsid w:val="1DEC729A"/>
    <w:rsid w:val="1E222CBC"/>
    <w:rsid w:val="1EBA4B5D"/>
    <w:rsid w:val="1EEB57A3"/>
    <w:rsid w:val="1FA5190D"/>
    <w:rsid w:val="1FC35DD8"/>
    <w:rsid w:val="20007D1B"/>
    <w:rsid w:val="20104189"/>
    <w:rsid w:val="20AD31DA"/>
    <w:rsid w:val="20FC3C98"/>
    <w:rsid w:val="21771570"/>
    <w:rsid w:val="218A61C7"/>
    <w:rsid w:val="21A47E8B"/>
    <w:rsid w:val="21B577D3"/>
    <w:rsid w:val="21CE4421"/>
    <w:rsid w:val="226C2CA6"/>
    <w:rsid w:val="228B5743"/>
    <w:rsid w:val="22C500B9"/>
    <w:rsid w:val="22E450CC"/>
    <w:rsid w:val="22F14F5A"/>
    <w:rsid w:val="23DF5912"/>
    <w:rsid w:val="23E37C9E"/>
    <w:rsid w:val="23F24EDE"/>
    <w:rsid w:val="24565E61"/>
    <w:rsid w:val="24B86128"/>
    <w:rsid w:val="24C42CDC"/>
    <w:rsid w:val="24E011DB"/>
    <w:rsid w:val="250B4651"/>
    <w:rsid w:val="25253091"/>
    <w:rsid w:val="25AD64F9"/>
    <w:rsid w:val="25B310C3"/>
    <w:rsid w:val="25BF7042"/>
    <w:rsid w:val="25C61BE4"/>
    <w:rsid w:val="25C77A68"/>
    <w:rsid w:val="25D43C44"/>
    <w:rsid w:val="25DE2B9C"/>
    <w:rsid w:val="26CF59AB"/>
    <w:rsid w:val="26E65F3B"/>
    <w:rsid w:val="26F45411"/>
    <w:rsid w:val="273275D5"/>
    <w:rsid w:val="274867E6"/>
    <w:rsid w:val="27700767"/>
    <w:rsid w:val="27706F5D"/>
    <w:rsid w:val="277662FB"/>
    <w:rsid w:val="27906EE8"/>
    <w:rsid w:val="27DE5FD5"/>
    <w:rsid w:val="288B3B53"/>
    <w:rsid w:val="28934856"/>
    <w:rsid w:val="28BC50BB"/>
    <w:rsid w:val="28DB06D7"/>
    <w:rsid w:val="294E705B"/>
    <w:rsid w:val="299568C8"/>
    <w:rsid w:val="29B63E51"/>
    <w:rsid w:val="29D87903"/>
    <w:rsid w:val="2A016B5D"/>
    <w:rsid w:val="2A3F11B2"/>
    <w:rsid w:val="2AB42602"/>
    <w:rsid w:val="2B2142FB"/>
    <w:rsid w:val="2BA00FF5"/>
    <w:rsid w:val="2BA9636F"/>
    <w:rsid w:val="2BC07ACD"/>
    <w:rsid w:val="2BC56F5A"/>
    <w:rsid w:val="2BD73ADB"/>
    <w:rsid w:val="2BDE5960"/>
    <w:rsid w:val="2C165AE7"/>
    <w:rsid w:val="2C216C4A"/>
    <w:rsid w:val="2C2E7094"/>
    <w:rsid w:val="2C8E5100"/>
    <w:rsid w:val="2C9D0974"/>
    <w:rsid w:val="2CAD4D09"/>
    <w:rsid w:val="2CDA0C05"/>
    <w:rsid w:val="2D9030F5"/>
    <w:rsid w:val="2E516CA5"/>
    <w:rsid w:val="2E7B3D22"/>
    <w:rsid w:val="2EAB0AAB"/>
    <w:rsid w:val="2EC41B6D"/>
    <w:rsid w:val="2F0C6C2D"/>
    <w:rsid w:val="2F5643F8"/>
    <w:rsid w:val="301D5049"/>
    <w:rsid w:val="306068B5"/>
    <w:rsid w:val="309061AB"/>
    <w:rsid w:val="30A84647"/>
    <w:rsid w:val="30BA4FD6"/>
    <w:rsid w:val="30E62615"/>
    <w:rsid w:val="310426F5"/>
    <w:rsid w:val="315471D8"/>
    <w:rsid w:val="316062F9"/>
    <w:rsid w:val="318752CA"/>
    <w:rsid w:val="31E42732"/>
    <w:rsid w:val="325460DA"/>
    <w:rsid w:val="32DA370D"/>
    <w:rsid w:val="32EA4583"/>
    <w:rsid w:val="32F36FFC"/>
    <w:rsid w:val="330E1EAB"/>
    <w:rsid w:val="33730BD7"/>
    <w:rsid w:val="33962089"/>
    <w:rsid w:val="339873F5"/>
    <w:rsid w:val="340C5B48"/>
    <w:rsid w:val="344551C4"/>
    <w:rsid w:val="344C4034"/>
    <w:rsid w:val="345E4DC6"/>
    <w:rsid w:val="3515577F"/>
    <w:rsid w:val="353106F0"/>
    <w:rsid w:val="35417954"/>
    <w:rsid w:val="355A28E3"/>
    <w:rsid w:val="357F059C"/>
    <w:rsid w:val="35FC5E2F"/>
    <w:rsid w:val="36CC51BE"/>
    <w:rsid w:val="36D42378"/>
    <w:rsid w:val="36FE60AB"/>
    <w:rsid w:val="37337890"/>
    <w:rsid w:val="37EB4530"/>
    <w:rsid w:val="38206B41"/>
    <w:rsid w:val="38991528"/>
    <w:rsid w:val="38BD52D9"/>
    <w:rsid w:val="38F11ED3"/>
    <w:rsid w:val="38F5342B"/>
    <w:rsid w:val="38FF306F"/>
    <w:rsid w:val="39375DE7"/>
    <w:rsid w:val="39E10006"/>
    <w:rsid w:val="3A3F4F71"/>
    <w:rsid w:val="3A860E32"/>
    <w:rsid w:val="3A9C5045"/>
    <w:rsid w:val="3AB30F49"/>
    <w:rsid w:val="3AE55345"/>
    <w:rsid w:val="3B0258F7"/>
    <w:rsid w:val="3B1A0F1B"/>
    <w:rsid w:val="3B31058A"/>
    <w:rsid w:val="3C261162"/>
    <w:rsid w:val="3C982228"/>
    <w:rsid w:val="3CBC20D5"/>
    <w:rsid w:val="3CC221DF"/>
    <w:rsid w:val="3CDD6149"/>
    <w:rsid w:val="3D5F13DF"/>
    <w:rsid w:val="3D821A01"/>
    <w:rsid w:val="3D9372DA"/>
    <w:rsid w:val="3DBF2BCB"/>
    <w:rsid w:val="3DD47255"/>
    <w:rsid w:val="3E135D25"/>
    <w:rsid w:val="3E3D3C69"/>
    <w:rsid w:val="3EB47FAE"/>
    <w:rsid w:val="3EB76FF8"/>
    <w:rsid w:val="3F1852F7"/>
    <w:rsid w:val="3F3D1329"/>
    <w:rsid w:val="3F910F45"/>
    <w:rsid w:val="3F990CB6"/>
    <w:rsid w:val="3FBB20E4"/>
    <w:rsid w:val="4013200C"/>
    <w:rsid w:val="40166B3C"/>
    <w:rsid w:val="40983D47"/>
    <w:rsid w:val="41265C6A"/>
    <w:rsid w:val="41265D6F"/>
    <w:rsid w:val="4167221F"/>
    <w:rsid w:val="419F3CD9"/>
    <w:rsid w:val="41A45AB7"/>
    <w:rsid w:val="41C537DA"/>
    <w:rsid w:val="42424E2B"/>
    <w:rsid w:val="42845A18"/>
    <w:rsid w:val="42967C54"/>
    <w:rsid w:val="42B1612C"/>
    <w:rsid w:val="42F952C2"/>
    <w:rsid w:val="436622E5"/>
    <w:rsid w:val="43AD0C98"/>
    <w:rsid w:val="43B85E5C"/>
    <w:rsid w:val="4416031D"/>
    <w:rsid w:val="44205441"/>
    <w:rsid w:val="44223166"/>
    <w:rsid w:val="446576FE"/>
    <w:rsid w:val="44A95EF1"/>
    <w:rsid w:val="44C305B6"/>
    <w:rsid w:val="45103E6E"/>
    <w:rsid w:val="453A44C9"/>
    <w:rsid w:val="454B6962"/>
    <w:rsid w:val="457E2652"/>
    <w:rsid w:val="45A1097C"/>
    <w:rsid w:val="45BA3A31"/>
    <w:rsid w:val="46B87734"/>
    <w:rsid w:val="46C978C9"/>
    <w:rsid w:val="4712301E"/>
    <w:rsid w:val="4715291A"/>
    <w:rsid w:val="471C4EC4"/>
    <w:rsid w:val="47290499"/>
    <w:rsid w:val="47484482"/>
    <w:rsid w:val="48041505"/>
    <w:rsid w:val="481608EC"/>
    <w:rsid w:val="48335942"/>
    <w:rsid w:val="48C52312"/>
    <w:rsid w:val="49417BEA"/>
    <w:rsid w:val="498B765A"/>
    <w:rsid w:val="49900B72"/>
    <w:rsid w:val="49F41101"/>
    <w:rsid w:val="4A030768"/>
    <w:rsid w:val="4A372D9B"/>
    <w:rsid w:val="4A441248"/>
    <w:rsid w:val="4A5E4CE9"/>
    <w:rsid w:val="4AAF18A1"/>
    <w:rsid w:val="4AF60EA8"/>
    <w:rsid w:val="4B2B0B52"/>
    <w:rsid w:val="4B4513D0"/>
    <w:rsid w:val="4B654068"/>
    <w:rsid w:val="4BAB58E0"/>
    <w:rsid w:val="4BB61821"/>
    <w:rsid w:val="4BB9615E"/>
    <w:rsid w:val="4BCB5E91"/>
    <w:rsid w:val="4C1468BD"/>
    <w:rsid w:val="4C292E1E"/>
    <w:rsid w:val="4C3623E7"/>
    <w:rsid w:val="4C885B30"/>
    <w:rsid w:val="4C9B3AB5"/>
    <w:rsid w:val="4CD82614"/>
    <w:rsid w:val="4D8D2A2D"/>
    <w:rsid w:val="4D9E0C51"/>
    <w:rsid w:val="4DB06CEB"/>
    <w:rsid w:val="4EC6655C"/>
    <w:rsid w:val="4EC92B5C"/>
    <w:rsid w:val="4F1347CA"/>
    <w:rsid w:val="4F15646B"/>
    <w:rsid w:val="4F285612"/>
    <w:rsid w:val="4F6A3BD3"/>
    <w:rsid w:val="4F7725B8"/>
    <w:rsid w:val="4F8A1271"/>
    <w:rsid w:val="4FDF1B62"/>
    <w:rsid w:val="4FF374BF"/>
    <w:rsid w:val="50A34633"/>
    <w:rsid w:val="50A71953"/>
    <w:rsid w:val="51295B34"/>
    <w:rsid w:val="51844B18"/>
    <w:rsid w:val="519115A0"/>
    <w:rsid w:val="51C27D36"/>
    <w:rsid w:val="522D06FC"/>
    <w:rsid w:val="52366FE5"/>
    <w:rsid w:val="52E5663A"/>
    <w:rsid w:val="53215ABA"/>
    <w:rsid w:val="53462E10"/>
    <w:rsid w:val="535D7F7D"/>
    <w:rsid w:val="535E09FC"/>
    <w:rsid w:val="53E45D42"/>
    <w:rsid w:val="54071A30"/>
    <w:rsid w:val="545E5043"/>
    <w:rsid w:val="54937457"/>
    <w:rsid w:val="54ED50CA"/>
    <w:rsid w:val="5540344C"/>
    <w:rsid w:val="55A97243"/>
    <w:rsid w:val="55B9656D"/>
    <w:rsid w:val="55DF4A13"/>
    <w:rsid w:val="561B78EA"/>
    <w:rsid w:val="565378B1"/>
    <w:rsid w:val="56A80E28"/>
    <w:rsid w:val="56A81F52"/>
    <w:rsid w:val="57064221"/>
    <w:rsid w:val="578A5021"/>
    <w:rsid w:val="57CF2661"/>
    <w:rsid w:val="57F23C5C"/>
    <w:rsid w:val="584A27FF"/>
    <w:rsid w:val="58B52A3A"/>
    <w:rsid w:val="58B91E9C"/>
    <w:rsid w:val="598502C4"/>
    <w:rsid w:val="598A6393"/>
    <w:rsid w:val="59AB0CAA"/>
    <w:rsid w:val="59DC0A4E"/>
    <w:rsid w:val="5A12138B"/>
    <w:rsid w:val="5A14651C"/>
    <w:rsid w:val="5A1C0E7B"/>
    <w:rsid w:val="5A4231A3"/>
    <w:rsid w:val="5A4956D1"/>
    <w:rsid w:val="5A8266E9"/>
    <w:rsid w:val="5AC834AC"/>
    <w:rsid w:val="5AD16935"/>
    <w:rsid w:val="5B180D20"/>
    <w:rsid w:val="5B6A456F"/>
    <w:rsid w:val="5B8B2F47"/>
    <w:rsid w:val="5C5B2F17"/>
    <w:rsid w:val="5C602626"/>
    <w:rsid w:val="5CBE1FD6"/>
    <w:rsid w:val="5CD758E7"/>
    <w:rsid w:val="5CE46DB3"/>
    <w:rsid w:val="5D3F658E"/>
    <w:rsid w:val="5D7773AC"/>
    <w:rsid w:val="5D9A3BBE"/>
    <w:rsid w:val="5DA34A5C"/>
    <w:rsid w:val="5DCC035B"/>
    <w:rsid w:val="5E481E76"/>
    <w:rsid w:val="5E59793A"/>
    <w:rsid w:val="5E6261A2"/>
    <w:rsid w:val="5EFD5001"/>
    <w:rsid w:val="5F110805"/>
    <w:rsid w:val="5F391F09"/>
    <w:rsid w:val="5F4B2D23"/>
    <w:rsid w:val="5FFD1C01"/>
    <w:rsid w:val="606E14ED"/>
    <w:rsid w:val="608742C5"/>
    <w:rsid w:val="611E2A59"/>
    <w:rsid w:val="61314591"/>
    <w:rsid w:val="61742C47"/>
    <w:rsid w:val="618648DC"/>
    <w:rsid w:val="619A0118"/>
    <w:rsid w:val="619D2D7E"/>
    <w:rsid w:val="61D03DA9"/>
    <w:rsid w:val="62D43425"/>
    <w:rsid w:val="630C0A5A"/>
    <w:rsid w:val="631C4126"/>
    <w:rsid w:val="6349069C"/>
    <w:rsid w:val="63561081"/>
    <w:rsid w:val="63C03CDD"/>
    <w:rsid w:val="63CB5DC2"/>
    <w:rsid w:val="64BA0C8C"/>
    <w:rsid w:val="64BA6F58"/>
    <w:rsid w:val="64D70FAB"/>
    <w:rsid w:val="65232F5A"/>
    <w:rsid w:val="652F2B95"/>
    <w:rsid w:val="65BE0301"/>
    <w:rsid w:val="65CC01A1"/>
    <w:rsid w:val="65CF3B75"/>
    <w:rsid w:val="65DE4CE7"/>
    <w:rsid w:val="65FD742C"/>
    <w:rsid w:val="66F70FB4"/>
    <w:rsid w:val="678A5094"/>
    <w:rsid w:val="67ED7EA0"/>
    <w:rsid w:val="684B5FE5"/>
    <w:rsid w:val="68BF2482"/>
    <w:rsid w:val="68D128E1"/>
    <w:rsid w:val="68D15B90"/>
    <w:rsid w:val="68DE1DB1"/>
    <w:rsid w:val="694E22E1"/>
    <w:rsid w:val="69CC4E56"/>
    <w:rsid w:val="6A0F3B78"/>
    <w:rsid w:val="6A314603"/>
    <w:rsid w:val="6AC747B6"/>
    <w:rsid w:val="6B2667D8"/>
    <w:rsid w:val="6B5430AF"/>
    <w:rsid w:val="6B86505C"/>
    <w:rsid w:val="6B8E2D0B"/>
    <w:rsid w:val="6B9748EE"/>
    <w:rsid w:val="6BBF4835"/>
    <w:rsid w:val="6BD77A62"/>
    <w:rsid w:val="6C1D5AE4"/>
    <w:rsid w:val="6C2A4271"/>
    <w:rsid w:val="6C53360D"/>
    <w:rsid w:val="6C816553"/>
    <w:rsid w:val="6C87741E"/>
    <w:rsid w:val="6CA166B5"/>
    <w:rsid w:val="6CDA6F84"/>
    <w:rsid w:val="6D4B1553"/>
    <w:rsid w:val="6D8F68C7"/>
    <w:rsid w:val="6D9747EB"/>
    <w:rsid w:val="6E381CF8"/>
    <w:rsid w:val="6E6F69F9"/>
    <w:rsid w:val="6EEB4939"/>
    <w:rsid w:val="6F63625D"/>
    <w:rsid w:val="6FA46DD8"/>
    <w:rsid w:val="6FC860C0"/>
    <w:rsid w:val="6FD1544E"/>
    <w:rsid w:val="6FED1633"/>
    <w:rsid w:val="706F4E74"/>
    <w:rsid w:val="709E70F3"/>
    <w:rsid w:val="709F5BD6"/>
    <w:rsid w:val="70FD637C"/>
    <w:rsid w:val="71286574"/>
    <w:rsid w:val="714A579F"/>
    <w:rsid w:val="7160555E"/>
    <w:rsid w:val="71642F7A"/>
    <w:rsid w:val="717A18F9"/>
    <w:rsid w:val="71B10595"/>
    <w:rsid w:val="71C91976"/>
    <w:rsid w:val="720B5F2D"/>
    <w:rsid w:val="72350BA3"/>
    <w:rsid w:val="72556331"/>
    <w:rsid w:val="72B56DCF"/>
    <w:rsid w:val="72E5245D"/>
    <w:rsid w:val="74122000"/>
    <w:rsid w:val="742D7881"/>
    <w:rsid w:val="746A1E3C"/>
    <w:rsid w:val="74A33BFE"/>
    <w:rsid w:val="7578190E"/>
    <w:rsid w:val="75843DAD"/>
    <w:rsid w:val="75B6736F"/>
    <w:rsid w:val="75BC66C7"/>
    <w:rsid w:val="76526411"/>
    <w:rsid w:val="766358E4"/>
    <w:rsid w:val="766B04BA"/>
    <w:rsid w:val="76DD53EB"/>
    <w:rsid w:val="77102C6B"/>
    <w:rsid w:val="77D8535F"/>
    <w:rsid w:val="781F30B7"/>
    <w:rsid w:val="78A413DB"/>
    <w:rsid w:val="795E1BEA"/>
    <w:rsid w:val="7A3C6D83"/>
    <w:rsid w:val="7A4B0019"/>
    <w:rsid w:val="7ABA1916"/>
    <w:rsid w:val="7AC56B0D"/>
    <w:rsid w:val="7AE91FA6"/>
    <w:rsid w:val="7AFA2A93"/>
    <w:rsid w:val="7B7F441F"/>
    <w:rsid w:val="7BA50CDA"/>
    <w:rsid w:val="7C10151B"/>
    <w:rsid w:val="7CC63CF8"/>
    <w:rsid w:val="7D6B0529"/>
    <w:rsid w:val="7D7102E3"/>
    <w:rsid w:val="7DB83C18"/>
    <w:rsid w:val="7DBC52FB"/>
    <w:rsid w:val="7DBF2967"/>
    <w:rsid w:val="7E363DB3"/>
    <w:rsid w:val="7E667990"/>
    <w:rsid w:val="7E7A711F"/>
    <w:rsid w:val="7F706165"/>
    <w:rsid w:val="7F9E41F8"/>
    <w:rsid w:val="7FA31A9D"/>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4">
    <w:name w:val="heading 1"/>
    <w:basedOn w:val="1"/>
    <w:next w:val="1"/>
    <w:link w:val="19"/>
    <w:qFormat/>
    <w:uiPriority w:val="0"/>
    <w:pPr>
      <w:keepNext/>
      <w:keepLines/>
      <w:spacing w:before="340" w:beforeLines="0" w:after="330" w:afterLines="0" w:line="240" w:lineRule="auto"/>
      <w:jc w:val="center"/>
      <w:outlineLvl w:val="0"/>
    </w:pPr>
    <w:rPr>
      <w:rFonts w:eastAsia="仿宋"/>
      <w:b/>
      <w:bCs/>
      <w:kern w:val="44"/>
      <w:sz w:val="44"/>
      <w:szCs w:val="44"/>
    </w:rPr>
  </w:style>
  <w:style w:type="paragraph" w:styleId="5">
    <w:name w:val="heading 2"/>
    <w:basedOn w:val="1"/>
    <w:next w:val="1"/>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afterLines="0"/>
      <w:ind w:left="420" w:leftChars="200"/>
    </w:pPr>
  </w:style>
  <w:style w:type="paragraph" w:styleId="6">
    <w:name w:val="index 5"/>
    <w:basedOn w:val="1"/>
    <w:next w:val="1"/>
    <w:qFormat/>
    <w:uiPriority w:val="0"/>
    <w:pPr>
      <w:adjustRightInd w:val="0"/>
      <w:snapToGrid w:val="0"/>
      <w:spacing w:line="360" w:lineRule="auto"/>
      <w:jc w:val="center"/>
    </w:pPr>
    <w:rPr>
      <w:rFonts w:ascii="宋体" w:hAnsi="宋体" w:cs="宋体"/>
      <w:bCs/>
      <w:kern w:val="0"/>
    </w:rPr>
  </w:style>
  <w:style w:type="paragraph" w:styleId="7">
    <w:name w:val="Body Text 3"/>
    <w:basedOn w:val="1"/>
    <w:qFormat/>
    <w:uiPriority w:val="0"/>
    <w:rPr>
      <w:rFonts w:ascii="宋体"/>
      <w:sz w:val="24"/>
      <w:szCs w:val="20"/>
    </w:rPr>
  </w:style>
  <w:style w:type="paragraph" w:styleId="8">
    <w:name w:val="Body Text"/>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楷体_GB2312" w:cs="Times New Roman"/>
      <w:kern w:val="2"/>
      <w:sz w:val="30"/>
      <w:szCs w:val="30"/>
      <w:lang w:val="en-US" w:eastAsia="zh-CN" w:bidi="ar"/>
    </w:rPr>
  </w:style>
  <w:style w:type="paragraph" w:styleId="9">
    <w:name w:val="Plain Text"/>
    <w:basedOn w:val="1"/>
    <w:qFormat/>
    <w:uiPriority w:val="0"/>
    <w:rPr>
      <w:rFonts w:ascii="Courier New"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b/>
      <w:bCs/>
      <w:caps/>
      <w:sz w:val="20"/>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8"/>
    <w:qFormat/>
    <w:uiPriority w:val="0"/>
    <w:pPr>
      <w:spacing w:line="312" w:lineRule="auto"/>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333333"/>
      <w:u w:val="none"/>
    </w:rPr>
  </w:style>
  <w:style w:type="character" w:customStyle="1" w:styleId="19">
    <w:name w:val="标题 1 字符"/>
    <w:link w:val="4"/>
    <w:qFormat/>
    <w:uiPriority w:val="0"/>
    <w:rPr>
      <w:rFonts w:eastAsia="仿宋"/>
      <w:b/>
      <w:bCs/>
      <w:kern w:val="44"/>
      <w:sz w:val="44"/>
      <w:szCs w:val="44"/>
    </w:rPr>
  </w:style>
  <w:style w:type="paragraph" w:customStyle="1" w:styleId="20">
    <w:name w:val="正文_3"/>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widowControl w:val="0"/>
      <w:spacing w:line="240" w:lineRule="auto"/>
      <w:ind w:firstLine="420"/>
      <w:jc w:val="both"/>
    </w:pPr>
    <w:rPr>
      <w:rFonts w:ascii="Times New Roman" w:hAnsi="Times New Roman" w:eastAsia="宋体"/>
      <w:sz w:val="21"/>
      <w:szCs w:val="24"/>
    </w:rPr>
  </w:style>
  <w:style w:type="paragraph" w:customStyle="1" w:styleId="2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样式 小四 段前: 5 磅 段后: 5 磅 首行缩进:  2 字符"/>
    <w:basedOn w:val="1"/>
    <w:qFormat/>
    <w:uiPriority w:val="0"/>
    <w:pPr>
      <w:spacing w:line="360" w:lineRule="auto"/>
    </w:pPr>
    <w:rPr>
      <w:rFonts w:ascii="宋体" w:hAnsi="宋体"/>
      <w:sz w:val="24"/>
      <w:szCs w:val="21"/>
    </w:rPr>
  </w:style>
  <w:style w:type="paragraph" w:customStyle="1" w:styleId="24">
    <w:name w:val="纯文本1"/>
    <w:basedOn w:val="1"/>
    <w:qFormat/>
    <w:uiPriority w:val="0"/>
    <w:pPr>
      <w:keepNext w:val="0"/>
      <w:keepLines w:val="0"/>
      <w:widowControl w:val="0"/>
      <w:suppressLineNumbers w:val="0"/>
      <w:spacing w:before="0" w:beforeAutospacing="0" w:after="0" w:afterAutospacing="0"/>
      <w:ind w:left="0" w:right="0"/>
      <w:jc w:val="both"/>
    </w:pPr>
    <w:rPr>
      <w:rFonts w:hint="eastAsia" w:ascii="宋体"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27003</Words>
  <Characters>28773</Characters>
  <Lines>1</Lines>
  <Paragraphs>1</Paragraphs>
  <TotalTime>2</TotalTime>
  <ScaleCrop>false</ScaleCrop>
  <LinksUpToDate>false</LinksUpToDate>
  <CharactersWithSpaces>30225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pc111</dc:creator>
  <cp:lastModifiedBy>杨光普</cp:lastModifiedBy>
  <cp:lastPrinted>2023-07-21T02:09:00Z</cp:lastPrinted>
  <dcterms:modified xsi:type="dcterms:W3CDTF">2024-08-08T07:53:03Z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4978CDF4F0BC493CB2234475E5FCDE00_13</vt:lpwstr>
  </property>
</Properties>
</file>