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A345B">
      <w:pPr>
        <w:keepNext w:val="0"/>
        <w:keepLines w:val="0"/>
        <w:pageBreakBefore w:val="0"/>
        <w:widowControl w:val="0"/>
        <w:kinsoku/>
        <w:wordWrap/>
        <w:overflowPunct/>
        <w:topLinePunct w:val="0"/>
        <w:bidi w:val="0"/>
        <w:snapToGrid w:val="0"/>
        <w:spacing w:beforeLines="100" w:line="360" w:lineRule="auto"/>
        <w:jc w:val="center"/>
        <w:textAlignment w:val="auto"/>
        <w:rPr>
          <w:rFonts w:hint="default" w:ascii="宋体" w:hAnsi="宋体" w:eastAsia="宋体" w:cs="宋体"/>
          <w:b/>
          <w:bCs/>
          <w:color w:val="auto"/>
          <w:sz w:val="22"/>
          <w:szCs w:val="22"/>
          <w:lang w:val="en-US" w:eastAsia="zh-CN"/>
        </w:rPr>
      </w:pPr>
      <w:bookmarkStart w:id="0" w:name="_Toc14285"/>
      <w:bookmarkStart w:id="1" w:name="_Toc30213"/>
      <w:bookmarkStart w:id="2" w:name="_Toc152045527"/>
      <w:bookmarkStart w:id="3" w:name="_Toc152042303"/>
      <w:bookmarkStart w:id="4" w:name="_Toc247085687"/>
      <w:bookmarkStart w:id="5" w:name="_Toc246996173"/>
      <w:bookmarkStart w:id="6" w:name="_Toc246996916"/>
      <w:bookmarkStart w:id="7" w:name="_Toc179632544"/>
      <w:bookmarkStart w:id="8" w:name="_Toc144974495"/>
    </w:p>
    <w:p w14:paraId="47B20DF8">
      <w:pPr>
        <w:keepNext w:val="0"/>
        <w:keepLines w:val="0"/>
        <w:pageBreakBefore w:val="0"/>
        <w:widowControl w:val="0"/>
        <w:kinsoku/>
        <w:wordWrap/>
        <w:overflowPunct/>
        <w:topLinePunct w:val="0"/>
        <w:bidi w:val="0"/>
        <w:snapToGrid w:val="0"/>
        <w:spacing w:beforeLines="100" w:line="360" w:lineRule="auto"/>
        <w:jc w:val="center"/>
        <w:textAlignment w:val="auto"/>
        <w:rPr>
          <w:rFonts w:hint="eastAsia" w:ascii="宋体" w:hAnsi="宋体" w:eastAsia="宋体" w:cs="宋体"/>
          <w:b/>
          <w:bCs/>
          <w:color w:val="auto"/>
          <w:sz w:val="52"/>
          <w:szCs w:val="52"/>
        </w:rPr>
      </w:pPr>
      <w:r>
        <w:rPr>
          <w:rFonts w:hint="eastAsia" w:ascii="宋体" w:hAnsi="宋体" w:eastAsia="宋体" w:cs="宋体"/>
          <w:b/>
          <w:bCs/>
          <w:color w:val="auto"/>
          <w:sz w:val="52"/>
          <w:szCs w:val="52"/>
          <w:lang w:eastAsia="zh-CN"/>
        </w:rPr>
        <w:t>吉林省监狱系统2025年度民警制式服装及其服饰项目（</w:t>
      </w:r>
      <w:r>
        <w:rPr>
          <w:rFonts w:hint="eastAsia" w:ascii="宋体" w:hAnsi="宋体" w:eastAsia="宋体" w:cs="宋体"/>
          <w:b/>
          <w:bCs/>
          <w:color w:val="auto"/>
          <w:sz w:val="52"/>
          <w:szCs w:val="52"/>
          <w:lang w:val="en-US" w:eastAsia="zh-CN"/>
        </w:rPr>
        <w:t>第二标段</w:t>
      </w:r>
      <w:r>
        <w:rPr>
          <w:rFonts w:hint="eastAsia" w:ascii="宋体" w:hAnsi="宋体" w:eastAsia="宋体" w:cs="宋体"/>
          <w:b/>
          <w:bCs/>
          <w:color w:val="auto"/>
          <w:sz w:val="52"/>
          <w:szCs w:val="52"/>
          <w:lang w:eastAsia="zh-CN"/>
        </w:rPr>
        <w:t>）</w:t>
      </w:r>
    </w:p>
    <w:p w14:paraId="748BEAE3">
      <w:pPr>
        <w:keepNext w:val="0"/>
        <w:keepLines w:val="0"/>
        <w:pageBreakBefore w:val="0"/>
        <w:widowControl w:val="0"/>
        <w:kinsoku/>
        <w:wordWrap/>
        <w:overflowPunct/>
        <w:topLinePunct w:val="0"/>
        <w:bidi w:val="0"/>
        <w:snapToGrid w:val="0"/>
        <w:spacing w:beforeLines="100" w:line="360" w:lineRule="auto"/>
        <w:jc w:val="center"/>
        <w:textAlignment w:val="auto"/>
        <w:rPr>
          <w:rFonts w:hint="eastAsia" w:ascii="宋体" w:hAnsi="宋体" w:eastAsia="宋体" w:cs="宋体"/>
          <w:b/>
          <w:bCs/>
          <w:color w:val="auto"/>
          <w:sz w:val="80"/>
          <w:szCs w:val="80"/>
        </w:rPr>
      </w:pPr>
    </w:p>
    <w:p w14:paraId="6222F0FA">
      <w:pPr>
        <w:keepNext w:val="0"/>
        <w:keepLines w:val="0"/>
        <w:pageBreakBefore w:val="0"/>
        <w:widowControl w:val="0"/>
        <w:kinsoku/>
        <w:wordWrap/>
        <w:overflowPunct/>
        <w:topLinePunct w:val="0"/>
        <w:bidi w:val="0"/>
        <w:snapToGrid w:val="0"/>
        <w:spacing w:beforeLines="100" w:line="360" w:lineRule="auto"/>
        <w:jc w:val="center"/>
        <w:textAlignment w:val="auto"/>
        <w:rPr>
          <w:rFonts w:hint="eastAsia" w:ascii="宋体" w:hAnsi="宋体" w:eastAsia="宋体" w:cs="宋体"/>
          <w:b/>
          <w:bCs/>
          <w:color w:val="auto"/>
          <w:sz w:val="44"/>
          <w:szCs w:val="44"/>
          <w:lang w:eastAsia="zh-CN"/>
        </w:rPr>
      </w:pPr>
      <w:r>
        <w:rPr>
          <w:rFonts w:hint="eastAsia" w:ascii="宋体" w:hAnsi="宋体" w:eastAsia="宋体" w:cs="宋体"/>
          <w:b/>
          <w:bCs/>
          <w:color w:val="auto"/>
          <w:sz w:val="80"/>
          <w:szCs w:val="80"/>
        </w:rPr>
        <w:t>招标文件</w:t>
      </w:r>
    </w:p>
    <w:p w14:paraId="6A0E6296">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bCs/>
          <w:color w:val="auto"/>
          <w:sz w:val="44"/>
          <w:szCs w:val="44"/>
          <w:lang w:eastAsia="zh-CN"/>
        </w:rPr>
      </w:pPr>
    </w:p>
    <w:p w14:paraId="74D73A62">
      <w:pPr>
        <w:keepNext w:val="0"/>
        <w:keepLines w:val="0"/>
        <w:pageBreakBefore w:val="0"/>
        <w:widowControl w:val="0"/>
        <w:kinsoku/>
        <w:wordWrap/>
        <w:overflowPunct/>
        <w:topLinePunct w:val="0"/>
        <w:bidi w:val="0"/>
        <w:snapToGrid w:val="0"/>
        <w:spacing w:line="360" w:lineRule="auto"/>
        <w:textAlignment w:val="auto"/>
        <w:rPr>
          <w:rFonts w:hint="eastAsia" w:ascii="宋体" w:hAnsi="宋体" w:eastAsia="宋体" w:cs="宋体"/>
          <w:color w:val="auto"/>
          <w:sz w:val="28"/>
          <w:szCs w:val="28"/>
        </w:rPr>
      </w:pPr>
    </w:p>
    <w:p w14:paraId="1B3AD6DD">
      <w:pPr>
        <w:pStyle w:val="2"/>
        <w:keepNext w:val="0"/>
        <w:keepLines w:val="0"/>
        <w:pageBreakBefore w:val="0"/>
        <w:widowControl w:val="0"/>
        <w:kinsoku/>
        <w:wordWrap/>
        <w:overflowPunct/>
        <w:topLinePunct w:val="0"/>
        <w:bidi w:val="0"/>
        <w:spacing w:line="360" w:lineRule="auto"/>
        <w:textAlignment w:val="auto"/>
        <w:rPr>
          <w:rFonts w:hint="eastAsia"/>
        </w:rPr>
      </w:pPr>
    </w:p>
    <w:p w14:paraId="05ED8B4D">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eastAsia" w:ascii="宋体" w:hAnsi="宋体" w:eastAsia="宋体" w:cs="宋体"/>
          <w:b/>
          <w:bCs w:val="0"/>
          <w:color w:val="auto"/>
          <w:sz w:val="32"/>
          <w:szCs w:val="32"/>
        </w:rPr>
      </w:pPr>
      <w:r>
        <w:rPr>
          <w:rFonts w:hint="eastAsia" w:ascii="宋体" w:hAnsi="宋体" w:eastAsia="宋体" w:cs="宋体"/>
          <w:b/>
          <w:bCs w:val="0"/>
          <w:color w:val="auto"/>
          <w:sz w:val="32"/>
          <w:szCs w:val="32"/>
        </w:rPr>
        <w:t>招标方式：公开招标</w:t>
      </w:r>
    </w:p>
    <w:p w14:paraId="3BEFCBEC">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default" w:ascii="宋体" w:hAnsi="宋体" w:eastAsia="宋体" w:cs="宋体"/>
          <w:b/>
          <w:bCs w:val="0"/>
          <w:color w:val="auto"/>
          <w:sz w:val="32"/>
          <w:szCs w:val="32"/>
          <w:lang w:val="en-US" w:eastAsia="zh-CN"/>
        </w:rPr>
      </w:pPr>
      <w:r>
        <w:rPr>
          <w:rFonts w:hint="eastAsia" w:ascii="宋体" w:hAnsi="宋体" w:eastAsia="宋体" w:cs="宋体"/>
          <w:b/>
          <w:bCs w:val="0"/>
          <w:color w:val="auto"/>
          <w:sz w:val="32"/>
          <w:szCs w:val="32"/>
        </w:rPr>
        <w:t>招标编号：</w:t>
      </w:r>
      <w:r>
        <w:rPr>
          <w:rFonts w:hint="eastAsia" w:ascii="宋体" w:hAnsi="宋体" w:eastAsia="宋体" w:cs="宋体"/>
          <w:b/>
          <w:bCs w:val="0"/>
          <w:color w:val="auto"/>
          <w:sz w:val="32"/>
          <w:szCs w:val="32"/>
          <w:lang w:eastAsia="zh-CN"/>
        </w:rPr>
        <w:t>JLHS-202504-101</w:t>
      </w:r>
      <w:r>
        <w:rPr>
          <w:rFonts w:hint="eastAsia" w:ascii="宋体" w:hAnsi="宋体" w:eastAsia="宋体" w:cs="宋体"/>
          <w:b/>
          <w:bCs w:val="0"/>
          <w:color w:val="auto"/>
          <w:sz w:val="32"/>
          <w:szCs w:val="32"/>
          <w:lang w:val="en-US" w:eastAsia="zh-CN"/>
        </w:rPr>
        <w:t>-02</w:t>
      </w:r>
    </w:p>
    <w:p w14:paraId="1C109BD0">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eastAsia" w:ascii="宋体" w:hAnsi="宋体" w:eastAsia="宋体" w:cs="宋体"/>
          <w:b/>
          <w:bCs w:val="0"/>
          <w:color w:val="auto"/>
          <w:sz w:val="32"/>
          <w:szCs w:val="32"/>
          <w:lang w:eastAsia="zh-CN"/>
        </w:rPr>
      </w:pPr>
      <w:r>
        <w:rPr>
          <w:rFonts w:hint="eastAsia" w:ascii="宋体" w:hAnsi="宋体" w:eastAsia="宋体" w:cs="宋体"/>
          <w:b/>
          <w:bCs w:val="0"/>
          <w:color w:val="auto"/>
          <w:sz w:val="32"/>
          <w:szCs w:val="32"/>
        </w:rPr>
        <w:t>招标人：</w:t>
      </w:r>
      <w:r>
        <w:rPr>
          <w:rFonts w:hint="eastAsia" w:ascii="宋体" w:hAnsi="宋体" w:eastAsia="宋体" w:cs="宋体"/>
          <w:b/>
          <w:bCs w:val="0"/>
          <w:color w:val="auto"/>
          <w:sz w:val="32"/>
          <w:szCs w:val="32"/>
          <w:lang w:eastAsia="zh-CN"/>
        </w:rPr>
        <w:t>吉林省监狱管理局</w:t>
      </w:r>
    </w:p>
    <w:p w14:paraId="57BFF636">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eastAsia" w:ascii="宋体" w:hAnsi="宋体" w:eastAsia="宋体" w:cs="宋体"/>
          <w:b/>
          <w:bCs w:val="0"/>
          <w:color w:val="auto"/>
          <w:sz w:val="32"/>
          <w:szCs w:val="32"/>
          <w:lang w:eastAsia="zh-CN"/>
        </w:rPr>
      </w:pPr>
      <w:r>
        <w:rPr>
          <w:rFonts w:hint="eastAsia" w:ascii="宋体" w:hAnsi="宋体" w:eastAsia="宋体" w:cs="宋体"/>
          <w:b/>
          <w:bCs w:val="0"/>
          <w:color w:val="auto"/>
          <w:sz w:val="32"/>
          <w:szCs w:val="32"/>
        </w:rPr>
        <w:t>招标代理机构：</w:t>
      </w:r>
      <w:r>
        <w:rPr>
          <w:rFonts w:hint="eastAsia" w:ascii="宋体" w:hAnsi="宋体" w:eastAsia="宋体" w:cs="宋体"/>
          <w:b/>
          <w:bCs w:val="0"/>
          <w:snapToGrid w:val="0"/>
          <w:color w:val="auto"/>
          <w:sz w:val="32"/>
          <w:szCs w:val="32"/>
          <w:lang w:eastAsia="zh-CN"/>
        </w:rPr>
        <w:t>吉林省鸿盛招标投标有限公司</w:t>
      </w:r>
    </w:p>
    <w:p w14:paraId="3485B00E">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val="0"/>
          <w:color w:val="auto"/>
          <w:sz w:val="32"/>
          <w:szCs w:val="32"/>
          <w:lang w:val="en-US" w:eastAsia="zh-CN"/>
        </w:rPr>
      </w:pPr>
    </w:p>
    <w:p w14:paraId="7211E790">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color w:val="auto"/>
          <w:sz w:val="44"/>
        </w:rPr>
        <w:sectPr>
          <w:headerReference r:id="rId3" w:type="default"/>
          <w:footerReference r:id="rId4" w:type="even"/>
          <w:pgSz w:w="11905" w:h="16838"/>
          <w:pgMar w:top="1440" w:right="1134" w:bottom="1440" w:left="1440" w:header="850" w:footer="737" w:gutter="0"/>
          <w:pgBorders>
            <w:top w:val="none" w:sz="0" w:space="0"/>
            <w:left w:val="none" w:sz="0" w:space="0"/>
            <w:bottom w:val="none" w:sz="0" w:space="0"/>
            <w:right w:val="none" w:sz="0" w:space="0"/>
          </w:pgBorders>
          <w:pgNumType w:start="0"/>
          <w:cols w:space="0" w:num="1"/>
          <w:rtlGutter w:val="0"/>
          <w:docGrid w:type="lines" w:linePitch="499" w:charSpace="0"/>
        </w:sectPr>
      </w:pPr>
      <w:r>
        <w:rPr>
          <w:rFonts w:hint="eastAsia" w:ascii="宋体" w:hAnsi="宋体" w:eastAsia="宋体" w:cs="宋体"/>
          <w:b/>
          <w:bCs w:val="0"/>
          <w:color w:val="auto"/>
          <w:sz w:val="32"/>
          <w:szCs w:val="32"/>
          <w:lang w:val="en-US" w:eastAsia="zh-CN"/>
        </w:rPr>
        <w:t>2025</w:t>
      </w:r>
      <w:r>
        <w:rPr>
          <w:rFonts w:hint="eastAsia" w:ascii="宋体" w:hAnsi="宋体" w:eastAsia="宋体" w:cs="宋体"/>
          <w:b/>
          <w:bCs w:val="0"/>
          <w:color w:val="auto"/>
          <w:sz w:val="32"/>
          <w:szCs w:val="32"/>
        </w:rPr>
        <w:t>年</w:t>
      </w:r>
      <w:r>
        <w:rPr>
          <w:rFonts w:hint="eastAsia" w:ascii="宋体" w:hAnsi="宋体" w:eastAsia="宋体" w:cs="宋体"/>
          <w:b/>
          <w:bCs w:val="0"/>
          <w:color w:val="auto"/>
          <w:sz w:val="32"/>
          <w:szCs w:val="32"/>
          <w:lang w:val="en-US" w:eastAsia="zh-CN"/>
        </w:rPr>
        <w:t>4</w:t>
      </w:r>
      <w:r>
        <w:rPr>
          <w:rFonts w:hint="eastAsia" w:ascii="宋体" w:hAnsi="宋体" w:eastAsia="宋体" w:cs="宋体"/>
          <w:b/>
          <w:bCs w:val="0"/>
          <w:color w:val="auto"/>
          <w:sz w:val="32"/>
          <w:szCs w:val="32"/>
        </w:rPr>
        <w:t>月</w:t>
      </w:r>
    </w:p>
    <w:p w14:paraId="422DE474">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sz w:val="44"/>
          <w:lang w:val="zh-CN"/>
        </w:rPr>
      </w:pPr>
      <w:r>
        <w:rPr>
          <w:rFonts w:hint="eastAsia" w:ascii="宋体" w:hAnsi="宋体" w:eastAsia="宋体" w:cs="宋体"/>
          <w:b/>
          <w:color w:val="auto"/>
          <w:sz w:val="44"/>
          <w:lang w:val="zh-CN"/>
        </w:rPr>
        <w:t>目  录</w:t>
      </w:r>
    </w:p>
    <w:p w14:paraId="09CFC24D">
      <w:pPr>
        <w:pStyle w:val="39"/>
        <w:pageBreakBefore w:val="0"/>
        <w:kinsoku/>
        <w:wordWrap/>
        <w:overflowPunct/>
        <w:topLinePunct w:val="0"/>
        <w:bidi w:val="0"/>
        <w:spacing w:line="240" w:lineRule="auto"/>
        <w:rPr>
          <w:rFonts w:hint="eastAsia" w:ascii="宋体" w:hAnsi="宋体" w:eastAsia="宋体" w:cs="宋体"/>
          <w:color w:val="C00000"/>
          <w:lang w:val="zh-CN"/>
        </w:rPr>
      </w:pPr>
    </w:p>
    <w:p w14:paraId="7642B31D">
      <w:pPr>
        <w:pStyle w:val="18"/>
        <w:tabs>
          <w:tab w:val="right" w:leader="dot" w:pos="9331"/>
        </w:tabs>
      </w:pPr>
      <w:r>
        <w:rPr>
          <w:rFonts w:hint="eastAsia" w:ascii="宋体" w:hAnsi="宋体" w:eastAsia="宋体" w:cs="宋体"/>
          <w:b/>
          <w:color w:val="C00000"/>
          <w:sz w:val="24"/>
          <w:szCs w:val="24"/>
          <w:lang w:val="zh-CN"/>
        </w:rPr>
        <w:fldChar w:fldCharType="begin"/>
      </w:r>
      <w:r>
        <w:rPr>
          <w:rFonts w:hint="eastAsia" w:ascii="宋体" w:hAnsi="宋体" w:eastAsia="宋体" w:cs="宋体"/>
          <w:b/>
          <w:color w:val="C00000"/>
          <w:sz w:val="24"/>
          <w:szCs w:val="24"/>
          <w:lang w:val="zh-CN"/>
        </w:rPr>
        <w:instrText xml:space="preserve">TOC \o "1-1" \h \u </w:instrText>
      </w:r>
      <w:r>
        <w:rPr>
          <w:rFonts w:hint="eastAsia" w:ascii="宋体" w:hAnsi="宋体" w:eastAsia="宋体" w:cs="宋体"/>
          <w:b/>
          <w:color w:val="C00000"/>
          <w:sz w:val="24"/>
          <w:szCs w:val="24"/>
          <w:lang w:val="zh-CN"/>
        </w:rPr>
        <w:fldChar w:fldCharType="separate"/>
      </w: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_Toc30513 </w:instrText>
      </w:r>
      <w:r>
        <w:rPr>
          <w:rFonts w:hint="eastAsia" w:ascii="宋体" w:hAnsi="宋体" w:eastAsia="宋体" w:cs="宋体"/>
          <w:szCs w:val="24"/>
          <w:lang w:val="zh-CN"/>
        </w:rPr>
        <w:fldChar w:fldCharType="separate"/>
      </w:r>
      <w:r>
        <w:rPr>
          <w:rFonts w:hint="eastAsia" w:ascii="宋体" w:hAnsi="宋体" w:eastAsia="宋体" w:cs="宋体"/>
          <w:szCs w:val="48"/>
          <w:lang w:eastAsia="zh-CN"/>
        </w:rPr>
        <w:t>第一章</w:t>
      </w:r>
      <w:r>
        <w:rPr>
          <w:rFonts w:hint="eastAsia" w:ascii="宋体" w:hAnsi="宋体" w:eastAsia="宋体" w:cs="宋体"/>
          <w:szCs w:val="48"/>
          <w:lang w:val="en-US" w:eastAsia="zh-CN"/>
        </w:rPr>
        <w:t xml:space="preserve"> </w:t>
      </w:r>
      <w:r>
        <w:rPr>
          <w:rFonts w:hint="eastAsia" w:ascii="宋体" w:hAnsi="宋体" w:eastAsia="宋体" w:cs="宋体"/>
          <w:szCs w:val="48"/>
        </w:rPr>
        <w:t>招标公告</w:t>
      </w:r>
      <w:r>
        <w:tab/>
      </w:r>
      <w:r>
        <w:fldChar w:fldCharType="begin"/>
      </w:r>
      <w:r>
        <w:instrText xml:space="preserve"> PAGEREF _Toc30513 \h </w:instrText>
      </w:r>
      <w:r>
        <w:fldChar w:fldCharType="separate"/>
      </w:r>
      <w:r>
        <w:t>1</w:t>
      </w:r>
      <w:r>
        <w:fldChar w:fldCharType="end"/>
      </w:r>
      <w:r>
        <w:rPr>
          <w:rFonts w:hint="eastAsia" w:ascii="宋体" w:hAnsi="宋体" w:eastAsia="宋体" w:cs="宋体"/>
          <w:color w:val="C00000"/>
          <w:szCs w:val="24"/>
          <w:lang w:val="zh-CN"/>
        </w:rPr>
        <w:fldChar w:fldCharType="end"/>
      </w:r>
    </w:p>
    <w:p w14:paraId="0EC54B48">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_Toc2742 </w:instrText>
      </w:r>
      <w:r>
        <w:rPr>
          <w:rFonts w:hint="eastAsia" w:ascii="宋体" w:hAnsi="宋体" w:eastAsia="宋体" w:cs="宋体"/>
          <w:szCs w:val="24"/>
          <w:lang w:val="zh-CN"/>
        </w:rPr>
        <w:fldChar w:fldCharType="separate"/>
      </w:r>
      <w:r>
        <w:rPr>
          <w:rFonts w:hint="eastAsia" w:ascii="宋体" w:hAnsi="宋体" w:eastAsia="宋体" w:cs="宋体"/>
        </w:rPr>
        <w:t>第二章 投标人须知</w:t>
      </w:r>
      <w:r>
        <w:tab/>
      </w:r>
      <w:r>
        <w:fldChar w:fldCharType="begin"/>
      </w:r>
      <w:r>
        <w:instrText xml:space="preserve"> PAGEREF _Toc2742 \h </w:instrText>
      </w:r>
      <w:r>
        <w:fldChar w:fldCharType="separate"/>
      </w:r>
      <w:r>
        <w:t>4</w:t>
      </w:r>
      <w:r>
        <w:fldChar w:fldCharType="end"/>
      </w:r>
      <w:r>
        <w:rPr>
          <w:rFonts w:hint="eastAsia" w:ascii="宋体" w:hAnsi="宋体" w:eastAsia="宋体" w:cs="宋体"/>
          <w:color w:val="C00000"/>
          <w:szCs w:val="24"/>
          <w:lang w:val="zh-CN"/>
        </w:rPr>
        <w:fldChar w:fldCharType="end"/>
      </w:r>
    </w:p>
    <w:p w14:paraId="3732AA71">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_Toc31273 </w:instrText>
      </w:r>
      <w:r>
        <w:rPr>
          <w:rFonts w:hint="eastAsia" w:ascii="宋体" w:hAnsi="宋体" w:eastAsia="宋体" w:cs="宋体"/>
          <w:szCs w:val="24"/>
          <w:lang w:val="zh-CN"/>
        </w:rPr>
        <w:fldChar w:fldCharType="separate"/>
      </w:r>
      <w:r>
        <w:rPr>
          <w:rFonts w:hint="eastAsia" w:ascii="宋体" w:hAnsi="宋体" w:eastAsia="宋体" w:cs="宋体"/>
          <w:lang w:val="zh-CN"/>
        </w:rPr>
        <w:t xml:space="preserve">第三章 </w:t>
      </w:r>
      <w:r>
        <w:rPr>
          <w:rFonts w:hint="eastAsia" w:ascii="宋体" w:hAnsi="宋体" w:eastAsia="宋体" w:cs="宋体"/>
        </w:rPr>
        <w:t>评标办法</w:t>
      </w:r>
      <w:r>
        <w:tab/>
      </w:r>
      <w:r>
        <w:fldChar w:fldCharType="begin"/>
      </w:r>
      <w:r>
        <w:instrText xml:space="preserve"> PAGEREF _Toc31273 \h </w:instrText>
      </w:r>
      <w:r>
        <w:fldChar w:fldCharType="separate"/>
      </w:r>
      <w:r>
        <w:t>27</w:t>
      </w:r>
      <w:r>
        <w:fldChar w:fldCharType="end"/>
      </w:r>
      <w:r>
        <w:rPr>
          <w:rFonts w:hint="eastAsia" w:ascii="宋体" w:hAnsi="宋体" w:eastAsia="宋体" w:cs="宋体"/>
          <w:color w:val="C00000"/>
          <w:szCs w:val="24"/>
          <w:lang w:val="zh-CN"/>
        </w:rPr>
        <w:fldChar w:fldCharType="end"/>
      </w:r>
    </w:p>
    <w:p w14:paraId="476CCF38">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_Toc26489 </w:instrText>
      </w:r>
      <w:r>
        <w:rPr>
          <w:rFonts w:hint="eastAsia" w:ascii="宋体" w:hAnsi="宋体" w:eastAsia="宋体" w:cs="宋体"/>
          <w:szCs w:val="24"/>
          <w:lang w:val="zh-CN"/>
        </w:rPr>
        <w:fldChar w:fldCharType="separate"/>
      </w:r>
      <w:r>
        <w:rPr>
          <w:rFonts w:hint="eastAsia" w:ascii="宋体" w:hAnsi="宋体" w:eastAsia="宋体" w:cs="宋体"/>
        </w:rPr>
        <w:t>第四章 合同条款</w:t>
      </w:r>
      <w:r>
        <w:tab/>
      </w:r>
      <w:r>
        <w:fldChar w:fldCharType="begin"/>
      </w:r>
      <w:r>
        <w:instrText xml:space="preserve"> PAGEREF _Toc26489 \h </w:instrText>
      </w:r>
      <w:r>
        <w:fldChar w:fldCharType="separate"/>
      </w:r>
      <w:r>
        <w:t>54</w:t>
      </w:r>
      <w:r>
        <w:fldChar w:fldCharType="end"/>
      </w:r>
      <w:r>
        <w:rPr>
          <w:rFonts w:hint="eastAsia" w:ascii="宋体" w:hAnsi="宋体" w:eastAsia="宋体" w:cs="宋体"/>
          <w:color w:val="C00000"/>
          <w:szCs w:val="24"/>
          <w:lang w:val="zh-CN"/>
        </w:rPr>
        <w:fldChar w:fldCharType="end"/>
      </w:r>
    </w:p>
    <w:p w14:paraId="1DAA40F5">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_Toc32640 </w:instrText>
      </w:r>
      <w:r>
        <w:rPr>
          <w:rFonts w:hint="eastAsia" w:ascii="宋体" w:hAnsi="宋体" w:eastAsia="宋体" w:cs="宋体"/>
          <w:szCs w:val="24"/>
          <w:lang w:val="zh-CN"/>
        </w:rPr>
        <w:fldChar w:fldCharType="separate"/>
      </w:r>
      <w:r>
        <w:rPr>
          <w:rFonts w:hint="eastAsia" w:ascii="宋体" w:hAnsi="宋体" w:eastAsia="宋体" w:cs="宋体"/>
          <w:highlight w:val="none"/>
        </w:rPr>
        <w:t>第</w:t>
      </w:r>
      <w:r>
        <w:rPr>
          <w:rFonts w:hint="eastAsia" w:ascii="宋体" w:hAnsi="宋体" w:eastAsia="宋体" w:cs="宋体"/>
          <w:highlight w:val="none"/>
          <w:lang w:eastAsia="zh-CN"/>
        </w:rPr>
        <w:t>五</w:t>
      </w:r>
      <w:r>
        <w:rPr>
          <w:rFonts w:hint="eastAsia" w:ascii="宋体" w:hAnsi="宋体" w:eastAsia="宋体" w:cs="宋体"/>
          <w:highlight w:val="none"/>
        </w:rPr>
        <w:t xml:space="preserve">章 </w:t>
      </w:r>
      <w:r>
        <w:rPr>
          <w:rFonts w:hint="eastAsia" w:ascii="宋体" w:hAnsi="宋体" w:eastAsia="宋体" w:cs="宋体"/>
          <w:kern w:val="44"/>
          <w:szCs w:val="18"/>
          <w:highlight w:val="none"/>
          <w:lang w:val="zh-CN" w:eastAsia="zh-CN" w:bidi="ar-SA"/>
        </w:rPr>
        <w:t>技术需求</w:t>
      </w:r>
      <w:r>
        <w:tab/>
      </w:r>
      <w:r>
        <w:fldChar w:fldCharType="begin"/>
      </w:r>
      <w:r>
        <w:instrText xml:space="preserve"> PAGEREF _Toc32640 \h </w:instrText>
      </w:r>
      <w:r>
        <w:fldChar w:fldCharType="separate"/>
      </w:r>
      <w:r>
        <w:t>66</w:t>
      </w:r>
      <w:r>
        <w:fldChar w:fldCharType="end"/>
      </w:r>
      <w:r>
        <w:rPr>
          <w:rFonts w:hint="eastAsia" w:ascii="宋体" w:hAnsi="宋体" w:eastAsia="宋体" w:cs="宋体"/>
          <w:color w:val="C00000"/>
          <w:szCs w:val="24"/>
          <w:lang w:val="zh-CN"/>
        </w:rPr>
        <w:fldChar w:fldCharType="end"/>
      </w:r>
    </w:p>
    <w:p w14:paraId="768F4101">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_Toc7861 </w:instrText>
      </w:r>
      <w:r>
        <w:rPr>
          <w:rFonts w:hint="eastAsia" w:ascii="宋体" w:hAnsi="宋体" w:eastAsia="宋体" w:cs="宋体"/>
          <w:szCs w:val="24"/>
          <w:lang w:val="zh-CN"/>
        </w:rPr>
        <w:fldChar w:fldCharType="separate"/>
      </w:r>
      <w:r>
        <w:rPr>
          <w:rFonts w:hint="eastAsia" w:ascii="宋体" w:hAnsi="宋体" w:eastAsia="宋体" w:cs="宋体"/>
        </w:rPr>
        <w:t>第</w:t>
      </w:r>
      <w:r>
        <w:rPr>
          <w:rFonts w:hint="eastAsia" w:ascii="宋体" w:hAnsi="宋体" w:eastAsia="宋体" w:cs="宋体"/>
          <w:lang w:eastAsia="zh-CN"/>
        </w:rPr>
        <w:t>六</w:t>
      </w:r>
      <w:r>
        <w:rPr>
          <w:rFonts w:hint="eastAsia" w:ascii="宋体" w:hAnsi="宋体" w:eastAsia="宋体" w:cs="宋体"/>
        </w:rPr>
        <w:t>章 投标文件构成、要求及格式</w:t>
      </w:r>
      <w:r>
        <w:tab/>
      </w:r>
      <w:r>
        <w:fldChar w:fldCharType="begin"/>
      </w:r>
      <w:r>
        <w:instrText xml:space="preserve"> PAGEREF _Toc7861 \h </w:instrText>
      </w:r>
      <w:r>
        <w:fldChar w:fldCharType="separate"/>
      </w:r>
      <w:r>
        <w:t>87</w:t>
      </w:r>
      <w:r>
        <w:fldChar w:fldCharType="end"/>
      </w:r>
      <w:r>
        <w:rPr>
          <w:rFonts w:hint="eastAsia" w:ascii="宋体" w:hAnsi="宋体" w:eastAsia="宋体" w:cs="宋体"/>
          <w:color w:val="C00000"/>
          <w:szCs w:val="24"/>
          <w:lang w:val="zh-CN"/>
        </w:rPr>
        <w:fldChar w:fldCharType="end"/>
      </w:r>
    </w:p>
    <w:p w14:paraId="0A74558C">
      <w:pPr>
        <w:pageBreakBefore w:val="0"/>
        <w:kinsoku/>
        <w:wordWrap/>
        <w:overflowPunct/>
        <w:topLinePunct w:val="0"/>
        <w:autoSpaceDE w:val="0"/>
        <w:autoSpaceDN w:val="0"/>
        <w:bidi w:val="0"/>
        <w:adjustRightInd w:val="0"/>
        <w:snapToGrid w:val="0"/>
        <w:spacing w:beforeLines="50" w:afterLines="50" w:line="240" w:lineRule="auto"/>
        <w:ind w:firstLine="420" w:firstLineChars="200"/>
        <w:jc w:val="center"/>
        <w:rPr>
          <w:rFonts w:hint="eastAsia" w:ascii="宋体" w:hAnsi="宋体" w:eastAsia="宋体" w:cs="宋体"/>
          <w:b/>
          <w:color w:val="auto"/>
          <w:lang w:val="zh-CN"/>
        </w:rPr>
      </w:pPr>
      <w:r>
        <w:rPr>
          <w:rFonts w:hint="eastAsia" w:ascii="宋体" w:hAnsi="宋体" w:eastAsia="宋体" w:cs="宋体"/>
          <w:color w:val="C00000"/>
          <w:szCs w:val="24"/>
          <w:lang w:val="zh-CN"/>
        </w:rPr>
        <w:fldChar w:fldCharType="end"/>
      </w:r>
    </w:p>
    <w:p w14:paraId="3BBD8EE9">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98D51CB">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2636A52B">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5F6D892">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1F9F4BAE">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3E171F0D">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5B939934">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0D40CE8">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7C902ED9">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1B7D9496">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F2C3C87">
      <w:pPr>
        <w:pStyle w:val="5"/>
        <w:keepNext w:val="0"/>
        <w:keepLines w:val="0"/>
        <w:pageBreakBefore w:val="0"/>
        <w:kinsoku/>
        <w:wordWrap/>
        <w:overflowPunct/>
        <w:topLinePunct w:val="0"/>
        <w:bidi w:val="0"/>
        <w:snapToGrid w:val="0"/>
        <w:spacing w:before="0" w:after="0" w:line="240" w:lineRule="auto"/>
        <w:jc w:val="center"/>
        <w:rPr>
          <w:rFonts w:hint="eastAsia" w:ascii="宋体" w:hAnsi="宋体" w:eastAsia="宋体" w:cs="宋体"/>
          <w:color w:val="auto"/>
        </w:rPr>
        <w:sectPr>
          <w:headerReference r:id="rId5" w:type="default"/>
          <w:pgSz w:w="11905" w:h="16838"/>
          <w:pgMar w:top="1440" w:right="1134" w:bottom="1440" w:left="1440" w:header="850" w:footer="737" w:gutter="0"/>
          <w:pgBorders>
            <w:top w:val="none" w:sz="0" w:space="0"/>
            <w:left w:val="none" w:sz="0" w:space="0"/>
            <w:bottom w:val="none" w:sz="0" w:space="0"/>
            <w:right w:val="none" w:sz="0" w:space="0"/>
          </w:pgBorders>
          <w:pgNumType w:start="0"/>
          <w:cols w:space="0" w:num="1"/>
          <w:rtlGutter w:val="0"/>
          <w:docGrid w:type="lines" w:linePitch="499" w:charSpace="0"/>
        </w:sectPr>
      </w:pPr>
    </w:p>
    <w:bookmarkEnd w:id="0"/>
    <w:bookmarkEnd w:id="1"/>
    <w:p w14:paraId="132F8669">
      <w:pPr>
        <w:pStyle w:val="5"/>
        <w:pageBreakBefore w:val="0"/>
        <w:kinsoku/>
        <w:wordWrap/>
        <w:overflowPunct/>
        <w:topLinePunct w:val="0"/>
        <w:bidi w:val="0"/>
        <w:spacing w:line="240" w:lineRule="auto"/>
        <w:jc w:val="center"/>
        <w:rPr>
          <w:rFonts w:hint="eastAsia" w:ascii="宋体" w:hAnsi="宋体" w:eastAsia="宋体" w:cs="宋体"/>
          <w:color w:val="auto"/>
          <w:sz w:val="32"/>
          <w:szCs w:val="32"/>
        </w:rPr>
      </w:pPr>
      <w:bookmarkStart w:id="9" w:name="_Toc30513"/>
      <w:bookmarkStart w:id="10" w:name="_Toc17815"/>
      <w:bookmarkStart w:id="11" w:name="_Toc5268"/>
      <w:bookmarkStart w:id="12" w:name="_Toc30082"/>
      <w:r>
        <w:rPr>
          <w:rFonts w:hint="eastAsia" w:ascii="宋体" w:hAnsi="宋体" w:eastAsia="宋体" w:cs="宋体"/>
          <w:color w:val="auto"/>
          <w:sz w:val="48"/>
          <w:szCs w:val="48"/>
          <w:lang w:eastAsia="zh-CN"/>
        </w:rPr>
        <w:t>第一章</w:t>
      </w:r>
      <w:r>
        <w:rPr>
          <w:rFonts w:hint="eastAsia" w:ascii="宋体" w:hAnsi="宋体" w:eastAsia="宋体" w:cs="宋体"/>
          <w:color w:val="auto"/>
          <w:sz w:val="48"/>
          <w:szCs w:val="48"/>
          <w:lang w:val="en-US" w:eastAsia="zh-CN"/>
        </w:rPr>
        <w:t xml:space="preserve"> </w:t>
      </w:r>
      <w:r>
        <w:rPr>
          <w:rFonts w:hint="eastAsia" w:ascii="宋体" w:hAnsi="宋体" w:eastAsia="宋体" w:cs="宋体"/>
          <w:color w:val="auto"/>
          <w:sz w:val="48"/>
          <w:szCs w:val="48"/>
        </w:rPr>
        <w:t>招标公告</w:t>
      </w:r>
      <w:bookmarkEnd w:id="9"/>
    </w:p>
    <w:p w14:paraId="71E8B47C">
      <w:pPr>
        <w:keepNext w:val="0"/>
        <w:keepLines w:val="0"/>
        <w:pageBreakBefore w:val="0"/>
        <w:kinsoku/>
        <w:wordWrap/>
        <w:overflowPunct/>
        <w:topLinePunct w:val="0"/>
        <w:autoSpaceDE/>
        <w:autoSpaceDN/>
        <w:bidi w:val="0"/>
        <w:adjustRightInd/>
        <w:snapToGrid/>
        <w:spacing w:before="0" w:line="240" w:lineRule="auto"/>
        <w:jc w:val="both"/>
        <w:textAlignment w:val="auto"/>
        <w:outlineLvl w:val="9"/>
        <w:rPr>
          <w:rFonts w:hint="eastAsia" w:ascii="宋体" w:hAnsi="宋体" w:eastAsia="宋体" w:cs="宋体"/>
          <w:b/>
          <w:bCs/>
          <w:sz w:val="24"/>
          <w:szCs w:val="24"/>
        </w:rPr>
      </w:pPr>
      <w:bookmarkStart w:id="13" w:name="_Toc28359079"/>
      <w:bookmarkStart w:id="14" w:name="_Toc35393621"/>
      <w:bookmarkStart w:id="15" w:name="_Toc35393790"/>
      <w:bookmarkStart w:id="16" w:name="_Toc28359002"/>
      <w:bookmarkStart w:id="17" w:name="_Hlk24379207"/>
      <w:r>
        <w:rPr>
          <w:rFonts w:hint="eastAsia" w:ascii="宋体" w:hAnsi="宋体" w:eastAsia="宋体" w:cs="宋体"/>
          <w:b/>
          <w:bCs/>
          <w:i w:val="0"/>
          <w:caps w:val="0"/>
          <w:color w:val="auto"/>
          <w:spacing w:val="0"/>
          <w:kern w:val="0"/>
          <w:sz w:val="24"/>
          <w:szCs w:val="24"/>
          <w:lang w:val="en-US" w:eastAsia="zh-CN" w:bidi="ar"/>
        </w:rPr>
        <w:t>一、</w:t>
      </w:r>
      <w:r>
        <w:rPr>
          <w:rFonts w:hint="eastAsia" w:ascii="宋体" w:hAnsi="宋体" w:eastAsia="宋体" w:cs="宋体"/>
          <w:b/>
          <w:bCs/>
          <w:sz w:val="24"/>
          <w:szCs w:val="24"/>
        </w:rPr>
        <w:t>招标条件</w:t>
      </w:r>
    </w:p>
    <w:p w14:paraId="37B43B78">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本招标项目</w:t>
      </w:r>
      <w:r>
        <w:rPr>
          <w:rFonts w:hint="eastAsia" w:ascii="宋体" w:hAnsi="宋体" w:eastAsia="宋体" w:cs="宋体"/>
          <w:b w:val="0"/>
          <w:bCs/>
          <w:color w:val="auto"/>
          <w:sz w:val="24"/>
          <w:szCs w:val="24"/>
          <w:u w:val="single"/>
          <w:lang w:eastAsia="zh-CN"/>
        </w:rPr>
        <w:t>吉林省监狱系统2025年度民警制式服装及其服饰项目</w:t>
      </w:r>
      <w:r>
        <w:rPr>
          <w:rFonts w:hint="eastAsia" w:ascii="宋体" w:hAnsi="宋体" w:eastAsia="宋体" w:cs="宋体"/>
          <w:sz w:val="24"/>
          <w:szCs w:val="24"/>
        </w:rPr>
        <w:t>（项目名称）已由</w:t>
      </w:r>
      <w:r>
        <w:rPr>
          <w:rFonts w:hint="eastAsia" w:ascii="宋体" w:hAnsi="宋体" w:eastAsia="宋体" w:cs="宋体"/>
          <w:color w:val="auto"/>
          <w:sz w:val="24"/>
          <w:szCs w:val="24"/>
          <w:u w:val="single"/>
          <w:lang w:val="en-US" w:eastAsia="zh-CN"/>
        </w:rPr>
        <w:t>财政部门</w:t>
      </w:r>
      <w:r>
        <w:rPr>
          <w:rFonts w:hint="eastAsia" w:ascii="宋体" w:hAnsi="宋体" w:eastAsia="宋体" w:cs="宋体"/>
          <w:color w:val="auto"/>
          <w:sz w:val="24"/>
          <w:szCs w:val="24"/>
        </w:rPr>
        <w:t>以</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u w:val="single"/>
          <w:lang w:val="en-US" w:eastAsia="zh-CN"/>
        </w:rPr>
        <w:t>省本级</w:t>
      </w:r>
      <w:r>
        <w:rPr>
          <w:rFonts w:hint="eastAsia" w:ascii="宋体" w:hAnsi="宋体" w:eastAsia="宋体" w:cs="宋体"/>
          <w:color w:val="auto"/>
          <w:sz w:val="24"/>
          <w:szCs w:val="24"/>
          <w:u w:val="single"/>
        </w:rPr>
        <w:t>政府采购实施计划备案表</w:t>
      </w:r>
      <w:r>
        <w:rPr>
          <w:rFonts w:hint="eastAsia" w:ascii="宋体" w:hAnsi="宋体" w:eastAsia="宋体" w:cs="宋体"/>
          <w:color w:val="auto"/>
          <w:sz w:val="24"/>
          <w:szCs w:val="24"/>
          <w:u w:val="single"/>
          <w:lang w:eastAsia="zh-CN"/>
        </w:rPr>
        <w:t>（采购计划备-</w:t>
      </w:r>
      <w:r>
        <w:rPr>
          <w:rFonts w:hint="eastAsia" w:ascii="宋体" w:hAnsi="宋体" w:eastAsia="宋体" w:cs="宋体"/>
          <w:color w:val="auto"/>
          <w:sz w:val="24"/>
          <w:szCs w:val="24"/>
          <w:u w:val="single"/>
          <w:lang w:val="en-US" w:eastAsia="zh-CN"/>
        </w:rPr>
        <w:t>[2025]-03483号）</w:t>
      </w:r>
      <w:r>
        <w:rPr>
          <w:rFonts w:hint="eastAsia" w:ascii="宋体" w:hAnsi="宋体" w:eastAsia="宋体" w:cs="宋体"/>
          <w:color w:val="auto"/>
          <w:sz w:val="24"/>
          <w:szCs w:val="24"/>
        </w:rPr>
        <w:t>批准</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招标人为</w:t>
      </w:r>
      <w:r>
        <w:rPr>
          <w:rFonts w:hint="eastAsia" w:ascii="宋体" w:hAnsi="宋体" w:eastAsia="宋体" w:cs="宋体"/>
          <w:color w:val="auto"/>
          <w:sz w:val="24"/>
          <w:szCs w:val="24"/>
          <w:u w:val="single"/>
          <w:lang w:val="en-US" w:eastAsia="zh-CN"/>
        </w:rPr>
        <w:t>吉林省监狱管理局</w:t>
      </w:r>
      <w:r>
        <w:rPr>
          <w:rFonts w:hint="eastAsia" w:ascii="宋体" w:hAnsi="宋体" w:eastAsia="宋体" w:cs="宋体"/>
          <w:color w:val="auto"/>
          <w:sz w:val="24"/>
          <w:szCs w:val="24"/>
        </w:rPr>
        <w:t>，资金来自</w:t>
      </w:r>
      <w:r>
        <w:rPr>
          <w:rFonts w:hint="eastAsia" w:ascii="宋体" w:hAnsi="宋体" w:eastAsia="宋体" w:cs="宋体"/>
          <w:color w:val="auto"/>
          <w:sz w:val="24"/>
          <w:szCs w:val="24"/>
          <w:u w:val="single"/>
          <w:lang w:val="en-US" w:eastAsia="zh-CN"/>
        </w:rPr>
        <w:t>财政资金</w:t>
      </w:r>
      <w:r>
        <w:rPr>
          <w:rFonts w:hint="eastAsia" w:ascii="宋体" w:hAnsi="宋体" w:eastAsia="宋体" w:cs="宋体"/>
          <w:color w:val="auto"/>
          <w:sz w:val="24"/>
          <w:szCs w:val="24"/>
        </w:rPr>
        <w:t>，出资比例为</w:t>
      </w:r>
      <w:r>
        <w:rPr>
          <w:rFonts w:hint="eastAsia" w:ascii="宋体" w:hAnsi="宋体" w:eastAsia="宋体" w:cs="宋体"/>
          <w:color w:val="auto"/>
          <w:sz w:val="24"/>
          <w:szCs w:val="24"/>
          <w:u w:val="single"/>
          <w:lang w:val="en-US" w:eastAsia="zh-CN"/>
        </w:rPr>
        <w:t>100%</w:t>
      </w:r>
      <w:r>
        <w:rPr>
          <w:rFonts w:hint="eastAsia" w:ascii="宋体" w:hAnsi="宋体" w:eastAsia="宋体" w:cs="宋体"/>
          <w:color w:val="auto"/>
          <w:sz w:val="24"/>
          <w:szCs w:val="24"/>
        </w:rPr>
        <w:t>，项目已具备招标条件，现对该项目进行公开招标。</w:t>
      </w:r>
    </w:p>
    <w:p w14:paraId="1EA588F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lang w:val="en-US" w:eastAsia="zh-CN" w:bidi="ar"/>
        </w:rPr>
      </w:pPr>
      <w:r>
        <w:rPr>
          <w:rFonts w:hint="eastAsia" w:ascii="宋体" w:hAnsi="宋体" w:eastAsia="宋体" w:cs="宋体"/>
          <w:b/>
          <w:bCs/>
          <w:i w:val="0"/>
          <w:caps w:val="0"/>
          <w:color w:val="auto"/>
          <w:spacing w:val="0"/>
          <w:kern w:val="0"/>
          <w:sz w:val="24"/>
          <w:szCs w:val="24"/>
          <w:lang w:val="en-US" w:eastAsia="zh-CN" w:bidi="ar"/>
        </w:rPr>
        <w:t>二、项目基本情况</w:t>
      </w:r>
      <w:bookmarkEnd w:id="13"/>
      <w:bookmarkEnd w:id="14"/>
      <w:bookmarkEnd w:id="15"/>
      <w:bookmarkEnd w:id="16"/>
    </w:p>
    <w:p w14:paraId="249AED8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项目名称：</w:t>
      </w:r>
      <w:bookmarkEnd w:id="17"/>
      <w:r>
        <w:rPr>
          <w:rFonts w:hint="eastAsia" w:ascii="宋体" w:hAnsi="宋体" w:eastAsia="宋体" w:cs="宋体"/>
          <w:b w:val="0"/>
          <w:i w:val="0"/>
          <w:caps w:val="0"/>
          <w:color w:val="auto"/>
          <w:spacing w:val="0"/>
          <w:kern w:val="0"/>
          <w:sz w:val="24"/>
          <w:szCs w:val="24"/>
          <w:lang w:val="en-US" w:eastAsia="zh-CN" w:bidi="ar"/>
        </w:rPr>
        <w:t>吉林省监狱系统2025年度民警制式服装及其服饰项目</w:t>
      </w:r>
    </w:p>
    <w:p w14:paraId="28189B5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default"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政府采购计划编号：采购计划-[2025]-04003号-1-1</w:t>
      </w:r>
    </w:p>
    <w:p w14:paraId="52706F1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招标编号：JLHS-202504-101</w:t>
      </w:r>
    </w:p>
    <w:p w14:paraId="667B159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招标方式：公开招标</w:t>
      </w:r>
    </w:p>
    <w:p w14:paraId="098421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b w:val="0"/>
          <w:i w:val="0"/>
          <w:caps w:val="0"/>
          <w:color w:val="auto"/>
          <w:spacing w:val="0"/>
          <w:kern w:val="0"/>
          <w:sz w:val="24"/>
          <w:szCs w:val="24"/>
          <w:lang w:val="en-US" w:eastAsia="zh-CN" w:bidi="ar"/>
        </w:rPr>
        <w:t>招标范围（具体详见招标文件）：第一标段采购男单裤、女单裤等；第</w:t>
      </w:r>
      <w:r>
        <w:rPr>
          <w:rFonts w:hint="eastAsia" w:ascii="宋体" w:hAnsi="宋体" w:eastAsia="宋体" w:cs="宋体"/>
          <w:color w:val="auto"/>
          <w:sz w:val="24"/>
          <w:szCs w:val="24"/>
          <w:lang w:val="en-US" w:eastAsia="zh-CN"/>
        </w:rPr>
        <w:t>二标段采购警察男春秋常服等。</w:t>
      </w:r>
    </w:p>
    <w:p w14:paraId="4E854E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资金来源：财政资金100%。 </w:t>
      </w:r>
    </w:p>
    <w:p w14:paraId="5E5A81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采购预算（人民币）：第一标段15024739.36元；第二标段5375259.80元。</w:t>
      </w:r>
    </w:p>
    <w:p w14:paraId="234051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合同履行期限：</w:t>
      </w:r>
      <w:r>
        <w:rPr>
          <w:rFonts w:hint="eastAsia" w:ascii="宋体" w:hAnsi="宋体" w:eastAsia="宋体" w:cs="宋体"/>
          <w:b w:val="0"/>
          <w:i w:val="0"/>
          <w:caps w:val="0"/>
          <w:color w:val="auto"/>
          <w:spacing w:val="0"/>
          <w:kern w:val="0"/>
          <w:sz w:val="24"/>
          <w:szCs w:val="24"/>
          <w:highlight w:val="none"/>
          <w:lang w:val="en-US" w:eastAsia="zh-CN" w:bidi="ar"/>
        </w:rPr>
        <w:t>合同签订后90日内</w:t>
      </w:r>
      <w:r>
        <w:rPr>
          <w:rFonts w:hint="eastAsia" w:ascii="宋体" w:hAnsi="宋体" w:eastAsia="宋体" w:cs="宋体"/>
          <w:b w:val="0"/>
          <w:i w:val="0"/>
          <w:caps w:val="0"/>
          <w:color w:val="auto"/>
          <w:spacing w:val="0"/>
          <w:kern w:val="0"/>
          <w:sz w:val="24"/>
          <w:szCs w:val="24"/>
          <w:lang w:val="en-US" w:eastAsia="zh-CN" w:bidi="ar"/>
        </w:rPr>
        <w:t>。</w:t>
      </w:r>
    </w:p>
    <w:p w14:paraId="09AE749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highlight w:val="none"/>
          <w:lang w:val="en-US" w:eastAsia="zh-CN" w:bidi="ar"/>
        </w:rPr>
      </w:pPr>
      <w:r>
        <w:rPr>
          <w:rFonts w:hint="eastAsia" w:ascii="宋体" w:hAnsi="宋体" w:eastAsia="宋体" w:cs="宋体"/>
          <w:b w:val="0"/>
          <w:i w:val="0"/>
          <w:caps w:val="0"/>
          <w:color w:val="auto"/>
          <w:spacing w:val="0"/>
          <w:kern w:val="0"/>
          <w:sz w:val="24"/>
          <w:szCs w:val="24"/>
          <w:lang w:val="en-US" w:eastAsia="zh-CN" w:bidi="ar"/>
        </w:rPr>
        <w:t>质量要</w:t>
      </w:r>
      <w:r>
        <w:rPr>
          <w:rFonts w:hint="eastAsia" w:ascii="宋体" w:hAnsi="宋体" w:eastAsia="宋体" w:cs="宋体"/>
          <w:b w:val="0"/>
          <w:i w:val="0"/>
          <w:caps w:val="0"/>
          <w:color w:val="auto"/>
          <w:spacing w:val="0"/>
          <w:kern w:val="0"/>
          <w:sz w:val="24"/>
          <w:szCs w:val="24"/>
          <w:highlight w:val="none"/>
          <w:lang w:val="en-US" w:eastAsia="zh-CN" w:bidi="ar"/>
        </w:rPr>
        <w:t>求：符合行业相关标准及中华人民共和国公安部下发的《中华人民共和国公共安全行业标准》等相关标准。</w:t>
      </w:r>
    </w:p>
    <w:p w14:paraId="7F87ADD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联合体投标：不接受联合体投标。</w:t>
      </w:r>
    </w:p>
    <w:p w14:paraId="2AD529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lang w:val="en-US" w:eastAsia="zh-CN" w:bidi="ar"/>
        </w:rPr>
      </w:pPr>
      <w:bookmarkStart w:id="18" w:name="_Toc28359003"/>
      <w:bookmarkStart w:id="19" w:name="_Toc35393622"/>
      <w:bookmarkStart w:id="20" w:name="_Toc28359080"/>
      <w:bookmarkStart w:id="21" w:name="_Toc35393791"/>
      <w:r>
        <w:rPr>
          <w:rFonts w:hint="eastAsia" w:ascii="宋体" w:hAnsi="宋体" w:eastAsia="宋体" w:cs="宋体"/>
          <w:b/>
          <w:bCs/>
          <w:i w:val="0"/>
          <w:caps w:val="0"/>
          <w:color w:val="auto"/>
          <w:spacing w:val="0"/>
          <w:kern w:val="0"/>
          <w:sz w:val="24"/>
          <w:szCs w:val="24"/>
          <w:lang w:val="en-US" w:eastAsia="zh-CN" w:bidi="ar"/>
        </w:rPr>
        <w:t>三、投标人的资格要求：</w:t>
      </w:r>
      <w:bookmarkEnd w:id="18"/>
      <w:bookmarkEnd w:id="19"/>
      <w:bookmarkEnd w:id="20"/>
      <w:bookmarkEnd w:id="21"/>
    </w:p>
    <w:p w14:paraId="54D96B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bookmarkStart w:id="22" w:name="_Toc28359081"/>
      <w:bookmarkStart w:id="23" w:name="_Toc35393792"/>
      <w:bookmarkStart w:id="24" w:name="_Toc35393623"/>
      <w:bookmarkStart w:id="25" w:name="_Toc28359004"/>
      <w:r>
        <w:rPr>
          <w:rFonts w:hint="eastAsia" w:ascii="宋体" w:hAnsi="宋体" w:eastAsia="宋体" w:cs="宋体"/>
          <w:b w:val="0"/>
          <w:i w:val="0"/>
          <w:caps w:val="0"/>
          <w:color w:val="auto"/>
          <w:spacing w:val="0"/>
          <w:kern w:val="0"/>
          <w:sz w:val="24"/>
          <w:szCs w:val="24"/>
          <w:lang w:val="en-US" w:eastAsia="zh-CN" w:bidi="ar"/>
        </w:rPr>
        <w:t>1.所有潜在投标人须符合下列规定：</w:t>
      </w:r>
    </w:p>
    <w:p w14:paraId="1BFA581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720" w:firstLineChars="3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满足《中华人民共和国政府采购法》第二十二条规定：</w:t>
      </w:r>
    </w:p>
    <w:p w14:paraId="2520D25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（1）具有独立承担民事责任的能力；</w:t>
      </w:r>
    </w:p>
    <w:p w14:paraId="785B551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（2）具有良好的商业信誉和健全的财务会计制度；</w:t>
      </w:r>
    </w:p>
    <w:p w14:paraId="0A1071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（3）具有履行合同所必需的设备和专业技术能力；</w:t>
      </w:r>
    </w:p>
    <w:p w14:paraId="3845FD2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（4）有依法缴纳税收和社会保障资金的良好记录；</w:t>
      </w:r>
    </w:p>
    <w:p w14:paraId="4DAC3D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（5）参加政府采购活动前三年内，在经营活动中没有重大违法记录；</w:t>
      </w:r>
    </w:p>
    <w:p w14:paraId="2109FE4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720" w:firstLineChars="3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（6）法律、行政法规规定的其他条件：第一标段依据《财政部 司法部关于政府采购支持监狱企业发展有关问题的通知》（财库[2014]68号），第一标段为专门面向监狱企业的潜</w:t>
      </w:r>
      <w:r>
        <w:rPr>
          <w:rFonts w:hint="eastAsia" w:ascii="宋体" w:hAnsi="宋体" w:cs="宋体"/>
          <w:b w:val="0"/>
          <w:i w:val="0"/>
          <w:caps w:val="0"/>
          <w:color w:val="auto"/>
          <w:spacing w:val="0"/>
          <w:kern w:val="0"/>
          <w:sz w:val="24"/>
          <w:szCs w:val="24"/>
          <w:lang w:val="en-US" w:eastAsia="zh-CN" w:bidi="ar"/>
        </w:rPr>
        <w:t>在</w:t>
      </w:r>
      <w:r>
        <w:rPr>
          <w:rFonts w:hint="eastAsia" w:ascii="宋体" w:hAnsi="宋体" w:eastAsia="宋体" w:cs="宋体"/>
          <w:b w:val="0"/>
          <w:i w:val="0"/>
          <w:caps w:val="0"/>
          <w:color w:val="auto"/>
          <w:spacing w:val="0"/>
          <w:kern w:val="0"/>
          <w:sz w:val="24"/>
          <w:szCs w:val="24"/>
          <w:lang w:val="en-US" w:eastAsia="zh-CN" w:bidi="ar"/>
        </w:rPr>
        <w:t>投标人；第二标段依据《政府采购促进中小企业发展管理办法》（财库[2020]46号）及《关于进一步加大政府采购支持中小企业力度的通知》（财库[2022]19号）的规定，第二标段为专门面向中小微企业的潜在投标人。</w:t>
      </w:r>
    </w:p>
    <w:p w14:paraId="0F4E52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2.对潜在投标人的特定资格要求：</w:t>
      </w:r>
    </w:p>
    <w:p w14:paraId="025DDC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参与本项目的所有潜在投标人须为公安部《人民警察服装生产企业目录》（2024版）或司法部《司法行政系统警察服装生产企业目录》（司计字[2015]128号）中的生产企业。</w:t>
      </w:r>
    </w:p>
    <w:p w14:paraId="76F9DBB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3.本项目不接受被政府列入取消投标资格期限内的企业或个人参加投标。</w:t>
      </w:r>
    </w:p>
    <w:p w14:paraId="49978C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default"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4.与招标人存在利害关系可能影响招标公正性的法人、其他组织或者个人，不得参加投标。单位负责人为同一人或者存在控股、管理关系的不同单位，不得参加同一标段投标或者未划分标段的同一采购项目投标。违反上述规定的，相关投标均无效。</w:t>
      </w:r>
    </w:p>
    <w:bookmarkEnd w:id="22"/>
    <w:bookmarkEnd w:id="23"/>
    <w:bookmarkEnd w:id="24"/>
    <w:bookmarkEnd w:id="25"/>
    <w:p w14:paraId="1FDE669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三、获取招标文件</w:t>
      </w:r>
    </w:p>
    <w:p w14:paraId="231C2548">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eastAsia="zh-CN"/>
        </w:rPr>
      </w:pPr>
      <w:bookmarkStart w:id="26" w:name="_Toc35393793"/>
      <w:bookmarkStart w:id="27" w:name="_Toc28359005"/>
      <w:bookmarkStart w:id="28" w:name="_Toc28359082"/>
      <w:bookmarkStart w:id="29" w:name="_Toc35393624"/>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时间：2025年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lang w:eastAsia="zh-CN"/>
        </w:rPr>
        <w:t>日至2025年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lang w:eastAsia="zh-CN"/>
        </w:rPr>
        <w:t>日，每天</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时</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分至16时00分。</w:t>
      </w:r>
    </w:p>
    <w:p w14:paraId="2295566D">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.获取</w:t>
      </w:r>
      <w:r>
        <w:rPr>
          <w:rFonts w:hint="eastAsia" w:ascii="宋体" w:hAnsi="宋体" w:eastAsia="宋体" w:cs="宋体"/>
          <w:color w:val="auto"/>
          <w:sz w:val="24"/>
          <w:szCs w:val="24"/>
          <w:highlight w:val="none"/>
          <w:lang w:eastAsia="zh-CN"/>
        </w:rPr>
        <w:t>方式：政府采购云平台（网址：http://www.zcygov.cn）。本项目不发放纸质文件，投标人可自行在政府采购云平台（http：//www.zcygov.cn）下载招标文件（操作路径：登录政府采购云平台- 项目采购-获取招标文件-找到本项目-点击“申请获取招标文件”），电子投标文件制作需要基于政府采购云平台获取的招标文件编制。</w:t>
      </w:r>
    </w:p>
    <w:p w14:paraId="27991B0E">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3.未进行网上注册并办理 CA 认证的投标人将无法参与本次招标活动，技术支持客服：95763。 </w:t>
      </w:r>
    </w:p>
    <w:p w14:paraId="2FB928A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四、</w:t>
      </w:r>
      <w:bookmarkEnd w:id="26"/>
      <w:bookmarkEnd w:id="27"/>
      <w:bookmarkEnd w:id="28"/>
      <w:bookmarkEnd w:id="29"/>
      <w:bookmarkStart w:id="30" w:name="_Toc28359007"/>
      <w:bookmarkStart w:id="31" w:name="_Toc28359084"/>
      <w:bookmarkStart w:id="32" w:name="_Toc35393794"/>
      <w:bookmarkStart w:id="33" w:name="_Toc35393625"/>
      <w:r>
        <w:rPr>
          <w:rFonts w:hint="eastAsia" w:ascii="宋体" w:hAnsi="宋体" w:eastAsia="宋体" w:cs="宋体"/>
          <w:b/>
          <w:bCs/>
          <w:i w:val="0"/>
          <w:caps w:val="0"/>
          <w:color w:val="auto"/>
          <w:spacing w:val="0"/>
          <w:kern w:val="0"/>
          <w:sz w:val="24"/>
          <w:szCs w:val="24"/>
          <w:highlight w:val="none"/>
          <w:lang w:val="en-US" w:eastAsia="zh-CN" w:bidi="ar"/>
        </w:rPr>
        <w:t>投标文件的递交截止时间及开标时间</w:t>
      </w:r>
    </w:p>
    <w:p w14:paraId="51882F10">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.投标文件的递交截止时间</w:t>
      </w:r>
      <w:r>
        <w:rPr>
          <w:rFonts w:hint="eastAsia" w:ascii="宋体" w:hAnsi="宋体" w:eastAsia="宋体" w:cs="宋体"/>
          <w:color w:val="auto"/>
          <w:sz w:val="24"/>
          <w:szCs w:val="24"/>
          <w:highlight w:val="none"/>
          <w:lang w:eastAsia="zh-CN"/>
        </w:rPr>
        <w:t>、开标时间：2025年5月13日13时00分（北京时间）；</w:t>
      </w:r>
    </w:p>
    <w:p w14:paraId="09951ADF">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.开标</w:t>
      </w:r>
      <w:r>
        <w:rPr>
          <w:rFonts w:hint="eastAsia" w:ascii="宋体" w:hAnsi="宋体" w:eastAsia="宋体" w:cs="宋体"/>
          <w:color w:val="auto"/>
          <w:sz w:val="24"/>
          <w:szCs w:val="24"/>
          <w:highlight w:val="none"/>
          <w:lang w:eastAsia="zh-CN"/>
        </w:rPr>
        <w:t>地点：长春市二道区洋浦大街6999号凯利中心AB栋101开标二室。</w:t>
      </w:r>
    </w:p>
    <w:p w14:paraId="3CB7690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五、招标公告的发布及期限</w:t>
      </w:r>
      <w:bookmarkEnd w:id="30"/>
      <w:bookmarkEnd w:id="31"/>
      <w:bookmarkEnd w:id="32"/>
      <w:bookmarkEnd w:id="33"/>
      <w:bookmarkStart w:id="34" w:name="_Toc35393795"/>
      <w:bookmarkStart w:id="35" w:name="_Toc35393626"/>
    </w:p>
    <w:p w14:paraId="7341DA35">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公告期限：</w:t>
      </w:r>
      <w:r>
        <w:rPr>
          <w:rFonts w:hint="eastAsia" w:ascii="宋体" w:hAnsi="宋体" w:eastAsia="宋体" w:cs="宋体"/>
          <w:color w:val="auto"/>
          <w:sz w:val="24"/>
          <w:szCs w:val="24"/>
          <w:highlight w:val="none"/>
          <w:lang w:eastAsia="zh-CN"/>
        </w:rPr>
        <w:t>自本公告发布之日起5个工作日（</w:t>
      </w:r>
      <w:r>
        <w:rPr>
          <w:rFonts w:hint="eastAsia" w:ascii="宋体" w:hAnsi="宋体" w:eastAsia="宋体" w:cs="宋体"/>
          <w:color w:val="auto"/>
          <w:sz w:val="24"/>
          <w:szCs w:val="24"/>
          <w:highlight w:val="none"/>
          <w:lang w:val="en-US" w:eastAsia="zh-CN"/>
        </w:rPr>
        <w:t>即2025年4月22日至2025年4月27日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75D0378D">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本次公告在政府采购云平台 (http://www.zcygov.cn)（推送至吉林省政府采购网、中国政府采购网）上发布。</w:t>
      </w:r>
    </w:p>
    <w:p w14:paraId="5A4947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六、其他补充事宜</w:t>
      </w:r>
      <w:bookmarkEnd w:id="34"/>
      <w:bookmarkEnd w:id="35"/>
      <w:r>
        <w:rPr>
          <w:rFonts w:hint="eastAsia" w:ascii="宋体" w:hAnsi="宋体" w:eastAsia="宋体" w:cs="宋体"/>
          <w:b/>
          <w:bCs/>
          <w:i w:val="0"/>
          <w:caps w:val="0"/>
          <w:color w:val="auto"/>
          <w:spacing w:val="0"/>
          <w:kern w:val="0"/>
          <w:sz w:val="24"/>
          <w:szCs w:val="24"/>
          <w:highlight w:val="none"/>
          <w:lang w:val="en-US" w:eastAsia="zh-CN" w:bidi="ar"/>
        </w:rPr>
        <w:t>：</w:t>
      </w:r>
    </w:p>
    <w:p w14:paraId="5DA74AB1">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本次招标活动对满足国家采购政策要求的潜在投标人按照相关规定的扶持政策执行，具体详见招标文件。</w:t>
      </w:r>
    </w:p>
    <w:p w14:paraId="3CEBB67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bookmarkStart w:id="36" w:name="_Toc35393796"/>
      <w:bookmarkStart w:id="37" w:name="_Toc35393627"/>
      <w:bookmarkStart w:id="38" w:name="_Toc28359085"/>
      <w:bookmarkStart w:id="39" w:name="_Toc28359008"/>
      <w:r>
        <w:rPr>
          <w:rFonts w:hint="eastAsia" w:ascii="宋体" w:hAnsi="宋体" w:eastAsia="宋体" w:cs="宋体"/>
          <w:b/>
          <w:bCs/>
          <w:i w:val="0"/>
          <w:caps w:val="0"/>
          <w:color w:val="auto"/>
          <w:spacing w:val="0"/>
          <w:kern w:val="0"/>
          <w:sz w:val="24"/>
          <w:szCs w:val="24"/>
          <w:highlight w:val="none"/>
          <w:lang w:val="en-US" w:eastAsia="zh-CN" w:bidi="ar"/>
        </w:rPr>
        <w:t>七、联系方式</w:t>
      </w:r>
      <w:bookmarkEnd w:id="36"/>
      <w:bookmarkEnd w:id="37"/>
      <w:bookmarkEnd w:id="38"/>
      <w:bookmarkEnd w:id="39"/>
    </w:p>
    <w:p w14:paraId="1F86554C">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1.招标人名称：吉林省监狱管理局</w:t>
      </w:r>
    </w:p>
    <w:p w14:paraId="2FF7852D">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址：吉林省长春市经济技术开发区会展大街1666号</w:t>
      </w:r>
    </w:p>
    <w:p w14:paraId="25438182">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      话：0431-82750583 </w:t>
      </w:r>
    </w:p>
    <w:p w14:paraId="5EFD42BA">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2.招标代理机构：吉林省鸿盛招标投标有限公司</w:t>
      </w:r>
    </w:p>
    <w:p w14:paraId="0AA7D14C">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地      址：长春市净月开发区南四环路保利创业文化广场小区（保利香槟）一期C5幢1单元901号房</w:t>
      </w:r>
    </w:p>
    <w:p w14:paraId="2365352F">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话：0431-81860226</w:t>
      </w:r>
    </w:p>
    <w:p w14:paraId="4F8D98A9">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3.项目联系方式</w:t>
      </w:r>
    </w:p>
    <w:p w14:paraId="7A66C4CF">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项目联系人：常红颖</w:t>
      </w:r>
    </w:p>
    <w:p w14:paraId="616B715E">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话：0431-81860226</w:t>
      </w:r>
    </w:p>
    <w:p w14:paraId="3F6813A6">
      <w:pPr>
        <w:keepNext w:val="0"/>
        <w:keepLines w:val="0"/>
        <w:pageBreakBefore w:val="0"/>
        <w:widowControl w:val="0"/>
        <w:kinsoku/>
        <w:wordWrap w:val="0"/>
        <w:overflowPunct/>
        <w:topLinePunct/>
        <w:autoSpaceDE/>
        <w:autoSpaceDN/>
        <w:bidi w:val="0"/>
        <w:adjustRightInd/>
        <w:snapToGrid/>
        <w:spacing w:line="240" w:lineRule="auto"/>
        <w:ind w:left="0" w:firstLine="480" w:firstLineChars="200"/>
        <w:jc w:val="both"/>
        <w:textAlignment w:val="auto"/>
        <w:outlineLvl w:val="9"/>
        <w:rPr>
          <w:rFonts w:hint="eastAsia" w:ascii="宋体" w:hAnsi="宋体" w:eastAsia="宋体" w:cs="宋体"/>
          <w:b/>
          <w:bCs/>
          <w:color w:val="auto"/>
          <w:spacing w:val="0"/>
          <w:sz w:val="24"/>
          <w:szCs w:val="24"/>
          <w:lang w:eastAsia="zh-CN"/>
        </w:rPr>
      </w:pPr>
      <w:r>
        <w:rPr>
          <w:rFonts w:hint="eastAsia" w:ascii="宋体" w:hAnsi="宋体" w:eastAsia="宋体" w:cs="宋体"/>
          <w:color w:val="auto"/>
          <w:sz w:val="24"/>
          <w:szCs w:val="24"/>
          <w:highlight w:val="none"/>
          <w:lang w:val="en-US" w:eastAsia="zh-CN"/>
        </w:rPr>
        <w:t>招投标监督管理部门：</w:t>
      </w:r>
      <w:r>
        <w:rPr>
          <w:rFonts w:hint="eastAsia" w:ascii="宋体" w:hAnsi="宋体" w:eastAsia="宋体" w:cs="宋体"/>
          <w:color w:val="auto"/>
          <w:spacing w:val="0"/>
          <w:sz w:val="24"/>
          <w:szCs w:val="24"/>
          <w:lang w:val="zh-CN" w:eastAsia="zh-CN"/>
        </w:rPr>
        <w:t>吉林省财政厅政府采购管理处</w:t>
      </w:r>
    </w:p>
    <w:p w14:paraId="7A0DFC4F">
      <w:pPr>
        <w:pageBreakBefore w:val="0"/>
        <w:kinsoku/>
        <w:wordWrap/>
        <w:overflowPunct/>
        <w:topLinePunct w:val="0"/>
        <w:bidi w:val="0"/>
        <w:spacing w:line="240" w:lineRule="auto"/>
        <w:ind w:firstLine="480" w:firstLineChars="200"/>
        <w:outlineLvl w:val="9"/>
        <w:rPr>
          <w:rFonts w:hint="eastAsia" w:ascii="宋体" w:hAnsi="宋体" w:eastAsia="宋体" w:cs="宋体"/>
          <w:color w:val="auto"/>
          <w:sz w:val="24"/>
          <w:szCs w:val="24"/>
          <w:highlight w:val="none"/>
          <w:lang w:val="en-US" w:eastAsia="zh-CN"/>
        </w:rPr>
        <w:sectPr>
          <w:headerReference r:id="rId6" w:type="default"/>
          <w:footerReference r:id="rId7" w:type="default"/>
          <w:pgSz w:w="11905" w:h="16838"/>
          <w:pgMar w:top="1440" w:right="1134" w:bottom="1440" w:left="1440" w:header="850" w:footer="737" w:gutter="0"/>
          <w:pgBorders>
            <w:top w:val="none" w:sz="0" w:space="0"/>
            <w:left w:val="none" w:sz="0" w:space="0"/>
            <w:bottom w:val="none" w:sz="0" w:space="0"/>
            <w:right w:val="none" w:sz="0" w:space="0"/>
          </w:pgBorders>
          <w:pgNumType w:fmt="decimal" w:start="1"/>
          <w:cols w:space="0" w:num="1"/>
          <w:rtlGutter w:val="0"/>
          <w:docGrid w:type="lines" w:linePitch="499" w:charSpace="0"/>
        </w:sectPr>
      </w:pPr>
      <w:r>
        <w:rPr>
          <w:rFonts w:hint="eastAsia" w:ascii="宋体" w:hAnsi="宋体" w:eastAsia="宋体" w:cs="宋体"/>
          <w:color w:val="auto"/>
          <w:sz w:val="24"/>
          <w:szCs w:val="24"/>
          <w:highlight w:val="none"/>
          <w:lang w:val="en-US" w:eastAsia="zh-CN"/>
        </w:rPr>
        <w:t xml:space="preserve">                                       </w:t>
      </w:r>
    </w:p>
    <w:p w14:paraId="5373CCC1">
      <w:pPr>
        <w:pStyle w:val="5"/>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宋体" w:hAnsi="宋体" w:eastAsia="宋体" w:cs="宋体"/>
          <w:color w:val="auto"/>
        </w:rPr>
      </w:pPr>
      <w:bookmarkStart w:id="40" w:name="_Toc2742"/>
      <w:r>
        <w:rPr>
          <w:rFonts w:hint="eastAsia" w:ascii="宋体" w:hAnsi="宋体" w:eastAsia="宋体" w:cs="宋体"/>
          <w:color w:val="auto"/>
        </w:rPr>
        <w:t>第二章 投标人须知</w:t>
      </w:r>
      <w:bookmarkEnd w:id="2"/>
      <w:bookmarkEnd w:id="3"/>
      <w:bookmarkEnd w:id="4"/>
      <w:bookmarkEnd w:id="5"/>
      <w:bookmarkEnd w:id="6"/>
      <w:bookmarkEnd w:id="7"/>
      <w:bookmarkEnd w:id="8"/>
      <w:bookmarkEnd w:id="10"/>
      <w:bookmarkEnd w:id="11"/>
      <w:bookmarkEnd w:id="12"/>
      <w:bookmarkEnd w:id="40"/>
    </w:p>
    <w:p w14:paraId="0368B1E6">
      <w:pPr>
        <w:pageBreakBefore w:val="0"/>
        <w:kinsoku/>
        <w:wordWrap/>
        <w:overflowPunct/>
        <w:topLinePunct w:val="0"/>
        <w:autoSpaceDE w:val="0"/>
        <w:autoSpaceDN w:val="0"/>
        <w:bidi w:val="0"/>
        <w:adjustRightInd w:val="0"/>
        <w:snapToGrid w:val="0"/>
        <w:spacing w:line="240" w:lineRule="auto"/>
        <w:jc w:val="center"/>
        <w:outlineLvl w:val="1"/>
        <w:rPr>
          <w:rFonts w:hint="eastAsia" w:ascii="宋体" w:hAnsi="宋体" w:eastAsia="宋体" w:cs="宋体"/>
          <w:b/>
          <w:color w:val="auto"/>
          <w:sz w:val="30"/>
          <w:lang w:val="zh-CN"/>
        </w:rPr>
      </w:pPr>
      <w:bookmarkStart w:id="41" w:name="_Toc5941"/>
      <w:bookmarkStart w:id="42" w:name="_Toc4273"/>
      <w:bookmarkStart w:id="43" w:name="_Toc179632545"/>
      <w:bookmarkStart w:id="44" w:name="_Toc152045528"/>
      <w:bookmarkStart w:id="45" w:name="_Toc31146"/>
      <w:bookmarkStart w:id="46" w:name="_Toc453756894"/>
      <w:bookmarkStart w:id="47" w:name="_Toc152042304"/>
      <w:bookmarkStart w:id="48" w:name="_Toc247085688"/>
      <w:bookmarkStart w:id="49" w:name="_Toc246996917"/>
      <w:bookmarkStart w:id="50" w:name="_Toc246996174"/>
      <w:bookmarkStart w:id="51" w:name="_Toc144974496"/>
      <w:r>
        <w:rPr>
          <w:rFonts w:hint="eastAsia" w:ascii="宋体" w:hAnsi="宋体" w:eastAsia="宋体" w:cs="宋体"/>
          <w:b/>
          <w:color w:val="auto"/>
          <w:sz w:val="30"/>
          <w:lang w:val="zh-CN"/>
        </w:rPr>
        <w:t>投标须知前附表</w:t>
      </w:r>
      <w:bookmarkEnd w:id="41"/>
      <w:bookmarkEnd w:id="42"/>
    </w:p>
    <w:p w14:paraId="1799F162">
      <w:pPr>
        <w:pageBreakBefore w:val="0"/>
        <w:kinsoku/>
        <w:wordWrap/>
        <w:overflowPunct/>
        <w:topLinePunct w:val="0"/>
        <w:autoSpaceDE w:val="0"/>
        <w:autoSpaceDN w:val="0"/>
        <w:bidi w:val="0"/>
        <w:adjustRightInd w:val="0"/>
        <w:snapToGrid w:val="0"/>
        <w:spacing w:line="240" w:lineRule="auto"/>
        <w:ind w:firstLine="482"/>
        <w:jc w:val="center"/>
        <w:outlineLvl w:val="9"/>
        <w:rPr>
          <w:rFonts w:hint="eastAsia" w:ascii="宋体" w:hAnsi="宋体" w:eastAsia="宋体" w:cs="宋体"/>
          <w:color w:val="auto"/>
          <w:sz w:val="24"/>
        </w:rPr>
      </w:pPr>
      <w:r>
        <w:rPr>
          <w:rFonts w:hint="eastAsia" w:ascii="宋体" w:hAnsi="宋体" w:eastAsia="宋体" w:cs="宋体"/>
          <w:color w:val="auto"/>
          <w:sz w:val="24"/>
        </w:rPr>
        <w:t>本表的内容是对投标人须知的具体补充，如有矛盾，以本表为准。</w:t>
      </w:r>
    </w:p>
    <w:bookmarkEnd w:id="43"/>
    <w:bookmarkEnd w:id="44"/>
    <w:bookmarkEnd w:id="45"/>
    <w:bookmarkEnd w:id="46"/>
    <w:bookmarkEnd w:id="47"/>
    <w:bookmarkEnd w:id="48"/>
    <w:bookmarkEnd w:id="49"/>
    <w:bookmarkEnd w:id="50"/>
    <w:bookmarkEnd w:id="51"/>
    <w:tbl>
      <w:tblPr>
        <w:tblStyle w:val="22"/>
        <w:tblW w:w="92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87"/>
        <w:gridCol w:w="1636"/>
        <w:gridCol w:w="6651"/>
      </w:tblGrid>
      <w:tr w14:paraId="42B15A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blHeader/>
          <w:jc w:val="center"/>
        </w:trPr>
        <w:tc>
          <w:tcPr>
            <w:tcW w:w="2623" w:type="dxa"/>
            <w:gridSpan w:val="2"/>
            <w:tcBorders>
              <w:top w:val="single" w:color="auto" w:sz="12" w:space="0"/>
            </w:tcBorders>
            <w:noWrap w:val="0"/>
            <w:vAlign w:val="center"/>
          </w:tcPr>
          <w:p w14:paraId="60D5EF5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条款号</w:t>
            </w:r>
          </w:p>
        </w:tc>
        <w:tc>
          <w:tcPr>
            <w:tcW w:w="6651" w:type="dxa"/>
            <w:tcBorders>
              <w:top w:val="single" w:color="auto" w:sz="12" w:space="0"/>
            </w:tcBorders>
            <w:noWrap w:val="0"/>
            <w:vAlign w:val="center"/>
          </w:tcPr>
          <w:p w14:paraId="20D9A91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内容</w:t>
            </w:r>
          </w:p>
        </w:tc>
      </w:tr>
      <w:tr w14:paraId="20B980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0AFF78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2.1</w:t>
            </w:r>
          </w:p>
        </w:tc>
        <w:tc>
          <w:tcPr>
            <w:tcW w:w="1636" w:type="dxa"/>
            <w:tcBorders>
              <w:left w:val="single" w:color="auto" w:sz="4" w:space="0"/>
            </w:tcBorders>
            <w:noWrap w:val="0"/>
            <w:vAlign w:val="center"/>
          </w:tcPr>
          <w:p w14:paraId="13490CC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招标人</w:t>
            </w:r>
          </w:p>
        </w:tc>
        <w:tc>
          <w:tcPr>
            <w:tcW w:w="6651" w:type="dxa"/>
            <w:noWrap w:val="0"/>
            <w:vAlign w:val="center"/>
          </w:tcPr>
          <w:p w14:paraId="7D83FB73">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吉林省监狱管理局</w:t>
            </w:r>
          </w:p>
          <w:p w14:paraId="6F4178A7">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地址：吉林省长春市经济技术开发区会展大街1666号</w:t>
            </w:r>
          </w:p>
          <w:p w14:paraId="54E56731">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 xml:space="preserve">电话：0431-82750583 </w:t>
            </w:r>
          </w:p>
        </w:tc>
      </w:tr>
      <w:tr w14:paraId="25281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F5D1A4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2.2</w:t>
            </w:r>
          </w:p>
        </w:tc>
        <w:tc>
          <w:tcPr>
            <w:tcW w:w="1636" w:type="dxa"/>
            <w:tcBorders>
              <w:left w:val="single" w:color="auto" w:sz="4" w:space="0"/>
            </w:tcBorders>
            <w:noWrap w:val="0"/>
            <w:vAlign w:val="center"/>
          </w:tcPr>
          <w:p w14:paraId="07C1C34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招标代理机构</w:t>
            </w:r>
          </w:p>
        </w:tc>
        <w:tc>
          <w:tcPr>
            <w:tcW w:w="6651" w:type="dxa"/>
            <w:noWrap w:val="0"/>
            <w:vAlign w:val="center"/>
          </w:tcPr>
          <w:p w14:paraId="30E518C3">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吉林省鸿盛招标投标有限公司</w:t>
            </w:r>
          </w:p>
          <w:p w14:paraId="0CF36447">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地址：长春市净月开发区南四环路保利创业文化广场小区（保利香槟）一期C5幢1单元901号房</w:t>
            </w:r>
          </w:p>
          <w:p w14:paraId="65BE60EC">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val="en-US" w:eastAsia="zh-CN"/>
              </w:rPr>
              <w:t>电话：0431-81860226</w:t>
            </w:r>
          </w:p>
        </w:tc>
      </w:tr>
      <w:tr w14:paraId="755947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A65537E">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3.1</w:t>
            </w:r>
          </w:p>
        </w:tc>
        <w:tc>
          <w:tcPr>
            <w:tcW w:w="1636" w:type="dxa"/>
            <w:tcBorders>
              <w:left w:val="single" w:color="auto" w:sz="4" w:space="0"/>
              <w:right w:val="single" w:color="auto" w:sz="4" w:space="0"/>
            </w:tcBorders>
            <w:noWrap w:val="0"/>
            <w:vAlign w:val="center"/>
          </w:tcPr>
          <w:p w14:paraId="2BCF6FE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*投标人资格</w:t>
            </w:r>
          </w:p>
          <w:p w14:paraId="074725C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要求</w:t>
            </w:r>
          </w:p>
        </w:tc>
        <w:tc>
          <w:tcPr>
            <w:tcW w:w="6651" w:type="dxa"/>
            <w:tcBorders>
              <w:left w:val="single" w:color="auto" w:sz="4" w:space="0"/>
            </w:tcBorders>
            <w:noWrap w:val="0"/>
            <w:vAlign w:val="top"/>
          </w:tcPr>
          <w:p w14:paraId="75BC92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1.所有潜在投标人须符合下列规定：</w:t>
            </w:r>
          </w:p>
          <w:p w14:paraId="17B6BE8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满足《中华人民共和国政府采购法》第二十二条规定：</w:t>
            </w:r>
          </w:p>
          <w:p w14:paraId="7A46D4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（1）具有独立承担民事责任的能力；</w:t>
            </w:r>
          </w:p>
          <w:p w14:paraId="556B1D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（2）具有良好的商业信誉和健全的财务会计制度；</w:t>
            </w:r>
          </w:p>
          <w:p w14:paraId="3066B3B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（3）具有履行合同所必需的设备和专业技术能力；</w:t>
            </w:r>
          </w:p>
          <w:p w14:paraId="2417F6F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（4）有依法缴纳税收和社会保障资金的良好记录；</w:t>
            </w:r>
          </w:p>
          <w:p w14:paraId="2631636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（5）参加政府采购活动前三年内，在经营活动中没有重大违法记录；</w:t>
            </w:r>
          </w:p>
          <w:p w14:paraId="44F1677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（6）法律、行政法规规定的其他条件：第一标段依据《财政部 司法部关于政府采购支持监狱企业发展有关问题的通知》（财库[2014]68号），第一标段为专门面向监狱企业的潜在投标人；第二标段依据《政府采购促进中小企业发展管理办法》（财库[2020]46号）及《关于进一步加大政府采购支持中小企业力度的通知》（财库[2022]19号）的规定，第二标段为专门面向中小微企业的潜在投标人。</w:t>
            </w:r>
          </w:p>
          <w:p w14:paraId="1F3AA6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2.对潜在投标人的特定资格要求：</w:t>
            </w:r>
          </w:p>
          <w:p w14:paraId="6024A3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参与本项目的所有潜在投标人须为公安部《人民警察服装生产企业目录》（2024版）或司法部《司法行政系统警察服装生产企业目录》（司计字[2015]128号）中的生产企业。</w:t>
            </w:r>
          </w:p>
          <w:p w14:paraId="4BACF97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3.本项目不接受被政府列入取消投标资格期限内的企业或个人参加投标。</w:t>
            </w:r>
          </w:p>
          <w:p w14:paraId="7C575C5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rPr>
            </w:pPr>
            <w:r>
              <w:rPr>
                <w:rFonts w:hint="eastAsia" w:ascii="宋体" w:hAnsi="宋体" w:eastAsia="宋体" w:cs="宋体"/>
                <w:i w:val="0"/>
                <w:iCs w:val="0"/>
                <w:color w:val="auto"/>
                <w:spacing w:val="6"/>
                <w:sz w:val="21"/>
                <w:szCs w:val="21"/>
                <w:lang w:val="en-US" w:eastAsia="zh-CN"/>
              </w:rPr>
              <w:t>4.与招标人存在利害关系可能影响招标公正性的法人、其他组织或者个人，不得参加投标。单位负责人为同一人或者存在控股、管理关系的不同单位，不得参加同一标段投标或者未划分标段的同一采购项目投标。违反上述规定的，相关投标均无效。</w:t>
            </w:r>
          </w:p>
        </w:tc>
      </w:tr>
      <w:tr w14:paraId="7FD92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2" w:hRule="atLeast"/>
          <w:jc w:val="center"/>
        </w:trPr>
        <w:tc>
          <w:tcPr>
            <w:tcW w:w="987" w:type="dxa"/>
            <w:tcBorders>
              <w:right w:val="single" w:color="auto" w:sz="4" w:space="0"/>
            </w:tcBorders>
            <w:noWrap w:val="0"/>
            <w:vAlign w:val="center"/>
          </w:tcPr>
          <w:p w14:paraId="0A03D0B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3.2</w:t>
            </w:r>
          </w:p>
        </w:tc>
        <w:tc>
          <w:tcPr>
            <w:tcW w:w="1636" w:type="dxa"/>
            <w:tcBorders>
              <w:left w:val="single" w:color="auto" w:sz="4" w:space="0"/>
              <w:right w:val="single" w:color="auto" w:sz="4" w:space="0"/>
            </w:tcBorders>
            <w:noWrap w:val="0"/>
            <w:vAlign w:val="center"/>
          </w:tcPr>
          <w:p w14:paraId="1AC9810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招标文件的</w:t>
            </w:r>
          </w:p>
          <w:p w14:paraId="028584D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获取</w:t>
            </w:r>
          </w:p>
        </w:tc>
        <w:tc>
          <w:tcPr>
            <w:tcW w:w="6651" w:type="dxa"/>
            <w:tcBorders>
              <w:left w:val="single" w:color="auto" w:sz="4" w:space="0"/>
            </w:tcBorders>
            <w:noWrap w:val="0"/>
            <w:vAlign w:val="top"/>
          </w:tcPr>
          <w:p w14:paraId="0A0AF6B6">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pacing w:val="6"/>
                <w:sz w:val="21"/>
                <w:szCs w:val="21"/>
                <w:lang w:eastAsia="zh-CN"/>
              </w:rPr>
            </w:pPr>
            <w:r>
              <w:rPr>
                <w:rFonts w:hint="eastAsia" w:ascii="宋体" w:hAnsi="宋体" w:eastAsia="宋体" w:cs="宋体"/>
                <w:i w:val="0"/>
                <w:iCs w:val="0"/>
                <w:color w:val="auto"/>
                <w:spacing w:val="6"/>
                <w:sz w:val="21"/>
                <w:szCs w:val="21"/>
                <w:lang w:eastAsia="zh-CN"/>
              </w:rPr>
              <w:t>政府采购云平台（网址：http://www.zcygov.cn）。本项目不发放纸质文件，投标人可自行在政府采购云平台（http：//www.zcygov.cn）下载招标文件（操作路径：登录政府采购云平台-项目采购-获取招标文件-找到本项目-点击“申请获取招标文件”），电子投标文件制作需要基于政府采购云平台获取的招标文件编制。</w:t>
            </w:r>
          </w:p>
        </w:tc>
      </w:tr>
      <w:tr w14:paraId="581923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47A14B7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5</w:t>
            </w:r>
          </w:p>
        </w:tc>
        <w:tc>
          <w:tcPr>
            <w:tcW w:w="1636" w:type="dxa"/>
            <w:tcBorders>
              <w:left w:val="single" w:color="auto" w:sz="4" w:space="0"/>
              <w:right w:val="single" w:color="auto" w:sz="4" w:space="0"/>
            </w:tcBorders>
            <w:noWrap w:val="0"/>
            <w:vAlign w:val="center"/>
          </w:tcPr>
          <w:p w14:paraId="7734960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招标范围</w:t>
            </w:r>
          </w:p>
        </w:tc>
        <w:tc>
          <w:tcPr>
            <w:tcW w:w="6651" w:type="dxa"/>
            <w:tcBorders>
              <w:left w:val="single" w:color="auto" w:sz="4" w:space="0"/>
            </w:tcBorders>
            <w:noWrap w:val="0"/>
            <w:vAlign w:val="center"/>
          </w:tcPr>
          <w:p w14:paraId="3DF8DCCD">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采购警察男春秋常服等。</w:t>
            </w:r>
          </w:p>
        </w:tc>
      </w:tr>
      <w:tr w14:paraId="44F69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3832DF2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8</w:t>
            </w:r>
          </w:p>
        </w:tc>
        <w:tc>
          <w:tcPr>
            <w:tcW w:w="1636" w:type="dxa"/>
            <w:tcBorders>
              <w:left w:val="single" w:color="auto" w:sz="4" w:space="0"/>
              <w:right w:val="single" w:color="auto" w:sz="4" w:space="0"/>
            </w:tcBorders>
            <w:noWrap w:val="0"/>
            <w:vAlign w:val="center"/>
          </w:tcPr>
          <w:p w14:paraId="27673F9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*构成投标文件的其他材料</w:t>
            </w:r>
          </w:p>
        </w:tc>
        <w:tc>
          <w:tcPr>
            <w:tcW w:w="6651" w:type="dxa"/>
            <w:tcBorders>
              <w:left w:val="single" w:color="auto" w:sz="4" w:space="0"/>
            </w:tcBorders>
            <w:noWrap w:val="0"/>
            <w:vAlign w:val="center"/>
          </w:tcPr>
          <w:p w14:paraId="29482BB9">
            <w:pPr>
              <w:keepNext w:val="0"/>
              <w:keepLines w:val="0"/>
              <w:pageBreakBefore w:val="0"/>
              <w:widowControl w:val="0"/>
              <w:kinsoku/>
              <w:wordWrap/>
              <w:overflowPunct/>
              <w:topLinePunct w:val="0"/>
              <w:autoSpaceDE/>
              <w:autoSpaceDN/>
              <w:bidi w:val="0"/>
              <w:adjustRightInd w:val="0"/>
              <w:snapToGrid/>
              <w:spacing w:line="240" w:lineRule="auto"/>
              <w:jc w:val="both"/>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详见招标文件及评标办法中提及的其他证明材料。</w:t>
            </w:r>
          </w:p>
        </w:tc>
      </w:tr>
      <w:tr w14:paraId="288B4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6" w:hRule="atLeast"/>
          <w:jc w:val="center"/>
        </w:trPr>
        <w:tc>
          <w:tcPr>
            <w:tcW w:w="987" w:type="dxa"/>
            <w:vMerge w:val="restart"/>
            <w:tcBorders>
              <w:top w:val="single" w:color="auto" w:sz="4" w:space="0"/>
              <w:right w:val="single" w:color="auto" w:sz="4" w:space="0"/>
            </w:tcBorders>
            <w:noWrap w:val="0"/>
            <w:vAlign w:val="center"/>
          </w:tcPr>
          <w:p w14:paraId="7D96CCC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10</w:t>
            </w:r>
          </w:p>
        </w:tc>
        <w:tc>
          <w:tcPr>
            <w:tcW w:w="1636" w:type="dxa"/>
            <w:tcBorders>
              <w:top w:val="single" w:color="auto" w:sz="4" w:space="0"/>
              <w:left w:val="single" w:color="auto" w:sz="4" w:space="0"/>
            </w:tcBorders>
            <w:noWrap w:val="0"/>
            <w:vAlign w:val="center"/>
          </w:tcPr>
          <w:p w14:paraId="5C1226C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*投标保证金</w:t>
            </w:r>
          </w:p>
          <w:p w14:paraId="71FD6ECE">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金额</w:t>
            </w:r>
          </w:p>
        </w:tc>
        <w:tc>
          <w:tcPr>
            <w:tcW w:w="6651" w:type="dxa"/>
            <w:tcBorders>
              <w:top w:val="single" w:color="auto" w:sz="4" w:space="0"/>
            </w:tcBorders>
            <w:noWrap w:val="0"/>
            <w:vAlign w:val="center"/>
          </w:tcPr>
          <w:p w14:paraId="5387B44C">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rPr>
              <w:t>人民币</w:t>
            </w:r>
            <w:r>
              <w:rPr>
                <w:rFonts w:hint="eastAsia" w:ascii="宋体" w:hAnsi="宋体" w:eastAsia="宋体" w:cs="宋体"/>
                <w:i w:val="0"/>
                <w:iCs w:val="0"/>
                <w:color w:val="auto"/>
                <w:sz w:val="21"/>
                <w:szCs w:val="21"/>
                <w:lang w:val="en-US" w:eastAsia="zh-CN"/>
              </w:rPr>
              <w:t>伍万</w:t>
            </w:r>
            <w:r>
              <w:rPr>
                <w:rFonts w:hint="eastAsia" w:ascii="宋体" w:hAnsi="宋体" w:eastAsia="宋体" w:cs="宋体"/>
                <w:i w:val="0"/>
                <w:iCs w:val="0"/>
                <w:color w:val="auto"/>
                <w:sz w:val="21"/>
                <w:szCs w:val="21"/>
              </w:rPr>
              <w:t>元</w:t>
            </w: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¥50000.00元</w:t>
            </w:r>
            <w:r>
              <w:rPr>
                <w:rFonts w:hint="eastAsia" w:ascii="宋体" w:hAnsi="宋体" w:eastAsia="宋体" w:cs="宋体"/>
                <w:i w:val="0"/>
                <w:iCs w:val="0"/>
                <w:color w:val="auto"/>
                <w:sz w:val="21"/>
                <w:szCs w:val="21"/>
                <w:lang w:eastAsia="zh-CN"/>
              </w:rPr>
              <w:t>）。</w:t>
            </w:r>
          </w:p>
        </w:tc>
      </w:tr>
      <w:tr w14:paraId="4A4258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vMerge w:val="continue"/>
            <w:tcBorders>
              <w:right w:val="single" w:color="auto" w:sz="4" w:space="0"/>
            </w:tcBorders>
            <w:noWrap w:val="0"/>
            <w:vAlign w:val="center"/>
          </w:tcPr>
          <w:p w14:paraId="026CB11F">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p>
        </w:tc>
        <w:tc>
          <w:tcPr>
            <w:tcW w:w="1636" w:type="dxa"/>
            <w:tcBorders>
              <w:top w:val="single" w:color="auto" w:sz="4" w:space="0"/>
              <w:left w:val="single" w:color="auto" w:sz="4" w:space="0"/>
            </w:tcBorders>
            <w:noWrap w:val="0"/>
            <w:vAlign w:val="center"/>
          </w:tcPr>
          <w:p w14:paraId="43AA34F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*投标保证金</w:t>
            </w:r>
          </w:p>
          <w:p w14:paraId="7F950323">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形式</w:t>
            </w:r>
          </w:p>
        </w:tc>
        <w:tc>
          <w:tcPr>
            <w:tcW w:w="6651" w:type="dxa"/>
            <w:tcBorders>
              <w:top w:val="single" w:color="auto" w:sz="4" w:space="0"/>
            </w:tcBorders>
            <w:noWrap w:val="0"/>
            <w:vAlign w:val="center"/>
          </w:tcPr>
          <w:p w14:paraId="423EF65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投标保证金形式：投标人应在投标截止时间前将投标保证金采用</w:t>
            </w:r>
            <w:r>
              <w:rPr>
                <w:rFonts w:hint="eastAsia" w:ascii="宋体" w:hAnsi="宋体" w:eastAsia="宋体" w:cs="宋体"/>
                <w:i w:val="0"/>
                <w:iCs w:val="0"/>
                <w:color w:val="auto"/>
                <w:sz w:val="21"/>
                <w:szCs w:val="21"/>
                <w:highlight w:val="none"/>
                <w:lang w:eastAsia="zh-CN"/>
              </w:rPr>
              <w:t>银行出具的现金支票、保兑支票、银行汇票，银行或专业担保公司出具的保函，以转账、电汇或支票形式提交的投标保证金应当从投标人的基本账户转出。</w:t>
            </w:r>
          </w:p>
          <w:p w14:paraId="4A654A0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投标保证金账户：</w:t>
            </w:r>
          </w:p>
          <w:p w14:paraId="1CE69E6E">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户名：吉林省鸿盛招标投标有限公司</w:t>
            </w:r>
          </w:p>
          <w:p w14:paraId="16F60846">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账号：581170100100004181</w:t>
            </w:r>
          </w:p>
          <w:p w14:paraId="724F7A9F">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开户银行：兴业银行长春净月支行</w:t>
            </w:r>
          </w:p>
          <w:p w14:paraId="787BF11B">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lang w:val="zh-CN"/>
              </w:rPr>
            </w:pPr>
            <w:r>
              <w:rPr>
                <w:rFonts w:hint="eastAsia" w:ascii="宋体" w:hAnsi="宋体" w:eastAsia="宋体" w:cs="宋体"/>
                <w:i w:val="0"/>
                <w:iCs w:val="0"/>
                <w:color w:val="auto"/>
                <w:sz w:val="21"/>
                <w:szCs w:val="21"/>
                <w:highlight w:val="none"/>
              </w:rPr>
              <w:t>保证金的缴纳以到账时间为准</w:t>
            </w:r>
            <w:r>
              <w:rPr>
                <w:rFonts w:hint="eastAsia" w:ascii="宋体" w:hAnsi="宋体" w:eastAsia="宋体" w:cs="宋体"/>
                <w:i w:val="0"/>
                <w:iCs w:val="0"/>
                <w:color w:val="auto"/>
                <w:sz w:val="21"/>
                <w:szCs w:val="21"/>
                <w:highlight w:val="none"/>
                <w:lang w:eastAsia="zh-CN"/>
              </w:rPr>
              <w:t>，投标保证金截止时间同投标截止时间（开标时间）</w:t>
            </w:r>
            <w:r>
              <w:rPr>
                <w:rFonts w:hint="eastAsia" w:ascii="宋体" w:hAnsi="宋体" w:eastAsia="宋体" w:cs="宋体"/>
                <w:i w:val="0"/>
                <w:iCs w:val="0"/>
                <w:color w:val="auto"/>
                <w:sz w:val="21"/>
                <w:szCs w:val="21"/>
                <w:highlight w:val="none"/>
              </w:rPr>
              <w:t>。</w:t>
            </w:r>
          </w:p>
          <w:p w14:paraId="1B13B7B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要求：（1）投标人提供基本账户开户许可证复印件及投标保证金缴纳凭证复印件装入到投标文件中。</w:t>
            </w:r>
          </w:p>
          <w:p w14:paraId="05D9EFF9">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（2）以保函形式提交投标保证金的，须在开标截止时间的前2小时将保函电子版扫描件提交到招标代理机构邮箱（1269829074@qq.com），原件递交至招标代理机构，复印件装入投标文件中。</w:t>
            </w:r>
          </w:p>
          <w:p w14:paraId="11044CE6">
            <w:pPr>
              <w:keepNext w:val="0"/>
              <w:keepLines w:val="0"/>
              <w:pageBreakBefore w:val="0"/>
              <w:widowControl w:val="0"/>
              <w:kinsoku/>
              <w:wordWrap/>
              <w:overflowPunct/>
              <w:topLinePunct w:val="0"/>
              <w:autoSpaceDE/>
              <w:autoSpaceDN/>
              <w:bidi w:val="0"/>
              <w:snapToGrid/>
              <w:spacing w:line="240" w:lineRule="auto"/>
              <w:ind w:firstLine="420" w:firstLineChars="200"/>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en-US" w:eastAsia="zh-CN"/>
              </w:rPr>
              <w:t>投标保证金是投标文件的组成部分，未按要求提交的，视为放弃投标，招标人将不接受其投标文件。</w:t>
            </w:r>
            <w:r>
              <w:rPr>
                <w:rFonts w:hint="eastAsia" w:ascii="宋体" w:hAnsi="宋体" w:eastAsia="宋体" w:cs="宋体"/>
                <w:b/>
                <w:bCs/>
                <w:i w:val="0"/>
                <w:iCs w:val="0"/>
                <w:color w:val="auto"/>
                <w:sz w:val="21"/>
                <w:szCs w:val="21"/>
                <w:highlight w:val="none"/>
                <w:lang w:val="en-US" w:eastAsia="zh-CN"/>
              </w:rPr>
              <w:t>投标人应在银行进账单明确用途、投标项目简称+标段、投标单位、联系人及电话，以便核对查实。</w:t>
            </w:r>
          </w:p>
        </w:tc>
      </w:tr>
      <w:tr w14:paraId="6CF66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BBA732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11.1</w:t>
            </w:r>
          </w:p>
        </w:tc>
        <w:tc>
          <w:tcPr>
            <w:tcW w:w="1636" w:type="dxa"/>
            <w:tcBorders>
              <w:left w:val="single" w:color="auto" w:sz="4" w:space="0"/>
            </w:tcBorders>
            <w:noWrap w:val="0"/>
            <w:vAlign w:val="center"/>
          </w:tcPr>
          <w:p w14:paraId="547E8D99">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投标有效期</w:t>
            </w:r>
          </w:p>
        </w:tc>
        <w:tc>
          <w:tcPr>
            <w:tcW w:w="6651" w:type="dxa"/>
            <w:noWrap w:val="0"/>
            <w:vAlign w:val="center"/>
          </w:tcPr>
          <w:p w14:paraId="3F182B7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投标有效期：90天。</w:t>
            </w:r>
          </w:p>
          <w:p w14:paraId="50D3477A">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投标保证金有效期应与投标有效期一致。</w:t>
            </w:r>
          </w:p>
        </w:tc>
      </w:tr>
      <w:tr w14:paraId="1F106A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588591E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12.1</w:t>
            </w:r>
          </w:p>
        </w:tc>
        <w:tc>
          <w:tcPr>
            <w:tcW w:w="1636" w:type="dxa"/>
            <w:tcBorders>
              <w:left w:val="single" w:color="auto" w:sz="4" w:space="0"/>
            </w:tcBorders>
            <w:noWrap w:val="0"/>
            <w:vAlign w:val="center"/>
          </w:tcPr>
          <w:p w14:paraId="440C5029">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*投标文件的格式</w:t>
            </w:r>
          </w:p>
        </w:tc>
        <w:tc>
          <w:tcPr>
            <w:tcW w:w="6651" w:type="dxa"/>
            <w:noWrap w:val="0"/>
            <w:vAlign w:val="center"/>
          </w:tcPr>
          <w:p w14:paraId="6066CEAC">
            <w:pPr>
              <w:pStyle w:val="2"/>
              <w:keepNext w:val="0"/>
              <w:keepLines w:val="0"/>
              <w:pageBreakBefore w:val="0"/>
              <w:widowControl w:val="0"/>
              <w:numPr>
                <w:ilvl w:val="0"/>
                <w:numId w:val="2"/>
              </w:numPr>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投标文件每页均需加盖公章；</w:t>
            </w:r>
          </w:p>
          <w:p w14:paraId="6EB5E3E0">
            <w:pPr>
              <w:pStyle w:val="2"/>
              <w:keepNext w:val="0"/>
              <w:keepLines w:val="0"/>
              <w:pageBreakBefore w:val="0"/>
              <w:widowControl w:val="0"/>
              <w:numPr>
                <w:ilvl w:val="0"/>
                <w:numId w:val="2"/>
              </w:numPr>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i w:val="0"/>
                <w:iCs w:val="0"/>
                <w:color w:val="auto"/>
                <w:sz w:val="21"/>
                <w:szCs w:val="21"/>
                <w:lang w:val="en-US" w:eastAsia="zh-CN"/>
              </w:rPr>
              <w:t>投标文件</w:t>
            </w:r>
            <w:r>
              <w:rPr>
                <w:rFonts w:hint="eastAsia" w:ascii="宋体" w:hAnsi="宋体" w:eastAsia="宋体" w:cs="宋体"/>
                <w:b w:val="0"/>
                <w:bCs w:val="0"/>
                <w:i w:val="0"/>
                <w:iCs w:val="0"/>
                <w:color w:val="auto"/>
                <w:sz w:val="21"/>
                <w:szCs w:val="21"/>
                <w:lang w:val="en-US" w:eastAsia="zh-CN"/>
              </w:rPr>
              <w:t>需相关人员（如法人、授权人）签字或盖名章或盖公章的需要签字或盖名章或盖公章；</w:t>
            </w:r>
          </w:p>
          <w:p w14:paraId="70FC4122">
            <w:pPr>
              <w:pStyle w:val="2"/>
              <w:keepNext w:val="0"/>
              <w:keepLines w:val="0"/>
              <w:pageBreakBefore w:val="0"/>
              <w:widowControl w:val="0"/>
              <w:numPr>
                <w:ilvl w:val="0"/>
                <w:numId w:val="2"/>
              </w:numPr>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ascii="宋体" w:hAnsi="宋体" w:eastAsia="宋体" w:cs="宋体"/>
                <w:b w:val="0"/>
                <w:bCs w:val="0"/>
                <w:i w:val="0"/>
                <w:iCs w:val="0"/>
                <w:color w:val="auto"/>
                <w:kern w:val="2"/>
                <w:sz w:val="21"/>
                <w:szCs w:val="21"/>
                <w:lang w:val="en-US" w:eastAsia="zh-CN" w:bidi="ar-SA"/>
              </w:rPr>
            </w:pPr>
            <w:r>
              <w:rPr>
                <w:rFonts w:hint="eastAsia" w:ascii="宋体" w:hAnsi="宋体" w:eastAsia="宋体" w:cs="宋体"/>
                <w:b w:val="0"/>
                <w:bCs w:val="0"/>
                <w:i w:val="0"/>
                <w:iCs w:val="0"/>
                <w:color w:val="auto"/>
                <w:sz w:val="21"/>
                <w:szCs w:val="21"/>
              </w:rPr>
              <w:t>未经有效签署</w:t>
            </w:r>
            <w:r>
              <w:rPr>
                <w:rFonts w:hint="eastAsia" w:ascii="宋体" w:hAnsi="宋体" w:eastAsia="宋体" w:cs="宋体"/>
                <w:b w:val="0"/>
                <w:bCs w:val="0"/>
                <w:i w:val="0"/>
                <w:iCs w:val="0"/>
                <w:color w:val="auto"/>
                <w:sz w:val="21"/>
                <w:szCs w:val="21"/>
                <w:lang w:eastAsia="zh-CN"/>
              </w:rPr>
              <w:t>（含</w:t>
            </w:r>
            <w:r>
              <w:rPr>
                <w:rFonts w:hint="eastAsia" w:ascii="宋体" w:hAnsi="宋体" w:eastAsia="宋体" w:cs="宋体"/>
                <w:b w:val="0"/>
                <w:bCs w:val="0"/>
                <w:i w:val="0"/>
                <w:iCs w:val="0"/>
                <w:color w:val="auto"/>
                <w:sz w:val="21"/>
                <w:szCs w:val="21"/>
                <w:lang w:val="en-US" w:eastAsia="zh-CN"/>
              </w:rPr>
              <w:t>签字或盖名章或盖公章</w:t>
            </w:r>
            <w:r>
              <w:rPr>
                <w:rFonts w:hint="eastAsia" w:ascii="宋体" w:hAnsi="宋体" w:eastAsia="宋体" w:cs="宋体"/>
                <w:b w:val="0"/>
                <w:bCs w:val="0"/>
                <w:i w:val="0"/>
                <w:iCs w:val="0"/>
                <w:color w:val="auto"/>
                <w:sz w:val="21"/>
                <w:szCs w:val="21"/>
                <w:lang w:eastAsia="zh-CN"/>
              </w:rPr>
              <w:t>）</w:t>
            </w:r>
            <w:r>
              <w:rPr>
                <w:rFonts w:hint="eastAsia" w:ascii="宋体" w:hAnsi="宋体" w:eastAsia="宋体" w:cs="宋体"/>
                <w:b w:val="0"/>
                <w:bCs w:val="0"/>
                <w:i w:val="0"/>
                <w:iCs w:val="0"/>
                <w:color w:val="auto"/>
                <w:sz w:val="21"/>
                <w:szCs w:val="21"/>
              </w:rPr>
              <w:t>的投标文件将被作为非响应性投标而被拒绝。</w:t>
            </w:r>
          </w:p>
          <w:p w14:paraId="30E6F9DB">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b w:val="0"/>
                <w:bCs w:val="0"/>
                <w:i w:val="0"/>
                <w:iCs w:val="0"/>
                <w:color w:val="auto"/>
                <w:kern w:val="2"/>
                <w:sz w:val="21"/>
                <w:szCs w:val="21"/>
                <w:lang w:val="en-US" w:eastAsia="zh-CN" w:bidi="ar-SA"/>
              </w:rPr>
              <w:t>4.投标文件中如有修改错漏处，应在修改处加盖公章。</w:t>
            </w:r>
          </w:p>
        </w:tc>
      </w:tr>
      <w:tr w14:paraId="798EF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F3B75B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12.4</w:t>
            </w:r>
          </w:p>
        </w:tc>
        <w:tc>
          <w:tcPr>
            <w:tcW w:w="1636" w:type="dxa"/>
            <w:tcBorders>
              <w:left w:val="single" w:color="auto" w:sz="4" w:space="0"/>
            </w:tcBorders>
            <w:noWrap w:val="0"/>
            <w:vAlign w:val="center"/>
          </w:tcPr>
          <w:p w14:paraId="18FD750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投标方式及</w:t>
            </w:r>
            <w:r>
              <w:rPr>
                <w:rFonts w:hint="eastAsia" w:ascii="宋体" w:hAnsi="宋体" w:eastAsia="宋体" w:cs="宋体"/>
                <w:i w:val="0"/>
                <w:iCs w:val="0"/>
                <w:color w:val="auto"/>
                <w:sz w:val="21"/>
                <w:szCs w:val="21"/>
              </w:rPr>
              <w:t>投标文件份数</w:t>
            </w:r>
          </w:p>
        </w:tc>
        <w:tc>
          <w:tcPr>
            <w:tcW w:w="6651" w:type="dxa"/>
            <w:noWrap w:val="0"/>
            <w:vAlign w:val="center"/>
          </w:tcPr>
          <w:p w14:paraId="75E28DC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本项目在政府采购云平台（网址</w:t>
            </w: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color w:val="auto"/>
                <w:sz w:val="21"/>
                <w:szCs w:val="21"/>
                <w:highlight w:val="none"/>
                <w:lang w:eastAsia="zh-CN"/>
              </w:rPr>
              <w:t>http://www.zcygov.cn</w:t>
            </w:r>
            <w:r>
              <w:rPr>
                <w:rFonts w:hint="eastAsia" w:ascii="宋体" w:hAnsi="宋体" w:eastAsia="宋体" w:cs="宋体"/>
                <w:i w:val="0"/>
                <w:iCs w:val="0"/>
                <w:color w:val="auto"/>
                <w:sz w:val="21"/>
                <w:szCs w:val="21"/>
                <w:lang w:eastAsia="zh-CN"/>
              </w:rPr>
              <w:t>）上进行招投标流程及程序。投标人参加投标的程序、流程和细节等（包括但不限于报名、下载招标文件、编制投标文件、投标文件电子签章签字、上传和下载投标文件等）须投标人自行在该网站的指南中查找并按其步骤进行操作。</w:t>
            </w:r>
          </w:p>
          <w:p w14:paraId="76598E5C">
            <w:pPr>
              <w:pStyle w:val="2"/>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color w:val="auto"/>
                <w:lang w:eastAsia="zh-CN"/>
              </w:rPr>
            </w:pPr>
            <w:r>
              <w:rPr>
                <w:rFonts w:hint="eastAsia"/>
                <w:color w:val="auto"/>
                <w:lang w:eastAsia="zh-CN"/>
              </w:rPr>
              <w:t>政府采购云平台开展招投标流程及程序概况（包括但不限于）：</w:t>
            </w:r>
          </w:p>
          <w:p w14:paraId="2663D51B">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本项目为全流程电子化招投标项目，投标人通过政府采购云平台（网址：http:// www.zcygov.cn）递交电子版投标文件。无须到开标现场递交投标文件。</w:t>
            </w:r>
          </w:p>
          <w:p w14:paraId="6D14BAF4">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备注：</w:t>
            </w:r>
          </w:p>
          <w:p w14:paraId="680709C7">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val="zh-CN" w:eastAsia="zh-CN"/>
              </w:rPr>
            </w:pPr>
            <w:r>
              <w:rPr>
                <w:rFonts w:hint="eastAsia" w:ascii="宋体" w:hAnsi="宋体" w:eastAsia="宋体" w:cs="宋体"/>
                <w:i w:val="0"/>
                <w:iCs w:val="0"/>
                <w:color w:val="auto"/>
                <w:sz w:val="21"/>
                <w:szCs w:val="21"/>
                <w:lang w:eastAsia="zh-CN"/>
              </w:rPr>
              <w:t>1.</w:t>
            </w:r>
            <w:r>
              <w:rPr>
                <w:rFonts w:hint="eastAsia" w:ascii="宋体" w:hAnsi="宋体" w:eastAsia="宋体" w:cs="宋体"/>
                <w:i w:val="0"/>
                <w:iCs w:val="0"/>
                <w:color w:val="auto"/>
                <w:sz w:val="21"/>
                <w:szCs w:val="21"/>
                <w:lang w:val="zh-CN" w:eastAsia="zh-CN"/>
              </w:rPr>
              <w:t>投标人开标时，需携带制作投标文件时用来加密的有效数字证书（CA认证）登录政府采购云平台电子开标大厅现场按规定时间对加密的投标文件进行远程解密。</w:t>
            </w:r>
          </w:p>
          <w:p w14:paraId="46F4B13B">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val="zh-CN" w:eastAsia="zh-CN"/>
              </w:rPr>
            </w:pPr>
            <w:r>
              <w:rPr>
                <w:rFonts w:hint="eastAsia" w:ascii="宋体" w:hAnsi="宋体" w:eastAsia="宋体" w:cs="宋体"/>
                <w:i w:val="0"/>
                <w:iCs w:val="0"/>
                <w:color w:val="auto"/>
                <w:sz w:val="21"/>
                <w:szCs w:val="21"/>
                <w:lang w:val="zh-CN" w:eastAsia="zh-CN"/>
              </w:rPr>
              <w:t>2.投标文件提交方式：本项目为全流程电子化项目，通过政府采购云平台（http：//www.zcygov.cn）实行在线电子开标，投标人应先安装“政采云电子交易客户端”（请自行前往政府采购云平台进行下载），并按照本项目招标文件和政府采购云平台的要求编制、加密后在提交投标文件截止时间前通过网络上传至政府采购云平台，投标人在政府采购云平台提交电子版投标文件时，请填写参加开标活动经办人联系方式。</w:t>
            </w:r>
          </w:p>
          <w:p w14:paraId="1ABC3F78">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3.</w:t>
            </w:r>
            <w:r>
              <w:rPr>
                <w:rFonts w:hint="eastAsia" w:ascii="宋体" w:hAnsi="宋体" w:eastAsia="宋体" w:cs="宋体"/>
                <w:i w:val="0"/>
                <w:iCs w:val="0"/>
                <w:color w:val="auto"/>
                <w:sz w:val="21"/>
                <w:szCs w:val="21"/>
                <w:lang w:val="zh-CN" w:eastAsia="zh-CN"/>
              </w:rPr>
              <w:t>本项目需要在投标截止时间后1日内递交投标文件纸质版一正</w:t>
            </w:r>
            <w:r>
              <w:rPr>
                <w:rFonts w:hint="eastAsia" w:ascii="宋体" w:hAnsi="宋体" w:eastAsia="宋体" w:cs="宋体"/>
                <w:i w:val="0"/>
                <w:iCs w:val="0"/>
                <w:color w:val="auto"/>
                <w:sz w:val="21"/>
                <w:szCs w:val="21"/>
                <w:lang w:eastAsia="zh-CN"/>
              </w:rPr>
              <w:t>二</w:t>
            </w:r>
            <w:r>
              <w:rPr>
                <w:rFonts w:hint="eastAsia" w:ascii="宋体" w:hAnsi="宋体" w:eastAsia="宋体" w:cs="宋体"/>
                <w:i w:val="0"/>
                <w:iCs w:val="0"/>
                <w:color w:val="auto"/>
                <w:sz w:val="21"/>
                <w:szCs w:val="21"/>
                <w:lang w:val="zh-CN" w:eastAsia="zh-CN"/>
              </w:rPr>
              <w:t>副，</w:t>
            </w:r>
            <w:r>
              <w:rPr>
                <w:rFonts w:hint="eastAsia" w:ascii="宋体" w:hAnsi="宋体" w:eastAsia="宋体" w:cs="宋体"/>
                <w:i w:val="0"/>
                <w:iCs w:val="0"/>
                <w:color w:val="auto"/>
                <w:sz w:val="21"/>
                <w:szCs w:val="21"/>
                <w:lang w:eastAsia="zh-CN"/>
              </w:rPr>
              <w:t>普通U盘2</w:t>
            </w:r>
            <w:r>
              <w:rPr>
                <w:rFonts w:hint="eastAsia" w:ascii="宋体" w:hAnsi="宋体" w:eastAsia="宋体" w:cs="宋体"/>
                <w:i w:val="0"/>
                <w:iCs w:val="0"/>
                <w:color w:val="auto"/>
                <w:sz w:val="21"/>
                <w:szCs w:val="21"/>
                <w:lang w:val="zh-CN" w:eastAsia="zh-CN"/>
              </w:rPr>
              <w:t>套（</w:t>
            </w:r>
            <w:r>
              <w:rPr>
                <w:rFonts w:hint="eastAsia" w:ascii="宋体" w:hAnsi="宋体" w:eastAsia="宋体" w:cs="宋体"/>
                <w:i w:val="0"/>
                <w:iCs w:val="0"/>
                <w:color w:val="auto"/>
                <w:sz w:val="21"/>
                <w:szCs w:val="21"/>
                <w:lang w:val="en-US" w:eastAsia="zh-CN"/>
              </w:rPr>
              <w:t>U盘内文件为：一份</w:t>
            </w:r>
            <w:r>
              <w:rPr>
                <w:rFonts w:hint="eastAsia" w:ascii="宋体" w:hAnsi="宋体" w:eastAsia="宋体" w:cs="宋体"/>
                <w:i w:val="0"/>
                <w:iCs w:val="0"/>
                <w:color w:val="auto"/>
                <w:sz w:val="21"/>
                <w:szCs w:val="21"/>
                <w:lang w:val="zh-CN" w:eastAsia="zh-CN"/>
              </w:rPr>
              <w:t>PDF版为最终上传到政采云系统并经签字盖章的版本，一份WORD版为投标文件可编辑版本），递交至招标代理公司（</w:t>
            </w:r>
            <w:r>
              <w:rPr>
                <w:rFonts w:hint="eastAsia" w:ascii="宋体" w:hAnsi="宋体" w:eastAsia="宋体" w:cs="宋体"/>
                <w:i w:val="0"/>
                <w:iCs w:val="0"/>
                <w:color w:val="auto"/>
                <w:sz w:val="21"/>
                <w:szCs w:val="21"/>
                <w:lang w:val="en-US" w:eastAsia="zh-CN"/>
              </w:rPr>
              <w:t>绿地蓝海A座926室</w:t>
            </w:r>
            <w:r>
              <w:rPr>
                <w:rFonts w:hint="eastAsia" w:ascii="宋体" w:hAnsi="宋体" w:eastAsia="宋体" w:cs="宋体"/>
                <w:i w:val="0"/>
                <w:iCs w:val="0"/>
                <w:color w:val="auto"/>
                <w:sz w:val="21"/>
                <w:szCs w:val="21"/>
                <w:lang w:val="zh-CN" w:eastAsia="zh-CN"/>
              </w:rPr>
              <w:t>）。</w:t>
            </w:r>
          </w:p>
        </w:tc>
      </w:tr>
      <w:tr w14:paraId="7049A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vMerge w:val="restart"/>
            <w:tcBorders>
              <w:right w:val="single" w:color="auto" w:sz="4" w:space="0"/>
            </w:tcBorders>
            <w:noWrap w:val="0"/>
            <w:vAlign w:val="center"/>
          </w:tcPr>
          <w:p w14:paraId="4AC5CEFB">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13.2</w:t>
            </w:r>
          </w:p>
        </w:tc>
        <w:tc>
          <w:tcPr>
            <w:tcW w:w="1636" w:type="dxa"/>
            <w:tcBorders>
              <w:left w:val="single" w:color="auto" w:sz="4" w:space="0"/>
              <w:bottom w:val="single" w:color="auto" w:sz="4" w:space="0"/>
            </w:tcBorders>
            <w:noWrap w:val="0"/>
            <w:vAlign w:val="center"/>
          </w:tcPr>
          <w:p w14:paraId="52F30FD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投标截止、开标时间</w:t>
            </w:r>
          </w:p>
        </w:tc>
        <w:tc>
          <w:tcPr>
            <w:tcW w:w="6651" w:type="dxa"/>
            <w:tcBorders>
              <w:bottom w:val="single" w:color="auto" w:sz="4" w:space="0"/>
            </w:tcBorders>
            <w:noWrap w:val="0"/>
            <w:vAlign w:val="center"/>
          </w:tcPr>
          <w:p w14:paraId="29F5BFF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zh-CN" w:eastAsia="zh-CN"/>
              </w:rPr>
              <w:t>2025年5月13日13时00分</w:t>
            </w:r>
            <w:r>
              <w:rPr>
                <w:rFonts w:hint="eastAsia" w:ascii="宋体" w:hAnsi="宋体" w:eastAsia="宋体" w:cs="宋体"/>
                <w:i w:val="0"/>
                <w:iCs w:val="0"/>
                <w:color w:val="auto"/>
                <w:sz w:val="21"/>
                <w:szCs w:val="21"/>
                <w:highlight w:val="none"/>
                <w:lang w:val="zh-CN"/>
              </w:rPr>
              <w:t>(北京时间)</w:t>
            </w:r>
          </w:p>
        </w:tc>
      </w:tr>
      <w:tr w14:paraId="63FDD4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vMerge w:val="continue"/>
            <w:tcBorders>
              <w:right w:val="single" w:color="auto" w:sz="4" w:space="0"/>
            </w:tcBorders>
            <w:noWrap w:val="0"/>
            <w:vAlign w:val="center"/>
          </w:tcPr>
          <w:p w14:paraId="01BF8099">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p>
        </w:tc>
        <w:tc>
          <w:tcPr>
            <w:tcW w:w="1636" w:type="dxa"/>
            <w:tcBorders>
              <w:top w:val="single" w:color="auto" w:sz="4" w:space="0"/>
              <w:left w:val="single" w:color="auto" w:sz="4" w:space="0"/>
            </w:tcBorders>
            <w:noWrap w:val="0"/>
            <w:vAlign w:val="center"/>
          </w:tcPr>
          <w:p w14:paraId="7B8478A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开标地点</w:t>
            </w:r>
          </w:p>
        </w:tc>
        <w:tc>
          <w:tcPr>
            <w:tcW w:w="6651" w:type="dxa"/>
            <w:tcBorders>
              <w:top w:val="single" w:color="auto" w:sz="4" w:space="0"/>
            </w:tcBorders>
            <w:noWrap w:val="0"/>
            <w:vAlign w:val="center"/>
          </w:tcPr>
          <w:p w14:paraId="2C759082">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长春市二道区洋浦大街6999号凯利中心AB栋101开标二室</w:t>
            </w:r>
          </w:p>
        </w:tc>
      </w:tr>
      <w:tr w14:paraId="7291F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6710D5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17.3</w:t>
            </w:r>
          </w:p>
        </w:tc>
        <w:tc>
          <w:tcPr>
            <w:tcW w:w="1636" w:type="dxa"/>
            <w:tcBorders>
              <w:left w:val="single" w:color="auto" w:sz="4" w:space="0"/>
              <w:right w:val="single" w:color="auto" w:sz="4" w:space="0"/>
            </w:tcBorders>
            <w:noWrap w:val="0"/>
            <w:vAlign w:val="center"/>
          </w:tcPr>
          <w:p w14:paraId="6B422DD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评标委员会</w:t>
            </w:r>
          </w:p>
          <w:p w14:paraId="73CF9A6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组成</w:t>
            </w:r>
          </w:p>
        </w:tc>
        <w:tc>
          <w:tcPr>
            <w:tcW w:w="6651" w:type="dxa"/>
            <w:tcBorders>
              <w:left w:val="single" w:color="auto" w:sz="4" w:space="0"/>
            </w:tcBorders>
            <w:noWrap w:val="0"/>
            <w:vAlign w:val="center"/>
          </w:tcPr>
          <w:p w14:paraId="3C673555">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评标委员会构成：由</w:t>
            </w:r>
            <w:r>
              <w:rPr>
                <w:rFonts w:hint="eastAsia" w:ascii="宋体" w:hAnsi="宋体" w:eastAsia="宋体" w:cs="宋体"/>
                <w:i w:val="0"/>
                <w:iCs w:val="0"/>
                <w:color w:val="auto"/>
                <w:sz w:val="21"/>
                <w:szCs w:val="21"/>
                <w:lang w:val="zh-CN" w:eastAsia="zh-CN"/>
              </w:rPr>
              <w:t>招标人代表</w:t>
            </w: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lang w:val="zh-CN" w:eastAsia="zh-CN"/>
              </w:rPr>
              <w:t>人，</w:t>
            </w:r>
            <w:r>
              <w:rPr>
                <w:rFonts w:hint="eastAsia" w:ascii="宋体" w:hAnsi="宋体" w:eastAsia="宋体" w:cs="宋体"/>
                <w:i w:val="0"/>
                <w:iCs w:val="0"/>
                <w:color w:val="auto"/>
                <w:sz w:val="21"/>
                <w:szCs w:val="21"/>
                <w:lang w:eastAsia="zh-CN"/>
              </w:rPr>
              <w:t>经济、技术专家</w:t>
            </w:r>
            <w:r>
              <w:rPr>
                <w:rFonts w:hint="eastAsia" w:ascii="宋体" w:hAnsi="宋体" w:eastAsia="宋体" w:cs="宋体"/>
                <w:i w:val="0"/>
                <w:iCs w:val="0"/>
                <w:color w:val="auto"/>
                <w:sz w:val="21"/>
                <w:szCs w:val="21"/>
                <w:lang w:val="en-US" w:eastAsia="zh-CN"/>
              </w:rPr>
              <w:t>5</w:t>
            </w:r>
            <w:r>
              <w:rPr>
                <w:rFonts w:hint="eastAsia" w:ascii="宋体" w:hAnsi="宋体" w:eastAsia="宋体" w:cs="宋体"/>
                <w:i w:val="0"/>
                <w:iCs w:val="0"/>
                <w:color w:val="auto"/>
                <w:sz w:val="21"/>
                <w:szCs w:val="21"/>
                <w:lang w:eastAsia="zh-CN"/>
              </w:rPr>
              <w:t>人，共</w:t>
            </w:r>
            <w:r>
              <w:rPr>
                <w:rFonts w:hint="eastAsia" w:ascii="宋体" w:hAnsi="宋体" w:eastAsia="宋体" w:cs="宋体"/>
                <w:i w:val="0"/>
                <w:iCs w:val="0"/>
                <w:color w:val="auto"/>
                <w:sz w:val="21"/>
                <w:szCs w:val="21"/>
                <w:lang w:val="en-US" w:eastAsia="zh-CN"/>
              </w:rPr>
              <w:t>7人</w:t>
            </w:r>
            <w:r>
              <w:rPr>
                <w:rFonts w:hint="eastAsia" w:ascii="宋体" w:hAnsi="宋体" w:eastAsia="宋体" w:cs="宋体"/>
                <w:i w:val="0"/>
                <w:iCs w:val="0"/>
                <w:color w:val="auto"/>
                <w:sz w:val="21"/>
                <w:szCs w:val="21"/>
                <w:lang w:eastAsia="zh-CN"/>
              </w:rPr>
              <w:t>组成；</w:t>
            </w:r>
          </w:p>
          <w:p w14:paraId="66BFB7CD">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评标专家确定方式：从政府采购评审专家库中随机抽取产生。</w:t>
            </w:r>
          </w:p>
        </w:tc>
      </w:tr>
      <w:tr w14:paraId="591E8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274" w:type="dxa"/>
            <w:gridSpan w:val="3"/>
            <w:noWrap w:val="0"/>
            <w:vAlign w:val="center"/>
          </w:tcPr>
          <w:p w14:paraId="31B28D8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需要补充的其他内容</w:t>
            </w:r>
          </w:p>
        </w:tc>
      </w:tr>
      <w:tr w14:paraId="58944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2AD9806">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26.1</w:t>
            </w:r>
          </w:p>
        </w:tc>
        <w:tc>
          <w:tcPr>
            <w:tcW w:w="1636" w:type="dxa"/>
            <w:tcBorders>
              <w:left w:val="single" w:color="auto" w:sz="4" w:space="0"/>
            </w:tcBorders>
            <w:shd w:val="clear" w:color="auto" w:fill="auto"/>
            <w:noWrap w:val="0"/>
            <w:vAlign w:val="center"/>
          </w:tcPr>
          <w:p w14:paraId="75682C4F">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评标方法</w:t>
            </w:r>
          </w:p>
        </w:tc>
        <w:tc>
          <w:tcPr>
            <w:tcW w:w="6651" w:type="dxa"/>
            <w:tcBorders>
              <w:left w:val="single" w:color="auto" w:sz="4" w:space="0"/>
            </w:tcBorders>
            <w:shd w:val="clear" w:color="auto" w:fill="auto"/>
            <w:noWrap w:val="0"/>
            <w:vAlign w:val="center"/>
          </w:tcPr>
          <w:p w14:paraId="60BE2C34">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综合评估法。</w:t>
            </w:r>
          </w:p>
        </w:tc>
      </w:tr>
      <w:tr w14:paraId="268DB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5F96D4BF">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w:t>
            </w:r>
          </w:p>
        </w:tc>
        <w:tc>
          <w:tcPr>
            <w:tcW w:w="8287" w:type="dxa"/>
            <w:gridSpan w:val="2"/>
            <w:tcBorders>
              <w:left w:val="single" w:color="auto" w:sz="4" w:space="0"/>
            </w:tcBorders>
            <w:noWrap w:val="0"/>
            <w:vAlign w:val="center"/>
          </w:tcPr>
          <w:p w14:paraId="4544A6D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jc w:val="both"/>
              <w:textAlignment w:val="auto"/>
              <w:outlineLvl w:val="9"/>
              <w:rPr>
                <w:rFonts w:hint="eastAsia" w:ascii="宋体" w:hAnsi="宋体" w:eastAsia="宋体" w:cs="宋体"/>
                <w:i w:val="0"/>
                <w:iCs w:val="0"/>
                <w:color w:val="auto"/>
                <w:sz w:val="21"/>
                <w:szCs w:val="21"/>
              </w:rPr>
            </w:pPr>
            <w:r>
              <w:rPr>
                <w:rFonts w:hint="eastAsia" w:ascii="宋体" w:hAnsi="宋体" w:eastAsia="宋体" w:cs="宋体"/>
                <w:b w:val="0"/>
                <w:bCs w:val="0"/>
                <w:i w:val="0"/>
                <w:iCs w:val="0"/>
                <w:color w:val="auto"/>
                <w:sz w:val="21"/>
                <w:szCs w:val="21"/>
                <w:lang w:val="en-US" w:eastAsia="zh-CN"/>
              </w:rPr>
              <w:t>合同条款</w:t>
            </w:r>
          </w:p>
        </w:tc>
      </w:tr>
      <w:tr w14:paraId="242F3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A37D447">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26.2.1</w:t>
            </w:r>
          </w:p>
        </w:tc>
        <w:tc>
          <w:tcPr>
            <w:tcW w:w="1636" w:type="dxa"/>
            <w:tcBorders>
              <w:left w:val="single" w:color="auto" w:sz="4" w:space="0"/>
              <w:right w:val="single" w:color="auto" w:sz="4" w:space="0"/>
            </w:tcBorders>
            <w:shd w:val="clear" w:color="auto" w:fill="auto"/>
            <w:noWrap w:val="0"/>
            <w:vAlign w:val="center"/>
          </w:tcPr>
          <w:p w14:paraId="3FBE69F5">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*交货地点</w:t>
            </w:r>
          </w:p>
        </w:tc>
        <w:tc>
          <w:tcPr>
            <w:tcW w:w="6651" w:type="dxa"/>
            <w:tcBorders>
              <w:left w:val="single" w:color="auto" w:sz="4" w:space="0"/>
            </w:tcBorders>
            <w:shd w:val="clear" w:color="auto" w:fill="auto"/>
            <w:noWrap w:val="0"/>
            <w:vAlign w:val="top"/>
          </w:tcPr>
          <w:p w14:paraId="74011F36">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吉林省监狱管理局。</w:t>
            </w:r>
          </w:p>
        </w:tc>
      </w:tr>
      <w:tr w14:paraId="6E4E2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6865753">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26.2.2</w:t>
            </w:r>
          </w:p>
        </w:tc>
        <w:tc>
          <w:tcPr>
            <w:tcW w:w="1636" w:type="dxa"/>
            <w:tcBorders>
              <w:left w:val="single" w:color="auto" w:sz="4" w:space="0"/>
              <w:right w:val="single" w:color="auto" w:sz="4" w:space="0"/>
            </w:tcBorders>
            <w:shd w:val="clear" w:color="auto" w:fill="auto"/>
            <w:noWrap w:val="0"/>
            <w:vAlign w:val="center"/>
          </w:tcPr>
          <w:p w14:paraId="700FD4E5">
            <w:pPr>
              <w:keepNext w:val="0"/>
              <w:keepLines w:val="0"/>
              <w:pageBreakBefore w:val="0"/>
              <w:kinsoku/>
              <w:wordWrap/>
              <w:overflowPunct/>
              <w:topLinePunct w:val="0"/>
              <w:autoSpaceDE/>
              <w:autoSpaceDN/>
              <w:bidi w:val="0"/>
              <w:snapToGrid/>
              <w:spacing w:line="240" w:lineRule="auto"/>
              <w:ind w:firstLine="0" w:firstLineChars="0"/>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lang w:val="zh-CN"/>
              </w:rPr>
              <w:t>合同履行期限</w:t>
            </w:r>
          </w:p>
        </w:tc>
        <w:tc>
          <w:tcPr>
            <w:tcW w:w="6651" w:type="dxa"/>
            <w:tcBorders>
              <w:left w:val="single" w:color="auto" w:sz="4" w:space="0"/>
            </w:tcBorders>
            <w:shd w:val="clear" w:color="auto" w:fill="auto"/>
            <w:noWrap w:val="0"/>
            <w:vAlign w:val="center"/>
          </w:tcPr>
          <w:p w14:paraId="3B83D3F6">
            <w:pPr>
              <w:keepNext w:val="0"/>
              <w:keepLines w:val="0"/>
              <w:pageBreakBefore w:val="0"/>
              <w:kinsoku/>
              <w:wordWrap/>
              <w:overflowPunct/>
              <w:topLinePunct w:val="0"/>
              <w:autoSpaceDE/>
              <w:autoSpaceDN/>
              <w:bidi w:val="0"/>
              <w:snapToGrid/>
              <w:spacing w:line="240" w:lineRule="auto"/>
              <w:ind w:firstLine="0" w:firstLineChars="0"/>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合同签订后90日内完成交货。</w:t>
            </w:r>
          </w:p>
        </w:tc>
      </w:tr>
      <w:tr w14:paraId="5B726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0CC2EB79">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26.2.3</w:t>
            </w:r>
          </w:p>
        </w:tc>
        <w:tc>
          <w:tcPr>
            <w:tcW w:w="1636" w:type="dxa"/>
            <w:tcBorders>
              <w:left w:val="single" w:color="auto" w:sz="4" w:space="0"/>
              <w:right w:val="single" w:color="auto" w:sz="4" w:space="0"/>
            </w:tcBorders>
            <w:shd w:val="clear" w:color="auto" w:fill="auto"/>
            <w:noWrap w:val="0"/>
            <w:vAlign w:val="center"/>
          </w:tcPr>
          <w:p w14:paraId="5578DFA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付款</w:t>
            </w:r>
          </w:p>
        </w:tc>
        <w:tc>
          <w:tcPr>
            <w:tcW w:w="6651" w:type="dxa"/>
            <w:tcBorders>
              <w:left w:val="single" w:color="auto" w:sz="4" w:space="0"/>
            </w:tcBorders>
            <w:shd w:val="clear" w:color="auto" w:fill="auto"/>
            <w:noWrap w:val="0"/>
            <w:vAlign w:val="top"/>
          </w:tcPr>
          <w:p w14:paraId="089A974F">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val="0"/>
                <w:i w:val="0"/>
                <w:iCs w:val="0"/>
                <w:caps w:val="0"/>
                <w:color w:val="auto"/>
                <w:spacing w:val="0"/>
                <w:kern w:val="0"/>
                <w:sz w:val="21"/>
                <w:szCs w:val="21"/>
                <w:highlight w:val="none"/>
                <w:lang w:val="en-US" w:eastAsia="zh-CN" w:bidi="ar"/>
              </w:rPr>
            </w:pPr>
            <w:r>
              <w:rPr>
                <w:rFonts w:hint="eastAsia" w:ascii="宋体" w:hAnsi="宋体" w:eastAsia="宋体" w:cs="宋体"/>
                <w:b w:val="0"/>
                <w:i w:val="0"/>
                <w:iCs w:val="0"/>
                <w:caps w:val="0"/>
                <w:color w:val="auto"/>
                <w:spacing w:val="0"/>
                <w:kern w:val="0"/>
                <w:sz w:val="21"/>
                <w:szCs w:val="21"/>
                <w:highlight w:val="none"/>
                <w:lang w:val="en-US" w:eastAsia="zh-CN" w:bidi="ar"/>
              </w:rPr>
              <w:t>在合同签订后预付合同价款的60%，剩余款项按照双方合同约定支付。</w:t>
            </w:r>
          </w:p>
        </w:tc>
      </w:tr>
      <w:tr w14:paraId="5E40D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01784CC4">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26.2.4</w:t>
            </w:r>
          </w:p>
        </w:tc>
        <w:tc>
          <w:tcPr>
            <w:tcW w:w="1636" w:type="dxa"/>
            <w:tcBorders>
              <w:left w:val="single" w:color="auto" w:sz="4" w:space="0"/>
              <w:right w:val="single" w:color="auto" w:sz="4" w:space="0"/>
            </w:tcBorders>
            <w:shd w:val="clear" w:color="auto" w:fill="auto"/>
            <w:noWrap w:val="0"/>
            <w:vAlign w:val="center"/>
          </w:tcPr>
          <w:p w14:paraId="0DF25BC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验收</w:t>
            </w:r>
          </w:p>
        </w:tc>
        <w:tc>
          <w:tcPr>
            <w:tcW w:w="6651" w:type="dxa"/>
            <w:tcBorders>
              <w:left w:val="single" w:color="auto" w:sz="4" w:space="0"/>
            </w:tcBorders>
            <w:shd w:val="clear" w:color="auto" w:fill="auto"/>
            <w:noWrap w:val="0"/>
            <w:vAlign w:val="top"/>
          </w:tcPr>
          <w:p w14:paraId="65E214C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按合同约定内容执行。</w:t>
            </w:r>
          </w:p>
        </w:tc>
      </w:tr>
      <w:tr w14:paraId="0EA66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63E9030">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26.2.5</w:t>
            </w:r>
          </w:p>
        </w:tc>
        <w:tc>
          <w:tcPr>
            <w:tcW w:w="1636" w:type="dxa"/>
            <w:tcBorders>
              <w:left w:val="single" w:color="auto" w:sz="4" w:space="0"/>
              <w:right w:val="single" w:color="auto" w:sz="4" w:space="0"/>
            </w:tcBorders>
            <w:shd w:val="clear" w:color="auto" w:fill="auto"/>
            <w:noWrap w:val="0"/>
            <w:vAlign w:val="center"/>
          </w:tcPr>
          <w:p w14:paraId="2771D61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*质保期</w:t>
            </w:r>
          </w:p>
        </w:tc>
        <w:tc>
          <w:tcPr>
            <w:tcW w:w="6651" w:type="dxa"/>
            <w:tcBorders>
              <w:left w:val="single" w:color="auto" w:sz="4" w:space="0"/>
            </w:tcBorders>
            <w:shd w:val="clear" w:color="auto" w:fill="auto"/>
            <w:noWrap w:val="0"/>
            <w:vAlign w:val="top"/>
          </w:tcPr>
          <w:p w14:paraId="6CE4EE36">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质保期：自项目验收合格之日起六个月内。</w:t>
            </w:r>
          </w:p>
          <w:p w14:paraId="07FDDB3D">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备注：</w:t>
            </w:r>
          </w:p>
          <w:p w14:paraId="41AE25DF">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依据国家“三包”规定，部分服装及服饰的“三包”期最长为六个月。</w:t>
            </w:r>
          </w:p>
          <w:p w14:paraId="54B70E4E">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服装及服饰的“三包”具体内容如下：</w:t>
            </w:r>
          </w:p>
          <w:p w14:paraId="4A17F102">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包修：自售出之日起7日内，服装出现质量问题，消费者可选择退货、换货或修理。自售出之日起15日内，出现质量问题可选择换货或修理。对于缝线开线、饰件破损脱落等问题，提供免费维修服务，如无法修复则进行更换或一次性作价处理。市内不超过7天，外地不超过1个月，超时未能修复则予以更换。</w:t>
            </w:r>
          </w:p>
          <w:p w14:paraId="1C11DD8B">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包换：在“三包”有效期内，服装经两次修理仍不能正常使用的，经营者应根据消费者要求负责更换。对于不符合国家标识、号型与实际不符，左右衣袖、裤腿宽窄长短不一致等质量问题，可享受更换服务，且无需支付折旧费用。符合更换条件但无同品牌、同型号商品时，消费者可选择退货。</w:t>
            </w:r>
          </w:p>
          <w:p w14:paraId="527A863D">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包退：在“三包”有效期内，符合换货条件，经营者无同型号同规格产品，消费者不愿调换其他型号、规格产品而要求退货的，或经有关行政部门认定为不合格的商品，消费者要求退货的，经营者应当予以退货。若经营者有同型号同规格产品，消费者不愿调换而要求退货的，需支付折旧费，每日折旧率一般为商品价格的0.5%。</w:t>
            </w:r>
          </w:p>
        </w:tc>
      </w:tr>
      <w:tr w14:paraId="3A921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C16AB70">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26.2.6</w:t>
            </w:r>
          </w:p>
        </w:tc>
        <w:tc>
          <w:tcPr>
            <w:tcW w:w="1636" w:type="dxa"/>
            <w:tcBorders>
              <w:left w:val="single" w:color="auto" w:sz="4" w:space="0"/>
              <w:right w:val="single" w:color="auto" w:sz="4" w:space="0"/>
            </w:tcBorders>
            <w:shd w:val="clear" w:color="auto" w:fill="auto"/>
            <w:noWrap w:val="0"/>
            <w:vAlign w:val="center"/>
          </w:tcPr>
          <w:p w14:paraId="72C5D78F">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*质量</w:t>
            </w:r>
            <w:r>
              <w:rPr>
                <w:rFonts w:hint="eastAsia" w:ascii="宋体" w:hAnsi="宋体" w:eastAsia="宋体" w:cs="宋体"/>
                <w:i w:val="0"/>
                <w:iCs w:val="0"/>
                <w:color w:val="auto"/>
                <w:sz w:val="21"/>
                <w:szCs w:val="21"/>
                <w:lang w:val="en-US" w:eastAsia="zh-CN"/>
              </w:rPr>
              <w:t>标准及验收标准</w:t>
            </w:r>
          </w:p>
        </w:tc>
        <w:tc>
          <w:tcPr>
            <w:tcW w:w="6651" w:type="dxa"/>
            <w:tcBorders>
              <w:left w:val="single" w:color="auto" w:sz="4" w:space="0"/>
            </w:tcBorders>
            <w:shd w:val="clear" w:color="auto" w:fill="auto"/>
            <w:noWrap w:val="0"/>
            <w:vAlign w:val="top"/>
          </w:tcPr>
          <w:p w14:paraId="71AEC88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color w:val="auto"/>
                <w:lang w:val="en-US" w:eastAsia="zh-CN"/>
              </w:rPr>
            </w:pPr>
            <w:r>
              <w:rPr>
                <w:rFonts w:hint="eastAsia" w:ascii="宋体" w:hAnsi="宋体" w:eastAsia="宋体" w:cs="宋体"/>
                <w:i w:val="0"/>
                <w:iCs w:val="0"/>
                <w:color w:val="auto"/>
                <w:kern w:val="2"/>
                <w:sz w:val="21"/>
                <w:szCs w:val="21"/>
                <w:lang w:val="en-US" w:eastAsia="zh-CN" w:bidi="ar-SA"/>
              </w:rPr>
              <w:t>符合行业相关标准及中华人民共和国公安部下发的《中华人民共和国公共安全行业标准》等相关标准。</w:t>
            </w:r>
          </w:p>
        </w:tc>
      </w:tr>
      <w:tr w14:paraId="76A6E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800CA23">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26.2.7</w:t>
            </w:r>
          </w:p>
        </w:tc>
        <w:tc>
          <w:tcPr>
            <w:tcW w:w="1636" w:type="dxa"/>
            <w:tcBorders>
              <w:left w:val="single" w:color="auto" w:sz="4" w:space="0"/>
              <w:right w:val="single" w:color="auto" w:sz="4" w:space="0"/>
            </w:tcBorders>
            <w:shd w:val="clear" w:color="auto" w:fill="auto"/>
            <w:noWrap w:val="0"/>
            <w:vAlign w:val="center"/>
          </w:tcPr>
          <w:p w14:paraId="34CA6B13">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*履约保证金</w:t>
            </w:r>
          </w:p>
        </w:tc>
        <w:tc>
          <w:tcPr>
            <w:tcW w:w="6651" w:type="dxa"/>
            <w:tcBorders>
              <w:left w:val="single" w:color="auto" w:sz="4" w:space="0"/>
            </w:tcBorders>
            <w:shd w:val="clear" w:color="auto" w:fill="auto"/>
            <w:noWrap w:val="0"/>
            <w:vAlign w:val="center"/>
          </w:tcPr>
          <w:p w14:paraId="54904E29">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依据《中华人民共和国政府采购法实施条例》第四十八条规定，采购文件要求中标或者成交供应商提交履约保证金的，供应商应当以支票、汇票、本票或者金融机构、担保机构出具的保函等非现金形式提交，履约保证金的数额不得超过政府采购合同金额的10%。</w:t>
            </w:r>
          </w:p>
          <w:p w14:paraId="06369926">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本项目可收取政府采购合同金额的0-10%的</w:t>
            </w:r>
            <w:r>
              <w:rPr>
                <w:rFonts w:hint="eastAsia" w:ascii="宋体" w:hAnsi="宋体" w:eastAsia="宋体" w:cs="宋体"/>
                <w:i w:val="0"/>
                <w:iCs w:val="0"/>
                <w:color w:val="auto"/>
                <w:sz w:val="21"/>
                <w:szCs w:val="21"/>
                <w:highlight w:val="none"/>
                <w:lang w:eastAsia="zh-CN"/>
              </w:rPr>
              <w:t>履约保证金。</w:t>
            </w:r>
          </w:p>
        </w:tc>
      </w:tr>
      <w:tr w14:paraId="74B936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1321FD1">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26.2.8</w:t>
            </w:r>
          </w:p>
        </w:tc>
        <w:tc>
          <w:tcPr>
            <w:tcW w:w="1636" w:type="dxa"/>
            <w:tcBorders>
              <w:left w:val="single" w:color="auto" w:sz="4" w:space="0"/>
              <w:right w:val="single" w:color="auto" w:sz="4" w:space="0"/>
            </w:tcBorders>
            <w:shd w:val="clear" w:color="auto" w:fill="auto"/>
            <w:noWrap w:val="0"/>
            <w:vAlign w:val="center"/>
          </w:tcPr>
          <w:p w14:paraId="216D849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lang w:eastAsia="zh-CN"/>
              </w:rPr>
              <w:t>质量保证金</w:t>
            </w:r>
          </w:p>
        </w:tc>
        <w:tc>
          <w:tcPr>
            <w:tcW w:w="6651" w:type="dxa"/>
            <w:tcBorders>
              <w:left w:val="single" w:color="auto" w:sz="4" w:space="0"/>
            </w:tcBorders>
            <w:shd w:val="clear" w:color="auto" w:fill="auto"/>
            <w:noWrap w:val="0"/>
            <w:vAlign w:val="center"/>
          </w:tcPr>
          <w:p w14:paraId="2CC51A48">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本项目不收取</w:t>
            </w:r>
            <w:r>
              <w:rPr>
                <w:rFonts w:hint="eastAsia" w:ascii="宋体" w:hAnsi="宋体" w:eastAsia="宋体" w:cs="宋体"/>
                <w:i w:val="0"/>
                <w:iCs w:val="0"/>
                <w:color w:val="auto"/>
                <w:sz w:val="21"/>
                <w:szCs w:val="21"/>
                <w:highlight w:val="none"/>
                <w:lang w:eastAsia="zh-CN"/>
              </w:rPr>
              <w:t>质量保证金</w:t>
            </w:r>
            <w:r>
              <w:rPr>
                <w:rFonts w:hint="eastAsia" w:ascii="宋体" w:hAnsi="宋体" w:eastAsia="宋体" w:cs="宋体"/>
                <w:i w:val="0"/>
                <w:iCs w:val="0"/>
                <w:color w:val="auto"/>
                <w:sz w:val="21"/>
                <w:szCs w:val="21"/>
                <w:lang w:val="en-US" w:eastAsia="zh-CN"/>
              </w:rPr>
              <w:t>。</w:t>
            </w:r>
          </w:p>
          <w:p w14:paraId="3B599687">
            <w:pPr>
              <w:pStyle w:val="2"/>
              <w:pageBreakBefore w:val="0"/>
              <w:overflowPunct/>
              <w:bidi w:val="0"/>
              <w:spacing w:line="240" w:lineRule="auto"/>
              <w:ind w:left="0" w:leftChars="0" w:firstLine="0" w:firstLineChars="0"/>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color w:val="auto"/>
                <w:lang w:val="en-US" w:eastAsia="zh-CN"/>
              </w:rPr>
              <w:t>依据工业和信息化部、财政部发布的《国务院部门涉企保证金目录清单（2024版）》以及相关法律法规，政府采购货物和服务类项目不得收取（预留）质量保证金。</w:t>
            </w:r>
          </w:p>
        </w:tc>
      </w:tr>
      <w:tr w14:paraId="36E14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778F52C3">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26.4</w:t>
            </w:r>
          </w:p>
        </w:tc>
        <w:tc>
          <w:tcPr>
            <w:tcW w:w="1636" w:type="dxa"/>
            <w:tcBorders>
              <w:left w:val="single" w:color="auto" w:sz="4" w:space="0"/>
              <w:right w:val="single" w:color="auto" w:sz="4" w:space="0"/>
            </w:tcBorders>
            <w:noWrap w:val="0"/>
            <w:vAlign w:val="center"/>
          </w:tcPr>
          <w:p w14:paraId="08C24EF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*中标服务费</w:t>
            </w:r>
          </w:p>
        </w:tc>
        <w:tc>
          <w:tcPr>
            <w:tcW w:w="6651" w:type="dxa"/>
            <w:tcBorders>
              <w:left w:val="single" w:color="auto" w:sz="4" w:space="0"/>
            </w:tcBorders>
            <w:noWrap w:val="0"/>
            <w:vAlign w:val="center"/>
          </w:tcPr>
          <w:p w14:paraId="6C98E63B">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highlight w:val="none"/>
                <w:lang w:val="en-US" w:eastAsia="zh-CN"/>
              </w:rPr>
              <w:t>参照国家发展计划委员会计价格[2002]1980号文件、发改办价格[2003]857号文件、发改办价格[2011]534号文件和发改价格[2015]299号文件</w:t>
            </w:r>
            <w:r>
              <w:rPr>
                <w:rFonts w:hint="eastAsia" w:ascii="宋体" w:hAnsi="宋体" w:eastAsia="宋体" w:cs="宋体"/>
                <w:i w:val="0"/>
                <w:iCs w:val="0"/>
                <w:color w:val="auto"/>
                <w:sz w:val="21"/>
                <w:szCs w:val="21"/>
                <w:highlight w:val="none"/>
              </w:rPr>
              <w:t>，向中标人收取招标代理服务费。</w:t>
            </w:r>
          </w:p>
        </w:tc>
      </w:tr>
      <w:tr w14:paraId="30DCD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3B4DABE7">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26.5</w:t>
            </w:r>
          </w:p>
        </w:tc>
        <w:tc>
          <w:tcPr>
            <w:tcW w:w="1636" w:type="dxa"/>
            <w:tcBorders>
              <w:left w:val="single" w:color="auto" w:sz="4" w:space="0"/>
              <w:right w:val="single" w:color="auto" w:sz="4" w:space="0"/>
            </w:tcBorders>
            <w:noWrap w:val="0"/>
            <w:vAlign w:val="center"/>
          </w:tcPr>
          <w:p w14:paraId="18112D1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highlight w:val="none"/>
              </w:rPr>
              <w:t>投标人信用信息的查询</w:t>
            </w:r>
          </w:p>
        </w:tc>
        <w:tc>
          <w:tcPr>
            <w:tcW w:w="6651" w:type="dxa"/>
            <w:tcBorders>
              <w:left w:val="single" w:color="auto" w:sz="4" w:space="0"/>
            </w:tcBorders>
            <w:noWrap w:val="0"/>
            <w:vAlign w:val="center"/>
          </w:tcPr>
          <w:p w14:paraId="271C77B3">
            <w:pPr>
              <w:keepNext w:val="0"/>
              <w:keepLines w:val="0"/>
              <w:pageBreakBefore w:val="0"/>
              <w:widowControl w:val="0"/>
              <w:numPr>
                <w:ilvl w:val="0"/>
                <w:numId w:val="0"/>
              </w:numPr>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highlight w:val="none"/>
              </w:rPr>
              <w:t>查询渠道：①“信用中国”网站（www.creditchina.gov.cn）：失信被执行人、重大税收违法案件当事人名单。</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②中国政府采购网(www.ccgp.gov.cn)：政府采购严重违法失信行为信息记录。</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查询截止时点：同投标截止时间</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信用信息查询记录的具体方式：</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lang w:eastAsia="zh-CN"/>
              </w:rPr>
              <w:t>招标人</w:t>
            </w:r>
            <w:r>
              <w:rPr>
                <w:rFonts w:hint="eastAsia" w:ascii="宋体" w:hAnsi="宋体" w:eastAsia="宋体" w:cs="宋体"/>
                <w:i w:val="0"/>
                <w:iCs w:val="0"/>
                <w:color w:val="auto"/>
                <w:sz w:val="21"/>
                <w:szCs w:val="21"/>
                <w:highlight w:val="none"/>
              </w:rPr>
              <w:t>或</w:t>
            </w:r>
            <w:r>
              <w:rPr>
                <w:rFonts w:hint="eastAsia" w:ascii="宋体" w:hAnsi="宋体" w:eastAsia="宋体" w:cs="宋体"/>
                <w:i w:val="0"/>
                <w:iCs w:val="0"/>
                <w:color w:val="auto"/>
                <w:sz w:val="21"/>
                <w:szCs w:val="21"/>
                <w:highlight w:val="none"/>
                <w:lang w:eastAsia="zh-CN"/>
              </w:rPr>
              <w:t>招标代理机构</w:t>
            </w:r>
            <w:r>
              <w:rPr>
                <w:rFonts w:hint="eastAsia" w:ascii="宋体" w:hAnsi="宋体" w:eastAsia="宋体" w:cs="宋体"/>
                <w:i w:val="0"/>
                <w:iCs w:val="0"/>
                <w:color w:val="auto"/>
                <w:sz w:val="21"/>
                <w:szCs w:val="21"/>
                <w:highlight w:val="none"/>
              </w:rPr>
              <w:t>将按查询截止时点对所有投标人的信用信息进行查询。</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信用信息的使用规则：</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对列入失信被执行人、重大税收违法案件当事人名单、政府采购严重违法失信行为记录名单的投标人，投标文件作无效处理。</w:t>
            </w:r>
          </w:p>
        </w:tc>
      </w:tr>
      <w:tr w14:paraId="7B14A2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031E1D38">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26.6</w:t>
            </w:r>
          </w:p>
        </w:tc>
        <w:tc>
          <w:tcPr>
            <w:tcW w:w="1636" w:type="dxa"/>
            <w:tcBorders>
              <w:left w:val="single" w:color="auto" w:sz="4" w:space="0"/>
              <w:right w:val="single" w:color="auto" w:sz="4" w:space="0"/>
            </w:tcBorders>
            <w:noWrap w:val="0"/>
            <w:vAlign w:val="center"/>
          </w:tcPr>
          <w:p w14:paraId="50E0601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违法行为</w:t>
            </w:r>
          </w:p>
        </w:tc>
        <w:tc>
          <w:tcPr>
            <w:tcW w:w="6651" w:type="dxa"/>
            <w:tcBorders>
              <w:left w:val="single" w:color="auto" w:sz="4" w:space="0"/>
            </w:tcBorders>
            <w:noWrap w:val="0"/>
            <w:vAlign w:val="center"/>
          </w:tcPr>
          <w:p w14:paraId="615707A5">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一、有下列情形之一的，属于投标人相互串通投标：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（一）投标人之间协商投标报价等投标文件的实质性内容；</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（二）投标人之间约定中标人；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（三）投标人之间约定部分投标人放弃投标或者中标；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（四）属于同一集团、协会、商会等组织成员的投标人按照该组织要求协同投标；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（五）投标人之间为谋取中标或者排斥特定投标人而采取的其他联合行动。</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二、有下列情形之一的，视为投标人相互串通投标：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（一）不同投标人的投标文件由同一单位或者个人编制；</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（二）不同投标人委托同一单位或者个人办理投标事宜；</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（三）不同投标人的投标文件载明的项目管理成员为同一人；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（四）不同投标人的投标文件异常一致或者投标报价呈规律性差异；</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（五）不同投标人的投标文件相互混装；</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（六）不同投标人的投标保证金从同一单位或者个人的账户转出。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三、有下列情形之一的，属于招标人与投标人串通投标：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（一）招标人在开标前开启投标文件并将有关信息泄露给其他投标人;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（二）招标人直接或者间接向投标人泄露标底、评标委员会成员等信息；</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（三）招标人明示或者暗示投标人压低或者抬高投标报价；</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（四）招标人授意投标人撤换、修改投标文件；</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（五）招标人明示或者暗示投标人为特定投标人中标提供方便；</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（六）招标人与投标人为谋求特定投标人中标而采取的其他串通行为。</w:t>
            </w:r>
          </w:p>
        </w:tc>
      </w:tr>
      <w:tr w14:paraId="0DFD1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0EBBF442">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26.7</w:t>
            </w:r>
          </w:p>
        </w:tc>
        <w:tc>
          <w:tcPr>
            <w:tcW w:w="1636" w:type="dxa"/>
            <w:tcBorders>
              <w:left w:val="single" w:color="auto" w:sz="4" w:space="0"/>
              <w:right w:val="single" w:color="auto" w:sz="4" w:space="0"/>
            </w:tcBorders>
            <w:noWrap w:val="0"/>
            <w:vAlign w:val="center"/>
          </w:tcPr>
          <w:p w14:paraId="67F1A75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有下列情形之一的应当在资格性、符合性检查时按照无效投标处理</w:t>
            </w:r>
          </w:p>
        </w:tc>
        <w:tc>
          <w:tcPr>
            <w:tcW w:w="6651" w:type="dxa"/>
            <w:tcBorders>
              <w:left w:val="single" w:color="auto" w:sz="4" w:space="0"/>
            </w:tcBorders>
            <w:noWrap w:val="0"/>
            <w:vAlign w:val="center"/>
          </w:tcPr>
          <w:p w14:paraId="2C5A5207">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（一）应交未交投标保证金的；</w:t>
            </w:r>
          </w:p>
          <w:p w14:paraId="2CC9825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（二）未按照招标文件规定要求密封、签署、盖章的；</w:t>
            </w:r>
          </w:p>
          <w:p w14:paraId="24AF0982">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（三）不具备招标文件中规定资格要求的；</w:t>
            </w:r>
          </w:p>
          <w:p w14:paraId="7BD4EFDC">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（四）报价超过招标文件中规定的预算金额或者最高限价的；</w:t>
            </w:r>
          </w:p>
          <w:p w14:paraId="40F4FF60">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（五）投标文件含有</w:t>
            </w:r>
            <w:r>
              <w:rPr>
                <w:rFonts w:hint="eastAsia" w:ascii="宋体" w:hAnsi="宋体" w:eastAsia="宋体" w:cs="宋体"/>
                <w:i w:val="0"/>
                <w:iCs w:val="0"/>
                <w:color w:val="auto"/>
                <w:sz w:val="21"/>
                <w:szCs w:val="21"/>
                <w:lang w:eastAsia="zh-CN"/>
              </w:rPr>
              <w:t>招标人</w:t>
            </w:r>
            <w:r>
              <w:rPr>
                <w:rFonts w:hint="eastAsia" w:ascii="宋体" w:hAnsi="宋体" w:eastAsia="宋体" w:cs="宋体"/>
                <w:i w:val="0"/>
                <w:iCs w:val="0"/>
                <w:color w:val="auto"/>
                <w:sz w:val="21"/>
                <w:szCs w:val="21"/>
              </w:rPr>
              <w:t>不能接受的附加条件的;</w:t>
            </w:r>
          </w:p>
          <w:p w14:paraId="58E706AC">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（六）不符合法律、法规和招标文件中规定的其他实质性要求的。</w:t>
            </w:r>
          </w:p>
        </w:tc>
      </w:tr>
      <w:tr w14:paraId="2775C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0E38EF4">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26.8</w:t>
            </w:r>
          </w:p>
        </w:tc>
        <w:tc>
          <w:tcPr>
            <w:tcW w:w="1636" w:type="dxa"/>
            <w:tcBorders>
              <w:left w:val="single" w:color="auto" w:sz="4" w:space="0"/>
              <w:right w:val="single" w:color="auto" w:sz="4" w:space="0"/>
            </w:tcBorders>
            <w:noWrap w:val="0"/>
            <w:vAlign w:val="center"/>
          </w:tcPr>
          <w:p w14:paraId="0612B8F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采购预算</w:t>
            </w:r>
          </w:p>
        </w:tc>
        <w:tc>
          <w:tcPr>
            <w:tcW w:w="6651" w:type="dxa"/>
            <w:tcBorders>
              <w:left w:val="single" w:color="auto" w:sz="4" w:space="0"/>
            </w:tcBorders>
            <w:noWrap w:val="0"/>
            <w:vAlign w:val="top"/>
          </w:tcPr>
          <w:p w14:paraId="45F4ACE4">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采购预算：人民币5375259.80元。</w:t>
            </w:r>
          </w:p>
          <w:p w14:paraId="4E36C05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投标报价超出预算价格的，投标无效。</w:t>
            </w:r>
          </w:p>
          <w:p w14:paraId="70E10C3A">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报价要求:只允许有一个报价，任何有选择性的报价或者有附加条件的报价招标人将不予接受。</w:t>
            </w:r>
          </w:p>
        </w:tc>
      </w:tr>
      <w:tr w14:paraId="10F14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0CFFC18">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26.9</w:t>
            </w:r>
          </w:p>
        </w:tc>
        <w:tc>
          <w:tcPr>
            <w:tcW w:w="1636" w:type="dxa"/>
            <w:tcBorders>
              <w:left w:val="single" w:color="auto" w:sz="4" w:space="0"/>
              <w:right w:val="single" w:color="auto" w:sz="4" w:space="0"/>
            </w:tcBorders>
            <w:noWrap w:val="0"/>
            <w:vAlign w:val="center"/>
          </w:tcPr>
          <w:p w14:paraId="2D67EB92">
            <w:pPr>
              <w:keepNext w:val="0"/>
              <w:keepLines w:val="0"/>
              <w:pageBreakBefore w:val="0"/>
              <w:widowControl w:val="0"/>
              <w:kinsoku/>
              <w:wordWrap w:val="0"/>
              <w:overflowPunct/>
              <w:topLinePunct/>
              <w:autoSpaceDE/>
              <w:autoSpaceDN/>
              <w:bidi w:val="0"/>
              <w:snapToGrid/>
              <w:spacing w:line="240" w:lineRule="auto"/>
              <w:ind w:left="42" w:leftChars="20" w:right="0" w:rightChars="0"/>
              <w:jc w:val="center"/>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color w:val="auto"/>
                <w:spacing w:val="0"/>
                <w:sz w:val="21"/>
                <w:szCs w:val="21"/>
                <w:lang w:eastAsia="zh-CN"/>
              </w:rPr>
              <w:t>中小微企业划分标准</w:t>
            </w:r>
          </w:p>
        </w:tc>
        <w:tc>
          <w:tcPr>
            <w:tcW w:w="6651" w:type="dxa"/>
            <w:tcBorders>
              <w:left w:val="single" w:color="auto" w:sz="4" w:space="0"/>
            </w:tcBorders>
            <w:noWrap w:val="0"/>
            <w:vAlign w:val="center"/>
          </w:tcPr>
          <w:p w14:paraId="56B998DC">
            <w:pPr>
              <w:pStyle w:val="72"/>
              <w:keepNext w:val="0"/>
              <w:keepLines w:val="0"/>
              <w:pageBreakBefore w:val="0"/>
              <w:widowControl/>
              <w:kinsoku/>
              <w:overflowPunct/>
              <w:autoSpaceDE/>
              <w:autoSpaceDN/>
              <w:bidi w:val="0"/>
              <w:snapToGrid/>
              <w:spacing w:line="240" w:lineRule="auto"/>
              <w:ind w:left="42" w:leftChars="20" w:right="0" w:rightChars="0"/>
              <w:jc w:val="left"/>
              <w:textAlignment w:val="auto"/>
              <w:outlineLvl w:val="9"/>
              <w:rPr>
                <w:rFonts w:hint="eastAsia" w:ascii="宋体" w:hAnsi="宋体" w:eastAsia="宋体" w:cs="宋体"/>
                <w:b w:val="0"/>
                <w:bCs w:val="0"/>
                <w:i w:val="0"/>
                <w:iCs w:val="0"/>
                <w:color w:val="auto"/>
                <w:sz w:val="21"/>
                <w:szCs w:val="21"/>
                <w:lang w:eastAsia="zh-CN"/>
              </w:rPr>
            </w:pPr>
            <w:r>
              <w:rPr>
                <w:rFonts w:hint="eastAsia" w:ascii="宋体" w:hAnsi="宋体" w:eastAsia="宋体" w:cs="宋体"/>
                <w:color w:val="auto"/>
                <w:spacing w:val="0"/>
                <w:sz w:val="21"/>
                <w:szCs w:val="21"/>
                <w:lang w:eastAsia="zh-CN"/>
              </w:rPr>
              <w:t>本项目所属</w:t>
            </w:r>
            <w:r>
              <w:rPr>
                <w:rFonts w:hint="eastAsia" w:ascii="宋体" w:hAnsi="宋体" w:eastAsia="宋体" w:cs="宋体"/>
                <w:b w:val="0"/>
                <w:bCs w:val="0"/>
                <w:color w:val="auto"/>
                <w:spacing w:val="0"/>
                <w:sz w:val="21"/>
                <w:szCs w:val="21"/>
                <w:lang w:eastAsia="zh-CN"/>
              </w:rPr>
              <w:t>行业：工业。</w:t>
            </w:r>
          </w:p>
        </w:tc>
      </w:tr>
      <w:tr w14:paraId="24909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1B1BC2C1">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26.11</w:t>
            </w:r>
          </w:p>
        </w:tc>
        <w:tc>
          <w:tcPr>
            <w:tcW w:w="1636" w:type="dxa"/>
            <w:tcBorders>
              <w:left w:val="single" w:color="auto" w:sz="4" w:space="0"/>
              <w:right w:val="single" w:color="auto" w:sz="4" w:space="0"/>
            </w:tcBorders>
            <w:noWrap w:val="0"/>
            <w:vAlign w:val="center"/>
          </w:tcPr>
          <w:p w14:paraId="03BBE69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本项目需要落实的政府采购政策</w:t>
            </w:r>
          </w:p>
        </w:tc>
        <w:tc>
          <w:tcPr>
            <w:tcW w:w="6651" w:type="dxa"/>
            <w:tcBorders>
              <w:left w:val="single" w:color="auto" w:sz="4" w:space="0"/>
            </w:tcBorders>
            <w:noWrap w:val="0"/>
            <w:vAlign w:val="center"/>
          </w:tcPr>
          <w:p w14:paraId="46DDE11D">
            <w:pPr>
              <w:pStyle w:val="18"/>
              <w:keepNext w:val="0"/>
              <w:keepLines w:val="0"/>
              <w:pageBreakBefore w:val="0"/>
              <w:widowControl w:val="0"/>
              <w:kinsoku/>
              <w:wordWrap/>
              <w:overflowPunct/>
              <w:topLinePunct w:val="0"/>
              <w:autoSpaceDE/>
              <w:autoSpaceDN/>
              <w:bidi w:val="0"/>
              <w:snapToGrid/>
              <w:spacing w:before="0" w:after="0" w:line="240" w:lineRule="auto"/>
              <w:jc w:val="left"/>
              <w:textAlignment w:val="auto"/>
              <w:outlineLvl w:val="9"/>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b w:val="0"/>
                <w:bCs w:val="0"/>
                <w:i w:val="0"/>
                <w:iCs w:val="0"/>
                <w:color w:val="auto"/>
                <w:kern w:val="0"/>
                <w:sz w:val="21"/>
                <w:szCs w:val="21"/>
                <w:lang w:val="en-US" w:eastAsia="zh-CN" w:bidi="ar"/>
              </w:rPr>
              <w:t>本项目需要落实的政府采购政策：详见附件“政府采购政策”。</w:t>
            </w:r>
          </w:p>
        </w:tc>
      </w:tr>
      <w:tr w14:paraId="4FCFA8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274" w:type="dxa"/>
            <w:gridSpan w:val="3"/>
            <w:noWrap w:val="0"/>
            <w:vAlign w:val="center"/>
          </w:tcPr>
          <w:p w14:paraId="1665ACD1">
            <w:pPr>
              <w:pStyle w:val="18"/>
              <w:keepNext w:val="0"/>
              <w:keepLines w:val="0"/>
              <w:pageBreakBefore w:val="0"/>
              <w:widowControl w:val="0"/>
              <w:kinsoku/>
              <w:wordWrap/>
              <w:overflowPunct/>
              <w:topLinePunct w:val="0"/>
              <w:autoSpaceDE/>
              <w:autoSpaceDN/>
              <w:bidi w:val="0"/>
              <w:snapToGrid/>
              <w:spacing w:before="0" w:after="0" w:line="240" w:lineRule="auto"/>
              <w:textAlignment w:val="auto"/>
              <w:outlineLvl w:val="9"/>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b w:val="0"/>
                <w:bCs w:val="0"/>
                <w:i w:val="0"/>
                <w:iCs w:val="0"/>
                <w:color w:val="auto"/>
                <w:sz w:val="21"/>
                <w:szCs w:val="21"/>
                <w:lang w:val="en-US" w:eastAsia="zh-CN"/>
              </w:rPr>
              <w:t>注：</w:t>
            </w:r>
          </w:p>
          <w:p w14:paraId="31C50D91">
            <w:pPr>
              <w:pStyle w:val="18"/>
              <w:keepNext w:val="0"/>
              <w:keepLines w:val="0"/>
              <w:pageBreakBefore w:val="0"/>
              <w:widowControl w:val="0"/>
              <w:kinsoku/>
              <w:wordWrap/>
              <w:overflowPunct/>
              <w:topLinePunct w:val="0"/>
              <w:autoSpaceDE/>
              <w:autoSpaceDN/>
              <w:bidi w:val="0"/>
              <w:snapToGrid/>
              <w:spacing w:before="0" w:after="0" w:line="240" w:lineRule="auto"/>
              <w:textAlignment w:val="auto"/>
              <w:outlineLvl w:val="9"/>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b w:val="0"/>
                <w:bCs w:val="0"/>
                <w:i w:val="0"/>
                <w:iCs w:val="0"/>
                <w:color w:val="auto"/>
                <w:sz w:val="21"/>
                <w:szCs w:val="21"/>
                <w:lang w:val="en-US" w:eastAsia="zh-CN"/>
              </w:rPr>
              <w:t>1.本项目招标公告与招标文件中内容有不符之处，以本招标文件中内容为准。</w:t>
            </w:r>
          </w:p>
          <w:p w14:paraId="0FE723E8">
            <w:pPr>
              <w:pageBreakBefore w:val="0"/>
              <w:overflowPunct/>
              <w:bidi w:val="0"/>
              <w:spacing w:line="240" w:lineRule="auto"/>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i w:val="0"/>
                <w:iCs w:val="0"/>
                <w:color w:val="auto"/>
                <w:sz w:val="21"/>
                <w:szCs w:val="21"/>
              </w:rPr>
              <w:t>在招标文件中，商务和技术的主要条款用“*”表示，这些主要条款的任何负偏离将否决其投标。</w:t>
            </w:r>
          </w:p>
        </w:tc>
      </w:tr>
    </w:tbl>
    <w:p w14:paraId="18A7573D">
      <w:pPr>
        <w:pageBreakBefore w:val="0"/>
        <w:overflowPunct/>
        <w:bidi w:val="0"/>
        <w:spacing w:line="240" w:lineRule="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br w:type="page"/>
      </w:r>
    </w:p>
    <w:p w14:paraId="22314A6F">
      <w:pPr>
        <w:pageBreakBefore w:val="0"/>
        <w:kinsoku/>
        <w:wordWrap/>
        <w:overflowPunct/>
        <w:topLinePunct w:val="0"/>
        <w:bidi w:val="0"/>
        <w:spacing w:before="0" w:after="0" w:line="240" w:lineRule="auto"/>
        <w:jc w:val="center"/>
        <w:outlineLvl w:val="1"/>
        <w:rPr>
          <w:rFonts w:hint="eastAsia" w:ascii="宋体" w:hAnsi="宋体" w:eastAsia="宋体" w:cs="宋体"/>
          <w:b/>
          <w:bCs/>
          <w:color w:val="auto"/>
          <w:sz w:val="24"/>
          <w:szCs w:val="24"/>
        </w:rPr>
      </w:pPr>
      <w:bookmarkStart w:id="52" w:name="_Toc28946"/>
      <w:bookmarkStart w:id="53" w:name="_Toc16450"/>
      <w:bookmarkStart w:id="54" w:name="_Toc24574"/>
      <w:bookmarkStart w:id="55" w:name="_Toc16335"/>
      <w:bookmarkStart w:id="56" w:name="_Toc28340"/>
      <w:r>
        <w:rPr>
          <w:rFonts w:hint="eastAsia" w:ascii="宋体" w:hAnsi="宋体" w:eastAsia="宋体" w:cs="宋体"/>
          <w:b/>
          <w:bCs/>
          <w:color w:val="auto"/>
          <w:sz w:val="24"/>
          <w:szCs w:val="24"/>
        </w:rPr>
        <w:t>一、总  则</w:t>
      </w:r>
      <w:bookmarkEnd w:id="52"/>
      <w:bookmarkEnd w:id="53"/>
    </w:p>
    <w:p w14:paraId="5C26A526">
      <w:pPr>
        <w:keepNext w:val="0"/>
        <w:keepLines w:val="0"/>
        <w:pageBreakBefore w:val="0"/>
        <w:widowControl/>
        <w:suppressLineNumbers w:val="0"/>
        <w:kinsoku/>
        <w:wordWrap/>
        <w:overflowPunct/>
        <w:topLinePunct w:val="0"/>
        <w:bidi w:val="0"/>
        <w:spacing w:line="240" w:lineRule="auto"/>
        <w:ind w:firstLine="422" w:firstLineChars="200"/>
        <w:jc w:val="left"/>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1、</w:t>
      </w:r>
      <w:r>
        <w:rPr>
          <w:rFonts w:hint="eastAsia" w:ascii="宋体" w:hAnsi="宋体" w:eastAsia="宋体" w:cs="宋体"/>
          <w:b/>
          <w:color w:val="auto"/>
          <w:kern w:val="0"/>
          <w:sz w:val="21"/>
          <w:szCs w:val="21"/>
          <w:lang w:val="en-US" w:eastAsia="zh-CN" w:bidi="ar"/>
        </w:rPr>
        <w:t>适用法律：</w:t>
      </w:r>
      <w:r>
        <w:rPr>
          <w:rFonts w:hint="eastAsia" w:ascii="宋体" w:hAnsi="宋体" w:eastAsia="宋体" w:cs="宋体"/>
          <w:color w:val="auto"/>
          <w:kern w:val="0"/>
          <w:sz w:val="21"/>
          <w:szCs w:val="21"/>
          <w:lang w:val="en-US" w:eastAsia="zh-CN" w:bidi="ar"/>
        </w:rPr>
        <w:t>本次招标适用法律法规为《中华人民共和国政府采购法》、《中华人民共和国政府采购法实施条例》、《政府采购货物和服务招标投标管理办法》及政府采购其它相关法规。</w:t>
      </w:r>
    </w:p>
    <w:p w14:paraId="65731C84">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2、</w:t>
      </w:r>
      <w:r>
        <w:rPr>
          <w:rFonts w:hint="eastAsia" w:ascii="宋体" w:hAnsi="宋体" w:eastAsia="宋体" w:cs="宋体"/>
          <w:b/>
          <w:color w:val="auto"/>
          <w:sz w:val="21"/>
          <w:szCs w:val="21"/>
          <w:lang w:eastAsia="zh-CN"/>
        </w:rPr>
        <w:t>招标人</w:t>
      </w:r>
      <w:r>
        <w:rPr>
          <w:rFonts w:hint="eastAsia" w:ascii="宋体" w:hAnsi="宋体" w:eastAsia="宋体" w:cs="宋体"/>
          <w:b/>
          <w:color w:val="auto"/>
          <w:sz w:val="21"/>
          <w:szCs w:val="21"/>
        </w:rPr>
        <w:t>、</w:t>
      </w:r>
      <w:r>
        <w:rPr>
          <w:rFonts w:hint="eastAsia" w:ascii="宋体" w:hAnsi="宋体" w:eastAsia="宋体" w:cs="宋体"/>
          <w:b/>
          <w:color w:val="auto"/>
          <w:sz w:val="21"/>
          <w:szCs w:val="21"/>
          <w:lang w:eastAsia="zh-CN"/>
        </w:rPr>
        <w:t>招标代理机构</w:t>
      </w:r>
      <w:r>
        <w:rPr>
          <w:rFonts w:hint="eastAsia" w:ascii="宋体" w:hAnsi="宋体" w:eastAsia="宋体" w:cs="宋体"/>
          <w:b/>
          <w:color w:val="auto"/>
          <w:sz w:val="21"/>
          <w:szCs w:val="21"/>
        </w:rPr>
        <w:t>、投标人</w:t>
      </w:r>
    </w:p>
    <w:p w14:paraId="5E3B971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2.1 “</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”是指：项目</w:t>
      </w:r>
      <w:r>
        <w:rPr>
          <w:rFonts w:hint="eastAsia" w:ascii="宋体" w:hAnsi="宋体" w:eastAsia="宋体" w:cs="宋体"/>
          <w:color w:val="auto"/>
          <w:sz w:val="21"/>
          <w:szCs w:val="21"/>
          <w:lang w:eastAsia="zh-CN"/>
        </w:rPr>
        <w:t>招标单位</w:t>
      </w:r>
      <w:r>
        <w:rPr>
          <w:rFonts w:hint="eastAsia" w:ascii="宋体" w:hAnsi="宋体" w:eastAsia="宋体" w:cs="宋体"/>
          <w:color w:val="auto"/>
          <w:sz w:val="21"/>
          <w:szCs w:val="21"/>
        </w:rPr>
        <w:t>，合同的需方。</w:t>
      </w:r>
    </w:p>
    <w:p w14:paraId="731BA1BB">
      <w:pPr>
        <w:pageBreakBefore w:val="0"/>
        <w:kinsoku/>
        <w:wordWrap/>
        <w:overflowPunct/>
        <w:topLinePunct w:val="0"/>
        <w:bidi w:val="0"/>
        <w:spacing w:line="240" w:lineRule="auto"/>
        <w:ind w:firstLine="48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 “</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”是指：</w:t>
      </w:r>
      <w:r>
        <w:rPr>
          <w:rFonts w:hint="eastAsia" w:ascii="宋体" w:hAnsi="宋体" w:eastAsia="宋体" w:cs="宋体"/>
          <w:color w:val="auto"/>
          <w:sz w:val="21"/>
          <w:szCs w:val="21"/>
          <w:lang w:eastAsia="zh-CN"/>
        </w:rPr>
        <w:t>吉林省鸿盛招标投标有限公司</w:t>
      </w:r>
      <w:r>
        <w:rPr>
          <w:rFonts w:hint="eastAsia" w:ascii="宋体" w:hAnsi="宋体" w:eastAsia="宋体" w:cs="宋体"/>
          <w:color w:val="auto"/>
          <w:sz w:val="21"/>
          <w:szCs w:val="21"/>
        </w:rPr>
        <w:t>。</w:t>
      </w:r>
    </w:p>
    <w:p w14:paraId="61EA171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2.3 “投标人”是指是指响应招标、参加投标竞争的法人、其他组织或者自然人。</w:t>
      </w:r>
    </w:p>
    <w:p w14:paraId="5CEAB8E8">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3、合格投标人</w:t>
      </w:r>
    </w:p>
    <w:p w14:paraId="579E5443">
      <w:pPr>
        <w:pageBreakBefore w:val="0"/>
        <w:kinsoku/>
        <w:wordWrap/>
        <w:overflowPunct/>
        <w:topLinePunct w:val="0"/>
        <w:bidi w:val="0"/>
        <w:spacing w:line="240" w:lineRule="auto"/>
        <w:ind w:firstLine="480"/>
        <w:outlineLvl w:val="9"/>
        <w:rPr>
          <w:rFonts w:hint="eastAsia" w:ascii="宋体" w:hAnsi="宋体" w:eastAsia="宋体" w:cs="宋体"/>
          <w:color w:val="auto"/>
          <w:sz w:val="21"/>
          <w:szCs w:val="21"/>
        </w:rPr>
      </w:pPr>
      <w:r>
        <w:rPr>
          <w:rFonts w:hint="eastAsia" w:ascii="宋体" w:hAnsi="宋体" w:eastAsia="宋体" w:cs="宋体"/>
          <w:color w:val="auto"/>
          <w:sz w:val="21"/>
          <w:szCs w:val="21"/>
        </w:rPr>
        <w:t>3.1应符合投标人须知及前附表中合格投标人的全部要求。</w:t>
      </w:r>
    </w:p>
    <w:p w14:paraId="16B90DD0">
      <w:pPr>
        <w:pageBreakBefore w:val="0"/>
        <w:kinsoku/>
        <w:wordWrap/>
        <w:overflowPunct/>
        <w:topLinePunct w:val="0"/>
        <w:bidi w:val="0"/>
        <w:spacing w:line="240" w:lineRule="auto"/>
        <w:ind w:firstLine="480"/>
        <w:outlineLvl w:val="9"/>
        <w:rPr>
          <w:rFonts w:hint="eastAsia" w:ascii="宋体" w:hAnsi="宋体" w:eastAsia="宋体" w:cs="宋体"/>
          <w:color w:val="auto"/>
          <w:sz w:val="21"/>
          <w:szCs w:val="21"/>
        </w:rPr>
      </w:pPr>
      <w:r>
        <w:rPr>
          <w:rFonts w:hint="eastAsia" w:ascii="宋体" w:hAnsi="宋体" w:eastAsia="宋体" w:cs="宋体"/>
          <w:color w:val="auto"/>
          <w:sz w:val="21"/>
          <w:szCs w:val="21"/>
        </w:rPr>
        <w:t>3.2 投标人</w:t>
      </w:r>
      <w:r>
        <w:rPr>
          <w:rFonts w:hint="eastAsia" w:ascii="宋体" w:hAnsi="宋体" w:eastAsia="宋体" w:cs="宋体"/>
          <w:color w:val="auto"/>
          <w:sz w:val="21"/>
          <w:szCs w:val="21"/>
          <w:lang w:eastAsia="zh-CN"/>
        </w:rPr>
        <w:t>应仔细阅读招标文件的所有内容，按招标文件的要求提供投标文件，并保证所提供的全部资料的真实性，使其投标对招标文件做出实质性响应，否则，其投标将被拒绝。招标机构保留进一步要求投标人补充提供有关材料的权利，拒绝补充材料或提供材料不真实，将被视为自动放弃投标资格</w:t>
      </w:r>
      <w:r>
        <w:rPr>
          <w:rFonts w:hint="eastAsia" w:ascii="宋体" w:hAnsi="宋体" w:eastAsia="宋体" w:cs="宋体"/>
          <w:color w:val="auto"/>
          <w:sz w:val="21"/>
          <w:szCs w:val="21"/>
        </w:rPr>
        <w:t>。</w:t>
      </w:r>
    </w:p>
    <w:p w14:paraId="606A2334">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4、投标费用</w:t>
      </w:r>
    </w:p>
    <w:p w14:paraId="5EC1B78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投标人应承担所有与编写和提交投标文件有关的费用，无论投标的结果如何，</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在任何情况下均无义务和责任承担这些费用。</w:t>
      </w:r>
    </w:p>
    <w:p w14:paraId="78C7B2A0">
      <w:pPr>
        <w:pageBreakBefore w:val="0"/>
        <w:kinsoku/>
        <w:wordWrap/>
        <w:overflowPunct/>
        <w:topLinePunct w:val="0"/>
        <w:bidi w:val="0"/>
        <w:spacing w:line="240" w:lineRule="auto"/>
        <w:jc w:val="center"/>
        <w:outlineLvl w:val="1"/>
        <w:rPr>
          <w:rFonts w:hint="eastAsia" w:ascii="宋体" w:hAnsi="宋体" w:eastAsia="宋体" w:cs="宋体"/>
          <w:b/>
          <w:color w:val="auto"/>
          <w:sz w:val="21"/>
          <w:szCs w:val="21"/>
        </w:rPr>
      </w:pPr>
      <w:bookmarkStart w:id="57" w:name="_Toc30276"/>
      <w:bookmarkStart w:id="58" w:name="_Toc14446"/>
      <w:r>
        <w:rPr>
          <w:rFonts w:hint="eastAsia" w:ascii="宋体" w:hAnsi="宋体" w:eastAsia="宋体" w:cs="宋体"/>
          <w:b/>
          <w:color w:val="auto"/>
          <w:sz w:val="21"/>
          <w:szCs w:val="21"/>
        </w:rPr>
        <w:t>二、招标文件</w:t>
      </w:r>
      <w:bookmarkEnd w:id="57"/>
      <w:bookmarkEnd w:id="58"/>
    </w:p>
    <w:p w14:paraId="7CAB9629">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5、招标文件</w:t>
      </w:r>
    </w:p>
    <w:p w14:paraId="1766F7D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5.1 招标文件的构成</w:t>
      </w:r>
    </w:p>
    <w:p w14:paraId="422B0E19">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第一章  招标公告</w:t>
      </w:r>
    </w:p>
    <w:p w14:paraId="095A5276">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第二章  投标人须知</w:t>
      </w:r>
    </w:p>
    <w:p w14:paraId="2E401DA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第三章  评标办法</w:t>
      </w:r>
    </w:p>
    <w:p w14:paraId="779867C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第四章  合同条款(参考格式)</w:t>
      </w:r>
    </w:p>
    <w:p w14:paraId="0C66954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第五章  技术需求</w:t>
      </w:r>
    </w:p>
    <w:p w14:paraId="27C88EA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第六章  投标文件构成、要求及格式</w:t>
      </w:r>
    </w:p>
    <w:p w14:paraId="753B391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第七章</w:t>
      </w:r>
      <w:r>
        <w:rPr>
          <w:rFonts w:hint="eastAsia" w:ascii="宋体" w:hAnsi="宋体" w:eastAsia="宋体" w:cs="宋体"/>
          <w:color w:val="auto"/>
          <w:sz w:val="21"/>
          <w:szCs w:val="21"/>
          <w:lang w:val="en-US" w:eastAsia="zh-CN"/>
        </w:rPr>
        <w:t xml:space="preserve"> 附件</w:t>
      </w:r>
    </w:p>
    <w:p w14:paraId="601B1A15">
      <w:pPr>
        <w:pageBreakBefore w:val="0"/>
        <w:kinsoku/>
        <w:wordWrap/>
        <w:overflowPunct/>
        <w:topLinePunct w:val="0"/>
        <w:bidi w:val="0"/>
        <w:spacing w:line="240" w:lineRule="auto"/>
        <w:ind w:firstLine="420" w:firstLineChars="200"/>
        <w:outlineLvl w:val="9"/>
        <w:rPr>
          <w:rFonts w:hint="eastAsia" w:ascii="宋体" w:hAnsi="宋体" w:eastAsia="宋体" w:cs="宋体"/>
          <w:b/>
          <w:bCs/>
          <w:color w:val="auto"/>
          <w:sz w:val="21"/>
          <w:szCs w:val="21"/>
        </w:rPr>
      </w:pPr>
      <w:r>
        <w:rPr>
          <w:rFonts w:hint="eastAsia" w:ascii="宋体" w:hAnsi="宋体" w:eastAsia="宋体" w:cs="宋体"/>
          <w:color w:val="auto"/>
          <w:sz w:val="21"/>
          <w:szCs w:val="21"/>
        </w:rPr>
        <w:t>5.2投标人应认真阅读招标文件中所有的事项、格式、条款和规范等要求。如果投标人没有按照招标文件要求提交全部资料或投标文件没有对招标文件在各方面都做出实质性响应，是投标人的风险。</w:t>
      </w:r>
    </w:p>
    <w:p w14:paraId="49AFD77E">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6、招标文件的澄清和修改</w:t>
      </w:r>
    </w:p>
    <w:p w14:paraId="0D730F8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6.1任何要求对招标文件进行澄清或对招标文件质疑的潜在投标人，均应在获取招标文件或者招标文件公告期限届满之日起7个工作日内以书面形式（须加盖公章）通知</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（如投标人所参与项目须要在网上提交质疑程序，</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须将纸质版质疑材料与网上提交质疑程序在同一工作日内进行，如出现日期不一致时，以两者中最后日期为准），超过这个规定期限提出的澄清要求或质疑将不予受理。</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对收到的澄清要求将视所提问题的具体情况以书面形式予以答复，同时传真给每个购买招标文件的潜在投标人或由潜在投标人直接到</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领取。潜在投标人应在1日内确认已收到该答复，未回复的潜在投标人视为已经收到该答复。答复中包括所提的问题，但不包括问题的来源。</w:t>
      </w:r>
    </w:p>
    <w:p w14:paraId="1FC3467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可以对已发出的招标文件、招标公告进行必要的澄清或者修改，但不得改变采购标的和资格条件。澄清或者修改将在原公告发布媒体上发布澄清公告。澄清或者修改的内容为招标文件、招标公告的组成部分。</w:t>
      </w:r>
    </w:p>
    <w:p w14:paraId="11B1082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澄清或者修改的内容可能影响投标文件编制的，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将在投标截止时间15日前，以书面形式通知所有获取招标文件的潜在投标人；不足15日的，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将顺延提交投标文件的截止时间。在这种情况下，</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和投标人受投标截止时间制约的所有权利和义务均相应顺延至新的投标截止时间。</w:t>
      </w:r>
    </w:p>
    <w:p w14:paraId="7791A08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6.3本项目不召开答疑会。</w:t>
      </w:r>
    </w:p>
    <w:p w14:paraId="14028595">
      <w:pPr>
        <w:pageBreakBefore w:val="0"/>
        <w:kinsoku/>
        <w:wordWrap/>
        <w:overflowPunct/>
        <w:topLinePunct w:val="0"/>
        <w:bidi w:val="0"/>
        <w:spacing w:line="240" w:lineRule="auto"/>
        <w:jc w:val="center"/>
        <w:outlineLvl w:val="1"/>
        <w:rPr>
          <w:rFonts w:hint="eastAsia" w:ascii="宋体" w:hAnsi="宋体" w:eastAsia="宋体" w:cs="宋体"/>
          <w:b/>
          <w:color w:val="auto"/>
          <w:sz w:val="21"/>
          <w:szCs w:val="21"/>
        </w:rPr>
      </w:pPr>
      <w:bookmarkStart w:id="59" w:name="_Toc13388"/>
      <w:bookmarkStart w:id="60" w:name="_Toc19185"/>
      <w:r>
        <w:rPr>
          <w:rFonts w:hint="eastAsia" w:ascii="宋体" w:hAnsi="宋体" w:eastAsia="宋体" w:cs="宋体"/>
          <w:b/>
          <w:color w:val="auto"/>
          <w:sz w:val="21"/>
          <w:szCs w:val="21"/>
        </w:rPr>
        <w:t>三、投标文件</w:t>
      </w:r>
      <w:bookmarkEnd w:id="59"/>
      <w:bookmarkEnd w:id="60"/>
    </w:p>
    <w:p w14:paraId="3DD6599B">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7、投标文件的编制</w:t>
      </w:r>
    </w:p>
    <w:p w14:paraId="6122C2F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7.1投标语言：投标人的投标文件以及投标人与招标方就有关投标的所有来往函电均应使用中文。(注：投标人所投产品及设备的相关资料非中文文本无效)</w:t>
      </w:r>
    </w:p>
    <w:p w14:paraId="56B8C99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7.2计量单位：中华人民共和国法定计量单位。</w:t>
      </w:r>
    </w:p>
    <w:p w14:paraId="306C366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7.3投标文件应编排有序，并编制文件目录，准确标明文件内容所在位置。请投标人按以下顺序编排投标文件并加盖公章： </w:t>
      </w:r>
    </w:p>
    <w:p w14:paraId="197EE11F">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1、投标文件目录及页码</w:t>
      </w:r>
    </w:p>
    <w:p w14:paraId="40803B4C">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2、投标函</w:t>
      </w:r>
    </w:p>
    <w:p w14:paraId="00640AA8">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法定代表人</w:t>
      </w:r>
      <w:r>
        <w:rPr>
          <w:rFonts w:hint="eastAsia" w:ascii="宋体" w:hAnsi="宋体" w:eastAsia="宋体" w:cs="宋体"/>
          <w:color w:val="auto"/>
          <w:sz w:val="21"/>
          <w:szCs w:val="21"/>
        </w:rPr>
        <w:t>证明书</w:t>
      </w:r>
    </w:p>
    <w:p w14:paraId="69504BB3">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法定代表人</w:t>
      </w:r>
      <w:r>
        <w:rPr>
          <w:rFonts w:hint="eastAsia" w:ascii="宋体" w:hAnsi="宋体" w:eastAsia="宋体" w:cs="宋体"/>
          <w:color w:val="auto"/>
          <w:sz w:val="21"/>
          <w:szCs w:val="21"/>
        </w:rPr>
        <w:t>授权书</w:t>
      </w:r>
    </w:p>
    <w:p w14:paraId="4D43A531">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开标一览表</w:t>
      </w:r>
    </w:p>
    <w:p w14:paraId="12231550">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w:t>
      </w:r>
      <w:r>
        <w:rPr>
          <w:rFonts w:hint="eastAsia" w:ascii="宋体" w:hAnsi="宋体" w:eastAsia="宋体" w:cs="宋体"/>
          <w:color w:val="auto"/>
          <w:sz w:val="21"/>
          <w:szCs w:val="21"/>
          <w:lang w:val="zh-CN"/>
        </w:rPr>
        <w:t>报价明细表</w:t>
      </w:r>
    </w:p>
    <w:p w14:paraId="21CADCD5">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7、资格要求</w:t>
      </w:r>
    </w:p>
    <w:p w14:paraId="2A193759">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商业信誉</w:t>
      </w:r>
    </w:p>
    <w:p w14:paraId="30E3698B">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财务要求</w:t>
      </w:r>
    </w:p>
    <w:p w14:paraId="3A186845">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依法缴纳税收和社会保障资金</w:t>
      </w:r>
    </w:p>
    <w:p w14:paraId="7B2D0641">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11</w:t>
      </w:r>
      <w:r>
        <w:rPr>
          <w:rFonts w:hint="eastAsia" w:ascii="宋体" w:hAnsi="宋体" w:eastAsia="宋体" w:cs="宋体"/>
          <w:color w:val="auto"/>
          <w:sz w:val="21"/>
          <w:szCs w:val="21"/>
          <w:lang w:val="zh-CN"/>
        </w:rPr>
        <w:t>、投标人的资格声明</w:t>
      </w:r>
    </w:p>
    <w:p w14:paraId="56BB9D96">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12、类似业绩</w:t>
      </w:r>
    </w:p>
    <w:p w14:paraId="7E16CC49">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13、技术人员情况</w:t>
      </w:r>
    </w:p>
    <w:p w14:paraId="6D50FCE6">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14、</w:t>
      </w:r>
      <w:r>
        <w:rPr>
          <w:rFonts w:hint="eastAsia" w:ascii="宋体" w:hAnsi="宋体" w:eastAsia="宋体" w:cs="宋体"/>
          <w:color w:val="auto"/>
          <w:sz w:val="21"/>
          <w:szCs w:val="21"/>
          <w:lang w:val="zh-CN"/>
        </w:rPr>
        <w:t>技术偏离表</w:t>
      </w:r>
    </w:p>
    <w:p w14:paraId="290280F3">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15、技术方案</w:t>
      </w:r>
    </w:p>
    <w:p w14:paraId="52D9A93E">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lang w:val="zh-CN"/>
        </w:rPr>
        <w:t>、“节能产品”、“环境标志产品”等证明材料</w:t>
      </w:r>
    </w:p>
    <w:p w14:paraId="6EEA3066">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rPr>
        <w:t>、提供招标文件内要求的承诺书及投标人认为有必要提交的其他材料</w:t>
      </w:r>
    </w:p>
    <w:p w14:paraId="6DD9B96B">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8、投标文件构成</w:t>
      </w:r>
    </w:p>
    <w:p w14:paraId="6DAA374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8.1投标人编写的投标文件应包括下列部分：</w:t>
      </w:r>
    </w:p>
    <w:p w14:paraId="0659FB81">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8.1.1按第六章“投标文件构成、要求及格式”编制一份“开标一览表”，并完整地填写“投标函”、“投标报价一览表”和“商务条款偏离表和技术规格偏离表”。</w:t>
      </w:r>
    </w:p>
    <w:p w14:paraId="65FFA48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8.1.2证明投标人符合资格要求的文件：应具备第二章“投标人须知”第3条“合格投标人”要求的投标资格，提供相关的资格证明文件以及第六章“投标文件构成、要求及格式”要求提供的其他资质文件。</w:t>
      </w:r>
    </w:p>
    <w:p w14:paraId="0F37FB9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8.1.3证明货物合格性和符合招标文件规定的文件材料：</w:t>
      </w:r>
    </w:p>
    <w:p w14:paraId="5C861349">
      <w:pPr>
        <w:pStyle w:val="14"/>
        <w:pageBreakBefore w:val="0"/>
        <w:kinsoku/>
        <w:wordWrap/>
        <w:overflowPunct/>
        <w:topLinePunct w:val="0"/>
        <w:bidi w:val="0"/>
        <w:spacing w:line="240" w:lineRule="auto"/>
        <w:ind w:left="0" w:leftChars="0" w:firstLine="315" w:firstLineChars="15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（1）“投标报价一览表”中对货物和服务来源地的说明；</w:t>
      </w:r>
    </w:p>
    <w:p w14:paraId="3186CD01">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（2）货物主要技术指标和性能的详细说明，包括文字资料、产品样本、图纸和数据等；</w:t>
      </w:r>
    </w:p>
    <w:p w14:paraId="13F7FA4E">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（3）为使货物正常、连续地使用，应提供</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使用该货物所需的完整的备件和工具及清单（格式自拟）；</w:t>
      </w:r>
    </w:p>
    <w:p w14:paraId="017825AE">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4）逐条对招标文件要求的技术需求进行应答，指出所提供的货物和服务是否对招标文件的要求做出了实质性响应，或说明与货物需求和技术规格要求的正负偏差和例外，详细填写“技术规格偏离表、商务条款偏离表”。</w:t>
      </w:r>
    </w:p>
    <w:p w14:paraId="604752A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8.1.4“投标人须知”第10条要求提交的投标保证金。</w:t>
      </w:r>
    </w:p>
    <w:p w14:paraId="0CE3E62F">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9、投标报价</w:t>
      </w:r>
    </w:p>
    <w:p w14:paraId="0867798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9.1报价原则：所有投标均以人民币元为计算单位。</w:t>
      </w:r>
    </w:p>
    <w:p w14:paraId="2D9D013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9.2投标人所报的价格在合同执行过程中是固定不变的，不得以任何理由予以变更。以可调整的价格提交的投标将作为非响应性投标而予以拒绝。</w:t>
      </w:r>
    </w:p>
    <w:p w14:paraId="2C52B87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9.3投标人报价应为优惠条件折算后的最终价格。评标过程中不再接受优惠条件的价格折算。</w:t>
      </w:r>
    </w:p>
    <w:p w14:paraId="48BF35F5">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10、投标保证金</w:t>
      </w:r>
    </w:p>
    <w:p w14:paraId="44DB181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10.1投标保证金：投标人应在投标截止时间前将投标保证金采用</w:t>
      </w:r>
      <w:r>
        <w:rPr>
          <w:rFonts w:hint="eastAsia" w:ascii="宋体" w:hAnsi="宋体" w:eastAsia="宋体" w:cs="宋体"/>
          <w:color w:val="auto"/>
          <w:sz w:val="21"/>
          <w:szCs w:val="21"/>
          <w:lang w:eastAsia="zh-CN"/>
        </w:rPr>
        <w:t>银行出具的现金支票、保兑支票、银行汇票，银行或专业担保公司出具的保函，以转账、电汇或支票形式提交的投标保证金应当从投标人的基本账户转出</w:t>
      </w:r>
      <w:r>
        <w:rPr>
          <w:rFonts w:hint="eastAsia" w:ascii="宋体" w:hAnsi="宋体" w:eastAsia="宋体" w:cs="宋体"/>
          <w:color w:val="auto"/>
          <w:sz w:val="21"/>
          <w:szCs w:val="21"/>
        </w:rPr>
        <w:t>。</w:t>
      </w:r>
    </w:p>
    <w:p w14:paraId="7CDDBCFD">
      <w:pPr>
        <w:pageBreakBefore w:val="0"/>
        <w:kinsoku/>
        <w:wordWrap/>
        <w:overflowPunct/>
        <w:topLinePunct w:val="0"/>
        <w:bidi w:val="0"/>
        <w:spacing w:line="240" w:lineRule="auto"/>
        <w:ind w:left="13" w:leftChars="6" w:firstLine="464" w:firstLineChars="221"/>
        <w:outlineLvl w:val="9"/>
        <w:rPr>
          <w:rFonts w:hint="eastAsia" w:ascii="宋体" w:hAnsi="宋体" w:eastAsia="宋体" w:cs="宋体"/>
          <w:color w:val="auto"/>
          <w:sz w:val="21"/>
          <w:szCs w:val="21"/>
        </w:rPr>
      </w:pPr>
      <w:r>
        <w:rPr>
          <w:rFonts w:hint="eastAsia" w:ascii="宋体" w:hAnsi="宋体" w:eastAsia="宋体" w:cs="宋体"/>
          <w:color w:val="auto"/>
          <w:sz w:val="21"/>
          <w:szCs w:val="21"/>
        </w:rPr>
        <w:t>10.2投标保证金是为了弥补</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因投标人的违规行为而蒙受的损失。</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在因投标人的违规行为而受到损害时将没收投标人的投标保证金作为所受损害的补偿。</w:t>
      </w:r>
    </w:p>
    <w:p w14:paraId="5BDEE9F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10.3投标保证金是投标文件的一个组成部分，没有按要求提交投标保证金的投标，将被视为非响应性投标予以拒绝。</w:t>
      </w:r>
    </w:p>
    <w:p w14:paraId="189DE74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10.4落标人的投标保证金在中标通知书发出后5个工作日内退还，不计利息。</w:t>
      </w:r>
    </w:p>
    <w:p w14:paraId="236E4E2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10.5中标人的投标保证金，在中标人按规定签署合同，并交纳了履约保证金后5个工作日予以退还，不计利息。</w:t>
      </w:r>
    </w:p>
    <w:p w14:paraId="38F54EE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10.6中标</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有下列情况之一的，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不予退还其交纳的投标保证金：</w:t>
      </w:r>
    </w:p>
    <w:p w14:paraId="060D99F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（1）投标人在招标文件规定的投标有效期内撤回其投标；</w:t>
      </w:r>
    </w:p>
    <w:p w14:paraId="65D7A90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（2）中标人未按规定提交履约保证金的；</w:t>
      </w:r>
    </w:p>
    <w:p w14:paraId="03988BA6">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（3）中标人未按规定时间、地点与</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签订合同的；</w:t>
      </w:r>
    </w:p>
    <w:p w14:paraId="440E733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（4）投标人存在严重违法行为：如提供虚假材料谋取中标，恶意串通，以及行贿或者提供其他不正当利益等；</w:t>
      </w:r>
    </w:p>
    <w:p w14:paraId="0942F8F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（5）招标文件规定不予退还投标保证金的其他情形。</w:t>
      </w:r>
    </w:p>
    <w:p w14:paraId="18A7CADF">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11、投标有效期</w:t>
      </w:r>
    </w:p>
    <w:p w14:paraId="29BF089B">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11.1投标有效期为自开标之时起90天，投标文件在这个规定期限内应保持有效。</w:t>
      </w:r>
    </w:p>
    <w:p w14:paraId="313CD527">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在特殊情况下，招标方可与投标人协商延长投标有效期。这种要求和答复都应以书面形式进行。投标人可以拒绝接受延期要求而不会被没收投标保证金。同意延长投标有效期的投标人除按照招标方要求修改投标文件的有效期外，不能修改投标文件的其他内容。</w:t>
      </w:r>
    </w:p>
    <w:p w14:paraId="696D5373">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lang w:eastAsia="zh-CN"/>
        </w:rPr>
      </w:pPr>
      <w:r>
        <w:rPr>
          <w:rFonts w:hint="eastAsia" w:ascii="宋体" w:hAnsi="宋体" w:eastAsia="宋体" w:cs="宋体"/>
          <w:b/>
          <w:color w:val="auto"/>
          <w:sz w:val="21"/>
          <w:szCs w:val="21"/>
        </w:rPr>
        <w:t>12、投标文件的签署</w:t>
      </w:r>
      <w:r>
        <w:rPr>
          <w:rFonts w:hint="eastAsia" w:ascii="宋体" w:hAnsi="宋体" w:eastAsia="宋体" w:cs="宋体"/>
          <w:b/>
          <w:color w:val="auto"/>
          <w:sz w:val="21"/>
          <w:szCs w:val="21"/>
          <w:lang w:eastAsia="zh-CN"/>
        </w:rPr>
        <w:t>和规定</w:t>
      </w:r>
    </w:p>
    <w:p w14:paraId="5810627D">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12.1投标文件每页均需加盖公章；</w:t>
      </w:r>
    </w:p>
    <w:p w14:paraId="6E1DE79E">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12.2投标文件需相关人员（如法人、授权人）签字或盖名章或盖公章的需要签字或盖名章或盖公章；</w:t>
      </w:r>
    </w:p>
    <w:p w14:paraId="2D9BBA90">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12.3</w:t>
      </w:r>
      <w:r>
        <w:rPr>
          <w:rFonts w:hint="eastAsia" w:ascii="宋体" w:hAnsi="宋体" w:eastAsia="宋体" w:cs="宋体"/>
          <w:color w:val="auto"/>
          <w:sz w:val="21"/>
          <w:szCs w:val="21"/>
        </w:rPr>
        <w:t>未经有效签署</w:t>
      </w:r>
      <w:r>
        <w:rPr>
          <w:rFonts w:hint="eastAsia" w:ascii="宋体" w:hAnsi="宋体" w:eastAsia="宋体" w:cs="宋体"/>
          <w:color w:val="auto"/>
          <w:sz w:val="21"/>
          <w:szCs w:val="21"/>
          <w:lang w:eastAsia="zh-CN"/>
        </w:rPr>
        <w:t>（含</w:t>
      </w:r>
      <w:r>
        <w:rPr>
          <w:rFonts w:hint="eastAsia" w:ascii="宋体" w:hAnsi="宋体" w:eastAsia="宋体" w:cs="宋体"/>
          <w:color w:val="auto"/>
          <w:sz w:val="21"/>
          <w:szCs w:val="21"/>
          <w:lang w:val="en-US" w:eastAsia="zh-CN"/>
        </w:rPr>
        <w:t>签字或盖名章或盖公章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的投标文件将被作为非响应性投标而被拒绝。</w:t>
      </w:r>
    </w:p>
    <w:p w14:paraId="7AA9DAE4">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12.4.投标文件中如有修改错漏处，应在修改处加盖公章。</w:t>
      </w:r>
    </w:p>
    <w:p w14:paraId="40BA130B">
      <w:pPr>
        <w:pageBreakBefore w:val="0"/>
        <w:kinsoku/>
        <w:wordWrap/>
        <w:overflowPunct/>
        <w:topLinePunct w:val="0"/>
        <w:bidi w:val="0"/>
        <w:spacing w:line="240" w:lineRule="auto"/>
        <w:ind w:firstLine="420" w:firstLineChars="200"/>
        <w:jc w:val="left"/>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12.5投标文件正本一份和副本二份，如果正本与副本不符，以正本为准，电子版二份（U盘形式）。投标文件的正本必须用不退色的墨水填写或打印，注明“正本”字样。</w:t>
      </w:r>
    </w:p>
    <w:p w14:paraId="02943AA0">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w:t>
      </w:r>
      <w:r>
        <w:rPr>
          <w:rFonts w:hint="eastAsia" w:ascii="宋体" w:hAnsi="宋体" w:eastAsia="宋体" w:cs="宋体"/>
          <w:b/>
          <w:color w:val="auto"/>
          <w:sz w:val="21"/>
          <w:szCs w:val="21"/>
          <w:lang w:val="en-US" w:eastAsia="zh-CN"/>
        </w:rPr>
        <w:t>3</w:t>
      </w:r>
      <w:r>
        <w:rPr>
          <w:rFonts w:hint="eastAsia" w:ascii="宋体" w:hAnsi="宋体" w:eastAsia="宋体" w:cs="宋体"/>
          <w:b/>
          <w:color w:val="auto"/>
          <w:sz w:val="21"/>
          <w:szCs w:val="21"/>
        </w:rPr>
        <w:t>、投标</w:t>
      </w:r>
    </w:p>
    <w:p w14:paraId="591BC6FC">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13.1</w:t>
      </w:r>
      <w:r>
        <w:rPr>
          <w:rFonts w:hint="eastAsia" w:ascii="宋体" w:hAnsi="宋体" w:eastAsia="宋体" w:cs="宋体"/>
          <w:b w:val="0"/>
          <w:bCs/>
          <w:color w:val="auto"/>
          <w:sz w:val="21"/>
          <w:szCs w:val="21"/>
          <w:lang w:eastAsia="zh-CN"/>
        </w:rPr>
        <w:t>投标文件递交</w:t>
      </w:r>
    </w:p>
    <w:p w14:paraId="277CCC70">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1</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zh-CN" w:eastAsia="zh-CN"/>
        </w:rPr>
        <w:t>投标文件</w:t>
      </w:r>
      <w:r>
        <w:rPr>
          <w:rFonts w:hint="eastAsia" w:ascii="宋体" w:hAnsi="宋体" w:eastAsia="宋体" w:cs="宋体"/>
          <w:b w:val="0"/>
          <w:bCs/>
          <w:color w:val="auto"/>
          <w:sz w:val="21"/>
          <w:szCs w:val="21"/>
          <w:lang w:eastAsia="zh-CN"/>
        </w:rPr>
        <w:t>1</w:t>
      </w:r>
      <w:r>
        <w:rPr>
          <w:rFonts w:hint="eastAsia" w:ascii="宋体" w:hAnsi="宋体" w:eastAsia="宋体" w:cs="宋体"/>
          <w:b w:val="0"/>
          <w:bCs/>
          <w:color w:val="auto"/>
          <w:sz w:val="21"/>
          <w:szCs w:val="21"/>
          <w:lang w:val="zh-CN" w:eastAsia="zh-CN"/>
        </w:rPr>
        <w:t>份</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zh-CN" w:eastAsia="zh-CN"/>
        </w:rPr>
        <w:t>此投标文件须上传至</w:t>
      </w:r>
      <w:r>
        <w:rPr>
          <w:rFonts w:hint="eastAsia" w:ascii="宋体" w:hAnsi="宋体" w:eastAsia="宋体" w:cs="宋体"/>
          <w:b w:val="0"/>
          <w:bCs/>
          <w:color w:val="auto"/>
          <w:sz w:val="21"/>
          <w:szCs w:val="21"/>
          <w:lang w:eastAsia="zh-CN"/>
        </w:rPr>
        <w:t>政府采购云平台）</w:t>
      </w:r>
      <w:r>
        <w:rPr>
          <w:rFonts w:hint="eastAsia" w:ascii="宋体" w:hAnsi="宋体" w:eastAsia="宋体" w:cs="宋体"/>
          <w:b w:val="0"/>
          <w:bCs/>
          <w:color w:val="auto"/>
          <w:sz w:val="21"/>
          <w:szCs w:val="21"/>
          <w:lang w:val="zh-CN" w:eastAsia="zh-CN"/>
        </w:rPr>
        <w:t>。其他要求详见投标人须知。</w:t>
      </w:r>
    </w:p>
    <w:p w14:paraId="56AFFAEA">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2</w:t>
      </w:r>
      <w:r>
        <w:rPr>
          <w:rFonts w:hint="eastAsia" w:ascii="宋体" w:hAnsi="宋体" w:eastAsia="宋体" w:cs="宋体"/>
          <w:b w:val="0"/>
          <w:bCs/>
          <w:color w:val="auto"/>
          <w:sz w:val="21"/>
          <w:szCs w:val="21"/>
          <w:lang w:eastAsia="zh-CN"/>
        </w:rPr>
        <w:t>）投标文件必须由法定代表人（或法定代表人）或法定代表人（或法定代表人）授权代表签名并盖公章，详见第六章“投标文件构成、要求及格式”。</w:t>
      </w:r>
    </w:p>
    <w:p w14:paraId="457C3BA7">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3</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zh-CN" w:eastAsia="zh-CN"/>
        </w:rPr>
        <w:t>本项目开标方式为远程开标。投标人开标时，需携带制作投标文件时用来加密的有效数字证书（CA认证）登录政府采购云平台电子开标大厅现场按规定时间对加密的投标文件进行远程解密。其他要求详见投标人须知。</w:t>
      </w:r>
    </w:p>
    <w:p w14:paraId="2E34A0E9">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13.2</w:t>
      </w:r>
      <w:r>
        <w:rPr>
          <w:rFonts w:hint="eastAsia" w:ascii="宋体" w:hAnsi="宋体" w:eastAsia="宋体" w:cs="宋体"/>
          <w:b w:val="0"/>
          <w:bCs/>
          <w:color w:val="auto"/>
          <w:sz w:val="21"/>
          <w:szCs w:val="21"/>
          <w:lang w:eastAsia="zh-CN"/>
        </w:rPr>
        <w:t>递交投标文件的截止时间</w:t>
      </w:r>
    </w:p>
    <w:p w14:paraId="30A7BCF9">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1</w:t>
      </w:r>
      <w:r>
        <w:rPr>
          <w:rFonts w:hint="eastAsia" w:ascii="宋体" w:hAnsi="宋体" w:eastAsia="宋体" w:cs="宋体"/>
          <w:b w:val="0"/>
          <w:bCs/>
          <w:color w:val="auto"/>
          <w:sz w:val="21"/>
          <w:szCs w:val="21"/>
          <w:lang w:eastAsia="zh-CN"/>
        </w:rPr>
        <w:t>）所有投标文件不论是通过专人或邮寄递交，都必须按照招标机构在投标邀请中规定的投标截止时间之前送至投标地点。</w:t>
      </w:r>
    </w:p>
    <w:p w14:paraId="101D61E7">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2</w:t>
      </w:r>
      <w:r>
        <w:rPr>
          <w:rFonts w:hint="eastAsia" w:ascii="宋体" w:hAnsi="宋体" w:eastAsia="宋体" w:cs="宋体"/>
          <w:b w:val="0"/>
          <w:bCs/>
          <w:color w:val="auto"/>
          <w:sz w:val="21"/>
          <w:szCs w:val="21"/>
          <w:lang w:eastAsia="zh-CN"/>
        </w:rPr>
        <w:t>）招标机构推迟投标截止时间时，应以书面(或传真)的形式，通知所有投标人。在这种情况下，招标机构和投标人的权利和义务将受到新的截止期的约束。</w:t>
      </w:r>
    </w:p>
    <w:p w14:paraId="14AB536A">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3</w:t>
      </w:r>
      <w:r>
        <w:rPr>
          <w:rFonts w:hint="eastAsia" w:ascii="宋体" w:hAnsi="宋体" w:eastAsia="宋体" w:cs="宋体"/>
          <w:b w:val="0"/>
          <w:bCs/>
          <w:color w:val="auto"/>
          <w:sz w:val="21"/>
          <w:szCs w:val="21"/>
          <w:lang w:eastAsia="zh-CN"/>
        </w:rPr>
        <w:t>）招标机构对投标文件在邮寄过程中的遗失或损坏不负责任。</w:t>
      </w:r>
    </w:p>
    <w:p w14:paraId="20A061A4">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4</w:t>
      </w:r>
      <w:r>
        <w:rPr>
          <w:rFonts w:hint="eastAsia" w:ascii="宋体" w:hAnsi="宋体" w:eastAsia="宋体" w:cs="宋体"/>
          <w:b w:val="0"/>
          <w:bCs/>
          <w:color w:val="auto"/>
          <w:sz w:val="21"/>
          <w:szCs w:val="21"/>
          <w:lang w:eastAsia="zh-CN"/>
        </w:rPr>
        <w:t>）在投标截止时间以后送达的投标文件，招标机构拒绝接收。</w:t>
      </w:r>
    </w:p>
    <w:p w14:paraId="2CD10C10">
      <w:pPr>
        <w:pageBreakBefore w:val="0"/>
        <w:kinsoku/>
        <w:wordWrap/>
        <w:overflowPunct/>
        <w:topLinePunct w:val="0"/>
        <w:bidi w:val="0"/>
        <w:spacing w:line="240" w:lineRule="auto"/>
        <w:ind w:firstLine="413" w:firstLineChars="196"/>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w:t>
      </w:r>
      <w:r>
        <w:rPr>
          <w:rFonts w:hint="eastAsia" w:ascii="宋体" w:hAnsi="宋体" w:eastAsia="宋体" w:cs="宋体"/>
          <w:b/>
          <w:color w:val="auto"/>
          <w:sz w:val="21"/>
          <w:szCs w:val="21"/>
          <w:lang w:val="en-US" w:eastAsia="zh-CN"/>
        </w:rPr>
        <w:t>4</w:t>
      </w:r>
      <w:r>
        <w:rPr>
          <w:rFonts w:hint="eastAsia" w:ascii="宋体" w:hAnsi="宋体" w:eastAsia="宋体" w:cs="宋体"/>
          <w:b/>
          <w:color w:val="auto"/>
          <w:sz w:val="21"/>
          <w:szCs w:val="21"/>
        </w:rPr>
        <w:t>、投标文件的修改和撤回</w:t>
      </w:r>
    </w:p>
    <w:p w14:paraId="3E9CC89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.1投标人在递交投标文件后，可以修改或撤回其投标文件，但招标方必须在规定的投标截止期之前收到投标人的修改或撤回的书面通知。</w:t>
      </w:r>
    </w:p>
    <w:p w14:paraId="0023019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.2投标人的修改或撤回通知书应按对投标文件的规定一样进行编制、密封、标记和递交，并标明“修改”或“撤回”字样。</w:t>
      </w:r>
    </w:p>
    <w:p w14:paraId="3FA5A97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.3在投标截止时间（开标时间）之后，投标人不得对其投标文件做任何修改。</w:t>
      </w:r>
    </w:p>
    <w:p w14:paraId="57BC59D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.4从开标之时起，至投标有效期期满之间的这段时间内，投标人不得撤回其投标，否则根据投标人须知第10.</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条的规定，其投标保证金将</w:t>
      </w:r>
      <w:r>
        <w:rPr>
          <w:rFonts w:hint="eastAsia" w:ascii="宋体" w:hAnsi="宋体" w:eastAsia="宋体" w:cs="宋体"/>
          <w:color w:val="auto"/>
          <w:sz w:val="21"/>
          <w:szCs w:val="21"/>
          <w:lang w:eastAsia="zh-CN"/>
        </w:rPr>
        <w:t>不予退还</w:t>
      </w:r>
      <w:r>
        <w:rPr>
          <w:rFonts w:hint="eastAsia" w:ascii="宋体" w:hAnsi="宋体" w:eastAsia="宋体" w:cs="宋体"/>
          <w:color w:val="auto"/>
          <w:sz w:val="21"/>
          <w:szCs w:val="21"/>
        </w:rPr>
        <w:t>。与其他</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恶意串通而撤回投标的，按照《中华人民共和国政府采购法》第七十七条的规定处理。</w:t>
      </w:r>
    </w:p>
    <w:p w14:paraId="72E3F6F8">
      <w:pPr>
        <w:pageBreakBefore w:val="0"/>
        <w:kinsoku/>
        <w:wordWrap/>
        <w:overflowPunct/>
        <w:topLinePunct w:val="0"/>
        <w:bidi w:val="0"/>
        <w:spacing w:line="240" w:lineRule="auto"/>
        <w:jc w:val="center"/>
        <w:outlineLvl w:val="1"/>
        <w:rPr>
          <w:rFonts w:hint="eastAsia" w:ascii="宋体" w:hAnsi="宋体" w:eastAsia="宋体" w:cs="宋体"/>
          <w:b/>
          <w:bCs/>
          <w:color w:val="auto"/>
          <w:sz w:val="21"/>
          <w:szCs w:val="21"/>
        </w:rPr>
      </w:pPr>
      <w:bookmarkStart w:id="61" w:name="_Toc3960"/>
      <w:bookmarkStart w:id="62" w:name="_Toc25429"/>
      <w:r>
        <w:rPr>
          <w:rFonts w:hint="eastAsia" w:ascii="宋体" w:hAnsi="宋体" w:eastAsia="宋体" w:cs="宋体"/>
          <w:b/>
          <w:bCs/>
          <w:color w:val="auto"/>
          <w:sz w:val="21"/>
          <w:szCs w:val="21"/>
        </w:rPr>
        <w:t>四、开标与评标</w:t>
      </w:r>
      <w:bookmarkEnd w:id="61"/>
      <w:bookmarkEnd w:id="62"/>
    </w:p>
    <w:p w14:paraId="091044AB">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15、开标</w:t>
      </w:r>
    </w:p>
    <w:p w14:paraId="183C60C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rPr>
        <w:t>15.1</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将在招标公告规定的时间和地点组织公开开标，邀请投标人参加。</w:t>
      </w:r>
    </w:p>
    <w:p w14:paraId="33CFFD1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15.2 开标会由</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组织并主持。开标时，将由投标人或者其推选的代表检查投标文件的密封情况；经确认无误后，由</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工作人员当众拆封，宣布投标人名称、投标价格和招标文件规定的需要宣布的其他内容。</w:t>
      </w:r>
    </w:p>
    <w:p w14:paraId="7894DC2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15.3 投标人不足3家的，不开标。</w:t>
      </w:r>
    </w:p>
    <w:p w14:paraId="26319AB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 开标时未宣读的投标价格、价格折扣和招标文件允许提供的备选投标方案等实质性内容，评标时不予承认。</w:t>
      </w:r>
    </w:p>
    <w:p w14:paraId="1DB70E0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15.5按照规定，提交了可接受的“撤回”通知的投标将不予开封。撤回的投标书将原封退回投标人。</w:t>
      </w:r>
    </w:p>
    <w:p w14:paraId="4BFA849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15.6开标过程由</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负责记录，由参加开标的各投标人代表和相关工作人员签字确认后随</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一并存档。投标人代表对开标过程和开标记录有疑义，以及认为</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相关工作人员有需要回避的情形的，应当场提出询问或者回避申请。</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对投标人代表提出的询问或者回避申请将及时处理。投标人未参加开标的，视同认可开标结果。</w:t>
      </w:r>
    </w:p>
    <w:p w14:paraId="238B077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15.7 开标时，投标文件中开标一览表(报价表)内容与投标文件中明细表内容不一致的，以开标一览表(报价表)为准。</w:t>
      </w:r>
    </w:p>
    <w:p w14:paraId="15A9AEE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15.8 开标时有下列情形之一的，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有权宣布本项目废标：</w:t>
      </w:r>
    </w:p>
    <w:p w14:paraId="2E2172C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（1）交货时间符合招标文件要求的投标人不足三家的；</w:t>
      </w:r>
    </w:p>
    <w:p w14:paraId="2EB67B0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（2）所有投标人的报价均超过采购项目预算，</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不能支付的。</w:t>
      </w:r>
    </w:p>
    <w:p w14:paraId="67B46099">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15.9 开标结束后，</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将依法对投标人的资格进行审查，并详细</w:t>
      </w:r>
      <w:r>
        <w:rPr>
          <w:rFonts w:hint="eastAsia" w:ascii="宋体" w:hAnsi="宋体" w:eastAsia="宋体" w:cs="宋体"/>
          <w:color w:val="auto"/>
          <w:sz w:val="21"/>
          <w:szCs w:val="21"/>
          <w:lang w:eastAsia="zh-CN"/>
        </w:rPr>
        <w:t>记录</w:t>
      </w:r>
      <w:r>
        <w:rPr>
          <w:rFonts w:hint="eastAsia" w:ascii="宋体" w:hAnsi="宋体" w:eastAsia="宋体" w:cs="宋体"/>
          <w:color w:val="auto"/>
          <w:sz w:val="21"/>
          <w:szCs w:val="21"/>
        </w:rPr>
        <w:t>。合格投标人不足3家的，不进行评标。</w:t>
      </w:r>
    </w:p>
    <w:p w14:paraId="70AED2CA">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16、评标过程的保密性</w:t>
      </w:r>
    </w:p>
    <w:p w14:paraId="7A42C919">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16.1公开开标后，直至向中标的投标人授予合同时止，除按招标文件规定予以公开的评标结果外，凡与审查、澄清、评价和比较投标有关的资料以及授标意见等，均不得向投标人及与评标无关的其他人透露。</w:t>
      </w:r>
    </w:p>
    <w:p w14:paraId="4D4F4B1A">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17、评标</w:t>
      </w:r>
    </w:p>
    <w:p w14:paraId="15A5067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17.1</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负责组织评标工作，并履行下列职责：</w:t>
      </w:r>
    </w:p>
    <w:p w14:paraId="04C738C9">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（一）核对评审专家身份和</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代表授权函，对评审专家在政府采购活动中的职责履行情况予以记录，并及时将有关违法违规行为向财政部门报告；</w:t>
      </w:r>
    </w:p>
    <w:p w14:paraId="03AD0D57">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（二）宣布评标纪律；</w:t>
      </w:r>
    </w:p>
    <w:p w14:paraId="3B432ACB">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（三）公布投标人名单，告知评审专家应当回避的情形；</w:t>
      </w:r>
    </w:p>
    <w:p w14:paraId="6D6EFBF5">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（四）组织评标委员会推选评标组长，</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代表不得担任组长；</w:t>
      </w:r>
    </w:p>
    <w:p w14:paraId="1008E65F">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（五）在评标期间采取必要的通讯管理措施，保证评标活动不受外界干扰；</w:t>
      </w:r>
    </w:p>
    <w:p w14:paraId="025F1C56">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（六）根据评标委员会的要求介绍政府采购相关政策法规、招标文件；</w:t>
      </w:r>
    </w:p>
    <w:p w14:paraId="588318ED">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（七）维护评标秩序，监督评标委员会依照招标文件规定的评标程序、方法和标准进行独立评审，及时制止和纠正</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代表、评审专家的倾向性言论或者违法违规行为；</w:t>
      </w:r>
    </w:p>
    <w:p w14:paraId="37D064FD">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（八）核对评标结果，有本办法第六十四条规定情形的，要求评标委员会复核或者书面说明理由，评标委员会拒绝的，应予记录并向本级财政部门报告；</w:t>
      </w:r>
    </w:p>
    <w:p w14:paraId="485BB29B">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（九）评审工作完成后，按照规定向评审专家支付劳务报酬和异地评审差旅费，不得向评审专家以外的其他人员支付评审劳务报酬；</w:t>
      </w:r>
    </w:p>
    <w:p w14:paraId="63D94B39">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（十）处理与评标有关的其他事项。</w:t>
      </w:r>
    </w:p>
    <w:p w14:paraId="101F3F6B">
      <w:pPr>
        <w:pageBreakBefore w:val="0"/>
        <w:kinsoku/>
        <w:wordWrap/>
        <w:overflowPunct/>
        <w:topLinePunct w:val="0"/>
        <w:bidi w:val="0"/>
        <w:spacing w:line="240" w:lineRule="auto"/>
        <w:ind w:firstLine="525" w:firstLineChars="25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可以在评标前说明项目背景和采购需求，说明内容不得含有歧视性、倾向性意见，不得超出招标文件所述范围。说明应当提交书面材料，并随</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一并存档。</w:t>
      </w:r>
    </w:p>
    <w:p w14:paraId="46770A1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17.3</w:t>
      </w:r>
      <w:r>
        <w:rPr>
          <w:rFonts w:hint="eastAsia" w:ascii="宋体" w:hAnsi="宋体" w:eastAsia="宋体" w:cs="宋体"/>
          <w:color w:val="auto"/>
          <w:sz w:val="21"/>
          <w:szCs w:val="21"/>
          <w:lang w:val="zh-CN"/>
        </w:rPr>
        <w:t>评标委员会由评审专家和招标人代表组成。评标委员会的专家成员从</w:t>
      </w:r>
      <w:r>
        <w:rPr>
          <w:rFonts w:hint="eastAsia" w:ascii="宋体" w:hAnsi="宋体" w:eastAsia="宋体" w:cs="宋体"/>
          <w:color w:val="auto"/>
          <w:sz w:val="21"/>
          <w:szCs w:val="21"/>
          <w:lang w:val="zh-CN" w:eastAsia="zh-CN"/>
        </w:rPr>
        <w:t>从政府采购评审专家库中随机抽取产生</w:t>
      </w:r>
      <w:r>
        <w:rPr>
          <w:rFonts w:hint="eastAsia" w:ascii="宋体" w:hAnsi="宋体" w:eastAsia="宋体" w:cs="宋体"/>
          <w:color w:val="auto"/>
          <w:sz w:val="21"/>
          <w:szCs w:val="21"/>
          <w:lang w:val="zh-CN"/>
        </w:rPr>
        <w:t>，招标人代表由招标人委派。</w:t>
      </w:r>
      <w:r>
        <w:rPr>
          <w:rFonts w:hint="eastAsia" w:ascii="宋体" w:hAnsi="宋体" w:eastAsia="宋体" w:cs="宋体"/>
          <w:color w:val="auto"/>
          <w:sz w:val="21"/>
          <w:szCs w:val="21"/>
        </w:rPr>
        <w:t>评标委员会根据有关法律法规和招标文件规定的方法和标准独立评标，负责完成评标的全过程直至评定预中标人，成员人数应当为5人以上单数，其中评审专家不得少于成员总数的三分之二。</w:t>
      </w:r>
    </w:p>
    <w:p w14:paraId="6164D2C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采购项目符合下列情形之一的，评标委员会成员人数应当为7人以上单数：</w:t>
      </w:r>
    </w:p>
    <w:p w14:paraId="504E424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（一）采购预算金额在1000万元以上；</w:t>
      </w:r>
    </w:p>
    <w:p w14:paraId="504AAA8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（二）技术复杂；</w:t>
      </w:r>
    </w:p>
    <w:p w14:paraId="25A5A81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（三）社会影响较大。</w:t>
      </w:r>
    </w:p>
    <w:p w14:paraId="4B5E6AA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评标委员会负责具体评标事物，并独立履行下列职责：</w:t>
      </w:r>
    </w:p>
    <w:p w14:paraId="79C81E4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（一）审查、评价投标文件是否符合招标文件的商务、技术等实质性要求；</w:t>
      </w:r>
    </w:p>
    <w:p w14:paraId="20DC512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（二）要求投标人对投标文件有关事项作出澄清或者说明；</w:t>
      </w:r>
    </w:p>
    <w:p w14:paraId="4831A486">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（三）对投标文件进行比较和评价；</w:t>
      </w:r>
    </w:p>
    <w:p w14:paraId="7E8A6B1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（四）确定中标候选人名单；</w:t>
      </w:r>
    </w:p>
    <w:p w14:paraId="65C5A32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zh-CN"/>
        </w:rPr>
        <w:t>（五）向招标人、招标代理机构或者有关部门报告评标中发现的违法行为</w:t>
      </w:r>
      <w:r>
        <w:rPr>
          <w:rFonts w:hint="eastAsia" w:ascii="宋体" w:hAnsi="宋体" w:eastAsia="宋体" w:cs="宋体"/>
          <w:color w:val="auto"/>
          <w:sz w:val="21"/>
          <w:szCs w:val="21"/>
        </w:rPr>
        <w:t>。</w:t>
      </w:r>
    </w:p>
    <w:p w14:paraId="6C020B1E">
      <w:pPr>
        <w:pageBreakBefore w:val="0"/>
        <w:kinsoku/>
        <w:wordWrap/>
        <w:overflowPunct/>
        <w:topLinePunct w:val="0"/>
        <w:bidi w:val="0"/>
        <w:spacing w:line="240" w:lineRule="auto"/>
        <w:ind w:firstLine="316" w:firstLineChars="15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 18、政府采购进口产品的规定</w:t>
      </w:r>
    </w:p>
    <w:p w14:paraId="44E4539D">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按照财政部《政府采购进口产品管理办法》第一章第四条关于“政府采购应当采购本国产品，确需采购进口产品（指通过中国海关报关验放进入中国境内且产自关境外的产品）的，实行审核管理”的规定，招标</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中凡未明确标明采购进口产品的，均为采购本国产品，投标人必须投标本国产品，投标进口产品的为无效投标。</w:t>
      </w:r>
    </w:p>
    <w:p w14:paraId="7E0571A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在中国境内生产或组装的外国品牌产品须标明该产品在中国国内制造厂商名称。否则，按进口产品对待。</w:t>
      </w:r>
    </w:p>
    <w:p w14:paraId="57597E28">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19、政府强制采购节能产品的规定</w:t>
      </w:r>
    </w:p>
    <w:p w14:paraId="538A291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19.1 按照财政部、发展改革委最新发布执行的《</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"http://gks.mof.gov.cn/zhengfucaigouguanli/201904/P020190404409422168443.pdf"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节能产品政府采购品目清单</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》的规定，《货物需求及技术规格要求》中凡包含强制采购产品的，投标人必须提供列入《</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"http://gks.mof.gov.cn/zhengfucaigouguanli/201904/P020190404409422168443.pdf"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节能产品政府采购品目清单</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的要求产品，投标文件中需提供认证证明，认证机构须在市场监管总局公布的名录内详见《市场监管总局关于发布参与实施政府采购节能产品、环境标志产品认证机构名录的公告（2019年第16号文件）》，否则无效。</w:t>
      </w:r>
    </w:p>
    <w:p w14:paraId="0FEA18E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19.2《货物需求及技术规格要求》中包含计算机设备的，投标人必须投标预装正版操作系统软件的计算机产品，否则无效。</w:t>
      </w:r>
    </w:p>
    <w:p w14:paraId="06FC2205">
      <w:pPr>
        <w:pageBreakBefore w:val="0"/>
        <w:kinsoku/>
        <w:wordWrap/>
        <w:overflowPunct/>
        <w:topLinePunct w:val="0"/>
        <w:bidi w:val="0"/>
        <w:spacing w:line="240" w:lineRule="auto"/>
        <w:jc w:val="center"/>
        <w:outlineLvl w:val="1"/>
        <w:rPr>
          <w:rFonts w:hint="eastAsia" w:ascii="宋体" w:hAnsi="宋体" w:eastAsia="宋体" w:cs="宋体"/>
          <w:b/>
          <w:color w:val="auto"/>
          <w:sz w:val="21"/>
          <w:szCs w:val="21"/>
        </w:rPr>
      </w:pPr>
      <w:bookmarkStart w:id="63" w:name="_Toc19797"/>
      <w:bookmarkStart w:id="64" w:name="_Toc24025"/>
      <w:r>
        <w:rPr>
          <w:rFonts w:hint="eastAsia" w:ascii="宋体" w:hAnsi="宋体" w:eastAsia="宋体" w:cs="宋体"/>
          <w:b/>
          <w:color w:val="auto"/>
          <w:sz w:val="21"/>
          <w:szCs w:val="21"/>
        </w:rPr>
        <w:t>五、中标与合同</w:t>
      </w:r>
      <w:bookmarkEnd w:id="63"/>
      <w:bookmarkEnd w:id="64"/>
    </w:p>
    <w:p w14:paraId="70BA8339">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20、</w:t>
      </w:r>
      <w:bookmarkStart w:id="65" w:name="OLE_LINK3"/>
      <w:r>
        <w:rPr>
          <w:rFonts w:hint="eastAsia" w:ascii="宋体" w:hAnsi="宋体" w:eastAsia="宋体" w:cs="宋体"/>
          <w:b/>
          <w:color w:val="auto"/>
          <w:sz w:val="21"/>
          <w:szCs w:val="21"/>
        </w:rPr>
        <w:t>中标</w:t>
      </w:r>
    </w:p>
    <w:p w14:paraId="401C53F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应当在评标结束后2个工作日内将评标报告送</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p>
    <w:p w14:paraId="1C77870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应当自收到评标报告之日起5个工作日内，在评标报告确定的中标候选人名单中按顺序确定中标人。中标候选人并列的，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可采取随机抽取的方式确定。</w:t>
      </w:r>
    </w:p>
    <w:p w14:paraId="07D683B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20.3</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在收到评标报告5个工作日内未按评标报告推荐的中标候选人顺序确定中标人，又不能说明合法理由的，视同按评标报告推荐的顺序确定排名第一的中标候选人为中标人。</w:t>
      </w:r>
    </w:p>
    <w:p w14:paraId="1574F6A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20.4</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应当自评标委员会中标人确定之日起2个工作日内，在省级以上财政部门指定的媒体上公告中标结果，招标文件应当随中标结果同时公告。中标公告期限为1个工作日。</w:t>
      </w:r>
    </w:p>
    <w:p w14:paraId="2434E04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20.5在公告中标结果的同时，</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向中标人发出中标通知书；对未通过资格审查的投标人，将告知其未通过的原因；采用综合评分法评审的，还将告知未中标人本人的评审得分与排序。</w:t>
      </w:r>
    </w:p>
    <w:bookmarkEnd w:id="65"/>
    <w:p w14:paraId="3C24860A">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21、授标时更改货物数量的权利</w:t>
      </w:r>
    </w:p>
    <w:p w14:paraId="5D78BAD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21.1</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在授予合同时有权在一定幅度内对《货物需求及技术规格》中规定的货物数量和服务予以增加或减少，但不得改变单价和其他条款和条件。</w:t>
      </w:r>
    </w:p>
    <w:p w14:paraId="66E5F8E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21.2按照《中华人民共和国政府采购法》的规定，在合同履行中，</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需要追加与合同标的物相同的货物、工程或者服务的，在不改变合同其他条款的前提下，可以与中标人签订补充合同，但所有补充合同的采购金额不得超过原合同采购金额的10%。</w:t>
      </w:r>
    </w:p>
    <w:p w14:paraId="4C5C2CAE">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22、签订合同</w:t>
      </w:r>
    </w:p>
    <w:p w14:paraId="0E2F1EF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22.1 中标通知书发出后，</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不得违法改变中标结果，中标人无正当理由不得放弃中标。</w:t>
      </w:r>
    </w:p>
    <w:p w14:paraId="40D27F8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应当自中标通知书发出之日起30日内，按照招标文件和中标人投标文件的规定，与中标人签订书面合同。所签订的合同不得对招标文件确定的事项和中标人投标文件作实质性修改。</w:t>
      </w:r>
    </w:p>
    <w:p w14:paraId="234396D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22.3</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不得向中标人提出任何不合理的要求作为签订合同的条件。</w:t>
      </w:r>
    </w:p>
    <w:p w14:paraId="026FE3F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22.4 根据《中华人民共和国政府采购法实施条例》</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应当自政府采购合同签订之日起2个工作日内，将政府采购合同在省级以上人民政府财政部门指定的媒体上公告，但政府采购合同中涉及国家秘密、商业秘密的内容除外。</w:t>
      </w:r>
    </w:p>
    <w:p w14:paraId="1220BA41">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23、保密和披露</w:t>
      </w:r>
    </w:p>
    <w:p w14:paraId="4C65BD0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23.1 投标人自购买招标文件之日起，须承诺承担本招标项目下的保密义务，不得将因本次招标获得的信息向第三人外传。</w:t>
      </w:r>
    </w:p>
    <w:p w14:paraId="1B9720FD">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23.2 </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有权将投标人提供的所有资料向其他政府部门或有关的非政府机构负责评审标书的人员或与评标有关的人员披露。</w:t>
      </w:r>
    </w:p>
    <w:p w14:paraId="0D40F1E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23.3 在下列情形下：当发布中标公告和其它公告时，当国家机关调查、审查、审计时，以及在其他符合法律规定的情形下，</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无须事先征求投标人/中标人同意而可以披露关于采购过程、投标文件、合同文本、合同签署情况的资料、投标人/中标人的名称及地址、采购内容的有关信息以及补充条款等，并且对任何已经公布过的内容或与之内容相同的资料无须再承担保密责任。</w:t>
      </w:r>
    </w:p>
    <w:p w14:paraId="02383E0D">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24、质疑和投诉</w:t>
      </w:r>
    </w:p>
    <w:p w14:paraId="16E7B5A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24.1投标人认为招标文件、招标过程和中标结果使自己的合法权益受到损害的，应当在知道或者应知其权益受到损害之日起七个工作日内以书面形式（须加盖公章）{质疑书的具体内容详见《政府采购质疑和投诉办法》（第94号令）}通知</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向招标方提出质疑（如投标人所参与项目须要在网上提交质疑程序，</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须将纸质版质疑材料与网上提交质疑程序在同一工作日内进行，如出现日期不一致时，以两者中最后日期为准）。</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应在法定质疑期内一次性提出针对同一采购程序环节的质疑。投标人对</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的质疑答复不满意或者</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未在规定时间内作出答复的，可以在答复期满后十五个工作日内向同级采购监管部门投诉。</w:t>
      </w:r>
    </w:p>
    <w:p w14:paraId="04FA608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24.2质疑书、投诉书均应明确阐述招标文件、招标过程和中标结果中使自己合法权益受到损害的实质性内容，提供相关事实、依据和证据及其来源或线索，便于有关单位调查、答复和处理。</w:t>
      </w:r>
    </w:p>
    <w:p w14:paraId="568C7289">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25、中标服务费</w:t>
      </w:r>
    </w:p>
    <w:p w14:paraId="53A1075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参照国家发展计划委员会计价格[2002]1980号文件、发改办价格[2003]857号文件、发改办价格[2011]534号文件和发改价格[2015]299号文件,</w:t>
      </w:r>
      <w:r>
        <w:rPr>
          <w:rFonts w:hint="eastAsia" w:ascii="宋体" w:hAnsi="宋体" w:eastAsia="宋体" w:cs="宋体"/>
          <w:color w:val="auto"/>
          <w:sz w:val="21"/>
          <w:szCs w:val="21"/>
        </w:rPr>
        <w:t>向中标人收取招标代理服务费。</w:t>
      </w:r>
    </w:p>
    <w:p w14:paraId="50C75DD3">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26、需要补充的其他内容</w:t>
      </w:r>
    </w:p>
    <w:p w14:paraId="133E0DA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需要补充的其他内容：见投标人须知前附表。</w:t>
      </w:r>
    </w:p>
    <w:p w14:paraId="5C8027C0">
      <w:pPr>
        <w:pageBreakBefore w:val="0"/>
        <w:overflowPunct/>
        <w:bidi w:val="0"/>
        <w:spacing w:line="240" w:lineRule="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br w:type="page"/>
      </w:r>
    </w:p>
    <w:p w14:paraId="3DC58F17">
      <w:pPr>
        <w:pageBreakBefore w:val="0"/>
        <w:kinsoku/>
        <w:wordWrap/>
        <w:overflowPunct/>
        <w:topLinePunct w:val="0"/>
        <w:bidi w:val="0"/>
        <w:spacing w:line="240" w:lineRule="auto"/>
        <w:ind w:firstLine="482" w:firstLineChars="200"/>
        <w:outlineLvl w:val="9"/>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附件：</w:t>
      </w:r>
    </w:p>
    <w:p w14:paraId="43B0B164">
      <w:pPr>
        <w:pageBreakBefore w:val="0"/>
        <w:kinsoku/>
        <w:wordWrap/>
        <w:overflowPunct/>
        <w:topLinePunct w:val="0"/>
        <w:bidi w:val="0"/>
        <w:spacing w:line="240" w:lineRule="auto"/>
        <w:jc w:val="center"/>
        <w:outlineLvl w:val="9"/>
        <w:rPr>
          <w:rFonts w:hint="eastAsia" w:ascii="宋体" w:hAnsi="宋体" w:eastAsia="宋体" w:cs="宋体"/>
          <w:b/>
          <w:bCs/>
          <w:color w:val="auto"/>
          <w:sz w:val="28"/>
          <w:szCs w:val="28"/>
          <w:lang w:val="zh-CN" w:eastAsia="zh-CN"/>
        </w:rPr>
      </w:pPr>
      <w:r>
        <w:rPr>
          <w:rFonts w:hint="eastAsia" w:ascii="宋体" w:hAnsi="宋体" w:eastAsia="宋体" w:cs="宋体"/>
          <w:b/>
          <w:bCs/>
          <w:color w:val="auto"/>
          <w:sz w:val="28"/>
          <w:szCs w:val="28"/>
          <w:lang w:val="zh-CN" w:eastAsia="zh-CN"/>
        </w:rPr>
        <w:t>政府采购政策</w:t>
      </w:r>
    </w:p>
    <w:p w14:paraId="3A833401">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一、促进中小企业发展政策 </w:t>
      </w:r>
    </w:p>
    <w:p w14:paraId="6B799FE4">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0529BDD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财政部 工业和信息化部《政府采购促进中小企业发展管理办法》（财库﹝2020﹞46 号）。 </w:t>
      </w:r>
    </w:p>
    <w:p w14:paraId="4CD7CCC4">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（二）中小企业的认定 </w:t>
      </w:r>
    </w:p>
    <w:p w14:paraId="50569AF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1、在中华人民共和国境内依法设立，依据国务院批准的中小企业划分标准确定的中型企业、小型企业和微型企业，但与大企业的负责人为同一人，或者与大企业存在直接控股、管理关系的除外。 </w:t>
      </w:r>
    </w:p>
    <w:p w14:paraId="06FC1EB5">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2、符合中小企业划分标准的个体工商户，在政府采购活动中视同中小企业。 </w:t>
      </w:r>
    </w:p>
    <w:p w14:paraId="0764AB22">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3、以联合体形式参加政府采购活动，联合体各方均为中小企业的，联合体视同中小企业。其中，联合体各方均为小微企业的，联合体视同小微企业。 </w:t>
      </w:r>
    </w:p>
    <w:p w14:paraId="65AC9234">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（三）中小企业需提供的证明材料 </w:t>
      </w:r>
    </w:p>
    <w:p w14:paraId="4F9D0CB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中小企业参加政府采购活动，应当出具本招标文件规定的《中小企业声明函》，否则不得享受相关中小企业扶持政策。任何单位和个人不得要求投标人提供《中小企业声明函》之外的中小企业身份证明文件。 </w:t>
      </w:r>
    </w:p>
    <w:p w14:paraId="3462AB17">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（四）中小企业扶持政策享受情形 </w:t>
      </w:r>
    </w:p>
    <w:p w14:paraId="7C0232DA">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在政府采购活动中，投标人提供的货物、工程或者服务符合下列情形的，享受相关中小企业扶持政策： </w:t>
      </w:r>
    </w:p>
    <w:p w14:paraId="1BE4EBA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1、在货物采购项目中，货物由中小企业制造，即货物由中小企业生产且使用该中小企业商号或者注册商标； </w:t>
      </w:r>
    </w:p>
    <w:p w14:paraId="31CA990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2、在工程采购项目中，工程由中小企业承建，即工程施工单位为中小企业； </w:t>
      </w:r>
    </w:p>
    <w:p w14:paraId="753E346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3、在服务采购项目中，服务由中小企业承接，即提供服务的人员为中小企业依照《中华人民共和国劳动合同法》订立劳动合同的从业人员。 </w:t>
      </w:r>
    </w:p>
    <w:p w14:paraId="68BE815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在货物采购项目中，投标人提供的货物既有中小企业制造货物，也有大型企业制造货物的，不享受中小企业扶持政策。 </w:t>
      </w:r>
    </w:p>
    <w:p w14:paraId="4FB5BD8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（五）中小企业扶持政策 </w:t>
      </w:r>
    </w:p>
    <w:p w14:paraId="3F41F5B1">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1、对于非专门面向中小企业采购的采购包，应当对符合本章规定的小微企业报价给予一定比例的扣除（具体比例详见本招标文件第二章），用扣除后的价格参加评审。 </w:t>
      </w:r>
    </w:p>
    <w:p w14:paraId="4278B003">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2、接受大中型企业与小微企业组成联合体或者允许大中型企业向一家或者多家小微企业分包的采购项目，对于联合协议或者分包意向协议约定小微企业的合同份额占到合同总金额 30%以上的，应当对联合体或者大中型企业的报价给予一定比例的扣除（具体比例详见本招标文件第二章），用扣除后的价格参加评审。组成联合体或者接受分包的小微企业与联合体内其他企业、分包企业之间存在直接控股、管理关系的，不享受价格扣除优惠政策。 </w:t>
      </w:r>
    </w:p>
    <w:p w14:paraId="6855DC4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3、价格扣除比例或者价格分加分比例对小型企业和微型企业同等对待，不作区分。 </w:t>
      </w:r>
    </w:p>
    <w:p w14:paraId="684E0BBD">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（六）合同分包要求 </w:t>
      </w:r>
    </w:p>
    <w:p w14:paraId="656237E9">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1、享受扶持政策获得政府采购合同的，小微企业不得将合同分包给大中型企业，中型企业不得将合同分包给大型企业。 </w:t>
      </w:r>
    </w:p>
    <w:p w14:paraId="351AEFE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对于专门面向中小企业采购的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 </w:t>
      </w:r>
    </w:p>
    <w:p w14:paraId="47ED6916">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（七）法律责任 </w:t>
      </w:r>
    </w:p>
    <w:p w14:paraId="0EA79ED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投标人按照本招标文件规定提供声明函内容不实的，属于提供虚假材料谋取中标、成交，依照《中华人民共和国政府采购法》等国家有关规定追究相应责任。 </w:t>
      </w:r>
    </w:p>
    <w:p w14:paraId="10EBE195">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二、支持监狱企业发展政策 </w:t>
      </w:r>
    </w:p>
    <w:p w14:paraId="52E12243">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70D9E30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财政部 司法部《关于政府采购支持监狱企业发展有关问题的通知》（财库〔2014〕68 号）。 </w:t>
      </w:r>
    </w:p>
    <w:p w14:paraId="682CBD56">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（二）监狱企业的认定 </w:t>
      </w:r>
    </w:p>
    <w:p w14:paraId="4474C123">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 </w:t>
      </w:r>
    </w:p>
    <w:p w14:paraId="5FEA0E23">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（三）监狱企业需提供的证明材料 </w:t>
      </w:r>
    </w:p>
    <w:p w14:paraId="530B182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监狱企业参加政府采购活动时，应当提供由省级以上监狱管理局、戒毒管理局（含新疆生产建设兵团）出具的属于监狱企业的证明文件。 </w:t>
      </w:r>
    </w:p>
    <w:p w14:paraId="0B6B186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（四）监狱企业支持政策 </w:t>
      </w:r>
    </w:p>
    <w:p w14:paraId="37467A4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政府采购活动中，监狱企业视同小型、微型企业，享受政府采购促进中小企业发展的政府采购政策。向监狱企业采购的金额，计入面向中小企业采购的统计数据。监狱企业属于小型、微型企业的，不重复享受政策。 </w:t>
      </w:r>
    </w:p>
    <w:p w14:paraId="33930B09">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三、支持残疾人福利性单位发展政策 </w:t>
      </w:r>
    </w:p>
    <w:p w14:paraId="21544757">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1A675808">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财政部 民政部 中国残疾人联合会《关于促进残疾人就业政府采购政策的通知》 （财库[2017]141 号）。 </w:t>
      </w:r>
    </w:p>
    <w:p w14:paraId="6D62656B">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（二）残疾人福利性单位的认定 </w:t>
      </w:r>
    </w:p>
    <w:p w14:paraId="7BA6D647">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享受政府采购支持政策的残疾人福利性单位应当同时满足以下条件： </w:t>
      </w:r>
    </w:p>
    <w:p w14:paraId="61860A2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1、安置的残疾人占本单位在职职工人数的比例不低于 25%(含 25%)，并且安置的残疾人人数不少于10 人(含 10 人)； </w:t>
      </w:r>
    </w:p>
    <w:p w14:paraId="21DDD1B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2、依法与安置的每位残疾人签订了一年以上(含一年)的劳动合同或服务协议； </w:t>
      </w:r>
    </w:p>
    <w:p w14:paraId="6E02FC2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3、为安置的每位残疾人按月足额缴纳了基本养老保险、基本医疗保险、失业保险、工伤保险和生育保险等社会保险费； </w:t>
      </w:r>
    </w:p>
    <w:p w14:paraId="7DA502A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4、通过银行等金融机构向安置的每位残疾人，按月支付了不低于单位所在区县适用的经省级人民政府批准的月最低工资标准的工资； </w:t>
      </w:r>
    </w:p>
    <w:p w14:paraId="4B2C3F3F">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5、提供本单位制造的货物、承担的工程或者服务(以下简称产品)，或者提供其他残疾人福利性单位制造的货物(不包括使用非残疾人福利性单位注册商标的货物)。 </w:t>
      </w:r>
    </w:p>
    <w:p w14:paraId="283D1D79">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前款所称残疾人是指法定劳动年龄内，持有《中华人民共和国残疾人证》或者《中 </w:t>
      </w:r>
    </w:p>
    <w:p w14:paraId="7F0AF2B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华人民共和国残疾军人证(1 至 8 级)》的自然人，包括具有劳动条件和劳动意愿的精神残疾人。在职职工人数是指与残疾人福利性单位建立劳动关系并依法签订劳动合同或者服务协议的雇员人数。 </w:t>
      </w:r>
    </w:p>
    <w:p w14:paraId="5F28563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（三）残疾人福利性单位需提供的证明材料 </w:t>
      </w:r>
    </w:p>
    <w:p w14:paraId="27A66C7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符合条件的残疾人福利性单位在参加政府采购活动时，应当出具本招标文件规定的《残疾人福利性单位声明函》，并对声明的真实性负责。 </w:t>
      </w:r>
    </w:p>
    <w:p w14:paraId="0272132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（四）残疾人福利性单位支持政策 </w:t>
      </w:r>
    </w:p>
    <w:p w14:paraId="0763C58E">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政府采购活动中，残疾人福利性单位视同小型、微型企业，享受促进中小企业发展的政府采购政策。向残疾人福利性单位采购的金额，计入面向中小企业采购的统计数据。残疾人福利性单位属于小型、微型企业的，不重复享受政策。 </w:t>
      </w:r>
    </w:p>
    <w:p w14:paraId="6F6FCC70">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（五）法律责任 </w:t>
      </w:r>
    </w:p>
    <w:p w14:paraId="3E1528CF">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投标人按照本招标文件规定提供声明函内容不实的，属于提供虚假材料谋取中标、成交，依照《中华人民共和国政府采购法》等国家有关规定追究相应责任。 </w:t>
      </w:r>
    </w:p>
    <w:p w14:paraId="2191CEEA">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四、强制、优先采购节能产品、环境标志产品政策 </w:t>
      </w:r>
    </w:p>
    <w:p w14:paraId="63B6D2B0">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0086E745">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1、财政部 发展改革委 生态环境部 市场监管总局</w:t>
      </w:r>
      <w:r>
        <w:rPr>
          <w:rFonts w:hint="eastAsia" w:ascii="宋体" w:hAnsi="宋体" w:eastAsia="宋体" w:cs="宋体"/>
          <w:b/>
          <w:bCs/>
          <w:color w:val="000000"/>
          <w:kern w:val="0"/>
          <w:sz w:val="24"/>
          <w:szCs w:val="24"/>
          <w:lang w:val="en-US" w:eastAsia="zh-CN" w:bidi="ar"/>
        </w:rPr>
        <w:t>《关于调整优化节能产品、环境标志产品政府采购执行机制的通知》</w:t>
      </w:r>
      <w:r>
        <w:rPr>
          <w:rFonts w:hint="eastAsia" w:ascii="宋体" w:hAnsi="宋体" w:eastAsia="宋体" w:cs="宋体"/>
          <w:color w:val="000000"/>
          <w:kern w:val="0"/>
          <w:sz w:val="24"/>
          <w:szCs w:val="24"/>
          <w:lang w:val="en-US" w:eastAsia="zh-CN" w:bidi="ar"/>
        </w:rPr>
        <w:t xml:space="preserve">（财库〔2019〕9 号）。 </w:t>
      </w:r>
    </w:p>
    <w:p w14:paraId="542409B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2、财政部 生态环境部《关于印发环境标志产品政府采购品目清单的通知》（财库〔2019〕18 号）。 </w:t>
      </w:r>
    </w:p>
    <w:p w14:paraId="190EC7A9">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3、财政部 发展改革委《关于印发节能产品政府采购品目清单的通知》（财库〔2019〕19 号）。 </w:t>
      </w:r>
    </w:p>
    <w:p w14:paraId="52AA9AA3">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（二）节能产品、环境标志产品的品目 </w:t>
      </w:r>
    </w:p>
    <w:p w14:paraId="211F6B5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政府采购节能产品、环境标志产品实施品目清单管理，详见《节能产品政府采购品目清单》、《环境标志产品政府采购品目清单》。 </w:t>
      </w:r>
    </w:p>
    <w:p w14:paraId="6C378EFE">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（三）节能产品、环境标志产品需提供的证明材料 </w:t>
      </w:r>
    </w:p>
    <w:p w14:paraId="4BC0BDFA">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招标人拟采购的产品属于品目清单范围的，投标人应当提供本招标文件规定的《节能产品、环境标志产品强制采购认证证书一览表》和《节能产品、环境标志产品优先采购认证证书一览表》，填写获得国家确定的认证机构出具的、处于有效期之内的节能产品、环境标志产品认证证书相关信息并在相应表格后提供对应的认证证书扫描件。 </w:t>
      </w:r>
    </w:p>
    <w:p w14:paraId="54F088F9">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（四）节能产品、环境标志产品采购政策 </w:t>
      </w:r>
    </w:p>
    <w:p w14:paraId="4D2E49BE">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招标人拟采购的产品属于品目清单范围，且属于强制采购品目的，实行强制采购。本招标文件第二章要求具有强制采购认证证书的产品，投标人必须在《节能产品、环境标志产品强制采购认证证书一览表》中，填写所投产品获得的、有效的认证证书相关信息并提供对应的认证证书扫描件，否则投标、响应无效。 </w:t>
      </w:r>
    </w:p>
    <w:p w14:paraId="0756C1C3">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招标人拟采购的产品属于品目清单范围，但不属于强制采购品目的，实行优先采购。投标人应当在《节能产品、环境标志产品优先采购认证证书一览表》中，填写所投产品获得的、有效的认证证书相关信息并提供对应的认证证书扫描件。</w:t>
      </w:r>
    </w:p>
    <w:p w14:paraId="57D2EB23">
      <w:pPr>
        <w:pageBreakBefore w:val="0"/>
        <w:kinsoku/>
        <w:wordWrap/>
        <w:overflowPunct/>
        <w:topLinePunct w:val="0"/>
        <w:bidi w:val="0"/>
        <w:spacing w:line="240" w:lineRule="auto"/>
        <w:jc w:val="center"/>
        <w:outlineLvl w:val="9"/>
        <w:rPr>
          <w:rFonts w:hint="eastAsia" w:ascii="宋体" w:hAnsi="宋体" w:eastAsia="宋体" w:cs="宋体"/>
          <w:b/>
          <w:bCs/>
          <w:color w:val="auto"/>
          <w:sz w:val="28"/>
          <w:szCs w:val="28"/>
          <w:lang w:val="zh-CN" w:eastAsia="zh-CN"/>
        </w:rPr>
      </w:pPr>
      <w:r>
        <w:rPr>
          <w:rFonts w:hint="eastAsia" w:ascii="宋体" w:hAnsi="宋体" w:eastAsia="宋体" w:cs="宋体"/>
          <w:b/>
          <w:bCs/>
          <w:color w:val="auto"/>
          <w:sz w:val="28"/>
          <w:szCs w:val="28"/>
          <w:lang w:val="zh-CN" w:eastAsia="zh-CN"/>
        </w:rPr>
        <w:br w:type="page"/>
      </w:r>
    </w:p>
    <w:p w14:paraId="300DAEAE">
      <w:pPr>
        <w:pStyle w:val="5"/>
        <w:pageBreakBefore w:val="0"/>
        <w:kinsoku/>
        <w:wordWrap/>
        <w:overflowPunct/>
        <w:topLinePunct w:val="0"/>
        <w:bidi w:val="0"/>
        <w:spacing w:line="240" w:lineRule="auto"/>
        <w:jc w:val="center"/>
        <w:rPr>
          <w:rFonts w:hint="eastAsia" w:ascii="宋体" w:hAnsi="宋体" w:eastAsia="宋体" w:cs="宋体"/>
          <w:color w:val="auto"/>
        </w:rPr>
      </w:pPr>
      <w:bookmarkStart w:id="66" w:name="_Toc31273"/>
      <w:r>
        <w:rPr>
          <w:rFonts w:hint="eastAsia" w:ascii="宋体" w:hAnsi="宋体" w:eastAsia="宋体" w:cs="宋体"/>
          <w:color w:val="auto"/>
          <w:lang w:val="zh-CN"/>
        </w:rPr>
        <w:t xml:space="preserve">第三章 </w:t>
      </w:r>
      <w:bookmarkStart w:id="67" w:name="_Toc152042387"/>
      <w:bookmarkStart w:id="68" w:name="_Toc246996995"/>
      <w:bookmarkStart w:id="69" w:name="_Toc152045609"/>
      <w:bookmarkStart w:id="70" w:name="_Toc179632627"/>
      <w:bookmarkStart w:id="71" w:name="_Toc247085767"/>
      <w:bookmarkStart w:id="72" w:name="_Toc144974577"/>
      <w:bookmarkStart w:id="73" w:name="_Toc246996252"/>
      <w:r>
        <w:rPr>
          <w:rFonts w:hint="eastAsia" w:ascii="宋体" w:hAnsi="宋体" w:eastAsia="宋体" w:cs="宋体"/>
          <w:color w:val="auto"/>
        </w:rPr>
        <w:t>评标办法</w:t>
      </w:r>
      <w:bookmarkEnd w:id="54"/>
      <w:bookmarkEnd w:id="55"/>
      <w:bookmarkEnd w:id="56"/>
      <w:bookmarkEnd w:id="66"/>
    </w:p>
    <w:bookmarkEnd w:id="67"/>
    <w:bookmarkEnd w:id="68"/>
    <w:bookmarkEnd w:id="69"/>
    <w:bookmarkEnd w:id="70"/>
    <w:bookmarkEnd w:id="71"/>
    <w:bookmarkEnd w:id="72"/>
    <w:bookmarkEnd w:id="73"/>
    <w:p w14:paraId="164B4E15">
      <w:pPr>
        <w:pStyle w:val="12"/>
        <w:pageBreakBefore w:val="0"/>
        <w:numPr>
          <w:ilvl w:val="0"/>
          <w:numId w:val="0"/>
        </w:numPr>
        <w:kinsoku/>
        <w:wordWrap/>
        <w:overflowPunct/>
        <w:topLinePunct w:val="0"/>
        <w:bidi w:val="0"/>
        <w:spacing w:line="240" w:lineRule="auto"/>
        <w:ind w:firstLine="482" w:firstLineChars="200"/>
        <w:outlineLvl w:val="1"/>
        <w:rPr>
          <w:rFonts w:hint="eastAsia" w:ascii="宋体" w:hAnsi="宋体" w:eastAsia="宋体" w:cs="宋体"/>
          <w:b/>
          <w:color w:val="auto"/>
          <w:sz w:val="24"/>
          <w:szCs w:val="24"/>
        </w:rPr>
      </w:pPr>
      <w:bookmarkStart w:id="74" w:name="_Toc20332"/>
      <w:bookmarkStart w:id="75" w:name="_Toc2807"/>
      <w:bookmarkStart w:id="76" w:name="_Toc32564"/>
      <w:bookmarkStart w:id="77" w:name="_Toc28446"/>
      <w:bookmarkStart w:id="78" w:name="_Toc12089"/>
      <w:r>
        <w:rPr>
          <w:rFonts w:hint="eastAsia" w:ascii="宋体" w:hAnsi="宋体" w:eastAsia="宋体" w:cs="宋体"/>
          <w:b/>
          <w:color w:val="auto"/>
          <w:sz w:val="24"/>
          <w:szCs w:val="24"/>
          <w:lang w:val="en-US" w:eastAsia="zh-CN"/>
        </w:rPr>
        <w:t>3.1资格审查</w:t>
      </w:r>
      <w:bookmarkEnd w:id="74"/>
      <w:bookmarkEnd w:id="75"/>
    </w:p>
    <w:p w14:paraId="76CAE238">
      <w:pPr>
        <w:pageBreakBefore w:val="0"/>
        <w:kinsoku/>
        <w:wordWrap/>
        <w:overflowPunct/>
        <w:topLinePunct w:val="0"/>
        <w:bidi w:val="0"/>
        <w:spacing w:line="24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开标结束后，</w:t>
      </w:r>
      <w:r>
        <w:rPr>
          <w:rFonts w:hint="eastAsia" w:ascii="宋体" w:hAnsi="宋体" w:eastAsia="宋体" w:cs="宋体"/>
          <w:color w:val="auto"/>
          <w:sz w:val="24"/>
          <w:szCs w:val="24"/>
          <w:lang w:eastAsia="zh-CN"/>
        </w:rPr>
        <w:t>招标人</w:t>
      </w:r>
      <w:r>
        <w:rPr>
          <w:rFonts w:hint="eastAsia" w:ascii="宋体" w:hAnsi="宋体" w:eastAsia="宋体" w:cs="宋体"/>
          <w:color w:val="auto"/>
          <w:sz w:val="24"/>
          <w:szCs w:val="24"/>
        </w:rPr>
        <w:t>或</w:t>
      </w:r>
      <w:r>
        <w:rPr>
          <w:rFonts w:hint="eastAsia" w:ascii="宋体" w:hAnsi="宋体" w:eastAsia="宋体" w:cs="宋体"/>
          <w:color w:val="auto"/>
          <w:sz w:val="24"/>
          <w:szCs w:val="24"/>
          <w:lang w:eastAsia="zh-CN"/>
        </w:rPr>
        <w:t>招标代理机构</w:t>
      </w:r>
      <w:r>
        <w:rPr>
          <w:rFonts w:hint="eastAsia" w:ascii="宋体" w:hAnsi="宋体" w:eastAsia="宋体" w:cs="宋体"/>
          <w:color w:val="auto"/>
          <w:sz w:val="24"/>
          <w:szCs w:val="24"/>
        </w:rPr>
        <w:t>将依法对投标人的资格进行审查，并详细记录。合格投标人不足3家的，不进行评标。</w:t>
      </w:r>
    </w:p>
    <w:tbl>
      <w:tblPr>
        <w:tblStyle w:val="22"/>
        <w:tblW w:w="4994"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377"/>
        <w:gridCol w:w="7159"/>
      </w:tblGrid>
      <w:tr w14:paraId="081748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6" w:hRule="atLeast"/>
          <w:tblHeader/>
          <w:jc w:val="center"/>
        </w:trPr>
        <w:tc>
          <w:tcPr>
            <w:tcW w:w="1246" w:type="pct"/>
            <w:vAlign w:val="center"/>
          </w:tcPr>
          <w:p w14:paraId="06EEA3D8">
            <w:pPr>
              <w:pageBreakBefore w:val="0"/>
              <w:widowControl w:val="0"/>
              <w:kinsoku/>
              <w:wordWrap w:val="0"/>
              <w:overflowPunct/>
              <w:topLinePunct/>
              <w:autoSpaceDE/>
              <w:autoSpaceDN/>
              <w:bidi w:val="0"/>
              <w:snapToGrid/>
              <w:spacing w:line="240" w:lineRule="auto"/>
              <w:jc w:val="center"/>
              <w:textAlignment w:val="auto"/>
              <w:rPr>
                <w:rFonts w:ascii="宋体" w:hAnsi="宋体" w:cs="宋体"/>
                <w:b/>
                <w:color w:val="auto"/>
                <w:sz w:val="24"/>
                <w:szCs w:val="24"/>
              </w:rPr>
            </w:pPr>
            <w:r>
              <w:rPr>
                <w:rFonts w:hint="eastAsia" w:ascii="宋体" w:hAnsi="宋体" w:cs="宋体"/>
                <w:b/>
                <w:color w:val="auto"/>
                <w:sz w:val="24"/>
                <w:szCs w:val="24"/>
              </w:rPr>
              <w:t>评 审 因 素</w:t>
            </w:r>
          </w:p>
        </w:tc>
        <w:tc>
          <w:tcPr>
            <w:tcW w:w="3753" w:type="pct"/>
            <w:vAlign w:val="center"/>
          </w:tcPr>
          <w:p w14:paraId="4E5EE015">
            <w:pPr>
              <w:pageBreakBefore w:val="0"/>
              <w:widowControl w:val="0"/>
              <w:kinsoku/>
              <w:wordWrap w:val="0"/>
              <w:overflowPunct/>
              <w:topLinePunct/>
              <w:autoSpaceDE/>
              <w:autoSpaceDN/>
              <w:bidi w:val="0"/>
              <w:snapToGrid/>
              <w:spacing w:line="240" w:lineRule="auto"/>
              <w:jc w:val="center"/>
              <w:textAlignment w:val="auto"/>
              <w:rPr>
                <w:rFonts w:ascii="宋体" w:hAnsi="宋体" w:cs="宋体"/>
                <w:b/>
                <w:color w:val="auto"/>
                <w:sz w:val="24"/>
                <w:szCs w:val="24"/>
              </w:rPr>
            </w:pPr>
            <w:r>
              <w:rPr>
                <w:rFonts w:hint="eastAsia" w:ascii="宋体" w:hAnsi="宋体" w:cs="宋体"/>
                <w:b/>
                <w:color w:val="auto"/>
                <w:sz w:val="24"/>
                <w:szCs w:val="24"/>
              </w:rPr>
              <w:t>评 审 标 准</w:t>
            </w:r>
          </w:p>
        </w:tc>
      </w:tr>
      <w:tr w14:paraId="2ADE21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27" w:hRule="atLeast"/>
          <w:jc w:val="center"/>
        </w:trPr>
        <w:tc>
          <w:tcPr>
            <w:tcW w:w="1246" w:type="pct"/>
            <w:vAlign w:val="center"/>
          </w:tcPr>
          <w:p w14:paraId="32566341">
            <w:pPr>
              <w:pageBreakBefore w:val="0"/>
              <w:widowControl w:val="0"/>
              <w:kinsoku/>
              <w:wordWrap w:val="0"/>
              <w:overflowPunct/>
              <w:topLinePunct/>
              <w:autoSpaceDE/>
              <w:autoSpaceDN/>
              <w:bidi w:val="0"/>
              <w:snapToGrid/>
              <w:spacing w:line="240" w:lineRule="auto"/>
              <w:jc w:val="center"/>
              <w:textAlignment w:val="auto"/>
              <w:rPr>
                <w:rFonts w:ascii="宋体" w:hAnsi="宋体" w:cs="宋体"/>
                <w:color w:val="auto"/>
                <w:sz w:val="24"/>
                <w:szCs w:val="24"/>
              </w:rPr>
            </w:pPr>
            <w:r>
              <w:rPr>
                <w:rFonts w:hint="eastAsia" w:ascii="宋体" w:hAnsi="宋体" w:cs="宋体"/>
                <w:bCs/>
                <w:color w:val="auto"/>
                <w:sz w:val="24"/>
                <w:szCs w:val="24"/>
                <w:lang w:val="zh-CN"/>
              </w:rPr>
              <w:t>营业执照</w:t>
            </w:r>
          </w:p>
        </w:tc>
        <w:tc>
          <w:tcPr>
            <w:tcW w:w="3753" w:type="pct"/>
            <w:vAlign w:val="center"/>
          </w:tcPr>
          <w:p w14:paraId="52AB6AC8">
            <w:pPr>
              <w:pageBreakBefore w:val="0"/>
              <w:widowControl w:val="0"/>
              <w:kinsoku/>
              <w:wordWrap w:val="0"/>
              <w:overflowPunct/>
              <w:topLinePunct/>
              <w:autoSpaceDE/>
              <w:autoSpaceDN/>
              <w:bidi w:val="0"/>
              <w:snapToGrid/>
              <w:spacing w:line="240" w:lineRule="auto"/>
              <w:textAlignment w:val="auto"/>
              <w:rPr>
                <w:rFonts w:hint="eastAsia" w:ascii="宋体" w:hAnsi="宋体" w:cs="宋体"/>
                <w:bCs/>
                <w:color w:val="auto"/>
                <w:sz w:val="24"/>
                <w:szCs w:val="24"/>
                <w:lang w:val="zh-CN" w:eastAsia="zh-CN"/>
              </w:rPr>
            </w:pPr>
            <w:r>
              <w:rPr>
                <w:rFonts w:hint="eastAsia" w:ascii="宋体" w:hAnsi="宋体" w:cs="宋体"/>
                <w:bCs/>
                <w:color w:val="auto"/>
                <w:sz w:val="24"/>
                <w:szCs w:val="24"/>
                <w:lang w:val="zh-CN" w:eastAsia="zh-CN"/>
              </w:rPr>
              <w:t>投标人须具有独立法人资格、能独立承担民事责任的能力。</w:t>
            </w:r>
          </w:p>
          <w:p w14:paraId="33122FA1">
            <w:pPr>
              <w:pageBreakBefore w:val="0"/>
              <w:widowControl w:val="0"/>
              <w:kinsoku/>
              <w:wordWrap w:val="0"/>
              <w:overflowPunct/>
              <w:topLinePunct/>
              <w:autoSpaceDE/>
              <w:autoSpaceDN/>
              <w:bidi w:val="0"/>
              <w:snapToGrid/>
              <w:spacing w:line="240" w:lineRule="auto"/>
              <w:textAlignment w:val="auto"/>
              <w:rPr>
                <w:rFonts w:ascii="宋体" w:hAnsi="宋体" w:cs="宋体"/>
                <w:color w:val="auto"/>
                <w:sz w:val="24"/>
                <w:szCs w:val="24"/>
                <w:lang w:eastAsia="zh-CN"/>
              </w:rPr>
            </w:pPr>
            <w:r>
              <w:rPr>
                <w:rFonts w:hint="eastAsia" w:ascii="宋体" w:hAnsi="宋体" w:cs="宋体"/>
                <w:b/>
                <w:bCs/>
                <w:color w:val="auto"/>
                <w:sz w:val="24"/>
                <w:szCs w:val="24"/>
                <w:lang w:val="zh-CN" w:eastAsia="zh-CN"/>
              </w:rPr>
              <w:t>（投标文件中</w:t>
            </w:r>
            <w:r>
              <w:rPr>
                <w:rFonts w:hint="eastAsia" w:ascii="宋体" w:hAnsi="宋体" w:cs="宋体"/>
                <w:b/>
                <w:bCs/>
                <w:color w:val="auto"/>
                <w:sz w:val="24"/>
                <w:szCs w:val="24"/>
                <w:lang w:val="en-US" w:eastAsia="zh-CN"/>
              </w:rPr>
              <w:t>需附营业执照副本</w:t>
            </w:r>
            <w:r>
              <w:rPr>
                <w:rFonts w:hint="eastAsia" w:ascii="宋体" w:hAnsi="宋体" w:cs="宋体"/>
                <w:b/>
                <w:bCs/>
                <w:color w:val="auto"/>
                <w:sz w:val="24"/>
                <w:szCs w:val="24"/>
                <w:lang w:val="zh-CN" w:eastAsia="zh-CN"/>
              </w:rPr>
              <w:t>）</w:t>
            </w:r>
          </w:p>
        </w:tc>
      </w:tr>
      <w:tr w14:paraId="3C9860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vMerge w:val="restart"/>
            <w:vAlign w:val="center"/>
          </w:tcPr>
          <w:p w14:paraId="480FD02E">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eastAsia="zh-CN"/>
              </w:rPr>
            </w:pPr>
            <w:r>
              <w:rPr>
                <w:rFonts w:hint="eastAsia" w:ascii="宋体" w:hAnsi="宋体" w:cs="宋体"/>
                <w:color w:val="auto"/>
                <w:sz w:val="24"/>
                <w:szCs w:val="24"/>
                <w:lang w:eastAsia="zh-CN"/>
              </w:rPr>
              <w:t>资格要求</w:t>
            </w:r>
          </w:p>
        </w:tc>
        <w:tc>
          <w:tcPr>
            <w:tcW w:w="3753" w:type="pct"/>
            <w:vAlign w:val="center"/>
          </w:tcPr>
          <w:p w14:paraId="384F8B9B">
            <w:pPr>
              <w:pageBreakBefore w:val="0"/>
              <w:widowControl w:val="0"/>
              <w:kinsoku/>
              <w:wordWrap w:val="0"/>
              <w:overflowPunct/>
              <w:topLinePunct/>
              <w:autoSpaceDE/>
              <w:autoSpaceDN/>
              <w:bidi w:val="0"/>
              <w:snapToGrid/>
              <w:spacing w:line="240" w:lineRule="auto"/>
              <w:textAlignment w:val="auto"/>
              <w:rPr>
                <w:rFonts w:hint="eastAsia"/>
                <w:lang w:val="zh-CN" w:eastAsia="zh-CN"/>
              </w:rPr>
            </w:pPr>
            <w:r>
              <w:rPr>
                <w:rFonts w:hint="eastAsia" w:ascii="宋体" w:hAnsi="宋体" w:cs="宋体"/>
                <w:b w:val="0"/>
                <w:bCs w:val="0"/>
                <w:color w:val="auto"/>
                <w:sz w:val="24"/>
                <w:szCs w:val="24"/>
                <w:lang w:val="zh-CN" w:eastAsia="zh-CN"/>
              </w:rPr>
              <w:t>投标人须为公安部《人民警察服装生产企业目录》（2024版）或司法部《司法行政系统警察服装生产企业目录》（司计字[2015]128号）中的生产企业。</w:t>
            </w:r>
          </w:p>
          <w:p w14:paraId="74DE9C9A">
            <w:pPr>
              <w:pageBreakBefore w:val="0"/>
              <w:widowControl w:val="0"/>
              <w:kinsoku/>
              <w:wordWrap w:val="0"/>
              <w:overflowPunct/>
              <w:topLinePunct/>
              <w:autoSpaceDE/>
              <w:autoSpaceDN/>
              <w:bidi w:val="0"/>
              <w:snapToGrid/>
              <w:spacing w:line="240" w:lineRule="auto"/>
              <w:textAlignment w:val="auto"/>
              <w:rPr>
                <w:rFonts w:hint="eastAsia" w:ascii="宋体" w:hAnsi="宋体" w:cs="宋体"/>
                <w:b/>
                <w:bCs/>
                <w:color w:val="auto"/>
                <w:sz w:val="24"/>
                <w:szCs w:val="24"/>
                <w:lang w:val="zh-CN" w:eastAsia="zh-CN"/>
              </w:rPr>
            </w:pPr>
            <w:r>
              <w:rPr>
                <w:rFonts w:hint="eastAsia" w:ascii="宋体" w:hAnsi="宋体" w:cs="宋体"/>
                <w:b/>
                <w:bCs/>
                <w:color w:val="auto"/>
                <w:sz w:val="24"/>
                <w:szCs w:val="24"/>
                <w:lang w:val="zh-CN"/>
              </w:rPr>
              <w:t>（投标文件中</w:t>
            </w:r>
            <w:r>
              <w:rPr>
                <w:rFonts w:hint="eastAsia" w:ascii="宋体" w:hAnsi="宋体" w:cs="宋体"/>
                <w:b/>
                <w:bCs/>
                <w:color w:val="auto"/>
                <w:sz w:val="24"/>
                <w:szCs w:val="24"/>
                <w:lang w:val="en-US" w:eastAsia="zh-CN"/>
              </w:rPr>
              <w:t>需</w:t>
            </w:r>
            <w:r>
              <w:rPr>
                <w:rFonts w:hint="eastAsia" w:ascii="宋体" w:hAnsi="宋体" w:cs="宋体"/>
                <w:b/>
                <w:bCs/>
                <w:color w:val="auto"/>
                <w:sz w:val="24"/>
                <w:szCs w:val="24"/>
                <w:lang w:val="zh-CN"/>
              </w:rPr>
              <w:t>附相关证明资料）</w:t>
            </w:r>
          </w:p>
        </w:tc>
      </w:tr>
      <w:tr w14:paraId="275A96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vMerge w:val="continue"/>
            <w:vAlign w:val="center"/>
          </w:tcPr>
          <w:p w14:paraId="634930E6">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eastAsia="zh-CN"/>
              </w:rPr>
            </w:pPr>
          </w:p>
        </w:tc>
        <w:tc>
          <w:tcPr>
            <w:tcW w:w="3753" w:type="pct"/>
            <w:vAlign w:val="center"/>
          </w:tcPr>
          <w:p w14:paraId="01F7C24E">
            <w:pPr>
              <w:pStyle w:val="2"/>
              <w:pageBreakBefore w:val="0"/>
              <w:overflowPunct/>
              <w:bidi w:val="0"/>
              <w:spacing w:line="240" w:lineRule="auto"/>
              <w:ind w:left="0" w:leftChars="0" w:firstLine="0" w:firstLineChars="0"/>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依据《政府采购促进中小企业发展管理办法》（财库[2020]46号）及《关于进一步加大政府采购支持中小企业力度的通知》（财库[2022]19号）的规定，本标段为专门面向中小微企业的潜在投标人。</w:t>
            </w:r>
          </w:p>
          <w:p w14:paraId="4E93B5D7">
            <w:pPr>
              <w:pageBreakBefore w:val="0"/>
              <w:widowControl w:val="0"/>
              <w:kinsoku/>
              <w:wordWrap w:val="0"/>
              <w:overflowPunct/>
              <w:topLinePunct/>
              <w:autoSpaceDE/>
              <w:autoSpaceDN/>
              <w:bidi w:val="0"/>
              <w:snapToGrid/>
              <w:spacing w:line="240" w:lineRule="auto"/>
              <w:textAlignment w:val="auto"/>
              <w:rPr>
                <w:rFonts w:hint="default" w:ascii="宋体" w:hAnsi="宋体" w:cs="宋体"/>
                <w:b/>
                <w:bCs/>
                <w:color w:val="auto"/>
                <w:sz w:val="24"/>
                <w:szCs w:val="24"/>
                <w:lang w:val="en-US" w:eastAsia="zh-CN"/>
              </w:rPr>
            </w:pPr>
            <w:r>
              <w:rPr>
                <w:rFonts w:hint="eastAsia" w:ascii="宋体" w:hAnsi="宋体" w:cs="宋体"/>
                <w:b/>
                <w:bCs/>
                <w:color w:val="auto"/>
                <w:sz w:val="24"/>
                <w:szCs w:val="24"/>
                <w:lang w:val="zh-CN" w:eastAsia="zh-CN"/>
              </w:rPr>
              <w:t>（投标文件</w:t>
            </w:r>
            <w:r>
              <w:rPr>
                <w:rFonts w:hint="eastAsia" w:ascii="宋体" w:hAnsi="宋体" w:cs="宋体"/>
                <w:b/>
                <w:bCs/>
                <w:color w:val="auto"/>
                <w:sz w:val="24"/>
                <w:szCs w:val="24"/>
                <w:lang w:val="zh-CN"/>
              </w:rPr>
              <w:t>中</w:t>
            </w:r>
            <w:r>
              <w:rPr>
                <w:rFonts w:hint="eastAsia" w:ascii="宋体" w:hAnsi="宋体" w:cs="宋体"/>
                <w:b/>
                <w:bCs/>
                <w:color w:val="auto"/>
                <w:sz w:val="24"/>
                <w:szCs w:val="24"/>
                <w:lang w:val="en-US" w:eastAsia="zh-CN"/>
              </w:rPr>
              <w:t>需</w:t>
            </w:r>
            <w:r>
              <w:rPr>
                <w:rFonts w:hint="eastAsia" w:ascii="宋体" w:hAnsi="宋体" w:cs="宋体"/>
                <w:b/>
                <w:bCs/>
                <w:color w:val="auto"/>
                <w:sz w:val="24"/>
                <w:szCs w:val="24"/>
                <w:lang w:val="zh-CN" w:eastAsia="zh-CN"/>
              </w:rPr>
              <w:t>附中小企业声明函）</w:t>
            </w:r>
          </w:p>
        </w:tc>
      </w:tr>
      <w:tr w14:paraId="0EE1BE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vMerge w:val="restart"/>
            <w:shd w:val="clear" w:color="auto" w:fill="auto"/>
            <w:vAlign w:val="center"/>
          </w:tcPr>
          <w:p w14:paraId="4E1AF44A">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lang w:val="zh-CN"/>
              </w:rPr>
              <w:t>商业信誉</w:t>
            </w:r>
          </w:p>
        </w:tc>
        <w:tc>
          <w:tcPr>
            <w:tcW w:w="3753" w:type="pct"/>
            <w:shd w:val="clear" w:color="auto" w:fill="auto"/>
            <w:vAlign w:val="center"/>
          </w:tcPr>
          <w:p w14:paraId="16D2A806">
            <w:pPr>
              <w:pageBreakBefore w:val="0"/>
              <w:widowControl w:val="0"/>
              <w:numPr>
                <w:ilvl w:val="0"/>
                <w:numId w:val="3"/>
              </w:numPr>
              <w:kinsoku/>
              <w:wordWrap w:val="0"/>
              <w:overflowPunct/>
              <w:topLinePunct/>
              <w:autoSpaceDE/>
              <w:autoSpaceDN/>
              <w:bidi w:val="0"/>
              <w:snapToGrid/>
              <w:spacing w:line="240" w:lineRule="auto"/>
              <w:textAlignment w:val="auto"/>
              <w:rPr>
                <w:rFonts w:hint="eastAsia" w:ascii="宋体" w:hAnsi="宋体" w:cs="宋体"/>
                <w:b w:val="0"/>
                <w:bCs w:val="0"/>
                <w:color w:val="auto"/>
                <w:sz w:val="24"/>
                <w:szCs w:val="24"/>
                <w:lang w:val="zh-CN" w:eastAsia="zh-CN"/>
              </w:rPr>
            </w:pPr>
            <w:r>
              <w:rPr>
                <w:rFonts w:hint="eastAsia" w:ascii="宋体" w:hAnsi="宋体" w:cs="宋体"/>
                <w:b w:val="0"/>
                <w:bCs w:val="0"/>
                <w:color w:val="auto"/>
                <w:sz w:val="24"/>
                <w:szCs w:val="24"/>
                <w:lang w:val="zh-CN" w:eastAsia="zh-CN"/>
              </w:rPr>
              <w:t>“信用中国”网站（www.creditchina.gov.cn）中</w:t>
            </w:r>
            <w:r>
              <w:rPr>
                <w:rFonts w:hint="eastAsia" w:ascii="宋体" w:hAnsi="宋体" w:cs="宋体"/>
                <w:b w:val="0"/>
                <w:bCs w:val="0"/>
                <w:color w:val="auto"/>
                <w:sz w:val="24"/>
                <w:szCs w:val="24"/>
                <w:lang w:val="en-US" w:eastAsia="zh-CN"/>
              </w:rPr>
              <w:t>未被</w:t>
            </w:r>
            <w:r>
              <w:rPr>
                <w:rFonts w:hint="eastAsia" w:ascii="宋体" w:hAnsi="宋体" w:cs="宋体"/>
                <w:b w:val="0"/>
                <w:bCs w:val="0"/>
                <w:color w:val="auto"/>
                <w:sz w:val="24"/>
                <w:szCs w:val="24"/>
                <w:lang w:val="zh-CN" w:eastAsia="zh-CN"/>
              </w:rPr>
              <w:t>列入失信被执行人和重大税收违法案件当事人名单；</w:t>
            </w:r>
          </w:p>
          <w:p w14:paraId="71D619F2">
            <w:pPr>
              <w:pageBreakBefore w:val="0"/>
              <w:widowControl w:val="0"/>
              <w:numPr>
                <w:ilvl w:val="0"/>
                <w:numId w:val="3"/>
              </w:numPr>
              <w:kinsoku/>
              <w:wordWrap w:val="0"/>
              <w:overflowPunct/>
              <w:topLinePunct/>
              <w:autoSpaceDE/>
              <w:autoSpaceDN/>
              <w:bidi w:val="0"/>
              <w:snapToGrid/>
              <w:spacing w:line="240" w:lineRule="auto"/>
              <w:textAlignment w:val="auto"/>
              <w:rPr>
                <w:rFonts w:hint="eastAsia" w:ascii="宋体" w:hAnsi="宋体" w:cs="宋体"/>
                <w:b w:val="0"/>
                <w:bCs w:val="0"/>
                <w:color w:val="auto"/>
                <w:sz w:val="24"/>
                <w:szCs w:val="24"/>
                <w:lang w:val="zh-CN" w:eastAsia="zh-CN"/>
              </w:rPr>
            </w:pPr>
            <w:r>
              <w:rPr>
                <w:rFonts w:hint="eastAsia" w:ascii="宋体" w:hAnsi="宋体" w:cs="宋体"/>
                <w:b w:val="0"/>
                <w:bCs w:val="0"/>
                <w:color w:val="auto"/>
                <w:sz w:val="24"/>
                <w:szCs w:val="24"/>
                <w:lang w:val="zh-CN" w:eastAsia="zh-CN"/>
              </w:rPr>
              <w:t>中国政府采购网（www.ccgp.gov.cn）</w:t>
            </w:r>
            <w:r>
              <w:rPr>
                <w:rFonts w:hint="eastAsia" w:ascii="宋体" w:hAnsi="宋体" w:cs="宋体"/>
                <w:b w:val="0"/>
                <w:bCs w:val="0"/>
                <w:color w:val="auto"/>
                <w:sz w:val="24"/>
                <w:szCs w:val="24"/>
                <w:lang w:val="en-US" w:eastAsia="zh-CN"/>
              </w:rPr>
              <w:t>未被列入</w:t>
            </w:r>
            <w:r>
              <w:rPr>
                <w:rFonts w:hint="eastAsia" w:ascii="宋体" w:hAnsi="宋体" w:cs="宋体"/>
                <w:b w:val="0"/>
                <w:bCs w:val="0"/>
                <w:color w:val="auto"/>
                <w:sz w:val="24"/>
                <w:szCs w:val="24"/>
                <w:lang w:val="zh-CN" w:eastAsia="zh-CN"/>
              </w:rPr>
              <w:t>政府采购严重违法失信行为记录名单中被财政部门禁止参加政府采购活动的投标人（在处罚决定规定的时间和地域范围内）（详见财库【2016】125号文）。</w:t>
            </w:r>
          </w:p>
          <w:p w14:paraId="457AFE7C">
            <w:pPr>
              <w:pageBreakBefore w:val="0"/>
              <w:widowControl w:val="0"/>
              <w:kinsoku/>
              <w:wordWrap w:val="0"/>
              <w:overflowPunct/>
              <w:topLinePunct/>
              <w:autoSpaceDE/>
              <w:autoSpaceDN/>
              <w:bidi w:val="0"/>
              <w:snapToGrid/>
              <w:spacing w:line="240" w:lineRule="auto"/>
              <w:textAlignment w:val="auto"/>
              <w:rPr>
                <w:rFonts w:hint="eastAsia" w:ascii="宋体" w:hAnsi="宋体" w:cs="宋体" w:eastAsiaTheme="minorEastAsia"/>
                <w:color w:val="auto"/>
                <w:kern w:val="2"/>
                <w:sz w:val="24"/>
                <w:szCs w:val="24"/>
                <w:lang w:val="zh-CN" w:eastAsia="zh-CN" w:bidi="ar-SA"/>
              </w:rPr>
            </w:pPr>
            <w:r>
              <w:rPr>
                <w:rFonts w:hint="eastAsia" w:ascii="宋体" w:hAnsi="宋体" w:cs="宋体"/>
                <w:b/>
                <w:bCs/>
                <w:color w:val="auto"/>
                <w:sz w:val="24"/>
                <w:szCs w:val="24"/>
                <w:lang w:val="zh-CN" w:eastAsia="zh-CN"/>
              </w:rPr>
              <w:t>（</w:t>
            </w:r>
            <w:r>
              <w:rPr>
                <w:rFonts w:hint="eastAsia" w:ascii="宋体" w:hAnsi="宋体" w:cs="宋体"/>
                <w:b/>
                <w:bCs/>
                <w:color w:val="auto"/>
                <w:sz w:val="24"/>
                <w:szCs w:val="24"/>
                <w:lang w:eastAsia="zh-CN"/>
              </w:rPr>
              <w:t>投标文件</w:t>
            </w:r>
            <w:r>
              <w:rPr>
                <w:rFonts w:hint="eastAsia" w:ascii="宋体" w:hAnsi="宋体" w:cs="宋体"/>
                <w:b/>
                <w:bCs/>
                <w:color w:val="auto"/>
                <w:sz w:val="24"/>
                <w:szCs w:val="24"/>
                <w:lang w:val="zh-CN"/>
              </w:rPr>
              <w:t>中</w:t>
            </w:r>
            <w:r>
              <w:rPr>
                <w:rFonts w:hint="eastAsia" w:ascii="宋体" w:hAnsi="宋体" w:cs="宋体"/>
                <w:b/>
                <w:bCs/>
                <w:color w:val="auto"/>
                <w:sz w:val="24"/>
                <w:szCs w:val="24"/>
                <w:lang w:eastAsia="zh-CN"/>
              </w:rPr>
              <w:t>需附</w:t>
            </w:r>
            <w:r>
              <w:rPr>
                <w:rFonts w:hint="eastAsia" w:ascii="宋体" w:hAnsi="宋体" w:cs="宋体"/>
                <w:b/>
                <w:bCs/>
                <w:color w:val="auto"/>
                <w:sz w:val="24"/>
                <w:szCs w:val="24"/>
                <w:lang w:val="zh-CN" w:eastAsia="zh-CN"/>
              </w:rPr>
              <w:t>信用中国、中国政府采购网的</w:t>
            </w:r>
            <w:r>
              <w:rPr>
                <w:rFonts w:hint="eastAsia" w:ascii="宋体" w:hAnsi="宋体" w:cs="宋体"/>
                <w:b/>
                <w:bCs/>
                <w:color w:val="auto"/>
                <w:sz w:val="24"/>
                <w:szCs w:val="24"/>
                <w:lang w:eastAsia="zh-CN"/>
              </w:rPr>
              <w:t>相关信誉截图）</w:t>
            </w:r>
          </w:p>
        </w:tc>
      </w:tr>
      <w:tr w14:paraId="276F1D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246" w:type="pct"/>
            <w:vMerge w:val="continue"/>
            <w:shd w:val="clear" w:color="auto" w:fill="auto"/>
            <w:vAlign w:val="center"/>
          </w:tcPr>
          <w:p w14:paraId="739003D8">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val="zh-CN"/>
              </w:rPr>
            </w:pPr>
          </w:p>
        </w:tc>
        <w:tc>
          <w:tcPr>
            <w:tcW w:w="3753" w:type="pct"/>
            <w:shd w:val="clear" w:color="auto" w:fill="auto"/>
            <w:vAlign w:val="center"/>
          </w:tcPr>
          <w:p w14:paraId="78F8F2D2">
            <w:pPr>
              <w:pageBreakBefore w:val="0"/>
              <w:widowControl w:val="0"/>
              <w:kinsoku/>
              <w:wordWrap w:val="0"/>
              <w:overflowPunct/>
              <w:topLinePunct/>
              <w:autoSpaceDE/>
              <w:autoSpaceDN/>
              <w:bidi w:val="0"/>
              <w:snapToGrid/>
              <w:spacing w:line="240" w:lineRule="auto"/>
              <w:textAlignment w:val="auto"/>
              <w:rPr>
                <w:rFonts w:hint="default"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投标人在</w:t>
            </w:r>
            <w:r>
              <w:rPr>
                <w:rFonts w:hint="eastAsia" w:ascii="宋体" w:hAnsi="宋体" w:cs="宋体"/>
                <w:b w:val="0"/>
                <w:bCs w:val="0"/>
                <w:color w:val="auto"/>
                <w:sz w:val="24"/>
                <w:szCs w:val="24"/>
                <w:lang w:val="zh-CN" w:eastAsia="zh-CN"/>
              </w:rPr>
              <w:t>参加</w:t>
            </w:r>
            <w:r>
              <w:rPr>
                <w:rFonts w:hint="eastAsia" w:ascii="宋体" w:hAnsi="宋体" w:cs="宋体"/>
                <w:b w:val="0"/>
                <w:bCs w:val="0"/>
                <w:color w:val="auto"/>
                <w:sz w:val="24"/>
                <w:szCs w:val="24"/>
                <w:lang w:val="en-US" w:eastAsia="zh-CN"/>
              </w:rPr>
              <w:t>本次</w:t>
            </w:r>
            <w:r>
              <w:rPr>
                <w:rFonts w:hint="eastAsia" w:ascii="宋体" w:hAnsi="宋体" w:cs="宋体"/>
                <w:b w:val="0"/>
                <w:bCs w:val="0"/>
                <w:color w:val="auto"/>
                <w:sz w:val="24"/>
                <w:szCs w:val="24"/>
                <w:lang w:val="zh-CN" w:eastAsia="zh-CN"/>
              </w:rPr>
              <w:t>政府采购活动（即递交投标文件截止时间）前三年内，在经营活动中没有重大违法记录。（如投标单位</w:t>
            </w:r>
            <w:r>
              <w:rPr>
                <w:rFonts w:hint="eastAsia" w:ascii="宋体" w:hAnsi="宋体" w:cs="宋体"/>
                <w:b w:val="0"/>
                <w:bCs w:val="0"/>
                <w:color w:val="auto"/>
                <w:sz w:val="24"/>
                <w:szCs w:val="24"/>
                <w:lang w:val="en-US" w:eastAsia="zh-CN"/>
              </w:rPr>
              <w:t>营业执照注册时间不足三年的，从注册之日起至</w:t>
            </w:r>
            <w:r>
              <w:rPr>
                <w:rFonts w:hint="eastAsia" w:ascii="宋体" w:hAnsi="宋体" w:cs="宋体"/>
                <w:b w:val="0"/>
                <w:bCs w:val="0"/>
                <w:color w:val="auto"/>
                <w:sz w:val="24"/>
                <w:szCs w:val="24"/>
                <w:lang w:val="zh-CN" w:eastAsia="zh-CN"/>
              </w:rPr>
              <w:t>递交投标文件截止时间）</w:t>
            </w:r>
          </w:p>
          <w:p w14:paraId="4C26224C">
            <w:pPr>
              <w:pStyle w:val="2"/>
              <w:pageBreakBefore w:val="0"/>
              <w:overflowPunct/>
              <w:bidi w:val="0"/>
              <w:spacing w:line="240" w:lineRule="auto"/>
              <w:ind w:left="0" w:leftChars="0" w:firstLine="0" w:firstLineChars="0"/>
              <w:rPr>
                <w:rFonts w:hint="default"/>
                <w:lang w:val="en-US" w:eastAsia="zh-CN"/>
              </w:rPr>
            </w:pPr>
            <w:r>
              <w:rPr>
                <w:rFonts w:hint="eastAsia" w:ascii="宋体" w:hAnsi="宋体" w:cs="宋体"/>
                <w:b/>
                <w:bCs/>
                <w:color w:val="auto"/>
                <w:sz w:val="24"/>
                <w:szCs w:val="24"/>
                <w:lang w:val="zh-CN" w:eastAsia="zh-CN"/>
              </w:rPr>
              <w:t>（</w:t>
            </w:r>
            <w:r>
              <w:rPr>
                <w:rFonts w:hint="eastAsia" w:ascii="宋体" w:hAnsi="宋体" w:cs="宋体"/>
                <w:b/>
                <w:bCs/>
                <w:color w:val="auto"/>
                <w:sz w:val="24"/>
                <w:szCs w:val="24"/>
                <w:lang w:eastAsia="zh-CN"/>
              </w:rPr>
              <w:t>投标文件</w:t>
            </w:r>
            <w:r>
              <w:rPr>
                <w:rFonts w:hint="eastAsia" w:ascii="宋体" w:hAnsi="宋体" w:cs="宋体"/>
                <w:b/>
                <w:bCs/>
                <w:color w:val="auto"/>
                <w:sz w:val="24"/>
                <w:szCs w:val="24"/>
                <w:lang w:val="zh-CN"/>
              </w:rPr>
              <w:t>中</w:t>
            </w:r>
            <w:r>
              <w:rPr>
                <w:rFonts w:hint="eastAsia" w:ascii="宋体" w:hAnsi="宋体" w:cs="宋体"/>
                <w:b/>
                <w:bCs/>
                <w:color w:val="auto"/>
                <w:sz w:val="24"/>
                <w:szCs w:val="24"/>
                <w:lang w:eastAsia="zh-CN"/>
              </w:rPr>
              <w:t>需</w:t>
            </w:r>
            <w:r>
              <w:rPr>
                <w:rFonts w:hint="eastAsia" w:ascii="宋体" w:hAnsi="宋体" w:cs="宋体"/>
                <w:b/>
                <w:bCs/>
                <w:color w:val="auto"/>
                <w:sz w:val="24"/>
                <w:szCs w:val="24"/>
                <w:lang w:val="zh-CN" w:eastAsia="zh-CN"/>
              </w:rPr>
              <w:t>附承诺书</w:t>
            </w:r>
            <w:r>
              <w:rPr>
                <w:rFonts w:hint="eastAsia" w:ascii="宋体" w:hAnsi="宋体" w:cs="宋体"/>
                <w:b/>
                <w:bCs/>
                <w:color w:val="auto"/>
                <w:sz w:val="24"/>
                <w:szCs w:val="24"/>
                <w:lang w:eastAsia="zh-CN"/>
              </w:rPr>
              <w:t>）</w:t>
            </w:r>
          </w:p>
        </w:tc>
      </w:tr>
      <w:tr w14:paraId="78BD9A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shd w:val="clear" w:color="auto" w:fill="auto"/>
            <w:vAlign w:val="center"/>
          </w:tcPr>
          <w:p w14:paraId="7118950F">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lang w:eastAsia="zh-CN"/>
              </w:rPr>
              <w:t>财务要求</w:t>
            </w:r>
          </w:p>
        </w:tc>
        <w:tc>
          <w:tcPr>
            <w:tcW w:w="3753" w:type="pct"/>
            <w:shd w:val="clear" w:color="auto" w:fill="auto"/>
            <w:vAlign w:val="center"/>
          </w:tcPr>
          <w:p w14:paraId="6FD08669">
            <w:pPr>
              <w:pageBreakBefore w:val="0"/>
              <w:widowControl w:val="0"/>
              <w:kinsoku/>
              <w:wordWrap w:val="0"/>
              <w:overflowPunct/>
              <w:topLinePunct/>
              <w:autoSpaceDE/>
              <w:autoSpaceDN/>
              <w:bidi w:val="0"/>
              <w:snapToGrid/>
              <w:spacing w:line="240" w:lineRule="auto"/>
              <w:textAlignment w:val="auto"/>
              <w:rPr>
                <w:rFonts w:hint="eastAsia" w:ascii="宋体" w:hAnsi="宋体" w:cs="宋体"/>
                <w:b w:val="0"/>
                <w:bCs w:val="0"/>
                <w:color w:val="auto"/>
                <w:sz w:val="24"/>
                <w:szCs w:val="24"/>
                <w:lang w:val="zh-CN"/>
              </w:rPr>
            </w:pPr>
            <w:r>
              <w:rPr>
                <w:rFonts w:hint="eastAsia" w:ascii="宋体" w:hAnsi="宋体" w:cs="宋体"/>
                <w:b w:val="0"/>
                <w:bCs w:val="0"/>
                <w:color w:val="auto"/>
                <w:sz w:val="24"/>
                <w:szCs w:val="24"/>
                <w:lang w:val="zh-CN"/>
              </w:rPr>
              <w:t>投标人</w:t>
            </w:r>
            <w:r>
              <w:rPr>
                <w:rFonts w:hint="eastAsia" w:ascii="宋体" w:hAnsi="宋体" w:cs="宋体"/>
                <w:bCs/>
                <w:color w:val="auto"/>
                <w:sz w:val="24"/>
                <w:szCs w:val="24"/>
                <w:lang w:val="zh-CN" w:eastAsia="zh-CN"/>
              </w:rPr>
              <w:t>须</w:t>
            </w:r>
            <w:r>
              <w:rPr>
                <w:rFonts w:hint="eastAsia" w:ascii="宋体" w:hAnsi="宋体" w:cs="宋体"/>
                <w:b w:val="0"/>
                <w:bCs w:val="0"/>
                <w:color w:val="auto"/>
                <w:sz w:val="24"/>
                <w:szCs w:val="24"/>
                <w:lang w:val="zh-CN"/>
              </w:rPr>
              <w:t>提供</w:t>
            </w:r>
            <w:r>
              <w:rPr>
                <w:rFonts w:hint="eastAsia" w:ascii="宋体" w:hAnsi="宋体" w:cs="宋体"/>
                <w:b w:val="0"/>
                <w:bCs w:val="0"/>
                <w:color w:val="auto"/>
                <w:sz w:val="24"/>
                <w:szCs w:val="24"/>
                <w:lang w:val="en-US" w:eastAsia="zh-CN"/>
              </w:rPr>
              <w:t>2024年度（2024年1月1日-2024年12月31日）</w:t>
            </w:r>
            <w:r>
              <w:rPr>
                <w:rFonts w:hint="eastAsia" w:ascii="宋体" w:hAnsi="宋体" w:cs="宋体"/>
                <w:b w:val="0"/>
                <w:bCs w:val="0"/>
                <w:color w:val="auto"/>
                <w:sz w:val="24"/>
                <w:szCs w:val="24"/>
                <w:lang w:val="zh-CN"/>
              </w:rPr>
              <w:t>经第三方审计机构出具的财务审计报告或提供</w:t>
            </w:r>
            <w:r>
              <w:rPr>
                <w:rFonts w:hint="eastAsia" w:ascii="宋体" w:hAnsi="宋体" w:cs="宋体"/>
                <w:b w:val="0"/>
                <w:bCs w:val="0"/>
                <w:color w:val="auto"/>
                <w:sz w:val="24"/>
                <w:szCs w:val="24"/>
                <w:lang w:val="en-US" w:eastAsia="zh-CN"/>
              </w:rPr>
              <w:t>2024年度（2024年1月1日-2024年12月31日）</w:t>
            </w:r>
            <w:r>
              <w:rPr>
                <w:rFonts w:hint="eastAsia" w:ascii="宋体" w:hAnsi="宋体" w:cs="宋体"/>
                <w:b w:val="0"/>
                <w:bCs w:val="0"/>
                <w:color w:val="auto"/>
                <w:sz w:val="24"/>
                <w:szCs w:val="24"/>
                <w:lang w:val="zh-CN"/>
              </w:rPr>
              <w:t>投标企业编制的财务报表（包括但不限于资产负债表、利润表和现金流量表），</w:t>
            </w:r>
            <w:r>
              <w:rPr>
                <w:rFonts w:hint="eastAsia" w:ascii="宋体" w:hAnsi="宋体" w:cs="宋体"/>
                <w:b w:val="0"/>
                <w:bCs w:val="0"/>
                <w:color w:val="auto"/>
                <w:sz w:val="24"/>
                <w:szCs w:val="24"/>
                <w:lang w:val="en-US" w:eastAsia="zh-CN"/>
              </w:rPr>
              <w:t>2025</w:t>
            </w:r>
            <w:r>
              <w:rPr>
                <w:rFonts w:hint="eastAsia" w:ascii="宋体" w:hAnsi="宋体" w:cs="宋体"/>
                <w:b w:val="0"/>
                <w:bCs w:val="0"/>
                <w:color w:val="auto"/>
                <w:sz w:val="24"/>
                <w:szCs w:val="24"/>
                <w:lang w:val="zh-CN"/>
              </w:rPr>
              <w:t>年</w:t>
            </w:r>
            <w:r>
              <w:rPr>
                <w:rFonts w:hint="eastAsia" w:ascii="宋体" w:hAnsi="宋体" w:cs="宋体"/>
                <w:b w:val="0"/>
                <w:bCs w:val="0"/>
                <w:color w:val="auto"/>
                <w:sz w:val="24"/>
                <w:szCs w:val="24"/>
                <w:lang w:val="en-US" w:eastAsia="zh-CN"/>
              </w:rPr>
              <w:t>1月1日起</w:t>
            </w:r>
            <w:r>
              <w:rPr>
                <w:rFonts w:hint="eastAsia" w:ascii="宋体" w:hAnsi="宋体" w:cs="宋体"/>
                <w:b w:val="0"/>
                <w:bCs w:val="0"/>
                <w:color w:val="auto"/>
                <w:sz w:val="24"/>
                <w:szCs w:val="24"/>
                <w:lang w:val="zh-CN"/>
              </w:rPr>
              <w:t>成立的企业可仅提供银行出具的资信良好的证明文件。</w:t>
            </w:r>
          </w:p>
          <w:p w14:paraId="1FE659BF">
            <w:pPr>
              <w:pageBreakBefore w:val="0"/>
              <w:widowControl w:val="0"/>
              <w:kinsoku/>
              <w:wordWrap w:val="0"/>
              <w:overflowPunct/>
              <w:topLinePunct/>
              <w:autoSpaceDE/>
              <w:autoSpaceDN/>
              <w:bidi w:val="0"/>
              <w:snapToGrid/>
              <w:spacing w:line="240" w:lineRule="auto"/>
              <w:textAlignment w:val="auto"/>
              <w:rPr>
                <w:rFonts w:hint="eastAsia" w:asciiTheme="minorHAnsi" w:hAnsiTheme="minorHAnsi" w:eastAsiaTheme="minorEastAsia" w:cstheme="minorBidi"/>
                <w:color w:val="auto"/>
                <w:kern w:val="2"/>
                <w:sz w:val="21"/>
                <w:szCs w:val="24"/>
                <w:lang w:val="zh-CN" w:eastAsia="zh-CN" w:bidi="ar-SA"/>
              </w:rPr>
            </w:pPr>
            <w:r>
              <w:rPr>
                <w:rFonts w:hint="eastAsia" w:ascii="宋体" w:hAnsi="宋体" w:cs="宋体"/>
                <w:b/>
                <w:bCs/>
                <w:color w:val="auto"/>
                <w:sz w:val="24"/>
                <w:szCs w:val="24"/>
                <w:lang w:val="zh-CN"/>
              </w:rPr>
              <w:t>（投标文件中</w:t>
            </w:r>
            <w:r>
              <w:rPr>
                <w:rFonts w:hint="eastAsia" w:ascii="宋体" w:hAnsi="宋体" w:cs="宋体"/>
                <w:b/>
                <w:bCs/>
                <w:color w:val="auto"/>
                <w:sz w:val="24"/>
                <w:szCs w:val="24"/>
                <w:lang w:eastAsia="zh-CN"/>
              </w:rPr>
              <w:t>需</w:t>
            </w:r>
            <w:r>
              <w:rPr>
                <w:rFonts w:hint="eastAsia" w:ascii="宋体" w:hAnsi="宋体" w:cs="宋体"/>
                <w:b/>
                <w:bCs/>
                <w:color w:val="auto"/>
                <w:sz w:val="24"/>
                <w:szCs w:val="24"/>
                <w:lang w:val="zh-CN" w:eastAsia="zh-CN"/>
              </w:rPr>
              <w:t>附</w:t>
            </w:r>
            <w:r>
              <w:rPr>
                <w:rFonts w:hint="eastAsia" w:ascii="宋体" w:hAnsi="宋体" w:cs="宋体"/>
                <w:b/>
                <w:bCs/>
                <w:color w:val="auto"/>
                <w:sz w:val="24"/>
                <w:szCs w:val="24"/>
                <w:lang w:val="en-US" w:eastAsia="zh-CN"/>
              </w:rPr>
              <w:t>财务审计报告</w:t>
            </w:r>
            <w:r>
              <w:rPr>
                <w:rFonts w:hint="eastAsia" w:ascii="宋体" w:hAnsi="宋体" w:cs="宋体"/>
                <w:b/>
                <w:bCs/>
                <w:color w:val="auto"/>
                <w:sz w:val="24"/>
                <w:szCs w:val="24"/>
                <w:lang w:val="zh-CN"/>
              </w:rPr>
              <w:t>或财务报表或资信证明文件）</w:t>
            </w:r>
          </w:p>
        </w:tc>
      </w:tr>
      <w:tr w14:paraId="38D09E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45" w:hRule="atLeast"/>
          <w:jc w:val="center"/>
        </w:trPr>
        <w:tc>
          <w:tcPr>
            <w:tcW w:w="1246" w:type="pct"/>
            <w:vMerge w:val="restart"/>
            <w:vAlign w:val="center"/>
          </w:tcPr>
          <w:p w14:paraId="222BEAC8">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依法缴纳税收和社会保障资金</w:t>
            </w:r>
          </w:p>
        </w:tc>
        <w:tc>
          <w:tcPr>
            <w:tcW w:w="3753" w:type="pct"/>
            <w:vAlign w:val="center"/>
          </w:tcPr>
          <w:p w14:paraId="155EB5E0">
            <w:pPr>
              <w:pageBreakBefore w:val="0"/>
              <w:widowControl w:val="0"/>
              <w:kinsoku/>
              <w:wordWrap w:val="0"/>
              <w:overflowPunct/>
              <w:topLinePunct/>
              <w:autoSpaceDE/>
              <w:autoSpaceDN/>
              <w:bidi w:val="0"/>
              <w:snapToGrid/>
              <w:spacing w:line="240" w:lineRule="auto"/>
              <w:textAlignment w:val="auto"/>
              <w:rPr>
                <w:rFonts w:hint="eastAsia" w:ascii="宋体" w:hAnsi="宋体" w:cs="宋体"/>
                <w:color w:val="auto"/>
                <w:sz w:val="24"/>
                <w:szCs w:val="24"/>
                <w:lang w:val="en-US" w:eastAsia="zh-CN"/>
              </w:rPr>
            </w:pPr>
            <w:r>
              <w:rPr>
                <w:rFonts w:hint="eastAsia" w:ascii="宋体" w:hAnsi="宋体" w:cs="宋体"/>
                <w:b w:val="0"/>
                <w:bCs w:val="0"/>
                <w:color w:val="auto"/>
                <w:sz w:val="24"/>
                <w:szCs w:val="24"/>
                <w:lang w:val="zh-CN"/>
              </w:rPr>
              <w:t>投标人</w:t>
            </w:r>
            <w:r>
              <w:rPr>
                <w:rFonts w:hint="eastAsia" w:ascii="宋体" w:hAnsi="宋体" w:cs="宋体"/>
                <w:bCs/>
                <w:color w:val="auto"/>
                <w:sz w:val="24"/>
                <w:szCs w:val="24"/>
                <w:lang w:val="zh-CN" w:eastAsia="zh-CN"/>
              </w:rPr>
              <w:t>须</w:t>
            </w:r>
            <w:r>
              <w:rPr>
                <w:rFonts w:hint="eastAsia" w:ascii="宋体" w:hAnsi="宋体" w:cs="宋体"/>
                <w:b w:val="0"/>
                <w:bCs w:val="0"/>
                <w:color w:val="auto"/>
                <w:sz w:val="24"/>
                <w:szCs w:val="24"/>
                <w:lang w:val="zh-CN"/>
              </w:rPr>
              <w:t>提供近一年内（</w:t>
            </w:r>
            <w:r>
              <w:rPr>
                <w:rFonts w:hint="eastAsia" w:ascii="宋体" w:hAnsi="宋体" w:cs="宋体"/>
                <w:b w:val="0"/>
                <w:bCs w:val="0"/>
                <w:color w:val="auto"/>
                <w:sz w:val="24"/>
                <w:szCs w:val="24"/>
                <w:lang w:val="en-US" w:eastAsia="zh-CN"/>
              </w:rPr>
              <w:t>2024年4月至今</w:t>
            </w:r>
            <w:r>
              <w:rPr>
                <w:rFonts w:hint="eastAsia" w:ascii="宋体" w:hAnsi="宋体" w:cs="宋体"/>
                <w:b w:val="0"/>
                <w:bCs w:val="0"/>
                <w:color w:val="auto"/>
                <w:sz w:val="24"/>
                <w:szCs w:val="24"/>
                <w:lang w:val="zh-CN"/>
              </w:rPr>
              <w:t>）</w:t>
            </w:r>
            <w:r>
              <w:rPr>
                <w:rFonts w:hint="eastAsia" w:ascii="宋体" w:hAnsi="宋体" w:cs="宋体"/>
                <w:b w:val="0"/>
                <w:bCs w:val="0"/>
                <w:color w:val="auto"/>
                <w:sz w:val="24"/>
                <w:szCs w:val="24"/>
                <w:lang w:val="en-US" w:eastAsia="zh-CN"/>
              </w:rPr>
              <w:t>任意一个月的依法缴纳税收的纳税证明</w:t>
            </w:r>
            <w:r>
              <w:rPr>
                <w:rFonts w:hint="eastAsia" w:ascii="宋体" w:hAnsi="宋体" w:cs="宋体"/>
                <w:color w:val="auto"/>
                <w:sz w:val="24"/>
                <w:szCs w:val="24"/>
                <w:lang w:val="en-US" w:eastAsia="zh-CN"/>
              </w:rPr>
              <w:t>(依法免税的投标人可提供相应文件证明其依法免税）。</w:t>
            </w:r>
          </w:p>
          <w:p w14:paraId="7DCE49BF">
            <w:pPr>
              <w:pageBreakBefore w:val="0"/>
              <w:widowControl w:val="0"/>
              <w:kinsoku/>
              <w:wordWrap w:val="0"/>
              <w:overflowPunct/>
              <w:topLinePunct/>
              <w:autoSpaceDE/>
              <w:autoSpaceDN/>
              <w:bidi w:val="0"/>
              <w:snapToGrid/>
              <w:spacing w:line="240" w:lineRule="auto"/>
              <w:textAlignment w:val="auto"/>
              <w:rPr>
                <w:rFonts w:hint="default"/>
                <w:color w:val="auto"/>
                <w:lang w:val="en-US"/>
              </w:rPr>
            </w:pPr>
            <w:r>
              <w:rPr>
                <w:rFonts w:hint="eastAsia" w:ascii="宋体" w:hAnsi="宋体" w:cs="宋体"/>
                <w:b/>
                <w:bCs/>
                <w:color w:val="auto"/>
                <w:sz w:val="24"/>
                <w:szCs w:val="24"/>
                <w:lang w:val="zh-CN"/>
              </w:rPr>
              <w:t>（投标文件中需附纳税证明资料）</w:t>
            </w:r>
          </w:p>
        </w:tc>
      </w:tr>
      <w:tr w14:paraId="7225F9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45" w:hRule="atLeast"/>
          <w:jc w:val="center"/>
        </w:trPr>
        <w:tc>
          <w:tcPr>
            <w:tcW w:w="1246" w:type="pct"/>
            <w:vMerge w:val="continue"/>
            <w:vAlign w:val="center"/>
          </w:tcPr>
          <w:p w14:paraId="4D1F51C5">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C00000"/>
                <w:sz w:val="24"/>
                <w:szCs w:val="24"/>
                <w:lang w:val="en-US" w:eastAsia="zh-CN"/>
              </w:rPr>
            </w:pPr>
          </w:p>
        </w:tc>
        <w:tc>
          <w:tcPr>
            <w:tcW w:w="3753" w:type="pct"/>
            <w:vAlign w:val="center"/>
          </w:tcPr>
          <w:p w14:paraId="6EDFE06D">
            <w:pPr>
              <w:pageBreakBefore w:val="0"/>
              <w:widowControl w:val="0"/>
              <w:kinsoku/>
              <w:wordWrap w:val="0"/>
              <w:overflowPunct/>
              <w:topLinePunct/>
              <w:autoSpaceDE/>
              <w:autoSpaceDN/>
              <w:bidi w:val="0"/>
              <w:snapToGrid/>
              <w:spacing w:line="240" w:lineRule="auto"/>
              <w:textAlignment w:val="auto"/>
              <w:rPr>
                <w:rFonts w:hint="eastAsia" w:ascii="宋体" w:hAnsi="宋体" w:cs="宋体"/>
                <w:color w:val="auto"/>
                <w:sz w:val="24"/>
                <w:szCs w:val="24"/>
                <w:lang w:val="en-US" w:eastAsia="zh-CN"/>
              </w:rPr>
            </w:pPr>
            <w:r>
              <w:rPr>
                <w:rFonts w:hint="eastAsia" w:ascii="宋体" w:hAnsi="宋体" w:cs="宋体"/>
                <w:b w:val="0"/>
                <w:bCs w:val="0"/>
                <w:color w:val="auto"/>
                <w:sz w:val="24"/>
                <w:szCs w:val="24"/>
                <w:lang w:val="zh-CN"/>
              </w:rPr>
              <w:t>投标人</w:t>
            </w:r>
            <w:r>
              <w:rPr>
                <w:rFonts w:hint="eastAsia" w:ascii="宋体" w:hAnsi="宋体" w:cs="宋体"/>
                <w:bCs/>
                <w:color w:val="auto"/>
                <w:sz w:val="24"/>
                <w:szCs w:val="24"/>
                <w:lang w:val="zh-CN" w:eastAsia="zh-CN"/>
              </w:rPr>
              <w:t>须</w:t>
            </w:r>
            <w:r>
              <w:rPr>
                <w:rFonts w:hint="eastAsia" w:ascii="宋体" w:hAnsi="宋体" w:cs="宋体"/>
                <w:b w:val="0"/>
                <w:bCs w:val="0"/>
                <w:color w:val="auto"/>
                <w:sz w:val="24"/>
                <w:szCs w:val="24"/>
                <w:lang w:val="zh-CN"/>
              </w:rPr>
              <w:t>提供近一年内（</w:t>
            </w:r>
            <w:r>
              <w:rPr>
                <w:rFonts w:hint="eastAsia" w:ascii="宋体" w:hAnsi="宋体" w:cs="宋体"/>
                <w:b w:val="0"/>
                <w:bCs w:val="0"/>
                <w:color w:val="auto"/>
                <w:sz w:val="24"/>
                <w:szCs w:val="24"/>
                <w:lang w:val="en-US" w:eastAsia="zh-CN"/>
              </w:rPr>
              <w:t>2024年4月至今</w:t>
            </w:r>
            <w:r>
              <w:rPr>
                <w:rFonts w:hint="eastAsia" w:ascii="宋体" w:hAnsi="宋体" w:cs="宋体"/>
                <w:b w:val="0"/>
                <w:bCs w:val="0"/>
                <w:color w:val="auto"/>
                <w:sz w:val="24"/>
                <w:szCs w:val="24"/>
                <w:lang w:val="zh-CN"/>
              </w:rPr>
              <w:t>）</w:t>
            </w:r>
            <w:r>
              <w:rPr>
                <w:rFonts w:hint="eastAsia" w:ascii="宋体" w:hAnsi="宋体" w:cs="宋体"/>
                <w:b w:val="0"/>
                <w:bCs w:val="0"/>
                <w:color w:val="auto"/>
                <w:sz w:val="24"/>
                <w:szCs w:val="24"/>
                <w:lang w:val="en-US" w:eastAsia="zh-CN"/>
              </w:rPr>
              <w:t>任意一个月的依法缴纳社会保障资金的证明</w:t>
            </w:r>
            <w:r>
              <w:rPr>
                <w:rFonts w:hint="eastAsia" w:ascii="宋体" w:hAnsi="宋体" w:cs="宋体"/>
                <w:color w:val="auto"/>
                <w:sz w:val="24"/>
                <w:szCs w:val="24"/>
                <w:lang w:val="en-US" w:eastAsia="zh-CN"/>
              </w:rPr>
              <w:t>(依法不需要缴纳社会保障资金的投标人可提供相应文件证明其依法不需要缴纳社会保障资金）。</w:t>
            </w:r>
          </w:p>
          <w:p w14:paraId="07EAD634">
            <w:pPr>
              <w:pageBreakBefore w:val="0"/>
              <w:widowControl w:val="0"/>
              <w:kinsoku/>
              <w:wordWrap w:val="0"/>
              <w:overflowPunct/>
              <w:topLinePunct/>
              <w:autoSpaceDE/>
              <w:autoSpaceDN/>
              <w:bidi w:val="0"/>
              <w:snapToGrid/>
              <w:spacing w:line="240" w:lineRule="auto"/>
              <w:textAlignment w:val="auto"/>
              <w:rPr>
                <w:rFonts w:hint="eastAsia" w:ascii="宋体" w:hAnsi="宋体" w:cs="宋体"/>
                <w:b/>
                <w:bCs/>
                <w:color w:val="C00000"/>
                <w:sz w:val="24"/>
                <w:szCs w:val="24"/>
                <w:lang w:val="zh-CN"/>
              </w:rPr>
            </w:pPr>
            <w:r>
              <w:rPr>
                <w:rFonts w:hint="eastAsia" w:ascii="宋体" w:hAnsi="宋体" w:cs="宋体"/>
                <w:b/>
                <w:bCs/>
                <w:color w:val="auto"/>
                <w:sz w:val="24"/>
                <w:szCs w:val="24"/>
                <w:lang w:val="zh-CN"/>
              </w:rPr>
              <w:t>（投标文件中需附缴纳</w:t>
            </w:r>
            <w:r>
              <w:rPr>
                <w:rFonts w:hint="eastAsia" w:ascii="宋体" w:hAnsi="宋体" w:cs="宋体"/>
                <w:b/>
                <w:bCs/>
                <w:color w:val="auto"/>
                <w:sz w:val="24"/>
                <w:szCs w:val="24"/>
                <w:lang w:val="zh-CN" w:eastAsia="zh-CN"/>
              </w:rPr>
              <w:t>社会保障资金</w:t>
            </w:r>
            <w:r>
              <w:rPr>
                <w:rFonts w:hint="eastAsia" w:ascii="宋体" w:hAnsi="宋体" w:cs="宋体"/>
                <w:b/>
                <w:bCs/>
                <w:color w:val="auto"/>
                <w:sz w:val="24"/>
                <w:szCs w:val="24"/>
                <w:lang w:val="zh-CN"/>
              </w:rPr>
              <w:t>证明资料）</w:t>
            </w:r>
          </w:p>
        </w:tc>
      </w:tr>
    </w:tbl>
    <w:p w14:paraId="35D49D74">
      <w:pPr>
        <w:pageBreakBefore w:val="0"/>
        <w:kinsoku/>
        <w:wordWrap/>
        <w:overflowPunct/>
        <w:topLinePunct w:val="0"/>
        <w:bidi w:val="0"/>
        <w:spacing w:line="240" w:lineRule="auto"/>
        <w:outlineLvl w:val="9"/>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注：（1）上述内容中有一项不合格，则资格审查不合格，不进入符合性审查、详细评审；</w:t>
      </w:r>
    </w:p>
    <w:p w14:paraId="7E848B46">
      <w:pPr>
        <w:pageBreakBefore w:val="0"/>
        <w:numPr>
          <w:ilvl w:val="0"/>
          <w:numId w:val="4"/>
        </w:numPr>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资格审查结束后，合格的投标人进入符合性审查；</w:t>
      </w:r>
    </w:p>
    <w:p w14:paraId="5041E26A">
      <w:pPr>
        <w:pageBreakBefore w:val="0"/>
        <w:numPr>
          <w:ilvl w:val="0"/>
          <w:numId w:val="4"/>
        </w:numPr>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投标文件中提供的证明资料应为复印件。</w:t>
      </w:r>
    </w:p>
    <w:p w14:paraId="68B2324E">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Cs w:val="22"/>
          <w:lang w:val="en-US" w:eastAsia="zh-CN"/>
        </w:rPr>
      </w:pPr>
    </w:p>
    <w:p w14:paraId="772FB53B">
      <w:pPr>
        <w:pageBreakBefore w:val="0"/>
        <w:kinsoku/>
        <w:wordWrap/>
        <w:overflowPunct/>
        <w:topLinePunct w:val="0"/>
        <w:bidi w:val="0"/>
        <w:spacing w:line="240" w:lineRule="auto"/>
        <w:ind w:firstLine="482" w:firstLineChars="200"/>
        <w:outlineLvl w:val="1"/>
        <w:rPr>
          <w:rFonts w:hint="eastAsia" w:ascii="宋体" w:hAnsi="宋体" w:eastAsia="宋体" w:cs="宋体"/>
          <w:b/>
          <w:bCs/>
          <w:color w:val="auto"/>
          <w:sz w:val="24"/>
          <w:szCs w:val="24"/>
          <w:lang w:val="en-US" w:eastAsia="zh-CN"/>
        </w:rPr>
        <w:sectPr>
          <w:footerReference r:id="rId8"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bookmarkStart w:id="79" w:name="_Toc21650"/>
      <w:bookmarkStart w:id="80" w:name="_Toc25170"/>
    </w:p>
    <w:p w14:paraId="1EC9389B">
      <w:pPr>
        <w:pageBreakBefore w:val="0"/>
        <w:kinsoku/>
        <w:wordWrap/>
        <w:overflowPunct/>
        <w:topLinePunct w:val="0"/>
        <w:bidi w:val="0"/>
        <w:spacing w:line="240" w:lineRule="auto"/>
        <w:ind w:firstLine="482" w:firstLineChars="200"/>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3.2符合性审查</w:t>
      </w:r>
      <w:bookmarkEnd w:id="79"/>
      <w:bookmarkEnd w:id="80"/>
    </w:p>
    <w:p w14:paraId="19542A76">
      <w:pPr>
        <w:pageBreakBefore w:val="0"/>
        <w:kinsoku/>
        <w:wordWrap/>
        <w:overflowPunct/>
        <w:topLinePunct w:val="0"/>
        <w:bidi w:val="0"/>
        <w:spacing w:line="24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.1 评标委员会将对符合资格的投标人的投标文件进行符合性审查，以确定其是否满足招标文件的实质性要求。</w:t>
      </w:r>
    </w:p>
    <w:tbl>
      <w:tblPr>
        <w:tblStyle w:val="22"/>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771"/>
        <w:gridCol w:w="7673"/>
      </w:tblGrid>
      <w:tr w14:paraId="25518C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DC4FDDD">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评审因素</w:t>
            </w:r>
          </w:p>
        </w:tc>
        <w:tc>
          <w:tcPr>
            <w:tcW w:w="7673" w:type="dxa"/>
            <w:tcBorders>
              <w:tl2br w:val="nil"/>
              <w:tr2bl w:val="nil"/>
            </w:tcBorders>
            <w:noWrap w:val="0"/>
            <w:vAlign w:val="center"/>
          </w:tcPr>
          <w:p w14:paraId="09D190E8">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评审标准</w:t>
            </w:r>
          </w:p>
        </w:tc>
      </w:tr>
      <w:tr w14:paraId="4E5408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2B8BFFDF">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7673" w:type="dxa"/>
            <w:tcBorders>
              <w:tl2br w:val="nil"/>
              <w:tr2bl w:val="nil"/>
            </w:tcBorders>
            <w:noWrap w:val="0"/>
            <w:vAlign w:val="center"/>
          </w:tcPr>
          <w:p w14:paraId="0DE4DC02">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与营业执照等一致</w:t>
            </w:r>
            <w:r>
              <w:rPr>
                <w:rFonts w:hint="eastAsia" w:ascii="宋体" w:hAnsi="宋体" w:eastAsia="宋体" w:cs="宋体"/>
                <w:color w:val="auto"/>
                <w:sz w:val="24"/>
                <w:szCs w:val="24"/>
                <w:highlight w:val="none"/>
                <w:lang w:eastAsia="zh-CN"/>
              </w:rPr>
              <w:t>。</w:t>
            </w:r>
          </w:p>
        </w:tc>
      </w:tr>
      <w:tr w14:paraId="27D417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307C5D69">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投标函签字盖章</w:t>
            </w:r>
          </w:p>
        </w:tc>
        <w:tc>
          <w:tcPr>
            <w:tcW w:w="7673" w:type="dxa"/>
            <w:tcBorders>
              <w:tl2br w:val="nil"/>
              <w:tr2bl w:val="nil"/>
            </w:tcBorders>
            <w:noWrap w:val="0"/>
            <w:vAlign w:val="center"/>
          </w:tcPr>
          <w:p w14:paraId="1ED6DA41">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或其委托代理人签字或盖章并加盖公章。</w:t>
            </w:r>
          </w:p>
        </w:tc>
      </w:tr>
      <w:tr w14:paraId="64CECB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03294E0C">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w:t>
            </w:r>
          </w:p>
        </w:tc>
        <w:tc>
          <w:tcPr>
            <w:tcW w:w="7673" w:type="dxa"/>
            <w:tcBorders>
              <w:tl2br w:val="nil"/>
              <w:tr2bl w:val="nil"/>
            </w:tcBorders>
            <w:noWrap w:val="0"/>
            <w:vAlign w:val="center"/>
          </w:tcPr>
          <w:p w14:paraId="59637F66">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符合第六章“投标文件构成、要求及格式”的规定</w:t>
            </w:r>
            <w:r>
              <w:rPr>
                <w:rFonts w:hint="eastAsia" w:ascii="宋体" w:hAnsi="宋体" w:eastAsia="宋体" w:cs="宋体"/>
                <w:color w:val="auto"/>
                <w:sz w:val="24"/>
                <w:szCs w:val="24"/>
                <w:highlight w:val="none"/>
                <w:lang w:eastAsia="zh-CN"/>
              </w:rPr>
              <w:t>，且按照招标文件规定要求签署、盖章。</w:t>
            </w:r>
          </w:p>
        </w:tc>
      </w:tr>
      <w:tr w14:paraId="046FAB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58DA5219">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报价唯一</w:t>
            </w:r>
          </w:p>
        </w:tc>
        <w:tc>
          <w:tcPr>
            <w:tcW w:w="7673" w:type="dxa"/>
            <w:tcBorders>
              <w:tl2br w:val="nil"/>
              <w:tr2bl w:val="nil"/>
            </w:tcBorders>
            <w:noWrap w:val="0"/>
            <w:vAlign w:val="center"/>
          </w:tcPr>
          <w:p w14:paraId="31DCB6BB">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只能有一个有效报价</w:t>
            </w:r>
            <w:r>
              <w:rPr>
                <w:rFonts w:hint="eastAsia" w:ascii="宋体" w:hAnsi="宋体" w:eastAsia="宋体" w:cs="宋体"/>
                <w:color w:val="auto"/>
                <w:sz w:val="24"/>
                <w:szCs w:val="24"/>
                <w:highlight w:val="none"/>
                <w:lang w:eastAsia="zh-CN"/>
              </w:rPr>
              <w:t>。</w:t>
            </w:r>
          </w:p>
        </w:tc>
      </w:tr>
      <w:tr w14:paraId="2C5EE5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47D102DA">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投标内容</w:t>
            </w:r>
          </w:p>
        </w:tc>
        <w:tc>
          <w:tcPr>
            <w:tcW w:w="7673" w:type="dxa"/>
            <w:tcBorders>
              <w:tl2br w:val="nil"/>
              <w:tr2bl w:val="nil"/>
            </w:tcBorders>
            <w:noWrap w:val="0"/>
            <w:vAlign w:val="center"/>
          </w:tcPr>
          <w:p w14:paraId="3DBAD8C2">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符合招标文件要求。</w:t>
            </w:r>
          </w:p>
        </w:tc>
      </w:tr>
      <w:tr w14:paraId="5F132A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39B9948B">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合同履行期限</w:t>
            </w:r>
          </w:p>
        </w:tc>
        <w:tc>
          <w:tcPr>
            <w:tcW w:w="7673" w:type="dxa"/>
            <w:tcBorders>
              <w:tl2br w:val="nil"/>
              <w:tr2bl w:val="nil"/>
            </w:tcBorders>
            <w:noWrap w:val="0"/>
            <w:vAlign w:val="center"/>
          </w:tcPr>
          <w:p w14:paraId="44EC90EF">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eastAsia="zh-CN"/>
              </w:rPr>
              <w:t>合同签订后90日内。</w:t>
            </w:r>
          </w:p>
        </w:tc>
      </w:tr>
      <w:tr w14:paraId="4A4E27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A5A32F7">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质量要求</w:t>
            </w:r>
          </w:p>
        </w:tc>
        <w:tc>
          <w:tcPr>
            <w:tcW w:w="7673" w:type="dxa"/>
            <w:tcBorders>
              <w:tl2br w:val="nil"/>
              <w:tr2bl w:val="nil"/>
            </w:tcBorders>
            <w:noWrap w:val="0"/>
            <w:vAlign w:val="center"/>
          </w:tcPr>
          <w:p w14:paraId="6D3B073E">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eastAsia="zh-CN"/>
              </w:rPr>
              <w:t>符合行业相关标准及中华人民共和国公安部下发的《中华人民共和国公共安全行业标准》等相关标准。</w:t>
            </w:r>
          </w:p>
        </w:tc>
      </w:tr>
      <w:tr w14:paraId="127B7D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2F74B657">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投标有效期</w:t>
            </w:r>
          </w:p>
        </w:tc>
        <w:tc>
          <w:tcPr>
            <w:tcW w:w="7673" w:type="dxa"/>
            <w:tcBorders>
              <w:tl2br w:val="nil"/>
              <w:tr2bl w:val="nil"/>
            </w:tcBorders>
            <w:noWrap w:val="0"/>
            <w:vAlign w:val="center"/>
          </w:tcPr>
          <w:p w14:paraId="634F3E55">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投标截止之日后90天（日历天）。</w:t>
            </w:r>
          </w:p>
        </w:tc>
      </w:tr>
      <w:tr w14:paraId="01E386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5A25EEA">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投标保证金</w:t>
            </w:r>
          </w:p>
        </w:tc>
        <w:tc>
          <w:tcPr>
            <w:tcW w:w="7673" w:type="dxa"/>
            <w:tcBorders>
              <w:tl2br w:val="nil"/>
              <w:tr2bl w:val="nil"/>
            </w:tcBorders>
            <w:noWrap w:val="0"/>
            <w:vAlign w:val="center"/>
          </w:tcPr>
          <w:p w14:paraId="29B45692">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zh-CN"/>
              </w:rPr>
              <w:t>符合投标人须知前附表3.4.1项要求。</w:t>
            </w:r>
          </w:p>
        </w:tc>
      </w:tr>
      <w:tr w14:paraId="7729BE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2B9CAC8">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投标报价</w:t>
            </w:r>
          </w:p>
        </w:tc>
        <w:tc>
          <w:tcPr>
            <w:tcW w:w="7673" w:type="dxa"/>
            <w:tcBorders>
              <w:tl2br w:val="nil"/>
              <w:tr2bl w:val="nil"/>
            </w:tcBorders>
            <w:noWrap w:val="0"/>
            <w:vAlign w:val="center"/>
          </w:tcPr>
          <w:p w14:paraId="4AA6B62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采购预算</w:t>
            </w:r>
            <w:r>
              <w:rPr>
                <w:rFonts w:hint="eastAsia" w:ascii="宋体" w:hAnsi="宋体" w:eastAsia="宋体" w:cs="宋体"/>
                <w:b w:val="0"/>
                <w:bCs w:val="0"/>
                <w:color w:val="auto"/>
                <w:sz w:val="24"/>
                <w:szCs w:val="24"/>
                <w:highlight w:val="none"/>
                <w:lang w:val="en-US" w:eastAsia="zh-CN"/>
              </w:rPr>
              <w:t>：人民币5375259.80元；</w:t>
            </w:r>
          </w:p>
          <w:p w14:paraId="621BE4B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 w:val="24"/>
                <w:szCs w:val="24"/>
                <w:highlight w:val="none"/>
                <w:lang w:val="zh-CN"/>
              </w:rPr>
            </w:pP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eastAsia="zh-CN"/>
              </w:rPr>
              <w:t>投标报价</w:t>
            </w:r>
            <w:r>
              <w:rPr>
                <w:rFonts w:hint="eastAsia" w:ascii="宋体" w:hAnsi="宋体" w:eastAsia="宋体" w:cs="宋体"/>
                <w:b w:val="0"/>
                <w:bCs w:val="0"/>
                <w:color w:val="auto"/>
                <w:sz w:val="24"/>
                <w:szCs w:val="24"/>
                <w:highlight w:val="none"/>
              </w:rPr>
              <w:t>不得超出此采购预算,否则其投标被否决）</w:t>
            </w:r>
          </w:p>
        </w:tc>
      </w:tr>
      <w:tr w14:paraId="0ED85E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7E748601">
            <w:pPr>
              <w:pageBreakBefore w:val="0"/>
              <w:kinsoku/>
              <w:wordWrap/>
              <w:overflowPunct/>
              <w:topLinePunct w:val="0"/>
              <w:bidi w:val="0"/>
              <w:adjustRightInd w:val="0"/>
              <w:snapToGrid w:val="0"/>
              <w:spacing w:before="122" w:beforeLines="25" w:line="240" w:lineRule="auto"/>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权利义务</w:t>
            </w:r>
          </w:p>
        </w:tc>
        <w:tc>
          <w:tcPr>
            <w:tcW w:w="7673" w:type="dxa"/>
            <w:tcBorders>
              <w:tl2br w:val="nil"/>
              <w:tr2bl w:val="nil"/>
            </w:tcBorders>
            <w:noWrap w:val="0"/>
            <w:vAlign w:val="center"/>
          </w:tcPr>
          <w:p w14:paraId="086419FB">
            <w:pPr>
              <w:pageBreakBefore w:val="0"/>
              <w:kinsoku/>
              <w:wordWrap/>
              <w:overflowPunct/>
              <w:topLinePunct w:val="0"/>
              <w:bidi w:val="0"/>
              <w:adjustRightInd w:val="0"/>
              <w:snapToGrid w:val="0"/>
              <w:spacing w:before="122" w:beforeLines="2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符合招标文件“第四章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合同条款”规定</w:t>
            </w:r>
            <w:r>
              <w:rPr>
                <w:rFonts w:hint="eastAsia" w:ascii="宋体" w:hAnsi="宋体" w:eastAsia="宋体" w:cs="宋体"/>
                <w:color w:val="auto"/>
                <w:sz w:val="24"/>
                <w:szCs w:val="24"/>
                <w:highlight w:val="none"/>
                <w:lang w:eastAsia="zh-CN"/>
              </w:rPr>
              <w:t>。</w:t>
            </w:r>
          </w:p>
        </w:tc>
      </w:tr>
      <w:tr w14:paraId="6A4056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FFAC516">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技术要求</w:t>
            </w:r>
          </w:p>
        </w:tc>
        <w:tc>
          <w:tcPr>
            <w:tcW w:w="7673" w:type="dxa"/>
            <w:tcBorders>
              <w:tl2br w:val="nil"/>
              <w:tr2bl w:val="nil"/>
            </w:tcBorders>
            <w:noWrap w:val="0"/>
            <w:vAlign w:val="center"/>
          </w:tcPr>
          <w:p w14:paraId="0B61465A">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val="0"/>
                <w:bCs/>
                <w:color w:val="auto"/>
                <w:sz w:val="24"/>
                <w:szCs w:val="24"/>
                <w:highlight w:val="none"/>
                <w:lang w:eastAsia="zh-CN"/>
              </w:rPr>
              <w:t>符合</w:t>
            </w:r>
            <w:r>
              <w:rPr>
                <w:rFonts w:hint="eastAsia" w:ascii="宋体" w:hAnsi="宋体" w:eastAsia="宋体" w:cs="宋体"/>
                <w:color w:val="auto"/>
                <w:sz w:val="24"/>
                <w:szCs w:val="24"/>
                <w:highlight w:val="none"/>
              </w:rPr>
              <w:t>招标文件</w:t>
            </w:r>
            <w:r>
              <w:rPr>
                <w:rFonts w:hint="eastAsia" w:ascii="宋体" w:hAnsi="宋体" w:eastAsia="宋体" w:cs="宋体"/>
                <w:b w:val="0"/>
                <w:bCs/>
                <w:color w:val="auto"/>
                <w:sz w:val="24"/>
                <w:szCs w:val="24"/>
                <w:highlight w:val="none"/>
                <w:lang w:eastAsia="zh-CN"/>
              </w:rPr>
              <w:t>“第五章 技术需求”的规定。</w:t>
            </w:r>
          </w:p>
        </w:tc>
      </w:tr>
      <w:tr w14:paraId="45C4E4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5AE33010">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 w:val="0"/>
                <w:bCs/>
                <w:color w:val="auto"/>
                <w:sz w:val="24"/>
                <w:szCs w:val="24"/>
                <w:highlight w:val="none"/>
                <w:lang w:val="zh-CN"/>
              </w:rPr>
            </w:pPr>
            <w:r>
              <w:rPr>
                <w:rFonts w:hint="eastAsia" w:ascii="宋体" w:hAnsi="宋体" w:eastAsia="宋体" w:cs="宋体"/>
                <w:b w:val="0"/>
                <w:bCs/>
                <w:color w:val="auto"/>
                <w:sz w:val="24"/>
                <w:szCs w:val="24"/>
                <w:highlight w:val="none"/>
                <w:lang w:val="zh-CN"/>
              </w:rPr>
              <w:t>其他</w:t>
            </w:r>
          </w:p>
        </w:tc>
        <w:tc>
          <w:tcPr>
            <w:tcW w:w="7673" w:type="dxa"/>
            <w:tcBorders>
              <w:tl2br w:val="nil"/>
              <w:tr2bl w:val="nil"/>
            </w:tcBorders>
            <w:noWrap w:val="0"/>
            <w:vAlign w:val="center"/>
          </w:tcPr>
          <w:p w14:paraId="5F4681EF">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不符合法律、法规和招标文件中规定的其他实质性要求的</w:t>
            </w:r>
          </w:p>
        </w:tc>
      </w:tr>
    </w:tbl>
    <w:p w14:paraId="299156F2">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pPr>
      <w:r>
        <w:rPr>
          <w:rFonts w:hint="eastAsia" w:ascii="宋体" w:hAnsi="宋体" w:eastAsia="宋体" w:cs="宋体"/>
          <w:color w:val="auto"/>
          <w:sz w:val="22"/>
          <w:szCs w:val="22"/>
          <w:lang w:val="zh-CN" w:eastAsia="zh-CN"/>
        </w:rPr>
        <w:t>注：（1）上述内容中有一项不合格，则符合性审查不合格，不进入详细评审；</w:t>
      </w:r>
    </w:p>
    <w:p w14:paraId="79D754C4">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pPr>
      <w:r>
        <w:rPr>
          <w:rFonts w:hint="eastAsia" w:ascii="宋体" w:hAnsi="宋体" w:eastAsia="宋体" w:cs="宋体"/>
          <w:color w:val="auto"/>
          <w:sz w:val="22"/>
          <w:szCs w:val="22"/>
          <w:lang w:val="zh-CN" w:eastAsia="zh-CN"/>
        </w:rPr>
        <w:t>（2）符合性审查结束后，合格的投标人进入详细评审。</w:t>
      </w:r>
    </w:p>
    <w:p w14:paraId="2A352921">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pPr>
      <w:r>
        <w:rPr>
          <w:rFonts w:hint="eastAsia" w:ascii="宋体" w:hAnsi="宋体" w:eastAsia="宋体" w:cs="宋体"/>
          <w:color w:val="auto"/>
          <w:sz w:val="22"/>
          <w:szCs w:val="22"/>
          <w:lang w:val="en-US" w:eastAsia="zh-CN"/>
        </w:rPr>
        <w:t>（3）投标文件中提供的证明资料应为复印件。</w:t>
      </w:r>
    </w:p>
    <w:p w14:paraId="75F16415">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44281627">
      <w:pPr>
        <w:pageBreakBefore w:val="0"/>
        <w:kinsoku/>
        <w:wordWrap/>
        <w:overflowPunct/>
        <w:topLinePunct w:val="0"/>
        <w:bidi w:val="0"/>
        <w:spacing w:line="240" w:lineRule="auto"/>
        <w:ind w:left="0" w:leftChars="0" w:firstLine="422" w:firstLineChars="175"/>
        <w:outlineLvl w:val="9"/>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评标委员会发现有下列情形之一的，视为投标人串通投标，其投标无效：</w:t>
      </w:r>
    </w:p>
    <w:p w14:paraId="23190C18">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一、有下列情形之一的，属于投标人相互串通投标：</w:t>
      </w:r>
    </w:p>
    <w:p w14:paraId="463FEFD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（一）投标人之间协商投标报价等投标文件的实质性内容；</w:t>
      </w:r>
    </w:p>
    <w:p w14:paraId="32BF7CF3">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（二）投标人之间约定中标人；</w:t>
      </w:r>
    </w:p>
    <w:p w14:paraId="2E1EE14E">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（三）投标人之间约定部分投标人放弃投标或者中标；</w:t>
      </w:r>
    </w:p>
    <w:p w14:paraId="71CCC08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（四）属于同一集团、协会、商会等组织成员的投标人按照该组织要求协同投标；</w:t>
      </w:r>
    </w:p>
    <w:p w14:paraId="4A6F4F61">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（五）投标人之间为谋取中标或者排斥特定投标人而采取的其他联合行动。</w:t>
      </w:r>
    </w:p>
    <w:p w14:paraId="6003865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 有下列情形之一的，视为投标人相互串通投标：</w:t>
      </w:r>
    </w:p>
    <w:p w14:paraId="58855F81">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（一）不同投标人的投标文件由同一单位或者个人编制；</w:t>
      </w:r>
    </w:p>
    <w:p w14:paraId="40AA1087">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（二）不同投标人委托同一单位或者个人办理投标事宜；</w:t>
      </w:r>
    </w:p>
    <w:p w14:paraId="1D94BC18">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（三）不同投标人的投标文件载明的项目管理成员为同一人；</w:t>
      </w:r>
    </w:p>
    <w:p w14:paraId="2AAEEA25">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（四）不同投标人的投标文件异常一致或者投标报价呈规律性差异；</w:t>
      </w:r>
    </w:p>
    <w:p w14:paraId="24CBA164">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（五）不同投标人的投标文件相互混装；</w:t>
      </w:r>
    </w:p>
    <w:p w14:paraId="5DF28244">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（六）不同投标人的投标保证金从同一单位或者个人的账户转出。</w:t>
      </w:r>
    </w:p>
    <w:p w14:paraId="51F4B098">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三、有下列情形之一的，属于招标人与投标人串通投标：</w:t>
      </w:r>
    </w:p>
    <w:p w14:paraId="6B26AEB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（一）招标人在开标前开启投标文件并将有关信息泄露给其他投标人;</w:t>
      </w:r>
    </w:p>
    <w:p w14:paraId="1CAA8A3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（二）招标人直接或者间接向投标人泄露标底、评标委员会成员等信息；</w:t>
      </w:r>
    </w:p>
    <w:p w14:paraId="000CA4D0">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（三）招标人明示或者暗示投标人压低或者抬高投标报价；</w:t>
      </w:r>
    </w:p>
    <w:p w14:paraId="2BB7ED27">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（四）招标人授意投标人撤换、修改投标文件；</w:t>
      </w:r>
    </w:p>
    <w:p w14:paraId="45BF56B0">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（五）招标人明示或者暗示投标人为特定投标人中标提供方便；</w:t>
      </w:r>
    </w:p>
    <w:p w14:paraId="0471478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（六）招标人与投标人为谋求特定投标人中标而采取的其他串通行为。</w:t>
      </w:r>
    </w:p>
    <w:p w14:paraId="747CD0DA">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注：经评标委员会评审合格投标人的家数不足三家，该项目废标，招标人有权委托招标代理机构重新组织招标。</w:t>
      </w:r>
    </w:p>
    <w:p w14:paraId="27881B9D">
      <w:pPr>
        <w:pageBreakBefore w:val="0"/>
        <w:kinsoku/>
        <w:wordWrap/>
        <w:overflowPunct/>
        <w:topLinePunct w:val="0"/>
        <w:bidi w:val="0"/>
        <w:spacing w:line="240" w:lineRule="auto"/>
        <w:ind w:left="0" w:leftChars="0" w:firstLine="422" w:firstLineChars="175"/>
        <w:outlineLvl w:val="1"/>
        <w:rPr>
          <w:rFonts w:hint="eastAsia" w:ascii="宋体" w:hAnsi="宋体" w:eastAsia="宋体" w:cs="宋体"/>
          <w:b/>
          <w:bCs/>
          <w:color w:val="auto"/>
          <w:sz w:val="24"/>
          <w:szCs w:val="24"/>
          <w:lang w:val="zh-CN" w:eastAsia="zh-CN"/>
        </w:rPr>
      </w:pPr>
      <w:bookmarkStart w:id="81" w:name="_Toc11728"/>
      <w:bookmarkStart w:id="82" w:name="_Toc19965"/>
      <w:r>
        <w:rPr>
          <w:rFonts w:hint="eastAsia" w:ascii="宋体" w:hAnsi="宋体" w:eastAsia="宋体" w:cs="宋体"/>
          <w:b/>
          <w:bCs/>
          <w:color w:val="auto"/>
          <w:sz w:val="24"/>
          <w:szCs w:val="24"/>
          <w:lang w:val="zh-CN" w:eastAsia="zh-CN"/>
        </w:rPr>
        <w:t>3.</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val="zh-CN" w:eastAsia="zh-CN"/>
        </w:rPr>
        <w:t>澄清有关问题</w:t>
      </w:r>
      <w:bookmarkEnd w:id="81"/>
      <w:bookmarkEnd w:id="82"/>
    </w:p>
    <w:p w14:paraId="50BDACDE">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对投标文件中含义不明确、同类问题表述不一致或者有明显文字和计算错误的内容，评标委员会可以书面形式要求投标人做出必要的澄清、说明或者纠正。投标人的澄清、说明或者补正不得超出投标文件的范围或者改变投标文件的实质性内容。</w:t>
      </w:r>
    </w:p>
    <w:p w14:paraId="054AE104">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.1评标委员会将允许修正投标文件中不构成重大偏离的细微偏离，但这些修正应不会对实质上响应招标文件要求的投标人的竞争地位（相互排序）产生不公正的影响。</w:t>
      </w:r>
    </w:p>
    <w:p w14:paraId="28DB3B3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2投标文件报价出现前后不一致的，除招标文件另有规定外，按照下列规定修正：（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同时出现两种以上不一致的，按照规定的顺序修正。修正后的报价经投标人确认后产生约束力，投标人不确认的，其投标无效。</w:t>
      </w:r>
    </w:p>
    <w:p w14:paraId="111C4270">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06989E1">
      <w:pPr>
        <w:pageBreakBefore w:val="0"/>
        <w:kinsoku/>
        <w:wordWrap/>
        <w:overflowPunct/>
        <w:topLinePunct w:val="0"/>
        <w:bidi w:val="0"/>
        <w:spacing w:line="240" w:lineRule="auto"/>
        <w:ind w:left="0" w:leftChars="0" w:firstLine="422" w:firstLineChars="175"/>
        <w:outlineLvl w:val="1"/>
        <w:rPr>
          <w:rFonts w:hint="eastAsia" w:ascii="宋体" w:hAnsi="宋体" w:eastAsia="宋体" w:cs="宋体"/>
          <w:b/>
          <w:bCs/>
          <w:color w:val="auto"/>
          <w:sz w:val="24"/>
          <w:szCs w:val="24"/>
          <w:lang w:val="en-US" w:eastAsia="zh-CN"/>
        </w:rPr>
      </w:pPr>
      <w:bookmarkStart w:id="83" w:name="_Toc32311"/>
      <w:bookmarkStart w:id="84" w:name="_Toc25020"/>
      <w:r>
        <w:rPr>
          <w:rFonts w:hint="eastAsia" w:ascii="宋体" w:hAnsi="宋体" w:eastAsia="宋体" w:cs="宋体"/>
          <w:b/>
          <w:bCs/>
          <w:color w:val="auto"/>
          <w:sz w:val="24"/>
          <w:szCs w:val="24"/>
          <w:lang w:val="en-US" w:eastAsia="zh-CN"/>
        </w:rPr>
        <w:t>3.4详细评审</w:t>
      </w:r>
      <w:bookmarkEnd w:id="83"/>
      <w:bookmarkEnd w:id="84"/>
    </w:p>
    <w:p w14:paraId="2F526A61">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.1 评标委员会应当按照招标文件中规定的评标方法和标准，对符合性审查合格的投标文件进行商务和技术评估，综合比较与评价。</w:t>
      </w:r>
    </w:p>
    <w:p w14:paraId="22DEFB7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 xml:space="preserve"> 本项目采用综合评分法评标，评标委员会将按下述标准评定中标人：独立对每个投标人的投标文件进行评价，并汇总每个投标人的得分。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30E6B1A8">
      <w:pPr>
        <w:pStyle w:val="5"/>
        <w:keepNext w:val="0"/>
        <w:keepLines w:val="0"/>
        <w:pageBreakBefore w:val="0"/>
        <w:kinsoku/>
        <w:wordWrap/>
        <w:overflowPunct/>
        <w:topLinePunct w:val="0"/>
        <w:bidi w:val="0"/>
        <w:spacing w:line="240" w:lineRule="auto"/>
        <w:jc w:val="center"/>
        <w:rPr>
          <w:rFonts w:hint="eastAsia" w:ascii="宋体" w:hAnsi="宋体" w:eastAsia="宋体" w:cs="宋体"/>
          <w:color w:val="auto"/>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A589D08">
      <w:pPr>
        <w:pageBreakBefore w:val="0"/>
        <w:kinsoku/>
        <w:wordWrap/>
        <w:overflowPunct/>
        <w:topLinePunct w:val="0"/>
        <w:bidi w:val="0"/>
        <w:spacing w:line="240" w:lineRule="auto"/>
        <w:rPr>
          <w:rFonts w:hint="eastAsia" w:ascii="宋体" w:hAnsi="宋体" w:eastAsia="宋体" w:cs="宋体"/>
          <w:color w:val="auto"/>
        </w:rPr>
      </w:pPr>
      <w:r>
        <w:rPr>
          <w:rFonts w:hint="eastAsia" w:ascii="宋体" w:hAnsi="宋体" w:eastAsia="宋体" w:cs="宋体"/>
          <w:b/>
          <w:bCs/>
          <w:color w:val="auto"/>
          <w:sz w:val="24"/>
          <w:szCs w:val="24"/>
          <w:highlight w:val="none"/>
          <w:lang w:val="zh-CN"/>
        </w:rPr>
        <w:t>详细评审表（计算结果精确到小数点后两位）</w:t>
      </w:r>
    </w:p>
    <w:tbl>
      <w:tblPr>
        <w:tblStyle w:val="22"/>
        <w:tblW w:w="9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1564"/>
        <w:gridCol w:w="6338"/>
        <w:gridCol w:w="675"/>
      </w:tblGrid>
      <w:tr w14:paraId="3E90D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01" w:type="dxa"/>
            <w:gridSpan w:val="2"/>
            <w:vAlign w:val="center"/>
          </w:tcPr>
          <w:p w14:paraId="2728AEBE">
            <w:pPr>
              <w:pStyle w:val="13"/>
              <w:keepNext w:val="0"/>
              <w:keepLines w:val="0"/>
              <w:pageBreakBefore w:val="0"/>
              <w:widowControl w:val="0"/>
              <w:tabs>
                <w:tab w:val="left" w:pos="6840"/>
              </w:tabs>
              <w:kinsoku/>
              <w:wordWrap w:val="0"/>
              <w:overflowPunct/>
              <w:topLinePunct/>
              <w:autoSpaceDE/>
              <w:autoSpaceDN/>
              <w:bidi w:val="0"/>
              <w:spacing w:before="0" w:line="440" w:lineRule="exact"/>
              <w:ind w:right="0" w:firstLine="0" w:firstLineChars="0"/>
              <w:jc w:val="center"/>
              <w:outlineLvl w:val="9"/>
              <w:rPr>
                <w:rFonts w:hint="eastAsia" w:ascii="宋体" w:hAnsi="宋体" w:cs="宋体"/>
                <w:color w:val="auto"/>
                <w:sz w:val="24"/>
                <w:szCs w:val="24"/>
              </w:rPr>
            </w:pPr>
            <w:r>
              <w:rPr>
                <w:rFonts w:hint="eastAsia" w:ascii="宋体" w:hAnsi="宋体" w:cs="宋体"/>
                <w:color w:val="auto"/>
                <w:sz w:val="24"/>
                <w:szCs w:val="24"/>
              </w:rPr>
              <w:t>评审内容</w:t>
            </w:r>
          </w:p>
        </w:tc>
        <w:tc>
          <w:tcPr>
            <w:tcW w:w="6338" w:type="dxa"/>
            <w:vAlign w:val="center"/>
          </w:tcPr>
          <w:p w14:paraId="58A3286A">
            <w:pPr>
              <w:pStyle w:val="13"/>
              <w:keepNext w:val="0"/>
              <w:keepLines w:val="0"/>
              <w:pageBreakBefore w:val="0"/>
              <w:widowControl w:val="0"/>
              <w:tabs>
                <w:tab w:val="left" w:pos="6840"/>
              </w:tabs>
              <w:kinsoku/>
              <w:wordWrap w:val="0"/>
              <w:overflowPunct/>
              <w:topLinePunct/>
              <w:autoSpaceDE/>
              <w:autoSpaceDN/>
              <w:bidi w:val="0"/>
              <w:spacing w:before="0" w:line="440" w:lineRule="exact"/>
              <w:ind w:right="0" w:firstLine="0" w:firstLineChars="0"/>
              <w:jc w:val="center"/>
              <w:outlineLvl w:val="9"/>
              <w:rPr>
                <w:rFonts w:hint="eastAsia" w:ascii="宋体" w:hAnsi="宋体" w:cs="宋体"/>
                <w:color w:val="auto"/>
                <w:sz w:val="24"/>
                <w:szCs w:val="24"/>
              </w:rPr>
            </w:pPr>
            <w:r>
              <w:rPr>
                <w:rFonts w:hint="eastAsia" w:ascii="宋体" w:hAnsi="宋体" w:cs="宋体"/>
                <w:color w:val="auto"/>
                <w:sz w:val="24"/>
                <w:szCs w:val="24"/>
              </w:rPr>
              <w:t>评审标准</w:t>
            </w:r>
          </w:p>
        </w:tc>
        <w:tc>
          <w:tcPr>
            <w:tcW w:w="675" w:type="dxa"/>
            <w:vAlign w:val="center"/>
          </w:tcPr>
          <w:p w14:paraId="067203BA">
            <w:pPr>
              <w:pStyle w:val="13"/>
              <w:keepNext w:val="0"/>
              <w:keepLines w:val="0"/>
              <w:pageBreakBefore w:val="0"/>
              <w:widowControl w:val="0"/>
              <w:tabs>
                <w:tab w:val="left" w:pos="6840"/>
              </w:tabs>
              <w:kinsoku/>
              <w:wordWrap w:val="0"/>
              <w:overflowPunct/>
              <w:topLinePunct/>
              <w:autoSpaceDE/>
              <w:autoSpaceDN/>
              <w:bidi w:val="0"/>
              <w:spacing w:before="0" w:line="440" w:lineRule="exact"/>
              <w:ind w:right="0" w:firstLine="0" w:firstLineChars="0"/>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分值</w:t>
            </w:r>
          </w:p>
        </w:tc>
      </w:tr>
      <w:tr w14:paraId="0FE8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atLeast"/>
          <w:jc w:val="center"/>
        </w:trPr>
        <w:tc>
          <w:tcPr>
            <w:tcW w:w="2801" w:type="dxa"/>
            <w:gridSpan w:val="2"/>
            <w:vAlign w:val="center"/>
          </w:tcPr>
          <w:p w14:paraId="2287333A">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投标报价</w:t>
            </w:r>
          </w:p>
          <w:p w14:paraId="63606272">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（30分）</w:t>
            </w:r>
          </w:p>
        </w:tc>
        <w:tc>
          <w:tcPr>
            <w:tcW w:w="6338" w:type="dxa"/>
            <w:vAlign w:val="center"/>
          </w:tcPr>
          <w:p w14:paraId="1644A9B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outlineLvl w:val="9"/>
              <w:rPr>
                <w:rFonts w:hint="eastAsia" w:ascii="宋体" w:hAnsi="宋体" w:cs="宋体"/>
                <w:bCs/>
                <w:color w:val="auto"/>
                <w:sz w:val="24"/>
                <w:szCs w:val="24"/>
                <w:lang w:val="zh-CN" w:eastAsia="zh-CN"/>
              </w:rPr>
            </w:pPr>
            <w:r>
              <w:rPr>
                <w:rFonts w:hint="eastAsia" w:ascii="宋体" w:hAnsi="宋体" w:cs="宋体"/>
                <w:bCs/>
                <w:color w:val="auto"/>
                <w:sz w:val="24"/>
                <w:szCs w:val="24"/>
                <w:lang w:val="zh-CN" w:eastAsia="zh-CN"/>
              </w:rPr>
              <w:t xml:space="preserve">本项目采用低价优先法计算，即满足招标文件要求且投标价格最低的投标报价为评标基准价，其价格分为满分。其他投标人的价格分统一按照下列公式计算： </w:t>
            </w:r>
          </w:p>
          <w:p w14:paraId="089DFA6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zh-CN" w:eastAsia="zh-CN"/>
              </w:rPr>
              <w:t>投标报价得分=(评标基准价／投标报价)×</w:t>
            </w:r>
            <w:r>
              <w:rPr>
                <w:rFonts w:hint="eastAsia" w:ascii="宋体" w:hAnsi="宋体" w:cs="宋体"/>
                <w:bCs/>
                <w:color w:val="auto"/>
                <w:sz w:val="24"/>
                <w:szCs w:val="24"/>
                <w:lang w:val="en-US" w:eastAsia="zh-CN"/>
              </w:rPr>
              <w:t>30</w:t>
            </w:r>
          </w:p>
          <w:p w14:paraId="5048A8F7">
            <w:pPr>
              <w:keepNext w:val="0"/>
              <w:keepLines w:val="0"/>
              <w:pageBreakBefore w:val="0"/>
              <w:widowControl w:val="0"/>
              <w:kinsoku/>
              <w:wordWrap w:val="0"/>
              <w:overflowPunct/>
              <w:topLinePunct/>
              <w:autoSpaceDE/>
              <w:autoSpaceDN/>
              <w:bidi w:val="0"/>
              <w:spacing w:line="440" w:lineRule="exact"/>
              <w:ind w:firstLine="0" w:firstLineChars="0"/>
              <w:outlineLvl w:val="9"/>
              <w:rPr>
                <w:rFonts w:hint="eastAsia" w:ascii="宋体" w:hAnsi="宋体" w:cs="宋体"/>
                <w:color w:val="auto"/>
                <w:sz w:val="24"/>
                <w:szCs w:val="24"/>
                <w:lang w:eastAsia="zh-CN"/>
              </w:rPr>
            </w:pPr>
            <w:r>
              <w:rPr>
                <w:rFonts w:hint="eastAsia" w:ascii="宋体" w:hAnsi="宋体" w:cs="宋体"/>
                <w:color w:val="auto"/>
                <w:sz w:val="24"/>
                <w:szCs w:val="24"/>
                <w:lang w:eastAsia="zh-CN"/>
              </w:rPr>
              <w:t>注：</w:t>
            </w:r>
          </w:p>
          <w:p w14:paraId="3BEE754E">
            <w:pPr>
              <w:keepNext w:val="0"/>
              <w:keepLines w:val="0"/>
              <w:pageBreakBefore w:val="0"/>
              <w:widowControl w:val="0"/>
              <w:kinsoku/>
              <w:wordWrap w:val="0"/>
              <w:overflowPunct/>
              <w:topLinePunct/>
              <w:autoSpaceDE/>
              <w:autoSpaceDN/>
              <w:bidi w:val="0"/>
              <w:spacing w:line="440" w:lineRule="exact"/>
              <w:ind w:firstLine="0" w:firstLineChars="0"/>
              <w:outlineLvl w:val="9"/>
              <w:rPr>
                <w:rFonts w:hint="eastAsia" w:ascii="宋体" w:hAnsi="宋体" w:cs="宋体"/>
                <w:color w:val="auto"/>
                <w:sz w:val="24"/>
                <w:szCs w:val="24"/>
                <w:lang w:eastAsia="zh-CN"/>
              </w:rPr>
            </w:pPr>
            <w:r>
              <w:rPr>
                <w:rFonts w:hint="eastAsia" w:ascii="宋体" w:hAnsi="宋体" w:cs="宋体"/>
                <w:color w:val="auto"/>
                <w:sz w:val="24"/>
                <w:szCs w:val="24"/>
                <w:lang w:val="en-US" w:eastAsia="zh-CN"/>
              </w:rPr>
              <w:t>1.投标</w:t>
            </w:r>
            <w:r>
              <w:rPr>
                <w:rFonts w:hint="eastAsia" w:ascii="宋体" w:hAnsi="宋体" w:cs="宋体"/>
                <w:color w:val="auto"/>
                <w:sz w:val="24"/>
                <w:szCs w:val="24"/>
                <w:lang w:eastAsia="zh-CN"/>
              </w:rPr>
              <w:t>报价得分保留二位小数，从第三位开始四舍五入。</w:t>
            </w:r>
          </w:p>
          <w:p w14:paraId="5DA9A4E9">
            <w:pPr>
              <w:keepNext w:val="0"/>
              <w:keepLines w:val="0"/>
              <w:pageBreakBefore w:val="0"/>
              <w:widowControl w:val="0"/>
              <w:kinsoku/>
              <w:wordWrap w:val="0"/>
              <w:overflowPunct/>
              <w:topLinePunct/>
              <w:autoSpaceDE/>
              <w:autoSpaceDN/>
              <w:bidi w:val="0"/>
              <w:spacing w:line="440" w:lineRule="exact"/>
              <w:ind w:firstLine="0" w:firstLineChars="0"/>
              <w:outlineLvl w:val="9"/>
              <w:rPr>
                <w:rFonts w:hint="default"/>
                <w:color w:val="auto"/>
                <w:lang w:val="en-US" w:eastAsia="zh-CN"/>
              </w:rPr>
            </w:pPr>
            <w:r>
              <w:rPr>
                <w:rFonts w:hint="eastAsia" w:ascii="宋体" w:hAnsi="宋体" w:cs="宋体"/>
                <w:color w:val="auto"/>
                <w:sz w:val="24"/>
                <w:szCs w:val="24"/>
                <w:highlight w:val="none"/>
                <w:lang w:val="en-US" w:eastAsia="zh-CN"/>
              </w:rPr>
              <w:t>2.本标段专门面向中小微企业，</w:t>
            </w:r>
            <w:r>
              <w:rPr>
                <w:rFonts w:hint="eastAsia" w:ascii="宋体" w:hAnsi="宋体" w:eastAsia="宋体" w:cs="宋体"/>
                <w:b w:val="0"/>
                <w:i w:val="0"/>
                <w:caps w:val="0"/>
                <w:color w:val="auto"/>
                <w:spacing w:val="0"/>
                <w:kern w:val="0"/>
                <w:sz w:val="24"/>
                <w:szCs w:val="24"/>
                <w:highlight w:val="none"/>
                <w:lang w:val="en-US" w:eastAsia="zh-CN" w:bidi="ar"/>
              </w:rPr>
              <w:t>该项目不再进行价格扣除政策。</w:t>
            </w:r>
          </w:p>
        </w:tc>
        <w:tc>
          <w:tcPr>
            <w:tcW w:w="675" w:type="dxa"/>
            <w:vAlign w:val="center"/>
          </w:tcPr>
          <w:p w14:paraId="1255AC34">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val="en-US" w:eastAsia="zh-CN"/>
              </w:rPr>
            </w:pPr>
            <w:r>
              <w:rPr>
                <w:rFonts w:hint="eastAsia" w:ascii="宋体" w:hAnsi="宋体" w:cs="宋体"/>
                <w:bCs/>
                <w:color w:val="auto"/>
                <w:sz w:val="24"/>
                <w:szCs w:val="24"/>
                <w:lang w:eastAsia="zh-CN"/>
              </w:rPr>
              <w:t>30</w:t>
            </w:r>
            <w:r>
              <w:rPr>
                <w:rFonts w:hint="eastAsia" w:ascii="宋体" w:hAnsi="宋体" w:cs="宋体"/>
                <w:bCs/>
                <w:color w:val="auto"/>
                <w:sz w:val="24"/>
                <w:szCs w:val="24"/>
                <w:lang w:val="en-US" w:eastAsia="zh-CN"/>
              </w:rPr>
              <w:t>分</w:t>
            </w:r>
          </w:p>
        </w:tc>
      </w:tr>
      <w:tr w14:paraId="71E91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237" w:type="dxa"/>
            <w:vMerge w:val="restart"/>
            <w:tcBorders>
              <w:left w:val="single" w:color="auto" w:sz="4" w:space="0"/>
            </w:tcBorders>
            <w:shd w:val="clear" w:color="auto" w:fill="auto"/>
            <w:vAlign w:val="center"/>
          </w:tcPr>
          <w:p w14:paraId="49C9948E">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商务因素（</w:t>
            </w:r>
            <w:r>
              <w:rPr>
                <w:rFonts w:hint="eastAsia" w:ascii="宋体" w:hAnsi="宋体" w:cs="宋体"/>
                <w:bCs/>
                <w:color w:val="auto"/>
                <w:sz w:val="24"/>
                <w:szCs w:val="24"/>
                <w:lang w:val="en-US" w:eastAsia="zh-CN"/>
              </w:rPr>
              <w:t>19分</w:t>
            </w:r>
            <w:r>
              <w:rPr>
                <w:rFonts w:hint="eastAsia" w:ascii="宋体" w:hAnsi="宋体" w:cs="宋体"/>
                <w:bCs/>
                <w:color w:val="auto"/>
                <w:sz w:val="24"/>
                <w:szCs w:val="24"/>
                <w:lang w:eastAsia="zh-CN"/>
              </w:rPr>
              <w:t>）</w:t>
            </w:r>
          </w:p>
        </w:tc>
        <w:tc>
          <w:tcPr>
            <w:tcW w:w="1564" w:type="dxa"/>
            <w:tcBorders>
              <w:left w:val="single" w:color="auto" w:sz="4" w:space="0"/>
            </w:tcBorders>
            <w:shd w:val="clear" w:color="auto" w:fill="auto"/>
            <w:vAlign w:val="center"/>
          </w:tcPr>
          <w:p w14:paraId="252DB41B">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类似业绩</w:t>
            </w:r>
          </w:p>
        </w:tc>
        <w:tc>
          <w:tcPr>
            <w:tcW w:w="6338" w:type="dxa"/>
            <w:tcBorders>
              <w:bottom w:val="single" w:color="auto" w:sz="4" w:space="0"/>
            </w:tcBorders>
            <w:shd w:val="clear" w:color="auto" w:fill="FFFFFF"/>
            <w:vAlign w:val="center"/>
          </w:tcPr>
          <w:p w14:paraId="0724FDA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textAlignment w:val="auto"/>
              <w:outlineLvl w:val="9"/>
              <w:rPr>
                <w:rFonts w:hint="eastAsia" w:ascii="宋体" w:hAnsi="宋体" w:cs="宋体"/>
                <w:bCs/>
                <w:color w:val="auto"/>
                <w:sz w:val="24"/>
                <w:szCs w:val="24"/>
                <w:lang w:val="zh-CN" w:eastAsia="zh-CN"/>
              </w:rPr>
            </w:pPr>
            <w:r>
              <w:rPr>
                <w:rFonts w:hint="eastAsia" w:ascii="宋体" w:hAnsi="宋体" w:cs="宋体"/>
                <w:bCs/>
                <w:color w:val="auto"/>
                <w:sz w:val="24"/>
                <w:szCs w:val="24"/>
                <w:lang w:val="zh-CN" w:eastAsia="zh-CN"/>
              </w:rPr>
              <w:t>投标人近三年（2022年1月1日起至今）完成过类似项目业绩，每有一项得2分，最多得</w:t>
            </w:r>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eastAsia="zh-CN"/>
              </w:rPr>
              <w:t>分。</w:t>
            </w:r>
          </w:p>
          <w:p w14:paraId="4B50EBE1">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textAlignment w:val="auto"/>
              <w:outlineLvl w:val="9"/>
              <w:rPr>
                <w:rFonts w:hint="eastAsia" w:ascii="宋体" w:hAnsi="宋体" w:cs="宋体"/>
                <w:bCs/>
                <w:color w:val="auto"/>
                <w:sz w:val="24"/>
                <w:szCs w:val="24"/>
                <w:lang w:val="zh-CN" w:eastAsia="zh-CN"/>
              </w:rPr>
            </w:pPr>
            <w:r>
              <w:rPr>
                <w:rFonts w:hint="eastAsia" w:ascii="宋体" w:hAnsi="宋体" w:cs="宋体"/>
                <w:b/>
                <w:bCs w:val="0"/>
                <w:color w:val="auto"/>
                <w:sz w:val="24"/>
                <w:szCs w:val="24"/>
                <w:lang w:val="zh-CN" w:eastAsia="zh-CN"/>
              </w:rPr>
              <w:t>投标文件中附相应业绩中标通知书或合同协议书。</w:t>
            </w:r>
          </w:p>
        </w:tc>
        <w:tc>
          <w:tcPr>
            <w:tcW w:w="675" w:type="dxa"/>
            <w:tcBorders>
              <w:bottom w:val="single" w:color="auto" w:sz="4" w:space="0"/>
              <w:right w:val="single" w:color="auto" w:sz="4" w:space="0"/>
            </w:tcBorders>
            <w:shd w:val="clear" w:color="auto" w:fill="FFFFFF"/>
            <w:vAlign w:val="center"/>
          </w:tcPr>
          <w:p w14:paraId="453208B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val="en-US" w:eastAsia="zh-CN"/>
              </w:rPr>
              <w:t>6分</w:t>
            </w:r>
          </w:p>
        </w:tc>
      </w:tr>
      <w:tr w14:paraId="650F8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1237" w:type="dxa"/>
            <w:vMerge w:val="continue"/>
            <w:tcBorders>
              <w:left w:val="single" w:color="auto" w:sz="4" w:space="0"/>
            </w:tcBorders>
            <w:shd w:val="clear" w:color="auto" w:fill="auto"/>
            <w:vAlign w:val="center"/>
          </w:tcPr>
          <w:p w14:paraId="2279F462">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left w:val="single" w:color="auto" w:sz="4" w:space="0"/>
            </w:tcBorders>
            <w:shd w:val="clear" w:color="auto" w:fill="auto"/>
            <w:vAlign w:val="center"/>
          </w:tcPr>
          <w:p w14:paraId="1C30D7C3">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center"/>
              <w:textAlignment w:val="auto"/>
              <w:outlineLvl w:val="9"/>
              <w:rPr>
                <w:rFonts w:hint="eastAsia" w:ascii="宋体" w:hAnsi="宋体" w:eastAsia="宋体" w:cs="宋体"/>
                <w:b w:val="0"/>
                <w:bCs w:val="0"/>
                <w:caps w:val="0"/>
                <w:color w:val="auto"/>
                <w:kern w:val="2"/>
                <w:sz w:val="24"/>
                <w:szCs w:val="24"/>
                <w:highlight w:val="none"/>
                <w:vertAlign w:val="baseline"/>
                <w:lang w:val="en-US" w:eastAsia="zh-CN" w:bidi="ar"/>
              </w:rPr>
            </w:pPr>
            <w:r>
              <w:rPr>
                <w:rFonts w:hint="eastAsia" w:ascii="宋体" w:hAnsi="宋体" w:cs="宋体"/>
                <w:b w:val="0"/>
                <w:bCs w:val="0"/>
                <w:caps w:val="0"/>
                <w:color w:val="auto"/>
                <w:kern w:val="2"/>
                <w:sz w:val="24"/>
                <w:szCs w:val="24"/>
                <w:highlight w:val="none"/>
                <w:vertAlign w:val="baseline"/>
                <w:lang w:val="en-US" w:eastAsia="zh-CN" w:bidi="ar"/>
              </w:rPr>
              <w:t>技术人员情况</w:t>
            </w:r>
          </w:p>
        </w:tc>
        <w:tc>
          <w:tcPr>
            <w:tcW w:w="6338" w:type="dxa"/>
            <w:tcBorders>
              <w:bottom w:val="single" w:color="auto" w:sz="4" w:space="0"/>
            </w:tcBorders>
            <w:shd w:val="clear" w:color="auto" w:fill="FFFFFF"/>
            <w:vAlign w:val="center"/>
          </w:tcPr>
          <w:p w14:paraId="3DE7C7E3">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eastAsia" w:ascii="宋体" w:hAnsi="宋体" w:cs="宋体"/>
                <w:b w:val="0"/>
                <w:bCs w:val="0"/>
                <w:caps w:val="0"/>
                <w:color w:val="auto"/>
                <w:kern w:val="2"/>
                <w:sz w:val="24"/>
                <w:szCs w:val="24"/>
                <w:highlight w:val="none"/>
                <w:vertAlign w:val="baseline"/>
                <w:lang w:val="zh-CN" w:eastAsia="zh-CN" w:bidi="ar"/>
              </w:rPr>
            </w:pPr>
            <w:bookmarkStart w:id="170" w:name="_GoBack"/>
            <w:r>
              <w:rPr>
                <w:rFonts w:hint="eastAsia" w:ascii="宋体" w:hAnsi="宋体" w:eastAsia="宋体" w:cs="宋体"/>
                <w:b w:val="0"/>
                <w:bCs w:val="0"/>
                <w:caps w:val="0"/>
                <w:color w:val="auto"/>
                <w:kern w:val="2"/>
                <w:sz w:val="24"/>
                <w:szCs w:val="24"/>
                <w:highlight w:val="none"/>
                <w:vertAlign w:val="baseline"/>
                <w:lang w:val="zh-CN" w:eastAsia="zh-CN" w:bidi="ar"/>
              </w:rPr>
              <w:t>根据技术人员</w:t>
            </w:r>
            <w:r>
              <w:rPr>
                <w:rFonts w:hint="eastAsia" w:ascii="宋体" w:hAnsi="宋体" w:cs="宋体"/>
                <w:b w:val="0"/>
                <w:bCs w:val="0"/>
                <w:caps w:val="0"/>
                <w:color w:val="auto"/>
                <w:kern w:val="2"/>
                <w:sz w:val="24"/>
                <w:szCs w:val="24"/>
                <w:highlight w:val="none"/>
                <w:vertAlign w:val="baseline"/>
                <w:lang w:val="zh-CN" w:eastAsia="zh-CN" w:bidi="ar"/>
              </w:rPr>
              <w:t>情况进行</w:t>
            </w:r>
            <w:r>
              <w:rPr>
                <w:rFonts w:hint="eastAsia" w:ascii="宋体" w:hAnsi="宋体" w:eastAsia="宋体" w:cs="宋体"/>
                <w:b w:val="0"/>
                <w:bCs w:val="0"/>
                <w:caps w:val="0"/>
                <w:color w:val="auto"/>
                <w:kern w:val="2"/>
                <w:sz w:val="24"/>
                <w:szCs w:val="24"/>
                <w:highlight w:val="none"/>
                <w:vertAlign w:val="baseline"/>
                <w:lang w:val="zh-CN" w:eastAsia="zh-CN" w:bidi="ar"/>
              </w:rPr>
              <w:t>评定</w:t>
            </w:r>
            <w:r>
              <w:rPr>
                <w:rFonts w:hint="eastAsia" w:ascii="宋体" w:hAnsi="宋体" w:cs="宋体"/>
                <w:b w:val="0"/>
                <w:bCs w:val="0"/>
                <w:caps w:val="0"/>
                <w:color w:val="auto"/>
                <w:kern w:val="2"/>
                <w:sz w:val="24"/>
                <w:szCs w:val="24"/>
                <w:highlight w:val="none"/>
                <w:vertAlign w:val="baseline"/>
                <w:lang w:val="zh-CN" w:eastAsia="zh-CN" w:bidi="ar"/>
              </w:rPr>
              <w:t>，技术人员具有人力资源相关部门或技术资格认定相关部门核发的服装类中级及以上职业资格证书的，每有一人得2分，最多得8分。</w:t>
            </w:r>
          </w:p>
          <w:p w14:paraId="47A0DDC6">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default" w:ascii="宋体" w:hAnsi="宋体" w:cs="宋体"/>
                <w:b/>
                <w:bCs w:val="0"/>
                <w:color w:val="auto"/>
                <w:sz w:val="24"/>
                <w:szCs w:val="24"/>
                <w:lang w:val="en-US" w:eastAsia="zh-CN"/>
              </w:rPr>
            </w:pPr>
            <w:r>
              <w:rPr>
                <w:rFonts w:hint="eastAsia" w:ascii="宋体" w:hAnsi="宋体" w:cs="宋体"/>
                <w:b/>
                <w:bCs/>
                <w:color w:val="auto"/>
                <w:sz w:val="24"/>
                <w:szCs w:val="24"/>
                <w:lang w:val="zh-CN" w:eastAsia="zh-CN"/>
              </w:rPr>
              <w:t>投标文件中</w:t>
            </w:r>
            <w:r>
              <w:rPr>
                <w:rFonts w:hint="eastAsia" w:ascii="宋体" w:hAnsi="宋体" w:cs="宋体"/>
                <w:b/>
                <w:bCs w:val="0"/>
                <w:color w:val="auto"/>
                <w:sz w:val="24"/>
                <w:szCs w:val="24"/>
                <w:lang w:val="zh-CN" w:eastAsia="zh-CN"/>
              </w:rPr>
              <w:t>附技术人员身份证及人力资源相关部门或技术资格认定相关部门核发的服装类中级及以上职业资格证书。</w:t>
            </w:r>
            <w:r>
              <w:rPr>
                <w:rFonts w:hint="eastAsia" w:ascii="宋体" w:hAnsi="宋体" w:cs="宋体"/>
                <w:b/>
                <w:bCs w:val="0"/>
                <w:color w:val="auto"/>
                <w:sz w:val="24"/>
                <w:szCs w:val="24"/>
                <w:lang w:val="en-US" w:eastAsia="zh-CN"/>
              </w:rPr>
              <w:t xml:space="preserve"> </w:t>
            </w:r>
            <w:bookmarkEnd w:id="170"/>
          </w:p>
        </w:tc>
        <w:tc>
          <w:tcPr>
            <w:tcW w:w="675" w:type="dxa"/>
            <w:tcBorders>
              <w:bottom w:val="single" w:color="auto" w:sz="4" w:space="0"/>
              <w:right w:val="single" w:color="auto" w:sz="4" w:space="0"/>
            </w:tcBorders>
            <w:shd w:val="clear" w:color="auto" w:fill="FFFFFF"/>
            <w:vAlign w:val="center"/>
          </w:tcPr>
          <w:p w14:paraId="6A56BDA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8分</w:t>
            </w:r>
          </w:p>
        </w:tc>
      </w:tr>
      <w:tr w14:paraId="57C1E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1237" w:type="dxa"/>
            <w:vMerge w:val="continue"/>
            <w:tcBorders>
              <w:left w:val="single" w:color="auto" w:sz="4" w:space="0"/>
            </w:tcBorders>
            <w:shd w:val="clear" w:color="auto" w:fill="auto"/>
            <w:vAlign w:val="center"/>
          </w:tcPr>
          <w:p w14:paraId="1FA1BDCE">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left w:val="single" w:color="auto" w:sz="4" w:space="0"/>
            </w:tcBorders>
            <w:shd w:val="clear" w:color="auto" w:fill="auto"/>
            <w:vAlign w:val="center"/>
          </w:tcPr>
          <w:p w14:paraId="578FF3ED">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center"/>
              <w:textAlignment w:val="auto"/>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企业认证证书</w:t>
            </w:r>
          </w:p>
        </w:tc>
        <w:tc>
          <w:tcPr>
            <w:tcW w:w="6338" w:type="dxa"/>
            <w:tcBorders>
              <w:bottom w:val="single" w:color="auto" w:sz="4" w:space="0"/>
            </w:tcBorders>
            <w:shd w:val="clear" w:color="auto" w:fill="FFFFFF"/>
            <w:vAlign w:val="center"/>
          </w:tcPr>
          <w:p w14:paraId="570FBADC">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eastAsia="宋体" w:cs="宋体"/>
                <w:b w:val="0"/>
                <w:bCs w:val="0"/>
                <w:caps w:val="0"/>
                <w:color w:val="auto"/>
                <w:kern w:val="2"/>
                <w:sz w:val="24"/>
                <w:szCs w:val="24"/>
                <w:highlight w:val="none"/>
                <w:vertAlign w:val="baseline"/>
                <w:lang w:val="zh-CN" w:eastAsia="zh-CN" w:bidi="ar"/>
              </w:rPr>
              <w:t>通过质量管理体系（</w:t>
            </w:r>
            <w:r>
              <w:rPr>
                <w:rFonts w:hint="eastAsia" w:ascii="宋体" w:hAnsi="宋体" w:eastAsia="宋体" w:cs="宋体"/>
                <w:b w:val="0"/>
                <w:bCs w:val="0"/>
                <w:caps w:val="0"/>
                <w:color w:val="auto"/>
                <w:kern w:val="2"/>
                <w:sz w:val="24"/>
                <w:szCs w:val="24"/>
                <w:highlight w:val="none"/>
                <w:vertAlign w:val="baseline"/>
                <w:lang w:val="en-US" w:eastAsia="zh-CN" w:bidi="ar"/>
              </w:rPr>
              <w:t>ISO9001</w:t>
            </w:r>
            <w:r>
              <w:rPr>
                <w:rFonts w:hint="eastAsia" w:ascii="宋体" w:hAnsi="宋体" w:eastAsia="宋体" w:cs="宋体"/>
                <w:b w:val="0"/>
                <w:bCs w:val="0"/>
                <w:caps w:val="0"/>
                <w:color w:val="auto"/>
                <w:kern w:val="2"/>
                <w:sz w:val="24"/>
                <w:szCs w:val="24"/>
                <w:highlight w:val="none"/>
                <w:vertAlign w:val="baseline"/>
                <w:lang w:val="zh-CN" w:eastAsia="zh-CN" w:bidi="ar"/>
              </w:rPr>
              <w:t>）认证证书的得1分，无得0分。</w:t>
            </w:r>
          </w:p>
          <w:p w14:paraId="798524A2">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eastAsia="宋体" w:cs="宋体"/>
                <w:b w:val="0"/>
                <w:bCs w:val="0"/>
                <w:caps w:val="0"/>
                <w:color w:val="auto"/>
                <w:kern w:val="2"/>
                <w:sz w:val="24"/>
                <w:szCs w:val="24"/>
                <w:highlight w:val="none"/>
                <w:vertAlign w:val="baseline"/>
                <w:lang w:val="zh-CN" w:eastAsia="zh-CN" w:bidi="ar"/>
              </w:rPr>
              <w:t>通过环境管理体系（</w:t>
            </w:r>
            <w:r>
              <w:rPr>
                <w:rFonts w:hint="eastAsia" w:ascii="宋体" w:hAnsi="宋体" w:eastAsia="宋体" w:cs="宋体"/>
                <w:b w:val="0"/>
                <w:bCs w:val="0"/>
                <w:caps w:val="0"/>
                <w:color w:val="auto"/>
                <w:kern w:val="2"/>
                <w:sz w:val="24"/>
                <w:szCs w:val="24"/>
                <w:highlight w:val="none"/>
                <w:vertAlign w:val="baseline"/>
                <w:lang w:val="en-US" w:eastAsia="zh-CN" w:bidi="ar"/>
              </w:rPr>
              <w:t>ISO14001</w:t>
            </w:r>
            <w:r>
              <w:rPr>
                <w:rFonts w:hint="eastAsia" w:ascii="宋体" w:hAnsi="宋体" w:eastAsia="宋体" w:cs="宋体"/>
                <w:b w:val="0"/>
                <w:bCs w:val="0"/>
                <w:caps w:val="0"/>
                <w:color w:val="auto"/>
                <w:kern w:val="2"/>
                <w:sz w:val="24"/>
                <w:szCs w:val="24"/>
                <w:highlight w:val="none"/>
                <w:vertAlign w:val="baseline"/>
                <w:lang w:val="zh-CN" w:eastAsia="zh-CN" w:bidi="ar"/>
              </w:rPr>
              <w:t>）认证证书的得1分，无得0分。</w:t>
            </w:r>
          </w:p>
          <w:p w14:paraId="2DEFF265">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eastAsia="宋体" w:cs="宋体"/>
                <w:b w:val="0"/>
                <w:bCs w:val="0"/>
                <w:caps w:val="0"/>
                <w:color w:val="auto"/>
                <w:kern w:val="2"/>
                <w:sz w:val="24"/>
                <w:szCs w:val="24"/>
                <w:highlight w:val="none"/>
                <w:vertAlign w:val="baseline"/>
                <w:lang w:val="zh-CN" w:eastAsia="zh-CN" w:bidi="ar"/>
              </w:rPr>
              <w:t>通过职业健康管理体系（</w:t>
            </w:r>
            <w:r>
              <w:rPr>
                <w:rFonts w:hint="eastAsia" w:ascii="宋体" w:hAnsi="宋体" w:eastAsia="宋体" w:cs="宋体"/>
                <w:b w:val="0"/>
                <w:bCs w:val="0"/>
                <w:caps w:val="0"/>
                <w:color w:val="auto"/>
                <w:kern w:val="2"/>
                <w:sz w:val="24"/>
                <w:szCs w:val="24"/>
                <w:highlight w:val="none"/>
                <w:vertAlign w:val="baseline"/>
                <w:lang w:val="en-US" w:eastAsia="zh-CN" w:bidi="ar"/>
              </w:rPr>
              <w:t>ISO45001</w:t>
            </w:r>
            <w:r>
              <w:rPr>
                <w:rFonts w:hint="eastAsia" w:ascii="宋体" w:hAnsi="宋体" w:eastAsia="宋体" w:cs="宋体"/>
                <w:b w:val="0"/>
                <w:bCs w:val="0"/>
                <w:caps w:val="0"/>
                <w:color w:val="auto"/>
                <w:kern w:val="2"/>
                <w:sz w:val="24"/>
                <w:szCs w:val="24"/>
                <w:highlight w:val="none"/>
                <w:vertAlign w:val="baseline"/>
                <w:lang w:val="zh-CN" w:eastAsia="zh-CN" w:bidi="ar"/>
              </w:rPr>
              <w:t>）认证证书得1分，无得0分。</w:t>
            </w:r>
          </w:p>
          <w:p w14:paraId="6DA906C9">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cs="宋体"/>
                <w:b/>
                <w:bCs/>
                <w:color w:val="auto"/>
                <w:sz w:val="24"/>
                <w:szCs w:val="24"/>
                <w:lang w:val="zh-CN" w:eastAsia="zh-CN"/>
              </w:rPr>
              <w:t>投标文件中</w:t>
            </w:r>
            <w:r>
              <w:rPr>
                <w:rFonts w:hint="eastAsia" w:ascii="宋体" w:hAnsi="宋体" w:cs="宋体"/>
                <w:b/>
                <w:bCs w:val="0"/>
                <w:color w:val="auto"/>
                <w:sz w:val="24"/>
                <w:szCs w:val="24"/>
                <w:lang w:val="zh-CN" w:eastAsia="zh-CN"/>
              </w:rPr>
              <w:t>附有效期内的认证证书。</w:t>
            </w:r>
          </w:p>
        </w:tc>
        <w:tc>
          <w:tcPr>
            <w:tcW w:w="675" w:type="dxa"/>
            <w:tcBorders>
              <w:bottom w:val="single" w:color="auto" w:sz="4" w:space="0"/>
              <w:right w:val="single" w:color="auto" w:sz="4" w:space="0"/>
            </w:tcBorders>
            <w:shd w:val="clear" w:color="auto" w:fill="FFFFFF"/>
            <w:vAlign w:val="center"/>
          </w:tcPr>
          <w:p w14:paraId="04EE8331">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3分</w:t>
            </w:r>
          </w:p>
        </w:tc>
      </w:tr>
      <w:tr w14:paraId="37DDC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1237" w:type="dxa"/>
            <w:vMerge w:val="continue"/>
            <w:tcBorders>
              <w:left w:val="single" w:color="auto" w:sz="4" w:space="0"/>
            </w:tcBorders>
            <w:shd w:val="clear" w:color="auto" w:fill="auto"/>
            <w:vAlign w:val="center"/>
          </w:tcPr>
          <w:p w14:paraId="366398F7">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left w:val="single" w:color="auto" w:sz="4" w:space="0"/>
            </w:tcBorders>
            <w:shd w:val="clear" w:color="auto" w:fill="auto"/>
            <w:vAlign w:val="center"/>
          </w:tcPr>
          <w:p w14:paraId="1943912D">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center"/>
              <w:textAlignment w:val="auto"/>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提前交货</w:t>
            </w:r>
          </w:p>
        </w:tc>
        <w:tc>
          <w:tcPr>
            <w:tcW w:w="6338" w:type="dxa"/>
            <w:tcBorders>
              <w:bottom w:val="single" w:color="auto" w:sz="4" w:space="0"/>
            </w:tcBorders>
            <w:shd w:val="clear" w:color="auto" w:fill="FFFFFF"/>
            <w:vAlign w:val="center"/>
          </w:tcPr>
          <w:p w14:paraId="3C85BAD8">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default"/>
                <w:color w:val="auto"/>
                <w:lang w:val="en-US" w:eastAsia="zh-CN"/>
              </w:rPr>
            </w:pPr>
            <w:r>
              <w:rPr>
                <w:rFonts w:hint="eastAsia" w:ascii="宋体" w:hAnsi="宋体" w:cs="宋体"/>
                <w:b w:val="0"/>
                <w:bCs/>
                <w:color w:val="auto"/>
                <w:sz w:val="24"/>
                <w:szCs w:val="24"/>
                <w:lang w:val="zh-CN" w:eastAsia="zh-CN"/>
              </w:rPr>
              <w:t>按本项目合同履行期限（合同签订后</w:t>
            </w:r>
            <w:r>
              <w:rPr>
                <w:rFonts w:hint="eastAsia" w:ascii="宋体" w:hAnsi="宋体" w:cs="宋体"/>
                <w:b w:val="0"/>
                <w:bCs/>
                <w:color w:val="auto"/>
                <w:sz w:val="24"/>
                <w:szCs w:val="24"/>
                <w:lang w:val="en-US" w:eastAsia="zh-CN"/>
              </w:rPr>
              <w:t>90日内</w:t>
            </w:r>
            <w:r>
              <w:rPr>
                <w:rFonts w:hint="eastAsia" w:ascii="宋体" w:hAnsi="宋体" w:cs="宋体"/>
                <w:b w:val="0"/>
                <w:bCs/>
                <w:color w:val="auto"/>
                <w:sz w:val="24"/>
                <w:szCs w:val="24"/>
                <w:lang w:val="zh-CN" w:eastAsia="zh-CN"/>
              </w:rPr>
              <w:t>）提前五天完成交货（即合同签订后</w:t>
            </w:r>
            <w:r>
              <w:rPr>
                <w:rFonts w:hint="eastAsia" w:ascii="宋体" w:hAnsi="宋体" w:cs="宋体"/>
                <w:b w:val="0"/>
                <w:bCs/>
                <w:color w:val="auto"/>
                <w:sz w:val="24"/>
                <w:szCs w:val="24"/>
                <w:lang w:val="en-US" w:eastAsia="zh-CN"/>
              </w:rPr>
              <w:t>85日内完成交货</w:t>
            </w:r>
            <w:r>
              <w:rPr>
                <w:rFonts w:hint="eastAsia" w:ascii="宋体" w:hAnsi="宋体" w:cs="宋体"/>
                <w:b w:val="0"/>
                <w:bCs/>
                <w:color w:val="auto"/>
                <w:sz w:val="24"/>
                <w:szCs w:val="24"/>
                <w:lang w:val="zh-CN" w:eastAsia="zh-CN"/>
              </w:rPr>
              <w:t>），得</w:t>
            </w:r>
            <w:r>
              <w:rPr>
                <w:rFonts w:hint="eastAsia" w:ascii="宋体" w:hAnsi="宋体" w:cs="宋体"/>
                <w:b w:val="0"/>
                <w:bCs/>
                <w:color w:val="auto"/>
                <w:sz w:val="24"/>
                <w:szCs w:val="24"/>
                <w:lang w:val="en-US" w:eastAsia="zh-CN"/>
              </w:rPr>
              <w:t>2分。</w:t>
            </w:r>
          </w:p>
          <w:p w14:paraId="01158AF0">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eastAsia"/>
                <w:lang w:val="zh-CN" w:eastAsia="zh-CN"/>
              </w:rPr>
            </w:pPr>
            <w:r>
              <w:rPr>
                <w:rFonts w:hint="eastAsia" w:ascii="宋体" w:hAnsi="宋体" w:cs="宋体"/>
                <w:b/>
                <w:bCs/>
                <w:color w:val="auto"/>
                <w:sz w:val="24"/>
                <w:szCs w:val="24"/>
                <w:lang w:val="zh-CN" w:eastAsia="zh-CN"/>
              </w:rPr>
              <w:t>以投标文件中开标一览表的合同履行期限内容为准。</w:t>
            </w:r>
          </w:p>
        </w:tc>
        <w:tc>
          <w:tcPr>
            <w:tcW w:w="675" w:type="dxa"/>
            <w:tcBorders>
              <w:bottom w:val="single" w:color="auto" w:sz="4" w:space="0"/>
              <w:right w:val="single" w:color="auto" w:sz="4" w:space="0"/>
            </w:tcBorders>
            <w:shd w:val="clear" w:color="auto" w:fill="FFFFFF"/>
            <w:vAlign w:val="center"/>
          </w:tcPr>
          <w:p w14:paraId="621BBC2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2分</w:t>
            </w:r>
          </w:p>
        </w:tc>
      </w:tr>
      <w:tr w14:paraId="0C469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0" w:hRule="atLeast"/>
          <w:jc w:val="center"/>
        </w:trPr>
        <w:tc>
          <w:tcPr>
            <w:tcW w:w="1237" w:type="dxa"/>
            <w:vMerge w:val="restart"/>
            <w:tcBorders>
              <w:top w:val="single" w:color="auto" w:sz="4" w:space="0"/>
              <w:left w:val="single" w:color="auto" w:sz="4" w:space="0"/>
            </w:tcBorders>
            <w:vAlign w:val="center"/>
          </w:tcPr>
          <w:p w14:paraId="0BAF209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技术因素</w:t>
            </w:r>
          </w:p>
          <w:p w14:paraId="14DCF9FE">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w:t>
            </w:r>
            <w:r>
              <w:rPr>
                <w:rFonts w:hint="eastAsia" w:ascii="宋体" w:hAnsi="宋体" w:cs="宋体"/>
                <w:bCs/>
                <w:color w:val="auto"/>
                <w:sz w:val="24"/>
                <w:szCs w:val="24"/>
                <w:lang w:val="en-US" w:eastAsia="zh-CN"/>
              </w:rPr>
              <w:t>51</w:t>
            </w:r>
            <w:r>
              <w:rPr>
                <w:rFonts w:hint="eastAsia" w:ascii="宋体" w:hAnsi="宋体" w:cs="宋体"/>
                <w:bCs/>
                <w:color w:val="auto"/>
                <w:sz w:val="24"/>
                <w:szCs w:val="24"/>
                <w:lang w:eastAsia="zh-CN"/>
              </w:rPr>
              <w:t>分）</w:t>
            </w:r>
          </w:p>
          <w:p w14:paraId="534BECDB">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621D7527">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生产计划方案</w:t>
            </w:r>
          </w:p>
        </w:tc>
        <w:tc>
          <w:tcPr>
            <w:tcW w:w="6338" w:type="dxa"/>
            <w:tcBorders>
              <w:top w:val="single" w:color="auto" w:sz="4" w:space="0"/>
              <w:bottom w:val="single" w:color="auto" w:sz="4" w:space="0"/>
            </w:tcBorders>
            <w:shd w:val="clear" w:color="auto" w:fill="auto"/>
            <w:vAlign w:val="center"/>
          </w:tcPr>
          <w:p w14:paraId="37E9F64D">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投标人针对本项目所提供的生产计划方案，包括但不限于以下内容：</w:t>
            </w:r>
          </w:p>
          <w:p w14:paraId="2D51691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生产计划</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59A2EFD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进度保障措施</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634A08F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项目设施技术措施</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76CC59A0">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4、</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岗位和人员设置</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686A7A6F">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以上四项内容每项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4分，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满分1</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6</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213CAE8A">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4</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4FECA479">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3DD175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782075F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05D54FC9">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16分</w:t>
            </w:r>
          </w:p>
        </w:tc>
      </w:tr>
      <w:tr w14:paraId="5FF1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0" w:hRule="atLeast"/>
          <w:jc w:val="center"/>
        </w:trPr>
        <w:tc>
          <w:tcPr>
            <w:tcW w:w="1237" w:type="dxa"/>
            <w:vMerge w:val="continue"/>
            <w:tcBorders>
              <w:left w:val="single" w:color="auto" w:sz="4" w:space="0"/>
            </w:tcBorders>
            <w:vAlign w:val="center"/>
          </w:tcPr>
          <w:p w14:paraId="6375BDE4">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361DFF95">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质量保障措施</w:t>
            </w:r>
          </w:p>
        </w:tc>
        <w:tc>
          <w:tcPr>
            <w:tcW w:w="6338" w:type="dxa"/>
            <w:tcBorders>
              <w:top w:val="single" w:color="auto" w:sz="4" w:space="0"/>
              <w:bottom w:val="single" w:color="auto" w:sz="4" w:space="0"/>
            </w:tcBorders>
            <w:shd w:val="clear" w:color="auto" w:fill="auto"/>
            <w:vAlign w:val="center"/>
          </w:tcPr>
          <w:p w14:paraId="6FA8992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投标人针对本项目所提供的质量保障措施，包括但不限于以下内容：</w:t>
            </w:r>
          </w:p>
          <w:p w14:paraId="0EFF38EC">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1、常见质量问题的控制方案；</w:t>
            </w:r>
          </w:p>
          <w:p w14:paraId="298D95FC">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2、产品内部验收标准；</w:t>
            </w:r>
          </w:p>
          <w:p w14:paraId="50F796B4">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3、针对批量货物进行整体把控的解决措施；</w:t>
            </w:r>
          </w:p>
          <w:p w14:paraId="3F1A4ECD">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4、包装质量保障方案。</w:t>
            </w:r>
          </w:p>
          <w:p w14:paraId="520F838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以上四项内容每项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满分1</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77DE09D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406A7773">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5073239">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84DB5B3">
            <w:pPr>
              <w:pStyle w:val="2"/>
              <w:keepNext w:val="0"/>
              <w:keepLines w:val="0"/>
              <w:pageBreakBefore w:val="0"/>
              <w:wordWrap/>
              <w:overflowPunct/>
              <w:topLinePunct w:val="0"/>
              <w:autoSpaceDE/>
              <w:autoSpaceDN/>
              <w:bidi w:val="0"/>
              <w:spacing w:after="0" w:afterLines="0" w:line="440" w:lineRule="exact"/>
              <w:ind w:left="0" w:leftChars="0" w:firstLine="0" w:firstLineChars="0"/>
              <w:outlineLvl w:val="9"/>
              <w:rPr>
                <w:rFonts w:hint="eastAsia"/>
                <w:lang w:val="zh-CN" w:eastAsia="zh-CN"/>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1E906B6D">
            <w:pPr>
              <w:keepNext w:val="0"/>
              <w:keepLines w:val="0"/>
              <w:pageBreakBefore w:val="0"/>
              <w:widowControl w:val="0"/>
              <w:kinsoku/>
              <w:wordWrap w:val="0"/>
              <w:overflowPunct/>
              <w:topLinePunct/>
              <w:autoSpaceDE/>
              <w:autoSpaceDN/>
              <w:bidi w:val="0"/>
              <w:adjustRightInd/>
              <w:snapToGrid/>
              <w:spacing w:line="440" w:lineRule="exact"/>
              <w:ind w:left="0" w:leftChars="0" w:right="0" w:rightChars="0" w:firstLine="0" w:firstLineChars="0"/>
              <w:contextualSpacing/>
              <w:jc w:val="center"/>
              <w:textAlignment w:val="auto"/>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12分</w:t>
            </w:r>
          </w:p>
        </w:tc>
      </w:tr>
      <w:tr w14:paraId="1675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dxa"/>
            <w:vMerge w:val="continue"/>
            <w:tcBorders>
              <w:left w:val="single" w:color="auto" w:sz="4" w:space="0"/>
            </w:tcBorders>
            <w:vAlign w:val="center"/>
          </w:tcPr>
          <w:p w14:paraId="6BFD9041">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187AB7FB">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供货方案</w:t>
            </w:r>
          </w:p>
        </w:tc>
        <w:tc>
          <w:tcPr>
            <w:tcW w:w="6338" w:type="dxa"/>
            <w:tcBorders>
              <w:top w:val="single" w:color="auto" w:sz="4" w:space="0"/>
              <w:bottom w:val="single" w:color="auto" w:sz="4" w:space="0"/>
            </w:tcBorders>
            <w:shd w:val="clear" w:color="auto" w:fill="auto"/>
            <w:vAlign w:val="center"/>
          </w:tcPr>
          <w:p w14:paraId="7107E787">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投标人针对本项目所提供的供货方案，包括但不限于以下内容：</w:t>
            </w:r>
          </w:p>
          <w:p w14:paraId="6169D334">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供货流程</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06A9F2BC">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项目实施进度</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7B2CE5B0">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交货期保证措施</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596FDD8A">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调换方案</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5D906E82">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供货响应方案</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2775DCC1">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以上五项内容每项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满分1</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0</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3A808FC2">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31377D4E">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51BE2D10">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0.5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4FC6D27B">
            <w:pPr>
              <w:pStyle w:val="2"/>
              <w:keepNext w:val="0"/>
              <w:keepLines w:val="0"/>
              <w:pageBreakBefore w:val="0"/>
              <w:overflowPunct/>
              <w:autoSpaceDE/>
              <w:bidi w:val="0"/>
              <w:spacing w:after="0" w:afterLines="0" w:line="440" w:lineRule="exact"/>
              <w:ind w:left="0" w:leftChars="0" w:firstLine="0" w:firstLineChars="0"/>
              <w:outlineLvl w:val="9"/>
              <w:rPr>
                <w:rFonts w:hint="eastAsia"/>
                <w:lang w:val="zh-CN" w:eastAsia="zh-CN"/>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5F48917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10分</w:t>
            </w:r>
          </w:p>
        </w:tc>
      </w:tr>
      <w:tr w14:paraId="24B6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5" w:hRule="atLeast"/>
          <w:jc w:val="center"/>
        </w:trPr>
        <w:tc>
          <w:tcPr>
            <w:tcW w:w="1237" w:type="dxa"/>
            <w:vMerge w:val="continue"/>
            <w:tcBorders>
              <w:left w:val="single" w:color="auto" w:sz="4" w:space="0"/>
            </w:tcBorders>
            <w:vAlign w:val="center"/>
          </w:tcPr>
          <w:p w14:paraId="3BE1C519">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26B363C4">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售后服务</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方案</w:t>
            </w:r>
          </w:p>
        </w:tc>
        <w:tc>
          <w:tcPr>
            <w:tcW w:w="6338" w:type="dxa"/>
            <w:tcBorders>
              <w:top w:val="single" w:color="auto" w:sz="4" w:space="0"/>
              <w:bottom w:val="single" w:color="auto" w:sz="4" w:space="0"/>
            </w:tcBorders>
            <w:shd w:val="clear" w:color="auto" w:fill="auto"/>
            <w:vAlign w:val="center"/>
          </w:tcPr>
          <w:p w14:paraId="3B15E7E8">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投标人针对本项目所提供的售后服务</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方案</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，包括但不限于以下内容：</w:t>
            </w:r>
          </w:p>
          <w:p w14:paraId="0255BC74">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售后服务保证、售后服务范围</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4AF259E9">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售后服务网点分布、服务人员配备情况</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0121D924">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对所有货物负责送货、号码调换的服务方案</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35728593">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产品质保承诺</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3144B0A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以上四项内容每项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2.5分，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10</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5E26BFF4">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78219C63">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EBDAF93">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5CBC74F">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b/>
                <w:bCs/>
                <w:lang w:val="zh-CN" w:eastAsia="zh-CN"/>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56E2CF2D">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10分</w:t>
            </w:r>
          </w:p>
        </w:tc>
      </w:tr>
      <w:tr w14:paraId="77B33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dxa"/>
            <w:tcBorders>
              <w:left w:val="single" w:color="auto" w:sz="4" w:space="0"/>
            </w:tcBorders>
            <w:vAlign w:val="center"/>
          </w:tcPr>
          <w:p w14:paraId="0A6BB7D6">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185EC111">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应急保障方案</w:t>
            </w:r>
          </w:p>
        </w:tc>
        <w:tc>
          <w:tcPr>
            <w:tcW w:w="6338" w:type="dxa"/>
            <w:tcBorders>
              <w:top w:val="single" w:color="auto" w:sz="4" w:space="0"/>
              <w:bottom w:val="single" w:color="auto" w:sz="4" w:space="0"/>
            </w:tcBorders>
            <w:shd w:val="clear" w:color="auto" w:fill="auto"/>
            <w:vAlign w:val="center"/>
          </w:tcPr>
          <w:p w14:paraId="6E5D7616">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投标人针对本项目所提供的应急保障方案，包括但不限于以下内容：</w:t>
            </w:r>
          </w:p>
          <w:p w14:paraId="0D6B7DD1">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1、应急生产方案；</w:t>
            </w:r>
          </w:p>
          <w:p w14:paraId="199D676F">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2、应急供配货方案。</w:t>
            </w:r>
          </w:p>
          <w:p w14:paraId="13D3FA64">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以上二项内容每项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1.5分，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FC4EA8F">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3FADA36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0A4B7DF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0.5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0BA666BB">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default"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77221680">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3分</w:t>
            </w:r>
          </w:p>
        </w:tc>
      </w:tr>
      <w:tr w14:paraId="551FB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139" w:type="dxa"/>
            <w:gridSpan w:val="3"/>
            <w:vAlign w:val="center"/>
          </w:tcPr>
          <w:p w14:paraId="4987C3D3">
            <w:pPr>
              <w:keepNext w:val="0"/>
              <w:keepLines w:val="0"/>
              <w:pageBreakBefore w:val="0"/>
              <w:widowControl w:val="0"/>
              <w:kinsoku/>
              <w:wordWrap w:val="0"/>
              <w:overflowPunct/>
              <w:topLinePunct/>
              <w:autoSpaceDE/>
              <w:autoSpaceDN/>
              <w:bidi w:val="0"/>
              <w:spacing w:before="0" w:line="440" w:lineRule="exact"/>
              <w:ind w:firstLine="0" w:firstLineChars="0"/>
              <w:jc w:val="center"/>
              <w:textAlignment w:val="auto"/>
              <w:outlineLvl w:val="9"/>
              <w:rPr>
                <w:rFonts w:hint="eastAsia" w:ascii="宋体" w:hAnsi="宋体" w:cs="宋体"/>
                <w:color w:val="auto"/>
                <w:sz w:val="24"/>
                <w:szCs w:val="24"/>
              </w:rPr>
            </w:pPr>
            <w:r>
              <w:rPr>
                <w:rFonts w:hint="eastAsia" w:ascii="宋体" w:hAnsi="宋体" w:cs="宋体"/>
                <w:color w:val="auto"/>
                <w:sz w:val="24"/>
                <w:szCs w:val="24"/>
              </w:rPr>
              <w:t>合计</w:t>
            </w:r>
          </w:p>
        </w:tc>
        <w:tc>
          <w:tcPr>
            <w:tcW w:w="675" w:type="dxa"/>
            <w:vAlign w:val="center"/>
          </w:tcPr>
          <w:p w14:paraId="2C7D0AD4">
            <w:pPr>
              <w:keepNext w:val="0"/>
              <w:keepLines w:val="0"/>
              <w:pageBreakBefore w:val="0"/>
              <w:widowControl w:val="0"/>
              <w:kinsoku/>
              <w:wordWrap w:val="0"/>
              <w:overflowPunct/>
              <w:topLinePunct/>
              <w:autoSpaceDE/>
              <w:autoSpaceDN/>
              <w:bidi w:val="0"/>
              <w:spacing w:before="0" w:line="440" w:lineRule="exact"/>
              <w:ind w:left="0" w:leftChars="0" w:right="0" w:rightChars="0" w:firstLine="0" w:firstLineChars="0"/>
              <w:contextualSpacing/>
              <w:jc w:val="center"/>
              <w:textAlignment w:val="auto"/>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100分</w:t>
            </w:r>
          </w:p>
        </w:tc>
      </w:tr>
    </w:tbl>
    <w:p w14:paraId="70758172">
      <w:pPr>
        <w:pageBreakBefore w:val="0"/>
        <w:kinsoku/>
        <w:wordWrap/>
        <w:overflowPunct/>
        <w:topLinePunct w:val="0"/>
        <w:bidi w:val="0"/>
        <w:spacing w:line="240" w:lineRule="auto"/>
        <w:rPr>
          <w:rFonts w:hint="eastAsia" w:ascii="宋体" w:hAnsi="宋体" w:eastAsia="宋体" w:cs="宋体"/>
          <w:color w:val="auto"/>
          <w:sz w:val="24"/>
          <w:szCs w:val="24"/>
          <w:lang w:val="zh-CN"/>
        </w:rPr>
      </w:pPr>
    </w:p>
    <w:p w14:paraId="557A65B8">
      <w:pPr>
        <w:pageBreakBefore w:val="0"/>
        <w:kinsoku/>
        <w:wordWrap/>
        <w:overflowPunct/>
        <w:topLinePunct w:val="0"/>
        <w:bidi w:val="0"/>
        <w:spacing w:line="240" w:lineRule="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说明：</w:t>
      </w:r>
    </w:p>
    <w:p w14:paraId="5263522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1、投标报价严格遵守公安部《关于调整人民警察服装及其服饰预算指导价格的通知》（公装财【2012】588号）和公安部装财局《关于印发&lt;2012年度人民警察服装选配品种预算指导价格表&gt;的通知》（公装财【2012】690号），投标报价应按公安部2008年安徽会议精神的规定执行，否则将按无效投标处理。</w:t>
      </w:r>
    </w:p>
    <w:p w14:paraId="4029605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br w:type="page"/>
      </w:r>
    </w:p>
    <w:p w14:paraId="5EB633C4">
      <w:pPr>
        <w:pageBreakBefore w:val="0"/>
        <w:kinsoku/>
        <w:wordWrap/>
        <w:overflowPunct/>
        <w:topLinePunct w:val="0"/>
        <w:bidi w:val="0"/>
        <w:spacing w:line="240" w:lineRule="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3.</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rPr>
        <w:t>.3</w:t>
      </w:r>
      <w:r>
        <w:rPr>
          <w:rFonts w:hint="eastAsia" w:ascii="宋体" w:hAnsi="宋体" w:eastAsia="宋体" w:cs="宋体"/>
          <w:b/>
          <w:bCs/>
          <w:color w:val="auto"/>
          <w:sz w:val="24"/>
          <w:szCs w:val="24"/>
          <w:lang w:eastAsia="zh-CN"/>
        </w:rPr>
        <w:t>评审标准中应考虑下列因素：</w:t>
      </w:r>
    </w:p>
    <w:p w14:paraId="2277AD8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根据《财政部 司法部关于政府采购支持监狱企业发展有关问题的通知》（财库[2014]68号）、《政府采购促进中小企业发展管理办法》（财库[2020]46号）及《关于进一步加大政府采购支持中小企业力度的通知》（财库[2022]19号）的规定，本项目一标段投标人需按要求提交省级以上监狱管理局、戒毒管理局（含新疆生产建设兵团）出具的属于监狱企业的证明文件；二标段投标人需按要求提交《中小企业声明函》。</w:t>
      </w:r>
    </w:p>
    <w:p w14:paraId="52130DD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2.根据《财政部 司法部关于政府采购支持监狱企业发展有关问题的通知》（财库[2014]68号）和《三部门联合发布关于促进残疾人就业政府采购政策的通知》（财库[2017]141号）的规定，在投标文件中提交了《残疾人福利性单位声明函》或省级以上监狱管理局、戒毒管理局（含新疆生产建设兵团）出具的属于监狱企业的证明文件的企业视同小型、微型企业。</w:t>
      </w:r>
    </w:p>
    <w:p w14:paraId="4D54C59B">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lang w:val="zh-CN" w:eastAsia="zh-CN"/>
        </w:rPr>
        <w:t>投标人所投产品如被列入财政部与国家主管部门颁发的节能产品目录或环境标志产品目录或无线局域网产品目录，应提供相关证明，在评标时予以优先采购。具体优惠措施为：在技术部分打分项中加0.5分。</w:t>
      </w:r>
    </w:p>
    <w:p w14:paraId="5A2D655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4.如招标人所采购产品为政府强制采购的节能产品，投标人所投产品的品牌及型号必须为清单中有效期内产品并提供证明文件，否则其投标将作为无效投标被拒绝。</w:t>
      </w:r>
    </w:p>
    <w:p w14:paraId="0F5282ED">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同品牌处理办法：提供相同品牌产品且通过资格审查、符合性审查的不同投标人，按一家投标人计算，评审后得分最高的同品牌投标人获得中标人推荐资格；评审得分相同的，由招标人或者招标人委托评标委员会按照招标文件中评标办法规定的方式确定一个投标人获得中标人推荐资格；未规定的采取随机抽取方式确定，其他同品牌投标人不作为中标候选人。</w:t>
      </w:r>
    </w:p>
    <w:p w14:paraId="7F57E1B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6.中标候选人并列式时的处理方式：如出现两名及以上投标人的报价得分并列的情况，以评标委员会投票决定中标候选人排名，少数服从多数原则。</w:t>
      </w:r>
    </w:p>
    <w:p w14:paraId="5F2D308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F63081B">
      <w:pPr>
        <w:pStyle w:val="19"/>
        <w:pageBreakBefore w:val="0"/>
        <w:kinsoku/>
        <w:wordWrap/>
        <w:overflowPunct/>
        <w:topLinePunct w:val="0"/>
        <w:bidi w:val="0"/>
        <w:spacing w:before="0" w:beforeAutospacing="0" w:after="0" w:afterAutospacing="0" w:line="240" w:lineRule="auto"/>
        <w:jc w:val="both"/>
        <w:outlineLvl w:val="9"/>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3.4</w:t>
      </w:r>
      <w:r>
        <w:rPr>
          <w:rFonts w:hint="eastAsia" w:ascii="宋体" w:hAnsi="宋体" w:eastAsia="宋体" w:cs="宋体"/>
          <w:b/>
          <w:bCs/>
          <w:color w:val="auto"/>
          <w:kern w:val="2"/>
          <w:sz w:val="24"/>
          <w:szCs w:val="24"/>
          <w:lang w:val="en-US" w:eastAsia="zh-CN"/>
        </w:rPr>
        <w:t>.4</w:t>
      </w:r>
      <w:r>
        <w:rPr>
          <w:rFonts w:hint="eastAsia" w:ascii="宋体" w:hAnsi="宋体" w:eastAsia="宋体" w:cs="宋体"/>
          <w:b/>
          <w:bCs/>
          <w:color w:val="auto"/>
          <w:kern w:val="2"/>
          <w:sz w:val="24"/>
          <w:szCs w:val="24"/>
          <w:lang w:eastAsia="zh-CN"/>
        </w:rPr>
        <w:t>推荐</w:t>
      </w:r>
      <w:r>
        <w:rPr>
          <w:rFonts w:hint="eastAsia" w:ascii="宋体" w:hAnsi="宋体" w:eastAsia="宋体" w:cs="宋体"/>
          <w:b/>
          <w:bCs/>
          <w:color w:val="auto"/>
          <w:kern w:val="2"/>
          <w:sz w:val="24"/>
          <w:szCs w:val="24"/>
        </w:rPr>
        <w:t>中标候选</w:t>
      </w:r>
      <w:r>
        <w:rPr>
          <w:rFonts w:hint="eastAsia" w:ascii="宋体" w:hAnsi="宋体" w:eastAsia="宋体" w:cs="宋体"/>
          <w:b/>
          <w:bCs/>
          <w:color w:val="auto"/>
          <w:kern w:val="2"/>
          <w:sz w:val="24"/>
          <w:szCs w:val="24"/>
          <w:lang w:eastAsia="zh-CN"/>
        </w:rPr>
        <w:t>投标人</w:t>
      </w:r>
      <w:r>
        <w:rPr>
          <w:rFonts w:hint="eastAsia" w:ascii="宋体" w:hAnsi="宋体" w:eastAsia="宋体" w:cs="宋体"/>
          <w:b/>
          <w:bCs/>
          <w:color w:val="auto"/>
          <w:kern w:val="2"/>
          <w:sz w:val="24"/>
          <w:szCs w:val="24"/>
        </w:rPr>
        <w:t>名单：</w:t>
      </w:r>
      <w:r>
        <w:rPr>
          <w:rFonts w:hint="eastAsia" w:ascii="宋体" w:hAnsi="宋体" w:eastAsia="宋体" w:cs="宋体"/>
          <w:b/>
          <w:bCs/>
          <w:color w:val="auto"/>
          <w:kern w:val="2"/>
          <w:sz w:val="24"/>
          <w:szCs w:val="24"/>
          <w:lang w:eastAsia="zh-CN"/>
        </w:rPr>
        <w:t>按照得分由高到低的顺序推荐</w:t>
      </w:r>
      <w:r>
        <w:rPr>
          <w:rFonts w:hint="eastAsia" w:ascii="宋体" w:hAnsi="宋体" w:eastAsia="宋体" w:cs="宋体"/>
          <w:b/>
          <w:bCs/>
          <w:color w:val="auto"/>
          <w:kern w:val="2"/>
          <w:sz w:val="24"/>
          <w:szCs w:val="24"/>
        </w:rPr>
        <w:t>3名</w:t>
      </w:r>
      <w:r>
        <w:rPr>
          <w:rFonts w:hint="eastAsia" w:ascii="宋体" w:hAnsi="宋体" w:eastAsia="宋体" w:cs="宋体"/>
          <w:b/>
          <w:bCs/>
          <w:color w:val="auto"/>
          <w:kern w:val="2"/>
          <w:sz w:val="24"/>
          <w:szCs w:val="24"/>
          <w:lang w:eastAsia="zh-CN"/>
        </w:rPr>
        <w:t>中标候选人</w:t>
      </w:r>
      <w:r>
        <w:rPr>
          <w:rFonts w:hint="eastAsia" w:ascii="宋体" w:hAnsi="宋体" w:eastAsia="宋体" w:cs="宋体"/>
          <w:b/>
          <w:bCs/>
          <w:color w:val="auto"/>
          <w:kern w:val="2"/>
          <w:sz w:val="24"/>
          <w:szCs w:val="24"/>
        </w:rPr>
        <w:t>。</w:t>
      </w:r>
      <w:r>
        <w:rPr>
          <w:rFonts w:hint="eastAsia" w:ascii="宋体" w:hAnsi="宋体" w:eastAsia="宋体" w:cs="宋体"/>
          <w:b/>
          <w:bCs/>
          <w:color w:val="auto"/>
          <w:kern w:val="2"/>
          <w:sz w:val="24"/>
          <w:szCs w:val="24"/>
        </w:rPr>
        <w:br w:type="page"/>
      </w:r>
    </w:p>
    <w:p w14:paraId="207C405C">
      <w:pPr>
        <w:pageBreakBefore w:val="0"/>
        <w:overflowPunct/>
        <w:bidi w:val="0"/>
        <w:spacing w:line="24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附件：</w:t>
      </w:r>
    </w:p>
    <w:p w14:paraId="1A46048C">
      <w:pPr>
        <w:pageBreakBefore w:val="0"/>
        <w:widowControl w:val="0"/>
        <w:kinsoku/>
        <w:wordWrap w:val="0"/>
        <w:overflowPunct/>
        <w:topLinePunct/>
        <w:autoSpaceDE/>
        <w:autoSpaceDN/>
        <w:bidi w:val="0"/>
        <w:spacing w:line="240" w:lineRule="auto"/>
        <w:rPr>
          <w:rFonts w:ascii="宋体" w:hAnsi="宋体" w:cs="宋体"/>
          <w:color w:val="auto"/>
          <w:sz w:val="20"/>
          <w:szCs w:val="20"/>
          <w:lang w:eastAsia="zh-CN"/>
        </w:rPr>
      </w:pPr>
    </w:p>
    <w:p w14:paraId="678B0B82">
      <w:pPr>
        <w:keepNext w:val="0"/>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bCs/>
          <w:sz w:val="28"/>
          <w:szCs w:val="28"/>
          <w:highlight w:val="none"/>
          <w:lang w:eastAsia="zh-CN"/>
        </w:rPr>
      </w:pPr>
      <w:bookmarkStart w:id="85" w:name="_Toc105486559"/>
      <w:bookmarkStart w:id="86" w:name="_Toc5224"/>
      <w:bookmarkStart w:id="87" w:name="_Toc105486701"/>
      <w:bookmarkStart w:id="88" w:name="_Toc13143"/>
      <w:bookmarkStart w:id="89" w:name="_Toc105486448"/>
      <w:r>
        <w:rPr>
          <w:rFonts w:hint="eastAsia" w:ascii="宋体" w:hAnsi="宋体" w:eastAsia="宋体" w:cs="宋体"/>
          <w:b/>
          <w:bCs/>
          <w:sz w:val="28"/>
          <w:szCs w:val="28"/>
          <w:highlight w:val="none"/>
          <w:lang w:eastAsia="zh-CN"/>
        </w:rPr>
        <w:t>政府采购促进中小企业发展管理办法</w:t>
      </w:r>
      <w:bookmarkEnd w:id="85"/>
      <w:bookmarkEnd w:id="86"/>
      <w:bookmarkEnd w:id="87"/>
      <w:bookmarkEnd w:id="88"/>
      <w:bookmarkEnd w:id="89"/>
    </w:p>
    <w:p w14:paraId="248C37BA">
      <w:pPr>
        <w:pStyle w:val="7"/>
        <w:pageBreakBefore w:val="0"/>
        <w:overflowPunct/>
        <w:bidi w:val="0"/>
        <w:spacing w:line="240" w:lineRule="auto"/>
        <w:jc w:val="center"/>
        <w:rPr>
          <w:rFonts w:hint="eastAsia" w:ascii="宋体" w:hAnsi="宋体" w:eastAsia="宋体" w:cs="宋体"/>
          <w:b w:val="0"/>
          <w:bCs w:val="0"/>
          <w:sz w:val="24"/>
          <w:szCs w:val="24"/>
          <w:highlight w:val="none"/>
          <w:lang w:eastAsia="zh-CN"/>
        </w:rPr>
      </w:pPr>
      <w:bookmarkStart w:id="90" w:name="_Toc105486702"/>
      <w:bookmarkStart w:id="91" w:name="_Toc20210"/>
      <w:bookmarkStart w:id="92" w:name="_Toc105486449"/>
      <w:bookmarkStart w:id="93" w:name="_Toc28084"/>
      <w:bookmarkStart w:id="94" w:name="_Toc105486560"/>
      <w:r>
        <w:rPr>
          <w:rFonts w:hint="eastAsia" w:ascii="宋体" w:hAnsi="宋体" w:eastAsia="宋体" w:cs="宋体"/>
          <w:b w:val="0"/>
          <w:bCs w:val="0"/>
          <w:sz w:val="24"/>
          <w:szCs w:val="24"/>
          <w:highlight w:val="none"/>
          <w:lang w:eastAsia="zh-CN"/>
        </w:rPr>
        <w:t>财库〔2020〕46号</w:t>
      </w:r>
      <w:bookmarkEnd w:id="90"/>
      <w:bookmarkEnd w:id="91"/>
      <w:bookmarkEnd w:id="92"/>
      <w:bookmarkEnd w:id="93"/>
      <w:bookmarkEnd w:id="94"/>
    </w:p>
    <w:p w14:paraId="2DB0FFA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第一条 为了发挥政府采购的政策功能，促进中小企业健康发展，根据《中华人民共和国政府采购法》、《中华人民共和国中小企业促进法》等有关法律法规，制定本办法。</w:t>
      </w:r>
    </w:p>
    <w:p w14:paraId="0A29B0F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6AA436A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第三条 采购人在政府采购活动中应当通过加强采购需求管理，落实预留采购份额、价格评审优惠、优先采购等措施，提高中小企业在政府采购中的份额，支持中小企业发展。</w:t>
      </w:r>
    </w:p>
    <w:p w14:paraId="7CA3AAA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第四条 在政府采购活动中，供应商提供的货物、工程或者服务符合下列情形的，享受本办法规定的中小企业扶持政策：</w:t>
      </w:r>
    </w:p>
    <w:p w14:paraId="087BD58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（一）在货物采购项目中，货物由中小企业制造，即货物由中小企业生产且使用该中小企业商号或者注册商标；</w:t>
      </w:r>
    </w:p>
    <w:p w14:paraId="196C2D9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（二）在工程采购项目中，工程由中小企业承建，即工程施工单位为中小企业；</w:t>
      </w:r>
    </w:p>
    <w:p w14:paraId="3AFBA01B">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（三）在服务采购项目中，服务由中小企业承接，即提供服务的人员为中小企业依照《中华人民共和国劳动合同法》订立劳动合同的从业人员。</w:t>
      </w:r>
    </w:p>
    <w:p w14:paraId="743AA629">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在货物采购项目中，供应商提供的货物既有中小企业制造货物，也有大型企业制造货物的，不享受本办法规定的中小企业扶持政策。</w:t>
      </w:r>
    </w:p>
    <w:p w14:paraId="59723C5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以联合体形式参加政府采购活动，联合体各方均为中小企业的，联合体视同中小企业。其中，联合体各方均为小微企业的，联合体视同小微企业。</w:t>
      </w:r>
    </w:p>
    <w:p w14:paraId="12F5B70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 年限等方面对中小企业实行差别待遇或者歧视待遇。</w:t>
      </w:r>
    </w:p>
    <w:p w14:paraId="0F574B0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601B777E">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符合下列情形之一的，可不专门面向中小企业预留采购份额：</w:t>
      </w:r>
    </w:p>
    <w:p w14:paraId="12E07A5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（一）法律法规和国家有关政策明确规定优先或者应当面向事业单位、社会组织等非企业主体采购的；</w:t>
      </w:r>
    </w:p>
    <w:p w14:paraId="67A6452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（二）因确需使用不可替代的专利、专有技术，基础设施限制，或者提供特定公共服务等原因，只能从中小企业之外的供应商处采购的；</w:t>
      </w:r>
    </w:p>
    <w:p w14:paraId="6FFD508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（三）按照本办法规定预留采购份额无法确保充分供应、充分竞争，或者存在可能影响政府采购目标实现的情形；</w:t>
      </w:r>
    </w:p>
    <w:p w14:paraId="79D9777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（四）框架协议采购项目；</w:t>
      </w:r>
    </w:p>
    <w:p w14:paraId="409CD8C8">
      <w:pPr>
        <w:pStyle w:val="12"/>
        <w:pageBreakBefore w:val="0"/>
        <w:tabs>
          <w:tab w:val="left" w:pos="220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（五）省级以上人民政府财政部门规定的其他情形。 除上述情形外，其他均为适宜由中小企业提供的情形。</w:t>
      </w:r>
    </w:p>
    <w:p w14:paraId="4929A666">
      <w:pPr>
        <w:pStyle w:val="12"/>
        <w:pageBreakBefore w:val="0"/>
        <w:tabs>
          <w:tab w:val="left" w:pos="220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第七条 采购限额标准以上，200 万元以下的货物和服务采购项目、400 万元以下的工程采购项目，适宜由中小企业提供的，采购人应当专门面向中小企业采购。</w:t>
      </w:r>
    </w:p>
    <w:p w14:paraId="666BF68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第八条 超过 200 万元的货物和服务采购项目、超过400 万元的工程采购项目中适宜由中小企业提供的，预留该部分采购项目预算总额的 30%以上专门面向中小企业采购， 其中预留给小微企业的比例不低于 60%。预留份额通过下列措施进行：</w:t>
      </w:r>
    </w:p>
    <w:p w14:paraId="41E0BB9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（一）将采购项目整体或者设置采购包专门面向中小企业采购；</w:t>
      </w:r>
    </w:p>
    <w:p w14:paraId="6555327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（二）要求供应商以联合体形式参加采购活动，且联合体中中小企业承担的部分达到一定比例；</w:t>
      </w:r>
    </w:p>
    <w:p w14:paraId="4985629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（三）要求获得采购合同的供应商将采购项目中的一定比例分包给一家或者多家中小企业。</w:t>
      </w:r>
    </w:p>
    <w:p w14:paraId="2C77A1C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组成联合体或者接受分包合同的中小企业与联合体内 其他企业、分包企业之间不得存在直接控股、管理关系。</w:t>
      </w:r>
    </w:p>
    <w:p w14:paraId="6362FEB9">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第九条 对于经主管预算单位统筹后未预留份额专门面向中小企业采购的采购项目，以及预留份额项目中的非预留部分采购包，采购人、采购代理机构应当对符合本办法规定的小微企业报价给予 6%—10%（工程项目为 3%—5%）的扣除，用扣除后的价格参加评审。适用招标投标法的政府采购 工程建设项目，采用综合评估法但未采用低价优先法计算价格分的，评标时应当在采用原报价进行评分的基础上增加其价格得分的 3%—5%作为其价格分。</w:t>
      </w:r>
    </w:p>
    <w:p w14:paraId="3DCD720E">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接受大中型企业与小微企业组成联合体或者允许大中型企业向一家或者多家小微企业分包的采购项目，对于联合协议或者分包意向协议约定小微企业的合同份额占到合同 总金额 30%以上的，采购人、采购代理机构应当对联合体或者大中型企业的报价给予 2%-3%（工程项目为 1%—2%）的扣除，用扣除后的价格参加评审。适用招标投标法的政府采购 工程建设项目，采用综合评估法但未采用低价优先法计算价格分的，评标时应当在采用原报价进行评分的基础上增加其价格得分的 1%—2%作为其价格分。组成联合体或者接受分包的小微企业与联合体内其他企业、分包企业之间存在直接控股、管理关系的，不享受价格扣除优惠政策。</w:t>
      </w:r>
    </w:p>
    <w:p w14:paraId="7B668F5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6840E3A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第十条 采购人应当严格按照本办法规定和主管预算单位制定的预留采购份额具体方案开展采购活动。预留份额的采购项目或者采购包，通过发布公告方式邀请供应商后， 符合资格条件的中小企业数量不足 3 家的，应当中止采购活动，视同未预留份额的采购项目或者采购包，按照本办法第九条有关规定重新组织采购活动。</w:t>
      </w:r>
    </w:p>
    <w:p w14:paraId="3F73C23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第十一条 中小企业参加政府采购活动，应当出具本办法规定的《中小企业声明函》（附 1），否则不得享受相关中小企业扶持政策。任何单位和个人不得要求供应商提供《中 小企业声明函》之外的中小企业身份证明文件。</w:t>
      </w:r>
    </w:p>
    <w:p w14:paraId="199DE31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第十二条 采购项目涉及中小企业采购的，采购文件应当明确以下内容：</w:t>
      </w:r>
    </w:p>
    <w:p w14:paraId="4089E4B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（一）预留份额的采购项目或者采购包，明确该项目或相关采购包专门面向中小企业采购，以及相关标的及预算金额；</w:t>
      </w:r>
    </w:p>
    <w:p w14:paraId="2D022E0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（二）要求以联合体形式参加或者合同分包的，明确联合协议或者分包意向协议中中小企业合同金额应当达到的比例，并作为供应商资格条件；</w:t>
      </w:r>
    </w:p>
    <w:p w14:paraId="7492194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（三）非预留份额的采购项目或者采购包，明确有关价格扣除比例或者价格分加分比例；</w:t>
      </w:r>
    </w:p>
    <w:p w14:paraId="14D04C24">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（四）规定依据本办法规定享受扶持政策获得政府采购合同的，小微企业不得将合同分包给大中型企业，中型企业不得将合同分包给大型企业；</w:t>
      </w:r>
    </w:p>
    <w:p w14:paraId="34DA312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（五）采购人认为具备相关条件的，明确对中小企业在资金支付期限、预付款比例等方面的优惠措施；</w:t>
      </w:r>
    </w:p>
    <w:p w14:paraId="2CC8277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（六）明确采购标的对应的中小企业划分标准所属行业；</w:t>
      </w:r>
    </w:p>
    <w:p w14:paraId="5D66724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（七）法律法规和省级以上人民政府财政部门规定的其他事项。</w:t>
      </w:r>
    </w:p>
    <w:p w14:paraId="455E23DE">
      <w:pPr>
        <w:pStyle w:val="12"/>
        <w:pageBreakBefore w:val="0"/>
        <w:tabs>
          <w:tab w:val="left" w:pos="2526"/>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第十三条  中标、成交供应商享受本办法规定的中小企业扶持政策的，采购人、采购代理机构应当随中标、成交结果公开中标、成交供应商的《中小企业声明函》。</w:t>
      </w:r>
    </w:p>
    <w:p w14:paraId="0526EF5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适用招标投标法的政府采购工程建设项目，应当在公示</w:t>
      </w:r>
      <w:r>
        <w:rPr>
          <w:rFonts w:hint="eastAsia" w:ascii="宋体" w:hAnsi="宋体" w:cs="宋体"/>
          <w:b w:val="0"/>
          <w:bCs/>
          <w:sz w:val="24"/>
          <w:szCs w:val="24"/>
          <w:highlight w:val="none"/>
          <w:lang w:eastAsia="zh-CN"/>
        </w:rPr>
        <w:t>成交候选人</w:t>
      </w:r>
      <w:r>
        <w:rPr>
          <w:rFonts w:hint="eastAsia" w:ascii="宋体" w:hAnsi="宋体" w:eastAsia="宋体" w:cs="宋体"/>
          <w:b w:val="0"/>
          <w:bCs/>
          <w:sz w:val="24"/>
          <w:szCs w:val="24"/>
          <w:highlight w:val="none"/>
          <w:lang w:eastAsia="zh-CN"/>
        </w:rPr>
        <w:t>时公开</w:t>
      </w:r>
      <w:r>
        <w:rPr>
          <w:rFonts w:hint="eastAsia" w:ascii="宋体" w:hAnsi="宋体" w:cs="宋体"/>
          <w:b w:val="0"/>
          <w:bCs/>
          <w:sz w:val="24"/>
          <w:szCs w:val="24"/>
          <w:highlight w:val="none"/>
          <w:lang w:eastAsia="zh-CN"/>
        </w:rPr>
        <w:t>成交候选人</w:t>
      </w:r>
      <w:r>
        <w:rPr>
          <w:rFonts w:hint="eastAsia" w:ascii="宋体" w:hAnsi="宋体" w:eastAsia="宋体" w:cs="宋体"/>
          <w:b w:val="0"/>
          <w:bCs/>
          <w:sz w:val="24"/>
          <w:szCs w:val="24"/>
          <w:highlight w:val="none"/>
          <w:lang w:eastAsia="zh-CN"/>
        </w:rPr>
        <w:t>的《中小企业声明函》。</w:t>
      </w:r>
    </w:p>
    <w:p w14:paraId="1D2505F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660584D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第十五条 鼓励各地区、各部门在采购活动中允许中小企业引入信用担保手段，为中小企业在投标（响应）保证、履约保证等方面提供专业化服务。鼓励中小企业依法合规通过政府采购合同融资。</w:t>
      </w:r>
    </w:p>
    <w:p w14:paraId="1D885048">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第十六条 政府采购监督检查、投诉处理及政府采购行政处罚中对中小企业的认定，由货物制造商或者工程、服务供应商注册登记所在地的县级以上人民政府中小企业主管部门负责。</w:t>
      </w:r>
    </w:p>
    <w:p w14:paraId="5B7B17B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中小企业主管部门应当在收到财政部门或者有关招标 投标行政监督部门关于协助开展中小企业认定函后 10 个工作日内做出书面答复。</w:t>
      </w:r>
    </w:p>
    <w:p w14:paraId="0EF786FE">
      <w:pPr>
        <w:pStyle w:val="12"/>
        <w:pageBreakBefore w:val="0"/>
        <w:tabs>
          <w:tab w:val="left" w:pos="2459"/>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第十七条 各地区、各部门应当对涉及中小企业采购的 预算项目实施全过程绩效管理，合理设置绩效目标和指标， 落实扶持中小企业有关政策要求，定期开展绩效监控和评价，强化绩效评价结果应用。</w:t>
      </w:r>
    </w:p>
    <w:p w14:paraId="03855882">
      <w:pPr>
        <w:pStyle w:val="12"/>
        <w:pageBreakBefore w:val="0"/>
        <w:tabs>
          <w:tab w:val="left" w:pos="1880"/>
          <w:tab w:val="left" w:pos="254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 xml:space="preserve">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 </w:t>
      </w:r>
    </w:p>
    <w:p w14:paraId="2E01332D">
      <w:pPr>
        <w:pStyle w:val="12"/>
        <w:pageBreakBefore w:val="0"/>
        <w:tabs>
          <w:tab w:val="left" w:pos="1880"/>
          <w:tab w:val="left" w:pos="254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7962DC6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第二十条 供应商按照本办法规定提供声明函内容不实的，属于提供虚假材料谋取中标、成交，依照《中华人民共和国政府采购法》等国家有关规定追究相应责任。</w:t>
      </w:r>
    </w:p>
    <w:p w14:paraId="706B276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适用招标投标法的政府采购工程建设项目，</w:t>
      </w:r>
      <w:r>
        <w:rPr>
          <w:rFonts w:hint="eastAsia" w:ascii="宋体" w:hAnsi="宋体" w:cs="宋体"/>
          <w:b w:val="0"/>
          <w:bCs/>
          <w:sz w:val="24"/>
          <w:szCs w:val="24"/>
          <w:highlight w:val="none"/>
          <w:lang w:eastAsia="zh-CN"/>
        </w:rPr>
        <w:t>供应商</w:t>
      </w:r>
      <w:r>
        <w:rPr>
          <w:rFonts w:hint="eastAsia" w:ascii="宋体" w:hAnsi="宋体" w:eastAsia="宋体" w:cs="宋体"/>
          <w:b w:val="0"/>
          <w:bCs/>
          <w:sz w:val="24"/>
          <w:szCs w:val="24"/>
          <w:highlight w:val="none"/>
          <w:lang w:eastAsia="zh-CN"/>
        </w:rPr>
        <w:t>按照本办法规定提供声明函内容不实的，属于弄虚作假骗取中标，依照《中华人民共和国招标投标法》等国家有关规定追究相应责任。</w:t>
      </w:r>
    </w:p>
    <w:p w14:paraId="23C1A6A1">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 有关规定追究相应责任；涉嫌犯罪的，依法移送有关国家机关处理。</w:t>
      </w:r>
    </w:p>
    <w:p w14:paraId="125061C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第二十二条 对外援助项目、国家相关资格或者资质管理制度另有规定的项目，不适用本办法。</w:t>
      </w:r>
    </w:p>
    <w:p w14:paraId="55748D1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第二十三条 关于视同中小企业的其他主体的政府采购扶持政策，由财政部会同有关部门另行规定。</w:t>
      </w:r>
    </w:p>
    <w:p w14:paraId="4F74D7D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第二十四条 省级财政部门可以会同中小企业主管部门根据本办法的规定制定具体实施办法。</w:t>
      </w:r>
    </w:p>
    <w:p w14:paraId="18DE62A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Cs w:val="21"/>
          <w:highlight w:val="none"/>
          <w:lang w:eastAsia="zh-CN"/>
        </w:rPr>
      </w:pPr>
      <w:r>
        <w:rPr>
          <w:rFonts w:hint="eastAsia" w:ascii="宋体" w:hAnsi="宋体" w:eastAsia="宋体" w:cs="宋体"/>
          <w:kern w:val="2"/>
          <w:sz w:val="24"/>
          <w:szCs w:val="24"/>
          <w:highlight w:val="none"/>
          <w:lang w:val="en-US" w:eastAsia="zh-CN" w:bidi="ar-SA"/>
        </w:rPr>
        <w:t>第二十五</w:t>
      </w:r>
      <w:r>
        <w:rPr>
          <w:rFonts w:hint="eastAsia" w:ascii="宋体" w:hAnsi="宋体" w:eastAsia="宋体" w:cs="宋体"/>
          <w:sz w:val="24"/>
          <w:szCs w:val="24"/>
          <w:highlight w:val="none"/>
          <w:lang w:eastAsia="zh-CN"/>
        </w:rPr>
        <w:t>条 本办法自2021年1月1日起施行。《财政部工业和信息化部关于印发〈政府采购促进中小企业发展暂行办法〉的通知》（财库﹝2011﹞181号）同时废止。</w:t>
      </w:r>
    </w:p>
    <w:p w14:paraId="76B102A8">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br w:type="page"/>
      </w:r>
    </w:p>
    <w:p w14:paraId="428E39AB">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关于印发《吉林省强化政府采购政策支持中小企业发展落实举措》</w:t>
      </w:r>
    </w:p>
    <w:p w14:paraId="4ED6E6FE">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的通知</w:t>
      </w:r>
    </w:p>
    <w:p w14:paraId="52C8E17E">
      <w:pPr>
        <w:pStyle w:val="12"/>
        <w:pageBreakBefore w:val="0"/>
        <w:overflowPunct/>
        <w:bidi w:val="0"/>
        <w:spacing w:line="240" w:lineRule="auto"/>
        <w:ind w:left="63" w:right="63" w:firstLine="482" w:firstLineChars="20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吉财采购〔2022〕478号</w:t>
      </w:r>
    </w:p>
    <w:p w14:paraId="13628E09">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各省级主管预算单位，各市（州）、县（市、区）财政局，长白山管委会、长春新区、中韩（长春）国际合作示范区管委会财政局，各政府采购代理机构：</w:t>
      </w:r>
    </w:p>
    <w:p w14:paraId="1B72CBA4">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现将《吉林省强化政府采购政策支持中小企业发展落实举措》印发给你们，请遵照执行。</w:t>
      </w:r>
    </w:p>
    <w:p w14:paraId="6BE964B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附件：吉林省强化政府采购政策支持中小企业发展落实举措</w:t>
      </w:r>
    </w:p>
    <w:p w14:paraId="33970D1C">
      <w:pPr>
        <w:pStyle w:val="19"/>
        <w:pageBreakBefore w:val="0"/>
        <w:widowControl/>
        <w:overflowPunct/>
        <w:bidi w:val="0"/>
        <w:spacing w:beforeAutospacing="0" w:afterAutospacing="0" w:line="240" w:lineRule="auto"/>
        <w:ind w:firstLine="64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shd w:val="clear" w:color="auto" w:fill="FFFFFF"/>
        </w:rPr>
        <w:t> </w:t>
      </w:r>
    </w:p>
    <w:p w14:paraId="02901370">
      <w:pPr>
        <w:pStyle w:val="12"/>
        <w:pageBreakBefore w:val="0"/>
        <w:overflowPunct/>
        <w:bidi w:val="0"/>
        <w:spacing w:line="240" w:lineRule="auto"/>
        <w:ind w:left="63" w:right="63" w:firstLine="480" w:firstLineChars="200"/>
        <w:jc w:val="right"/>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吉林省财政厅</w:t>
      </w:r>
    </w:p>
    <w:p w14:paraId="74A89328">
      <w:pPr>
        <w:pStyle w:val="12"/>
        <w:pageBreakBefore w:val="0"/>
        <w:overflowPunct/>
        <w:bidi w:val="0"/>
        <w:spacing w:line="240" w:lineRule="auto"/>
        <w:ind w:left="63" w:right="63" w:firstLine="480" w:firstLineChars="200"/>
        <w:jc w:val="right"/>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2022年6月6日</w:t>
      </w:r>
    </w:p>
    <w:p w14:paraId="2B8D6734">
      <w:pPr>
        <w:pageBreakBefore w:val="0"/>
        <w:overflowPunct/>
        <w:bidi w:val="0"/>
        <w:spacing w:line="240" w:lineRule="auto"/>
        <w:jc w:val="center"/>
        <w:rPr>
          <w:rFonts w:hint="eastAsia" w:ascii="宋体" w:hAnsi="宋体" w:eastAsia="宋体" w:cs="宋体"/>
          <w:b w:val="0"/>
          <w:bCs/>
          <w:sz w:val="24"/>
          <w:szCs w:val="24"/>
          <w:highlight w:val="none"/>
          <w:lang w:eastAsia="zh-CN"/>
        </w:rPr>
      </w:pPr>
    </w:p>
    <w:p w14:paraId="56D23D9C">
      <w:pPr>
        <w:pStyle w:val="12"/>
        <w:pageBreakBefore w:val="0"/>
        <w:overflowPunct/>
        <w:bidi w:val="0"/>
        <w:spacing w:line="240" w:lineRule="auto"/>
        <w:ind w:left="63" w:right="63" w:firstLine="480" w:firstLineChars="200"/>
        <w:jc w:val="center"/>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吉林省强化政府采购政策支持中小企业发展落实举措</w:t>
      </w:r>
    </w:p>
    <w:p w14:paraId="2DFAEFB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 </w:t>
      </w:r>
    </w:p>
    <w:p w14:paraId="4454967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为贯彻落实《国务院关于印发扎实稳住经济一揽子政策措施的通知》（国发〔2022〕12号）和省政府《稳定全省经济若干措施》要求，积极应对突发疫情对我省经济社会影响，做好财政政策支持中小企业纾困解难工作，助力全省经济平稳健康发展，按照财政部《关于进一步加大政府采购支持中小企业力度的通知》（财库〔2022〕19号）规定，提出如下落实措施：</w:t>
      </w:r>
    </w:p>
    <w:p w14:paraId="688BD1C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一、强化政策落实支持中小企业发展</w:t>
      </w:r>
    </w:p>
    <w:p w14:paraId="5004F4B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各级预算单位要认真落实《政府采购促进中小企业发展管理办法》（财库〔2020〕46号，以下简称《办法》）的规定，加强采购需求管理，规范资格条件设置，降低中小企业参加政府采购活动门槛 。科学编制政府采购预算，提高中小企业预留份额。结合采购项目的实际情况，灵活采取项目整体预留、合理预留采购包、要求大企业与中小企业组成联合体或向中小企业分包等形式，确保中小企业合同份额。适用招标投标法的政府采购工程项目应严格落实政府采购支持中小企业政策。</w:t>
      </w:r>
    </w:p>
    <w:p w14:paraId="57F98E3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 </w:t>
      </w:r>
    </w:p>
    <w:p w14:paraId="232E913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二、提高政府采购项目价格评审优惠幅度</w:t>
      </w:r>
    </w:p>
    <w:p w14:paraId="74DEF91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自2022年7月1日起发布采购公告或者发出采购邀请，未预留份额专门面向中小企业采购的货物、服务项目，给予小微企业的价格扣除优惠由《办法》规定的6%-10%提高至10%-20%；大中型企业与小微企业组成联合体或者大中型企业向小微企业分包的，评审优惠幅度由2%—3%提高至4%—6%。政府采购工程的价格评审优惠按照《办法》的规定执行。</w:t>
      </w:r>
    </w:p>
    <w:p w14:paraId="665D58F1">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三、提高政府采购工程项目预留份额比例</w:t>
      </w:r>
    </w:p>
    <w:p w14:paraId="75FBD65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400万元以下的工程采购项目适宜由中小企业提供的，采购人应当专门面向中小企业采购。达到或超过400万元的工程采购项目中适宜由中小企业提供的，在坚持公开、公正、公平竞争和统一质量标准的前提下，2022年下半年面向中小企业的预留份额由30%以上提高至40%以上。省财政厅将协调发改、工信、住建、交通、水利、商务等部门，按照国家相关工程招投标行政监督部门对工程招投标领域落实政府采购支持中小企业的政策要求，及时调整完善工程招投标领域有关标准文本、评标制度等，支持督促各预算单位严格落实政府采购政策。</w:t>
      </w:r>
    </w:p>
    <w:p w14:paraId="4929844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四、降低经营成本提高履约能力</w:t>
      </w:r>
    </w:p>
    <w:p w14:paraId="110AA3B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鼓励采购人、采购代理机构在政府采购活动中免收中小企业保证金或降低收取比例。对确需依法收取保证金的，应明确收取标准、缴纳方式和退还时限等要求，允许中小企业自主选择以支票、汇票、本票、保函等非现金形式缴纳或提交，降低经营成本。采购人、采购代理机构应对2022年5月前实施完成的政府采购项目投标（响应）或履约保证金进行核查清理，对符合法定或合同约定退还条件的应及时退还，切实减轻中小企业资金压力。采购人在编制采购文件时可结合项目实际，明确中小企业获得合同后可采取分期付款的方式，最大限度的确定首期预付款比例，并尽量缩短资金支付期限。</w:t>
      </w:r>
    </w:p>
    <w:p w14:paraId="6BB799F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五、优化政府采购程序推进全流程电子化</w:t>
      </w:r>
    </w:p>
    <w:p w14:paraId="70B1714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中小企业参加政府采购活动，对于出具《中小企业声明函》的，任何单位和个人不得另行要求提供《中小企业声明函》之外的中小企业身份证明文件。对于法人代表已经出具委托书的，不得要求法人代表亲自领购采购文件或者到场参加开标、谈判等。加快推进全省政府采购全流程电子化建设，实现在线发布采购公告、提供采购文件、提交投标（响应）文件，实行电子开标、电子评审，提升中小企业参与政府采购活动的便利度。</w:t>
      </w:r>
    </w:p>
    <w:p w14:paraId="1FA7345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六、加强项目执行管理提升政府采购透明度</w:t>
      </w:r>
    </w:p>
    <w:p w14:paraId="7354D2A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采购人、采购代理机构对投标（响应）文件的格式、形式要求应当简化明确，不得因非实质性的格式、形式问题限制和影响中小企业投标（响应）。实现电子化采购的，采购人、采购代理机构应当免费提供电子采购文件；暂未实现电子化采购的，鼓励采购人、采购代理机构向中小企业免费提供纸质采购文件。各级预算单位在公开政府采购意向时，必须标明是否专门面向中小企业采购，便于中小企业提前做好参与政府采购活动的各项准备工作。未按照规定进行政府采购意向公开的采购项目，原则上不得开展采购活动。</w:t>
      </w:r>
    </w:p>
    <w:p w14:paraId="350743E5">
      <w:pPr>
        <w:pStyle w:val="12"/>
        <w:pageBreakBefore w:val="0"/>
        <w:overflowPunct/>
        <w:bidi w:val="0"/>
        <w:spacing w:line="240" w:lineRule="auto"/>
        <w:ind w:left="63" w:right="63" w:firstLine="480" w:firstLineChars="200"/>
        <w:rPr>
          <w:rFonts w:hint="eastAsia" w:ascii="宋体" w:hAnsi="宋体" w:eastAsia="宋体" w:cs="宋体"/>
          <w:b w:val="0"/>
          <w:bCs/>
          <w:szCs w:val="21"/>
          <w:highlight w:val="none"/>
          <w:lang w:eastAsia="zh-CN"/>
        </w:rPr>
      </w:pPr>
      <w:r>
        <w:rPr>
          <w:rFonts w:hint="eastAsia" w:ascii="宋体" w:hAnsi="宋体" w:eastAsia="宋体" w:cs="宋体"/>
          <w:b w:val="0"/>
          <w:bCs/>
          <w:sz w:val="24"/>
          <w:szCs w:val="24"/>
          <w:highlight w:val="none"/>
          <w:lang w:eastAsia="zh-CN"/>
        </w:rPr>
        <w:t>各级主管预算单位要加强对本部门、本系统政府采购项目的统筹把握，明确工作责任，周密安排部署，严格落实预留采购份额和价格评审优惠措施支持中小企业发展。同时，按照六条措施要求，要制定具体工作方案，确保政策执行不走样、显成效。各级财政部门应加强组织领导，结合本地区实际情况明确政策执行要求，加强对采购单位政策执行情况的监督检查，在政策执行中好的经验办法和遇到的问题及时向省财政厅报告。</w:t>
      </w:r>
    </w:p>
    <w:p w14:paraId="4B417EA9">
      <w:pPr>
        <w:pageBreakBefore w:val="0"/>
        <w:overflowPunct/>
        <w:bidi w:val="0"/>
        <w:spacing w:line="240" w:lineRule="auto"/>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br w:type="page"/>
      </w:r>
    </w:p>
    <w:p w14:paraId="79B13D36">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财政部 司法部关于政府采购支持监狱企业发展有关问题的通知</w:t>
      </w:r>
    </w:p>
    <w:p w14:paraId="4E5A8E36">
      <w:pPr>
        <w:pageBreakBefore w:val="0"/>
        <w:overflowPunct/>
        <w:bidi w:val="0"/>
        <w:spacing w:line="240" w:lineRule="auto"/>
        <w:jc w:val="center"/>
        <w:rPr>
          <w:rFonts w:hint="eastAsia" w:ascii="宋体" w:hAnsi="宋体" w:eastAsia="宋体" w:cs="宋体"/>
          <w:sz w:val="28"/>
          <w:szCs w:val="28"/>
          <w:highlight w:val="none"/>
          <w:lang w:eastAsia="zh-CN"/>
        </w:rPr>
      </w:pPr>
      <w:r>
        <w:rPr>
          <w:rFonts w:hint="eastAsia" w:ascii="宋体" w:hAnsi="宋体" w:eastAsia="宋体" w:cs="宋体"/>
          <w:b/>
          <w:sz w:val="28"/>
          <w:szCs w:val="28"/>
          <w:highlight w:val="none"/>
          <w:lang w:eastAsia="zh-CN"/>
        </w:rPr>
        <w:t>(财库〔2014〕68号)</w:t>
      </w:r>
    </w:p>
    <w:p w14:paraId="3F4B2DE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14:paraId="1354BBBD">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[2003]7号）文件精神，发挥政府采购支持监狱企业发展的作用，现就有关事项通知如下：</w:t>
      </w:r>
    </w:p>
    <w:p w14:paraId="1E850393">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00AA6DA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二、在政府采购活动中，监狱企业视同小型、微型企业，享受预留份额、评审中价格扣除等政府采购促进中小企业发展的政府采购政策。向监狱企业采购的金额，计入面向中小企业采购的统计数据。</w:t>
      </w:r>
    </w:p>
    <w:p w14:paraId="27C0576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三、各地区、各部门要积极通过预留采购份额支持监狱企业。有制服采购项目的部门，应加强对政府采购预算和计划编制工作的统筹，预留本部门制服采购项目预算总额的30%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14:paraId="5B90FAC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四、各地区可以结合本地区实际，对监狱企业生产的办公用品、家具用具、车辆维修和提供的保养服务、消防设备等，提出预留份额等政府采购支持措施，加大对监狱企业产品的采购力度。</w:t>
      </w:r>
    </w:p>
    <w:p w14:paraId="5BBE70F8">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 w:val="24"/>
          <w:szCs w:val="24"/>
          <w:highlight w:val="none"/>
          <w:lang w:eastAsia="zh-CN"/>
        </w:rPr>
        <w:t>　　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r>
        <w:rPr>
          <w:rFonts w:hint="eastAsia" w:ascii="宋体" w:hAnsi="宋体" w:eastAsia="宋体" w:cs="宋体"/>
          <w:b/>
          <w:szCs w:val="21"/>
          <w:highlight w:val="none"/>
          <w:lang w:eastAsia="zh-CN"/>
        </w:rPr>
        <w:br w:type="page"/>
      </w:r>
    </w:p>
    <w:p w14:paraId="16386B0E">
      <w:pPr>
        <w:pageBreakBefore w:val="0"/>
        <w:overflowPunct/>
        <w:bidi w:val="0"/>
        <w:spacing w:line="240" w:lineRule="auto"/>
        <w:rPr>
          <w:rFonts w:hint="eastAsia" w:ascii="宋体" w:hAnsi="宋体" w:eastAsia="宋体" w:cs="宋体"/>
          <w:szCs w:val="21"/>
          <w:highlight w:val="none"/>
          <w:lang w:eastAsia="zh-CN"/>
        </w:rPr>
      </w:pPr>
    </w:p>
    <w:p w14:paraId="2B0061A3">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中小企业划型标准规定</w:t>
      </w:r>
    </w:p>
    <w:p w14:paraId="61CC61BD">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　　</w:t>
      </w:r>
    </w:p>
    <w:p w14:paraId="5C0B95EC">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一、根据《中华人民共和国中小企业促进法》和《国务院关于进一步促进中小企业发展的若干意见》(国发〔2009〕36号)，制定本规定。</w:t>
      </w:r>
    </w:p>
    <w:p w14:paraId="3F804F90">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二、中小企业划分为中型、小型、微型三种类型，具体标准根据企业从业人员、营业收入、资产总额等指标，结合行业特点制定。</w:t>
      </w:r>
    </w:p>
    <w:p w14:paraId="6E25CA14">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2888E814">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四、各行业划型标准为：</w:t>
      </w:r>
    </w:p>
    <w:p w14:paraId="46EB335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3AB4B2B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BDC0A79">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26B65B5">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4DC223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6B233CFA">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D2EEF48">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37006E7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2D4512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934A1B2">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9240D4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CD5DF8E">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65B991A">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A7075E5">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92D4768">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D143FFC">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DB195C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五、企业类型的划分以统计部门的统计数据为依据。</w:t>
      </w:r>
    </w:p>
    <w:p w14:paraId="1B76203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六、本规定适用于在中华人民共和国境内依法设立的各类所有制和各种组织形式的企业。个体工商户和本规定以外的行业，参照本规定进行划型。</w:t>
      </w:r>
    </w:p>
    <w:p w14:paraId="4A88523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4062FC17">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八、本规定由工业和信息化部、国家统计局会同有关部门根据《国民经济行业分类》修订情况和企业发展变化情况适时修订。</w:t>
      </w:r>
    </w:p>
    <w:p w14:paraId="2F77C39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九、本规定由工业和信息化部、国家统计局会同有关部门负责解释。</w:t>
      </w:r>
    </w:p>
    <w:p w14:paraId="0727231A">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 w:val="24"/>
          <w:szCs w:val="24"/>
          <w:highlight w:val="none"/>
          <w:lang w:eastAsia="zh-CN"/>
        </w:rPr>
        <w:t>　　十、本规定自发布之日起执行，原国家经贸委、原国家计委、财政部和国家统计局2003年颁布的《中小企业标准暂行规定》同时废止。</w:t>
      </w:r>
    </w:p>
    <w:p w14:paraId="1119FE80">
      <w:pPr>
        <w:pageBreakBefore w:val="0"/>
        <w:overflowPunct/>
        <w:bidi w:val="0"/>
        <w:spacing w:line="240" w:lineRule="auto"/>
        <w:rPr>
          <w:rFonts w:hint="eastAsia" w:ascii="宋体" w:hAnsi="宋体" w:eastAsia="宋体" w:cs="宋体"/>
          <w:highlight w:val="none"/>
          <w:lang w:eastAsia="zh-CN"/>
        </w:rPr>
      </w:pPr>
      <w:r>
        <w:rPr>
          <w:rFonts w:hint="eastAsia" w:ascii="宋体" w:hAnsi="宋体" w:eastAsia="宋体" w:cs="宋体"/>
          <w:highlight w:val="none"/>
          <w:lang w:eastAsia="zh-CN"/>
        </w:rPr>
        <w:br w:type="page"/>
      </w:r>
    </w:p>
    <w:p w14:paraId="082AC172">
      <w:pPr>
        <w:pStyle w:val="75"/>
        <w:pageBreakBefore w:val="0"/>
        <w:widowControl w:val="0"/>
        <w:kinsoku/>
        <w:wordWrap w:val="0"/>
        <w:overflowPunct/>
        <w:topLinePunct/>
        <w:autoSpaceDE/>
        <w:autoSpaceDN/>
        <w:bidi w:val="0"/>
        <w:adjustRightInd w:val="0"/>
        <w:spacing w:line="240" w:lineRule="auto"/>
        <w:jc w:val="center"/>
        <w:outlineLvl w:val="9"/>
        <w:rPr>
          <w:rStyle w:val="76"/>
          <w:rFonts w:ascii="宋体" w:hAnsi="宋体" w:cs="宋体"/>
          <w:b/>
          <w:color w:val="auto"/>
          <w:kern w:val="0"/>
          <w:szCs w:val="21"/>
        </w:rPr>
      </w:pPr>
      <w:r>
        <w:rPr>
          <w:rStyle w:val="76"/>
          <w:rFonts w:hint="eastAsia" w:ascii="宋体" w:hAnsi="宋体" w:cs="宋体"/>
          <w:b/>
          <w:color w:val="auto"/>
          <w:kern w:val="0"/>
          <w:sz w:val="28"/>
          <w:szCs w:val="28"/>
        </w:rPr>
        <w:t>《统计上大中小微型企业划分办法（2017）》修订说明</w:t>
      </w:r>
    </w:p>
    <w:p w14:paraId="6C91FF09">
      <w:pPr>
        <w:pageBreakBefore w:val="0"/>
        <w:widowControl w:val="0"/>
        <w:kinsoku/>
        <w:wordWrap w:val="0"/>
        <w:overflowPunct/>
        <w:topLinePunct/>
        <w:autoSpaceDE/>
        <w:autoSpaceDN/>
        <w:bidi w:val="0"/>
        <w:adjustRightInd w:val="0"/>
        <w:spacing w:line="240" w:lineRule="auto"/>
        <w:ind w:firstLine="480" w:firstLineChars="200"/>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一、修订背景</w:t>
      </w:r>
    </w:p>
    <w:p w14:paraId="2BAC1B22">
      <w:pPr>
        <w:pageBreakBefore w:val="0"/>
        <w:widowControl w:val="0"/>
        <w:kinsoku/>
        <w:wordWrap w:val="0"/>
        <w:overflowPunct/>
        <w:topLinePunct/>
        <w:autoSpaceDE/>
        <w:autoSpaceDN/>
        <w:bidi w:val="0"/>
        <w:adjustRightInd w:val="0"/>
        <w:spacing w:line="240" w:lineRule="auto"/>
        <w:ind w:firstLine="480" w:firstLineChars="200"/>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14:paraId="121615B8">
      <w:pPr>
        <w:pageBreakBefore w:val="0"/>
        <w:widowControl w:val="0"/>
        <w:kinsoku/>
        <w:wordWrap w:val="0"/>
        <w:overflowPunct/>
        <w:topLinePunct/>
        <w:autoSpaceDE/>
        <w:autoSpaceDN/>
        <w:bidi w:val="0"/>
        <w:adjustRightInd w:val="0"/>
        <w:spacing w:line="240" w:lineRule="auto"/>
        <w:ind w:firstLine="480" w:firstLineChars="200"/>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14:paraId="49FBED48">
      <w:pPr>
        <w:pageBreakBefore w:val="0"/>
        <w:widowControl w:val="0"/>
        <w:kinsoku/>
        <w:wordWrap w:val="0"/>
        <w:overflowPunct/>
        <w:topLinePunct/>
        <w:autoSpaceDE/>
        <w:autoSpaceDN/>
        <w:bidi w:val="0"/>
        <w:adjustRightInd w:val="0"/>
        <w:spacing w:line="240" w:lineRule="auto"/>
        <w:ind w:firstLine="480" w:firstLineChars="200"/>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二、修订主要内容</w:t>
      </w:r>
    </w:p>
    <w:p w14:paraId="513EF5E5">
      <w:pPr>
        <w:pageBreakBefore w:val="0"/>
        <w:widowControl w:val="0"/>
        <w:kinsoku/>
        <w:wordWrap w:val="0"/>
        <w:overflowPunct/>
        <w:topLinePunct/>
        <w:autoSpaceDE/>
        <w:autoSpaceDN/>
        <w:bidi w:val="0"/>
        <w:adjustRightInd w:val="0"/>
        <w:spacing w:line="240" w:lineRule="auto"/>
        <w:ind w:firstLine="480" w:firstLineChars="200"/>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14:paraId="0FEA6D3F">
      <w:pPr>
        <w:pageBreakBefore w:val="0"/>
        <w:widowControl w:val="0"/>
        <w:kinsoku/>
        <w:wordWrap w:val="0"/>
        <w:overflowPunct/>
        <w:topLinePunct/>
        <w:autoSpaceDE/>
        <w:autoSpaceDN/>
        <w:bidi w:val="0"/>
        <w:adjustRightInd w:val="0"/>
        <w:spacing w:line="240" w:lineRule="auto"/>
        <w:ind w:firstLine="480" w:firstLineChars="200"/>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将交通运输业中包括的“装卸搬运和运输代理业”修改为“多式联运和运输代理业、装卸搬运”。</w:t>
      </w:r>
    </w:p>
    <w:p w14:paraId="089F8E03">
      <w:pPr>
        <w:pageBreakBefore w:val="0"/>
        <w:widowControl w:val="0"/>
        <w:kinsoku/>
        <w:wordWrap w:val="0"/>
        <w:overflowPunct/>
        <w:topLinePunct/>
        <w:autoSpaceDE/>
        <w:autoSpaceDN/>
        <w:bidi w:val="0"/>
        <w:adjustRightInd w:val="0"/>
        <w:spacing w:line="240" w:lineRule="auto"/>
        <w:ind w:firstLine="480" w:firstLineChars="200"/>
        <w:outlineLvl w:val="9"/>
        <w:rPr>
          <w:rStyle w:val="76"/>
          <w:rFonts w:ascii="宋体" w:hAnsi="宋体" w:cs="宋体"/>
          <w:color w:val="auto"/>
          <w:spacing w:val="0"/>
          <w:kern w:val="0"/>
          <w:sz w:val="24"/>
          <w:szCs w:val="24"/>
        </w:rPr>
      </w:pPr>
      <w:r>
        <w:rPr>
          <w:rStyle w:val="76"/>
          <w:rFonts w:hint="eastAsia" w:ascii="宋体" w:hAnsi="宋体" w:cs="宋体"/>
          <w:color w:val="auto"/>
          <w:spacing w:val="0"/>
          <w:kern w:val="0"/>
          <w:sz w:val="24"/>
          <w:szCs w:val="24"/>
        </w:rPr>
        <w:t>仓储业所包括的行业中类，根据《国民经济行业分类》</w:t>
      </w:r>
      <w:r>
        <w:rPr>
          <w:rStyle w:val="76"/>
          <w:rFonts w:hint="eastAsia" w:ascii="宋体" w:hAnsi="宋体" w:cs="宋体"/>
          <w:color w:val="auto"/>
          <w:kern w:val="0"/>
          <w:sz w:val="24"/>
          <w:szCs w:val="24"/>
        </w:rPr>
        <w:t>（GB/T 4754—2017）</w:t>
      </w:r>
      <w:r>
        <w:rPr>
          <w:rStyle w:val="76"/>
          <w:rFonts w:hint="eastAsia" w:ascii="宋体" w:hAnsi="宋体" w:cs="宋体"/>
          <w:color w:val="auto"/>
          <w:spacing w:val="0"/>
          <w:kern w:val="0"/>
          <w:sz w:val="24"/>
          <w:szCs w:val="24"/>
        </w:rPr>
        <w:t>调整为“通用仓储，低温仓储，危险品仓储，谷物、棉花等农产品仓储，中药材仓储和其他仓储业”。</w:t>
      </w:r>
    </w:p>
    <w:p w14:paraId="03CB5CBD">
      <w:pPr>
        <w:pageBreakBefore w:val="0"/>
        <w:widowControl w:val="0"/>
        <w:kinsoku/>
        <w:wordWrap w:val="0"/>
        <w:overflowPunct/>
        <w:topLinePunct/>
        <w:autoSpaceDE/>
        <w:autoSpaceDN/>
        <w:bidi w:val="0"/>
        <w:adjustRightInd w:val="0"/>
        <w:spacing w:line="240" w:lineRule="auto"/>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附表</w:t>
      </w:r>
    </w:p>
    <w:p w14:paraId="30804C83">
      <w:pPr>
        <w:pageBreakBefore w:val="0"/>
        <w:widowControl w:val="0"/>
        <w:kinsoku/>
        <w:wordWrap w:val="0"/>
        <w:overflowPunct/>
        <w:topLinePunct/>
        <w:autoSpaceDE/>
        <w:autoSpaceDN/>
        <w:bidi w:val="0"/>
        <w:adjustRightInd w:val="0"/>
        <w:spacing w:line="240" w:lineRule="auto"/>
        <w:outlineLvl w:val="9"/>
        <w:rPr>
          <w:rStyle w:val="76"/>
          <w:rFonts w:ascii="宋体" w:hAnsi="宋体" w:cs="宋体"/>
          <w:color w:val="auto"/>
          <w:kern w:val="0"/>
          <w:sz w:val="24"/>
          <w:szCs w:val="24"/>
        </w:rPr>
      </w:pPr>
      <w:r>
        <w:rPr>
          <w:rStyle w:val="76"/>
          <w:rFonts w:hint="eastAsia" w:ascii="宋体" w:hAnsi="宋体" w:cs="宋体"/>
          <w:color w:val="auto"/>
          <w:kern w:val="0"/>
          <w:sz w:val="24"/>
          <w:szCs w:val="24"/>
        </w:rPr>
        <w:t>统计上大中小微型企业划分标准</w:t>
      </w:r>
    </w:p>
    <w:tbl>
      <w:tblPr>
        <w:tblStyle w:val="22"/>
        <w:tblW w:w="515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42"/>
        <w:gridCol w:w="1436"/>
        <w:gridCol w:w="920"/>
        <w:gridCol w:w="1184"/>
        <w:gridCol w:w="1918"/>
        <w:gridCol w:w="1648"/>
        <w:gridCol w:w="986"/>
      </w:tblGrid>
      <w:tr w14:paraId="4AC4E2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tcBorders>
              <w:top w:val="single" w:color="000000" w:sz="4" w:space="0"/>
              <w:left w:val="single" w:color="000000" w:sz="4" w:space="0"/>
              <w:bottom w:val="single" w:color="000000" w:sz="4" w:space="0"/>
              <w:right w:val="single" w:color="000000" w:sz="4" w:space="0"/>
            </w:tcBorders>
            <w:vAlign w:val="center"/>
          </w:tcPr>
          <w:p w14:paraId="220443B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bCs/>
                <w:color w:val="auto"/>
                <w:kern w:val="0"/>
                <w:sz w:val="22"/>
                <w:szCs w:val="22"/>
              </w:rPr>
            </w:pPr>
            <w:r>
              <w:rPr>
                <w:rStyle w:val="76"/>
                <w:rFonts w:hint="eastAsia" w:ascii="宋体" w:hAnsi="宋体" w:eastAsia="宋体" w:cs="宋体"/>
                <w:bCs/>
                <w:color w:val="auto"/>
                <w:kern w:val="0"/>
                <w:sz w:val="22"/>
                <w:szCs w:val="22"/>
              </w:rPr>
              <w:t>行业名称</w:t>
            </w:r>
          </w:p>
        </w:tc>
        <w:tc>
          <w:tcPr>
            <w:tcW w:w="745" w:type="pct"/>
            <w:tcBorders>
              <w:top w:val="single" w:color="000000" w:sz="4" w:space="0"/>
              <w:left w:val="single" w:color="000000" w:sz="4" w:space="0"/>
              <w:bottom w:val="single" w:color="000000" w:sz="4" w:space="0"/>
              <w:right w:val="single" w:color="000000" w:sz="4" w:space="0"/>
            </w:tcBorders>
            <w:vAlign w:val="center"/>
          </w:tcPr>
          <w:p w14:paraId="062F11C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bCs/>
                <w:color w:val="auto"/>
                <w:kern w:val="0"/>
                <w:sz w:val="22"/>
                <w:szCs w:val="22"/>
              </w:rPr>
            </w:pPr>
            <w:r>
              <w:rPr>
                <w:rStyle w:val="76"/>
                <w:rFonts w:hint="eastAsia" w:ascii="宋体" w:hAnsi="宋体" w:eastAsia="宋体" w:cs="宋体"/>
                <w:bCs/>
                <w:color w:val="auto"/>
                <w:kern w:val="0"/>
                <w:sz w:val="22"/>
                <w:szCs w:val="22"/>
              </w:rPr>
              <w:t>指标名称</w:t>
            </w:r>
          </w:p>
        </w:tc>
        <w:tc>
          <w:tcPr>
            <w:tcW w:w="477" w:type="pct"/>
            <w:tcBorders>
              <w:top w:val="single" w:color="000000" w:sz="4" w:space="0"/>
              <w:left w:val="single" w:color="000000" w:sz="4" w:space="0"/>
              <w:bottom w:val="single" w:color="000000" w:sz="4" w:space="0"/>
              <w:right w:val="single" w:color="000000" w:sz="4" w:space="0"/>
            </w:tcBorders>
            <w:vAlign w:val="center"/>
          </w:tcPr>
          <w:p w14:paraId="021815B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bCs/>
                <w:color w:val="auto"/>
                <w:kern w:val="0"/>
                <w:sz w:val="22"/>
                <w:szCs w:val="22"/>
              </w:rPr>
            </w:pPr>
            <w:r>
              <w:rPr>
                <w:rStyle w:val="76"/>
                <w:rFonts w:hint="eastAsia" w:ascii="宋体" w:hAnsi="宋体" w:eastAsia="宋体" w:cs="宋体"/>
                <w:bCs/>
                <w:color w:val="auto"/>
                <w:kern w:val="0"/>
                <w:sz w:val="22"/>
                <w:szCs w:val="22"/>
              </w:rPr>
              <w:t>计量</w:t>
            </w:r>
            <w:r>
              <w:rPr>
                <w:rStyle w:val="76"/>
                <w:rFonts w:hint="eastAsia" w:ascii="宋体" w:hAnsi="宋体" w:eastAsia="宋体" w:cs="宋体"/>
                <w:bCs/>
                <w:color w:val="auto"/>
                <w:kern w:val="0"/>
                <w:sz w:val="22"/>
                <w:szCs w:val="22"/>
              </w:rPr>
              <w:br w:type="textWrapping"/>
            </w:r>
            <w:r>
              <w:rPr>
                <w:rStyle w:val="76"/>
                <w:rFonts w:hint="eastAsia" w:ascii="宋体" w:hAnsi="宋体" w:eastAsia="宋体" w:cs="宋体"/>
                <w:bCs/>
                <w:color w:val="auto"/>
                <w:kern w:val="0"/>
                <w:sz w:val="22"/>
                <w:szCs w:val="22"/>
              </w:rPr>
              <w:t>单位</w:t>
            </w:r>
          </w:p>
        </w:tc>
        <w:tc>
          <w:tcPr>
            <w:tcW w:w="614" w:type="pct"/>
            <w:tcBorders>
              <w:top w:val="single" w:color="000000" w:sz="4" w:space="0"/>
              <w:left w:val="single" w:color="000000" w:sz="4" w:space="0"/>
              <w:bottom w:val="single" w:color="000000" w:sz="4" w:space="0"/>
              <w:right w:val="single" w:color="000000" w:sz="4" w:space="0"/>
            </w:tcBorders>
            <w:vAlign w:val="center"/>
          </w:tcPr>
          <w:p w14:paraId="6669D9E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bCs/>
                <w:color w:val="auto"/>
                <w:kern w:val="0"/>
                <w:sz w:val="22"/>
                <w:szCs w:val="22"/>
              </w:rPr>
            </w:pPr>
            <w:r>
              <w:rPr>
                <w:rStyle w:val="76"/>
                <w:rFonts w:hint="eastAsia" w:ascii="宋体" w:hAnsi="宋体" w:eastAsia="宋体" w:cs="宋体"/>
                <w:bCs/>
                <w:color w:val="auto"/>
                <w:kern w:val="0"/>
                <w:sz w:val="22"/>
                <w:szCs w:val="22"/>
              </w:rPr>
              <w:t>大型</w:t>
            </w:r>
          </w:p>
        </w:tc>
        <w:tc>
          <w:tcPr>
            <w:tcW w:w="995" w:type="pct"/>
            <w:tcBorders>
              <w:top w:val="single" w:color="000000" w:sz="4" w:space="0"/>
              <w:left w:val="single" w:color="000000" w:sz="4" w:space="0"/>
              <w:bottom w:val="single" w:color="000000" w:sz="4" w:space="0"/>
              <w:right w:val="single" w:color="000000" w:sz="4" w:space="0"/>
            </w:tcBorders>
            <w:vAlign w:val="center"/>
          </w:tcPr>
          <w:p w14:paraId="2E0D82A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bCs/>
                <w:color w:val="auto"/>
                <w:kern w:val="0"/>
                <w:sz w:val="22"/>
                <w:szCs w:val="22"/>
              </w:rPr>
            </w:pPr>
            <w:r>
              <w:rPr>
                <w:rStyle w:val="76"/>
                <w:rFonts w:hint="eastAsia" w:ascii="宋体" w:hAnsi="宋体" w:eastAsia="宋体" w:cs="宋体"/>
                <w:bCs/>
                <w:color w:val="auto"/>
                <w:kern w:val="0"/>
                <w:sz w:val="22"/>
                <w:szCs w:val="22"/>
              </w:rPr>
              <w:t>中型</w:t>
            </w:r>
          </w:p>
        </w:tc>
        <w:tc>
          <w:tcPr>
            <w:tcW w:w="855" w:type="pct"/>
            <w:tcBorders>
              <w:top w:val="single" w:color="000000" w:sz="4" w:space="0"/>
              <w:left w:val="single" w:color="000000" w:sz="4" w:space="0"/>
              <w:bottom w:val="single" w:color="000000" w:sz="4" w:space="0"/>
              <w:right w:val="single" w:color="000000" w:sz="4" w:space="0"/>
            </w:tcBorders>
            <w:vAlign w:val="center"/>
          </w:tcPr>
          <w:p w14:paraId="14512BE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bCs/>
                <w:color w:val="auto"/>
                <w:kern w:val="0"/>
                <w:sz w:val="22"/>
                <w:szCs w:val="22"/>
              </w:rPr>
            </w:pPr>
            <w:r>
              <w:rPr>
                <w:rStyle w:val="76"/>
                <w:rFonts w:hint="eastAsia" w:ascii="宋体" w:hAnsi="宋体" w:eastAsia="宋体" w:cs="宋体"/>
                <w:bCs/>
                <w:color w:val="auto"/>
                <w:kern w:val="0"/>
                <w:sz w:val="22"/>
                <w:szCs w:val="22"/>
              </w:rPr>
              <w:t>小型</w:t>
            </w:r>
          </w:p>
        </w:tc>
        <w:tc>
          <w:tcPr>
            <w:tcW w:w="511" w:type="pct"/>
            <w:tcBorders>
              <w:top w:val="single" w:color="000000" w:sz="4" w:space="0"/>
              <w:left w:val="single" w:color="000000" w:sz="4" w:space="0"/>
              <w:bottom w:val="single" w:color="000000" w:sz="4" w:space="0"/>
              <w:right w:val="single" w:color="000000" w:sz="4" w:space="0"/>
            </w:tcBorders>
            <w:vAlign w:val="center"/>
          </w:tcPr>
          <w:p w14:paraId="28277B8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bCs/>
                <w:color w:val="auto"/>
                <w:kern w:val="0"/>
                <w:sz w:val="22"/>
                <w:szCs w:val="22"/>
              </w:rPr>
            </w:pPr>
            <w:r>
              <w:rPr>
                <w:rStyle w:val="76"/>
                <w:rFonts w:hint="eastAsia" w:ascii="宋体" w:hAnsi="宋体" w:eastAsia="宋体" w:cs="宋体"/>
                <w:bCs/>
                <w:color w:val="auto"/>
                <w:kern w:val="0"/>
                <w:sz w:val="22"/>
                <w:szCs w:val="22"/>
              </w:rPr>
              <w:t>微型</w:t>
            </w:r>
          </w:p>
        </w:tc>
      </w:tr>
      <w:tr w14:paraId="29FF3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tcBorders>
              <w:top w:val="single" w:color="000000" w:sz="4" w:space="0"/>
              <w:left w:val="single" w:color="000000" w:sz="4" w:space="0"/>
              <w:bottom w:val="single" w:color="000000" w:sz="4" w:space="0"/>
              <w:right w:val="single" w:color="000000" w:sz="4" w:space="0"/>
            </w:tcBorders>
            <w:vAlign w:val="center"/>
          </w:tcPr>
          <w:p w14:paraId="20B488F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农、林、牧、渔业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6C6DB9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6C31941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C57E6A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Y≥20000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25A8E6E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500≤Y＜20000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2D45FB7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50≤Y＜500</w:t>
            </w:r>
          </w:p>
        </w:tc>
        <w:tc>
          <w:tcPr>
            <w:tcW w:w="511" w:type="pct"/>
            <w:tcBorders>
              <w:top w:val="single" w:color="000000" w:sz="4" w:space="0"/>
              <w:left w:val="single" w:color="000000" w:sz="4" w:space="0"/>
              <w:bottom w:val="single" w:color="000000" w:sz="4" w:space="0"/>
              <w:right w:val="single" w:color="000000" w:sz="4" w:space="0"/>
            </w:tcBorders>
            <w:vAlign w:val="center"/>
          </w:tcPr>
          <w:p w14:paraId="4BB3E08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Y＜50</w:t>
            </w:r>
          </w:p>
        </w:tc>
      </w:tr>
      <w:tr w14:paraId="0E13E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63FE0CA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工业 *</w:t>
            </w:r>
          </w:p>
        </w:tc>
        <w:tc>
          <w:tcPr>
            <w:tcW w:w="745" w:type="pct"/>
            <w:tcBorders>
              <w:top w:val="single" w:color="000000" w:sz="4" w:space="0"/>
              <w:left w:val="single" w:color="000000" w:sz="4" w:space="0"/>
              <w:bottom w:val="single" w:color="000000" w:sz="4" w:space="0"/>
              <w:right w:val="single" w:color="000000" w:sz="4" w:space="0"/>
            </w:tcBorders>
            <w:vAlign w:val="center"/>
          </w:tcPr>
          <w:p w14:paraId="0A6D435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65673D0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7E6ECB5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6278FB1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3C44C2C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00CB4AE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X＜20</w:t>
            </w:r>
          </w:p>
        </w:tc>
      </w:tr>
      <w:tr w14:paraId="56C336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10932FB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7876544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0D2D65D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241EABF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Y≥40000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6A93B00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2000≤Y＜40000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9F2DB9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B1E33D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Y＜300</w:t>
            </w:r>
          </w:p>
        </w:tc>
      </w:tr>
      <w:tr w14:paraId="66752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32053F6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建筑业</w:t>
            </w:r>
          </w:p>
        </w:tc>
        <w:tc>
          <w:tcPr>
            <w:tcW w:w="745" w:type="pct"/>
            <w:tcBorders>
              <w:top w:val="single" w:color="000000" w:sz="4" w:space="0"/>
              <w:left w:val="single" w:color="000000" w:sz="4" w:space="0"/>
              <w:bottom w:val="single" w:color="000000" w:sz="4" w:space="0"/>
              <w:right w:val="single" w:color="000000" w:sz="4" w:space="0"/>
            </w:tcBorders>
            <w:vAlign w:val="center"/>
          </w:tcPr>
          <w:p w14:paraId="564EAC2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1707AFA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56FA690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Y≥80000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44F0292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6000≤Y＜80000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72F9E6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300≤Y＜6000</w:t>
            </w:r>
          </w:p>
        </w:tc>
        <w:tc>
          <w:tcPr>
            <w:tcW w:w="511" w:type="pct"/>
            <w:tcBorders>
              <w:top w:val="single" w:color="000000" w:sz="4" w:space="0"/>
              <w:left w:val="single" w:color="000000" w:sz="4" w:space="0"/>
              <w:bottom w:val="single" w:color="000000" w:sz="4" w:space="0"/>
              <w:right w:val="single" w:color="000000" w:sz="4" w:space="0"/>
            </w:tcBorders>
            <w:vAlign w:val="center"/>
          </w:tcPr>
          <w:p w14:paraId="2CE53C2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Y＜300</w:t>
            </w:r>
          </w:p>
        </w:tc>
      </w:tr>
      <w:tr w14:paraId="0481A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0008CB6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6AD4975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资产总额(Z)</w:t>
            </w:r>
          </w:p>
        </w:tc>
        <w:tc>
          <w:tcPr>
            <w:tcW w:w="477" w:type="pct"/>
            <w:tcBorders>
              <w:top w:val="single" w:color="000000" w:sz="4" w:space="0"/>
              <w:left w:val="single" w:color="000000" w:sz="4" w:space="0"/>
              <w:bottom w:val="single" w:color="000000" w:sz="4" w:space="0"/>
              <w:right w:val="single" w:color="000000" w:sz="4" w:space="0"/>
            </w:tcBorders>
            <w:vAlign w:val="center"/>
          </w:tcPr>
          <w:p w14:paraId="514DF64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1714E9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Z≥80000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47A4BA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5000≤Z＜80000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78A32E9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300≤Z＜5000</w:t>
            </w:r>
          </w:p>
        </w:tc>
        <w:tc>
          <w:tcPr>
            <w:tcW w:w="511" w:type="pct"/>
            <w:tcBorders>
              <w:top w:val="single" w:color="000000" w:sz="4" w:space="0"/>
              <w:left w:val="single" w:color="000000" w:sz="4" w:space="0"/>
              <w:bottom w:val="single" w:color="000000" w:sz="4" w:space="0"/>
              <w:right w:val="single" w:color="000000" w:sz="4" w:space="0"/>
            </w:tcBorders>
            <w:vAlign w:val="center"/>
          </w:tcPr>
          <w:p w14:paraId="2125F3A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Z＜300</w:t>
            </w:r>
          </w:p>
        </w:tc>
      </w:tr>
      <w:tr w14:paraId="159AD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18FE85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批发业</w:t>
            </w:r>
          </w:p>
        </w:tc>
        <w:tc>
          <w:tcPr>
            <w:tcW w:w="745" w:type="pct"/>
            <w:tcBorders>
              <w:top w:val="single" w:color="000000" w:sz="4" w:space="0"/>
              <w:left w:val="single" w:color="000000" w:sz="4" w:space="0"/>
              <w:bottom w:val="single" w:color="000000" w:sz="4" w:space="0"/>
              <w:right w:val="single" w:color="000000" w:sz="4" w:space="0"/>
            </w:tcBorders>
            <w:vAlign w:val="center"/>
          </w:tcPr>
          <w:p w14:paraId="33AEBCE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028CD03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4A281A3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X≥200</w:t>
            </w:r>
          </w:p>
        </w:tc>
        <w:tc>
          <w:tcPr>
            <w:tcW w:w="995" w:type="pct"/>
            <w:tcBorders>
              <w:top w:val="single" w:color="000000" w:sz="4" w:space="0"/>
              <w:left w:val="single" w:color="000000" w:sz="4" w:space="0"/>
              <w:bottom w:val="single" w:color="000000" w:sz="4" w:space="0"/>
              <w:right w:val="single" w:color="000000" w:sz="4" w:space="0"/>
            </w:tcBorders>
            <w:vAlign w:val="center"/>
          </w:tcPr>
          <w:p w14:paraId="3A91942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20≤X＜200</w:t>
            </w:r>
          </w:p>
        </w:tc>
        <w:tc>
          <w:tcPr>
            <w:tcW w:w="855" w:type="pct"/>
            <w:tcBorders>
              <w:top w:val="single" w:color="000000" w:sz="4" w:space="0"/>
              <w:left w:val="single" w:color="000000" w:sz="4" w:space="0"/>
              <w:bottom w:val="single" w:color="000000" w:sz="4" w:space="0"/>
              <w:right w:val="single" w:color="000000" w:sz="4" w:space="0"/>
            </w:tcBorders>
            <w:vAlign w:val="center"/>
          </w:tcPr>
          <w:p w14:paraId="36D8A1B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5≤X＜20</w:t>
            </w:r>
          </w:p>
        </w:tc>
        <w:tc>
          <w:tcPr>
            <w:tcW w:w="511" w:type="pct"/>
            <w:tcBorders>
              <w:top w:val="single" w:color="000000" w:sz="4" w:space="0"/>
              <w:left w:val="single" w:color="000000" w:sz="4" w:space="0"/>
              <w:bottom w:val="single" w:color="000000" w:sz="4" w:space="0"/>
              <w:right w:val="single" w:color="000000" w:sz="4" w:space="0"/>
            </w:tcBorders>
            <w:vAlign w:val="center"/>
          </w:tcPr>
          <w:p w14:paraId="73BB284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X＜5</w:t>
            </w:r>
          </w:p>
        </w:tc>
      </w:tr>
      <w:tr w14:paraId="38DE4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52DB248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6D9224E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50CB19A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EE10C7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Y≥40000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FA91F7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5000≤Y＜40000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91913A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1000≤Y＜5000</w:t>
            </w:r>
          </w:p>
        </w:tc>
        <w:tc>
          <w:tcPr>
            <w:tcW w:w="511" w:type="pct"/>
            <w:tcBorders>
              <w:top w:val="single" w:color="000000" w:sz="4" w:space="0"/>
              <w:left w:val="single" w:color="000000" w:sz="4" w:space="0"/>
              <w:bottom w:val="single" w:color="000000" w:sz="4" w:space="0"/>
              <w:right w:val="single" w:color="000000" w:sz="4" w:space="0"/>
            </w:tcBorders>
            <w:vAlign w:val="center"/>
          </w:tcPr>
          <w:p w14:paraId="08C13BB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Y＜1000</w:t>
            </w:r>
          </w:p>
        </w:tc>
      </w:tr>
      <w:tr w14:paraId="4751D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58E7DF9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零售业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85291F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1F0BC40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6C6D8FE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22AF3A2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73C9F64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10≤X＜50</w:t>
            </w:r>
          </w:p>
        </w:tc>
        <w:tc>
          <w:tcPr>
            <w:tcW w:w="511" w:type="pct"/>
            <w:tcBorders>
              <w:top w:val="single" w:color="000000" w:sz="4" w:space="0"/>
              <w:left w:val="single" w:color="000000" w:sz="4" w:space="0"/>
              <w:bottom w:val="single" w:color="000000" w:sz="4" w:space="0"/>
              <w:right w:val="single" w:color="000000" w:sz="4" w:space="0"/>
            </w:tcBorders>
            <w:vAlign w:val="center"/>
          </w:tcPr>
          <w:p w14:paraId="475B9B5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w:t>
            </w:r>
          </w:p>
        </w:tc>
      </w:tr>
      <w:tr w14:paraId="289EB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79C0C34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2D796C2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1EB3AE4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359DBE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Y≥20000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271FBA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500≤Y＜20000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D189DF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100≤Y＜500</w:t>
            </w:r>
          </w:p>
        </w:tc>
        <w:tc>
          <w:tcPr>
            <w:tcW w:w="511" w:type="pct"/>
            <w:tcBorders>
              <w:top w:val="single" w:color="000000" w:sz="4" w:space="0"/>
              <w:left w:val="single" w:color="000000" w:sz="4" w:space="0"/>
              <w:bottom w:val="single" w:color="000000" w:sz="4" w:space="0"/>
              <w:right w:val="single" w:color="000000" w:sz="4" w:space="0"/>
            </w:tcBorders>
            <w:vAlign w:val="center"/>
          </w:tcPr>
          <w:p w14:paraId="0C69D56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w:t>
            </w:r>
          </w:p>
        </w:tc>
      </w:tr>
      <w:tr w14:paraId="2520D3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2CC39F2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交通运输业 *</w:t>
            </w:r>
          </w:p>
        </w:tc>
        <w:tc>
          <w:tcPr>
            <w:tcW w:w="745" w:type="pct"/>
            <w:tcBorders>
              <w:top w:val="single" w:color="000000" w:sz="4" w:space="0"/>
              <w:left w:val="single" w:color="000000" w:sz="4" w:space="0"/>
              <w:bottom w:val="single" w:color="000000" w:sz="4" w:space="0"/>
              <w:right w:val="single" w:color="000000" w:sz="4" w:space="0"/>
            </w:tcBorders>
            <w:vAlign w:val="center"/>
          </w:tcPr>
          <w:p w14:paraId="4944351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ECF507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6242A69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69C0D7D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73C81A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1824210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X＜20</w:t>
            </w:r>
          </w:p>
        </w:tc>
      </w:tr>
      <w:tr w14:paraId="47BAC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42FE543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11CD96C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65EE62D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E84229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Y≥30000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3DE57FE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3000≤Y＜30000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47283A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200≤Y＜3000</w:t>
            </w:r>
          </w:p>
        </w:tc>
        <w:tc>
          <w:tcPr>
            <w:tcW w:w="511" w:type="pct"/>
            <w:tcBorders>
              <w:top w:val="single" w:color="000000" w:sz="4" w:space="0"/>
              <w:left w:val="single" w:color="000000" w:sz="4" w:space="0"/>
              <w:bottom w:val="single" w:color="000000" w:sz="4" w:space="0"/>
              <w:right w:val="single" w:color="000000" w:sz="4" w:space="0"/>
            </w:tcBorders>
            <w:vAlign w:val="center"/>
          </w:tcPr>
          <w:p w14:paraId="0B6356E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Y＜200</w:t>
            </w:r>
          </w:p>
        </w:tc>
      </w:tr>
      <w:tr w14:paraId="443085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7612BA5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仓储业*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5ABECE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E88628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75AB5DA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X≥200</w:t>
            </w:r>
          </w:p>
        </w:tc>
        <w:tc>
          <w:tcPr>
            <w:tcW w:w="995" w:type="pct"/>
            <w:tcBorders>
              <w:top w:val="single" w:color="000000" w:sz="4" w:space="0"/>
              <w:left w:val="single" w:color="000000" w:sz="4" w:space="0"/>
              <w:bottom w:val="single" w:color="000000" w:sz="4" w:space="0"/>
              <w:right w:val="single" w:color="000000" w:sz="4" w:space="0"/>
            </w:tcBorders>
            <w:vAlign w:val="center"/>
          </w:tcPr>
          <w:p w14:paraId="13D761C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100≤X＜200</w:t>
            </w:r>
          </w:p>
        </w:tc>
        <w:tc>
          <w:tcPr>
            <w:tcW w:w="855" w:type="pct"/>
            <w:tcBorders>
              <w:top w:val="single" w:color="000000" w:sz="4" w:space="0"/>
              <w:left w:val="single" w:color="000000" w:sz="4" w:space="0"/>
              <w:bottom w:val="single" w:color="000000" w:sz="4" w:space="0"/>
              <w:right w:val="single" w:color="000000" w:sz="4" w:space="0"/>
            </w:tcBorders>
            <w:vAlign w:val="center"/>
          </w:tcPr>
          <w:p w14:paraId="2AF2601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67B8C34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X＜20</w:t>
            </w:r>
          </w:p>
        </w:tc>
      </w:tr>
      <w:tr w14:paraId="6297C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2E5359A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1B5C514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0EC7497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5065E99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Y≥30000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F07289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1000≤Y＜30000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77CFFB2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64C285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w:t>
            </w:r>
          </w:p>
        </w:tc>
      </w:tr>
      <w:tr w14:paraId="633DF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4BFE7B4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邮政业</w:t>
            </w:r>
          </w:p>
        </w:tc>
        <w:tc>
          <w:tcPr>
            <w:tcW w:w="745" w:type="pct"/>
            <w:tcBorders>
              <w:top w:val="single" w:color="000000" w:sz="4" w:space="0"/>
              <w:left w:val="single" w:color="000000" w:sz="4" w:space="0"/>
              <w:bottom w:val="single" w:color="000000" w:sz="4" w:space="0"/>
              <w:right w:val="single" w:color="000000" w:sz="4" w:space="0"/>
            </w:tcBorders>
            <w:vAlign w:val="center"/>
          </w:tcPr>
          <w:p w14:paraId="0D94B2B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60A624A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6094A20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F33D6D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333E6D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60F056B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X＜20</w:t>
            </w:r>
          </w:p>
        </w:tc>
      </w:tr>
      <w:tr w14:paraId="4A85C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6087F59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76FCBFC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6A6D1CB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3A57510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Y≥30000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43E019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2000≤Y＜30000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D10327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5800F12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w:t>
            </w:r>
          </w:p>
        </w:tc>
      </w:tr>
      <w:tr w14:paraId="40939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37E30A1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住宿业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D9A64C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061B936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30E524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7A7B617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10E46C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40938F1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w:t>
            </w:r>
          </w:p>
        </w:tc>
      </w:tr>
      <w:tr w14:paraId="37A01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28868D3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14ED133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070CB9F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198BC9F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387B1A3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2000≤Y＜10000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7D78C1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5904D62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w:t>
            </w:r>
          </w:p>
        </w:tc>
      </w:tr>
      <w:tr w14:paraId="55452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4BFB0A9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餐饮业</w:t>
            </w:r>
          </w:p>
        </w:tc>
        <w:tc>
          <w:tcPr>
            <w:tcW w:w="745" w:type="pct"/>
            <w:tcBorders>
              <w:top w:val="single" w:color="000000" w:sz="4" w:space="0"/>
              <w:left w:val="single" w:color="000000" w:sz="4" w:space="0"/>
              <w:bottom w:val="single" w:color="000000" w:sz="4" w:space="0"/>
              <w:right w:val="single" w:color="000000" w:sz="4" w:space="0"/>
            </w:tcBorders>
            <w:vAlign w:val="center"/>
          </w:tcPr>
          <w:p w14:paraId="0F5D09D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1A783A2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72B8880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0E8239F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54506BD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41D22BB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w:t>
            </w:r>
          </w:p>
        </w:tc>
      </w:tr>
      <w:tr w14:paraId="184DB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7866395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AFE7E6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4F67CC8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D1688D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40CD91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2000≤Y＜10000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2FE14B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0D9C648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w:t>
            </w:r>
          </w:p>
        </w:tc>
      </w:tr>
      <w:tr w14:paraId="23892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4F2260A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信息传输业*</w:t>
            </w:r>
          </w:p>
        </w:tc>
        <w:tc>
          <w:tcPr>
            <w:tcW w:w="745" w:type="pct"/>
            <w:tcBorders>
              <w:top w:val="single" w:color="000000" w:sz="4" w:space="0"/>
              <w:left w:val="single" w:color="000000" w:sz="4" w:space="0"/>
              <w:bottom w:val="single" w:color="000000" w:sz="4" w:space="0"/>
              <w:right w:val="single" w:color="000000" w:sz="4" w:space="0"/>
            </w:tcBorders>
            <w:vAlign w:val="center"/>
          </w:tcPr>
          <w:p w14:paraId="14A2074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013FBC5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1EFAF01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X≥2000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DE30E4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100≤X＜2000</w:t>
            </w:r>
          </w:p>
        </w:tc>
        <w:tc>
          <w:tcPr>
            <w:tcW w:w="855" w:type="pct"/>
            <w:tcBorders>
              <w:top w:val="single" w:color="000000" w:sz="4" w:space="0"/>
              <w:left w:val="single" w:color="000000" w:sz="4" w:space="0"/>
              <w:bottom w:val="single" w:color="000000" w:sz="4" w:space="0"/>
              <w:right w:val="single" w:color="000000" w:sz="4" w:space="0"/>
            </w:tcBorders>
            <w:vAlign w:val="center"/>
          </w:tcPr>
          <w:p w14:paraId="330E16F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23D4639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w:t>
            </w:r>
          </w:p>
        </w:tc>
      </w:tr>
      <w:tr w14:paraId="5EF03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3BB779D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E64B82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4BDEC74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0F65D01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82F778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1000≤Y＜100000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80A349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1CDA17E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w:t>
            </w:r>
          </w:p>
        </w:tc>
      </w:tr>
      <w:tr w14:paraId="679A0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72A7C91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spacing w:val="0"/>
                <w:kern w:val="0"/>
                <w:sz w:val="22"/>
                <w:szCs w:val="22"/>
              </w:rPr>
            </w:pPr>
            <w:r>
              <w:rPr>
                <w:rStyle w:val="76"/>
                <w:rFonts w:hint="eastAsia" w:ascii="宋体" w:hAnsi="宋体" w:eastAsia="宋体" w:cs="宋体"/>
                <w:color w:val="auto"/>
                <w:spacing w:val="0"/>
                <w:kern w:val="0"/>
                <w:sz w:val="22"/>
                <w:szCs w:val="22"/>
              </w:rPr>
              <w:t>软件和信息技术服</w:t>
            </w:r>
            <w:r>
              <w:rPr>
                <w:rStyle w:val="76"/>
                <w:rFonts w:hint="eastAsia" w:ascii="宋体" w:hAnsi="宋体" w:eastAsia="宋体" w:cs="宋体"/>
                <w:color w:val="auto"/>
                <w:kern w:val="0"/>
                <w:sz w:val="22"/>
                <w:szCs w:val="22"/>
              </w:rPr>
              <w:t>务业</w:t>
            </w:r>
          </w:p>
        </w:tc>
        <w:tc>
          <w:tcPr>
            <w:tcW w:w="745" w:type="pct"/>
            <w:tcBorders>
              <w:top w:val="single" w:color="000000" w:sz="4" w:space="0"/>
              <w:left w:val="single" w:color="000000" w:sz="4" w:space="0"/>
              <w:bottom w:val="single" w:color="000000" w:sz="4" w:space="0"/>
              <w:right w:val="single" w:color="000000" w:sz="4" w:space="0"/>
            </w:tcBorders>
            <w:vAlign w:val="center"/>
          </w:tcPr>
          <w:p w14:paraId="30DB93A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E0AAA9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3E00654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6C0861C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26720ED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178A903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w:t>
            </w:r>
          </w:p>
        </w:tc>
      </w:tr>
      <w:tr w14:paraId="48A77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77E74A6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spacing w:val="0"/>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602CD3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3C709C2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175E809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470D4B0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1000≤Y＜10000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0CF0BC2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583FCAF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Y＜50</w:t>
            </w:r>
          </w:p>
        </w:tc>
      </w:tr>
      <w:tr w14:paraId="237D5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2F3422C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房地产开发经营</w:t>
            </w:r>
          </w:p>
        </w:tc>
        <w:tc>
          <w:tcPr>
            <w:tcW w:w="745" w:type="pct"/>
            <w:tcBorders>
              <w:top w:val="single" w:color="000000" w:sz="4" w:space="0"/>
              <w:left w:val="single" w:color="000000" w:sz="4" w:space="0"/>
              <w:bottom w:val="single" w:color="000000" w:sz="4" w:space="0"/>
              <w:right w:val="single" w:color="000000" w:sz="4" w:space="0"/>
            </w:tcBorders>
            <w:vAlign w:val="center"/>
          </w:tcPr>
          <w:p w14:paraId="42CD40B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3DB2FB0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562C52A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Y≥200000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334F337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1000≤Y＜200000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736016B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340E401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Y＜100</w:t>
            </w:r>
          </w:p>
        </w:tc>
      </w:tr>
      <w:tr w14:paraId="703EE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6A89C30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52C1999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资产总额(Z)</w:t>
            </w:r>
          </w:p>
        </w:tc>
        <w:tc>
          <w:tcPr>
            <w:tcW w:w="477" w:type="pct"/>
            <w:tcBorders>
              <w:top w:val="single" w:color="000000" w:sz="4" w:space="0"/>
              <w:left w:val="single" w:color="000000" w:sz="4" w:space="0"/>
              <w:bottom w:val="single" w:color="000000" w:sz="4" w:space="0"/>
              <w:right w:val="single" w:color="000000" w:sz="4" w:space="0"/>
            </w:tcBorders>
            <w:vAlign w:val="center"/>
          </w:tcPr>
          <w:p w14:paraId="2338A8E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B2BFAB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Z≥10000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999BDF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5000≤Z＜10000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1CF78D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2000≤Z＜5000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8927D0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Z＜2000</w:t>
            </w:r>
          </w:p>
        </w:tc>
      </w:tr>
      <w:tr w14:paraId="1E80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08A4FEF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物业管理</w:t>
            </w:r>
          </w:p>
        </w:tc>
        <w:tc>
          <w:tcPr>
            <w:tcW w:w="745" w:type="pct"/>
            <w:tcBorders>
              <w:top w:val="single" w:color="000000" w:sz="4" w:space="0"/>
              <w:left w:val="single" w:color="000000" w:sz="4" w:space="0"/>
              <w:bottom w:val="single" w:color="000000" w:sz="4" w:space="0"/>
              <w:right w:val="single" w:color="000000" w:sz="4" w:space="0"/>
            </w:tcBorders>
            <w:vAlign w:val="center"/>
          </w:tcPr>
          <w:p w14:paraId="0FEB812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6DFC09F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34D4BD8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4A64A6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7579BE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40142FB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X＜100</w:t>
            </w:r>
          </w:p>
        </w:tc>
      </w:tr>
      <w:tr w14:paraId="6E5A3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07BB88A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072152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352BA16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22B8572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Y≥5000</w:t>
            </w:r>
          </w:p>
        </w:tc>
        <w:tc>
          <w:tcPr>
            <w:tcW w:w="995" w:type="pct"/>
            <w:tcBorders>
              <w:top w:val="single" w:color="000000" w:sz="4" w:space="0"/>
              <w:left w:val="single" w:color="000000" w:sz="4" w:space="0"/>
              <w:bottom w:val="single" w:color="000000" w:sz="4" w:space="0"/>
              <w:right w:val="single" w:color="000000" w:sz="4" w:space="0"/>
            </w:tcBorders>
            <w:vAlign w:val="center"/>
          </w:tcPr>
          <w:p w14:paraId="0A57BC7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1000≤Y＜5000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EE46A6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500≤Y＜1000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30CDB08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Y＜500</w:t>
            </w:r>
          </w:p>
        </w:tc>
      </w:tr>
      <w:tr w14:paraId="378124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61E3BC5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租赁和商务服务业</w:t>
            </w:r>
          </w:p>
        </w:tc>
        <w:tc>
          <w:tcPr>
            <w:tcW w:w="745" w:type="pct"/>
            <w:tcBorders>
              <w:top w:val="single" w:color="000000" w:sz="4" w:space="0"/>
              <w:left w:val="single" w:color="000000" w:sz="4" w:space="0"/>
              <w:bottom w:val="single" w:color="000000" w:sz="4" w:space="0"/>
              <w:right w:val="single" w:color="000000" w:sz="4" w:space="0"/>
            </w:tcBorders>
            <w:vAlign w:val="center"/>
          </w:tcPr>
          <w:p w14:paraId="75211E9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8C0D0A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49412D7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1B43D01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2C02D86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04AA79E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w:t>
            </w:r>
          </w:p>
        </w:tc>
      </w:tr>
      <w:tr w14:paraId="7704C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3D0575A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6E58FD9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资产总额(Z)</w:t>
            </w:r>
          </w:p>
        </w:tc>
        <w:tc>
          <w:tcPr>
            <w:tcW w:w="477" w:type="pct"/>
            <w:tcBorders>
              <w:top w:val="single" w:color="000000" w:sz="4" w:space="0"/>
              <w:left w:val="single" w:color="000000" w:sz="4" w:space="0"/>
              <w:bottom w:val="single" w:color="000000" w:sz="4" w:space="0"/>
              <w:right w:val="single" w:color="000000" w:sz="4" w:space="0"/>
            </w:tcBorders>
            <w:vAlign w:val="center"/>
          </w:tcPr>
          <w:p w14:paraId="2941F7E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8D5171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Z≥120000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0EFF7C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8000≤Z＜120000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E03645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100≤Z＜8000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442AF2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Z＜100</w:t>
            </w:r>
          </w:p>
        </w:tc>
      </w:tr>
      <w:tr w14:paraId="6DEF3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tcBorders>
              <w:top w:val="single" w:color="000000" w:sz="4" w:space="0"/>
              <w:left w:val="single" w:color="000000" w:sz="4" w:space="0"/>
              <w:bottom w:val="single" w:color="000000" w:sz="4" w:space="0"/>
              <w:right w:val="single" w:color="000000" w:sz="4" w:space="0"/>
            </w:tcBorders>
            <w:vAlign w:val="center"/>
          </w:tcPr>
          <w:p w14:paraId="03F0118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软件和信息技术服务业*</w:t>
            </w:r>
          </w:p>
        </w:tc>
        <w:tc>
          <w:tcPr>
            <w:tcW w:w="745" w:type="pct"/>
            <w:tcBorders>
              <w:top w:val="single" w:color="000000" w:sz="4" w:space="0"/>
              <w:left w:val="single" w:color="000000" w:sz="4" w:space="0"/>
              <w:bottom w:val="single" w:color="000000" w:sz="4" w:space="0"/>
              <w:right w:val="single" w:color="000000" w:sz="4" w:space="0"/>
            </w:tcBorders>
            <w:vAlign w:val="center"/>
          </w:tcPr>
          <w:p w14:paraId="0B69444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1E0B0CA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4E6204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273E8E4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6112199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726EDAB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6"/>
                <w:rFonts w:hint="eastAsia" w:ascii="宋体" w:hAnsi="宋体" w:eastAsia="宋体" w:cs="宋体"/>
                <w:color w:val="auto"/>
                <w:kern w:val="0"/>
                <w:sz w:val="22"/>
                <w:szCs w:val="22"/>
              </w:rPr>
            </w:pPr>
            <w:r>
              <w:rPr>
                <w:rStyle w:val="76"/>
                <w:rFonts w:hint="eastAsia" w:ascii="宋体" w:hAnsi="宋体" w:eastAsia="宋体" w:cs="宋体"/>
                <w:color w:val="auto"/>
                <w:kern w:val="0"/>
                <w:sz w:val="22"/>
                <w:szCs w:val="22"/>
              </w:rPr>
              <w:t>X＜10</w:t>
            </w:r>
          </w:p>
        </w:tc>
      </w:tr>
    </w:tbl>
    <w:p w14:paraId="1C6F222F">
      <w:pPr>
        <w:pageBreakBefore w:val="0"/>
        <w:widowControl w:val="0"/>
        <w:kinsoku/>
        <w:wordWrap w:val="0"/>
        <w:overflowPunct/>
        <w:topLinePunct/>
        <w:autoSpaceDE/>
        <w:autoSpaceDN/>
        <w:bidi w:val="0"/>
        <w:adjustRightInd w:val="0"/>
        <w:spacing w:line="240" w:lineRule="auto"/>
        <w:outlineLvl w:val="9"/>
        <w:rPr>
          <w:rStyle w:val="76"/>
          <w:rFonts w:ascii="宋体" w:hAnsi="宋体" w:cs="宋体"/>
          <w:color w:val="auto"/>
          <w:spacing w:val="0"/>
          <w:kern w:val="0"/>
          <w:sz w:val="24"/>
          <w:szCs w:val="24"/>
        </w:rPr>
      </w:pPr>
      <w:r>
        <w:rPr>
          <w:rStyle w:val="76"/>
          <w:rFonts w:hint="eastAsia" w:ascii="宋体" w:hAnsi="宋体" w:cs="宋体"/>
          <w:color w:val="auto"/>
          <w:spacing w:val="0"/>
          <w:kern w:val="0"/>
          <w:sz w:val="24"/>
          <w:szCs w:val="24"/>
        </w:rPr>
        <w:t>说明：</w:t>
      </w:r>
    </w:p>
    <w:p w14:paraId="0427212F">
      <w:pPr>
        <w:pageBreakBefore w:val="0"/>
        <w:widowControl w:val="0"/>
        <w:kinsoku/>
        <w:wordWrap w:val="0"/>
        <w:overflowPunct/>
        <w:topLinePunct/>
        <w:autoSpaceDE/>
        <w:autoSpaceDN/>
        <w:bidi w:val="0"/>
        <w:adjustRightInd w:val="0"/>
        <w:spacing w:line="240" w:lineRule="auto"/>
        <w:outlineLvl w:val="9"/>
        <w:rPr>
          <w:rStyle w:val="76"/>
          <w:rFonts w:ascii="宋体" w:hAnsi="宋体" w:cs="宋体"/>
          <w:color w:val="auto"/>
          <w:spacing w:val="0"/>
          <w:kern w:val="0"/>
          <w:sz w:val="24"/>
          <w:szCs w:val="24"/>
        </w:rPr>
      </w:pPr>
      <w:r>
        <w:rPr>
          <w:rStyle w:val="76"/>
          <w:rFonts w:hint="eastAsia" w:ascii="宋体" w:hAnsi="宋体" w:cs="宋体"/>
          <w:color w:val="auto"/>
          <w:spacing w:val="0"/>
          <w:kern w:val="0"/>
          <w:sz w:val="24"/>
          <w:szCs w:val="24"/>
        </w:rPr>
        <w:t>　　1.大型、中型和小型企业须同时满足所列指标的下限，否则下划一档；微型企业只须满足所列指标中的一项即可。</w:t>
      </w:r>
    </w:p>
    <w:p w14:paraId="5D25DC46">
      <w:pPr>
        <w:pageBreakBefore w:val="0"/>
        <w:widowControl w:val="0"/>
        <w:kinsoku/>
        <w:wordWrap w:val="0"/>
        <w:overflowPunct/>
        <w:topLinePunct/>
        <w:autoSpaceDE/>
        <w:autoSpaceDN/>
        <w:bidi w:val="0"/>
        <w:adjustRightInd w:val="0"/>
        <w:spacing w:line="240" w:lineRule="auto"/>
        <w:outlineLvl w:val="9"/>
        <w:rPr>
          <w:rStyle w:val="76"/>
          <w:rFonts w:ascii="宋体" w:hAnsi="宋体" w:cs="宋体"/>
          <w:color w:val="auto"/>
          <w:spacing w:val="0"/>
          <w:kern w:val="0"/>
          <w:sz w:val="24"/>
          <w:szCs w:val="24"/>
        </w:rPr>
      </w:pPr>
      <w:r>
        <w:rPr>
          <w:rStyle w:val="76"/>
          <w:rFonts w:hint="eastAsia" w:ascii="宋体" w:hAnsi="宋体" w:cs="宋体"/>
          <w:color w:val="auto"/>
          <w:spacing w:val="0"/>
          <w:kern w:val="0"/>
          <w:sz w:val="24"/>
          <w:szCs w:val="24"/>
        </w:rPr>
        <w:t>　　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软件和信息技术服务业包括科学研究和技术服务业，水利、环境和公共设施管理业，居民服务、修理和其他服务业，社会工作，文化、体育和娱乐业，以及房地产中介服务，其他房地产业等，不包括自有房地产经营活动。</w:t>
      </w:r>
    </w:p>
    <w:p w14:paraId="4DC85325">
      <w:pPr>
        <w:pStyle w:val="19"/>
        <w:pageBreakBefore w:val="0"/>
        <w:kinsoku/>
        <w:wordWrap/>
        <w:overflowPunct/>
        <w:topLinePunct w:val="0"/>
        <w:bidi w:val="0"/>
        <w:spacing w:before="0" w:beforeAutospacing="0" w:after="0" w:afterAutospacing="0" w:line="240" w:lineRule="auto"/>
        <w:jc w:val="both"/>
        <w:outlineLvl w:val="9"/>
        <w:rPr>
          <w:rFonts w:hint="eastAsia" w:ascii="宋体" w:hAnsi="宋体" w:eastAsia="宋体" w:cs="宋体"/>
          <w:b/>
          <w:bCs/>
          <w:color w:val="auto"/>
          <w:kern w:val="2"/>
          <w:sz w:val="24"/>
          <w:szCs w:val="24"/>
        </w:rPr>
      </w:pPr>
      <w:r>
        <w:rPr>
          <w:rStyle w:val="76"/>
          <w:rFonts w:hint="eastAsia" w:ascii="宋体" w:hAnsi="宋体" w:cs="宋体"/>
          <w:color w:val="auto"/>
          <w:spacing w:val="0"/>
          <w:kern w:val="0"/>
          <w:sz w:val="24"/>
          <w:szCs w:val="24"/>
        </w:rPr>
        <w:t>　　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114A9534">
      <w:pPr>
        <w:pageBreakBefore w:val="0"/>
        <w:kinsoku/>
        <w:wordWrap/>
        <w:overflowPunct/>
        <w:topLinePunct w:val="0"/>
        <w:bidi w:val="0"/>
        <w:spacing w:line="240" w:lineRule="auto"/>
        <w:jc w:val="center"/>
        <w:outlineLvl w:val="9"/>
        <w:rPr>
          <w:rFonts w:hint="eastAsia" w:ascii="宋体" w:hAnsi="宋体" w:eastAsia="宋体" w:cs="宋体"/>
          <w:color w:val="auto"/>
          <w:sz w:val="24"/>
          <w:szCs w:val="24"/>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A72CA54">
      <w:pPr>
        <w:pStyle w:val="5"/>
        <w:keepNext w:val="0"/>
        <w:keepLines w:val="0"/>
        <w:pageBreakBefore w:val="0"/>
        <w:kinsoku/>
        <w:wordWrap/>
        <w:overflowPunct/>
        <w:topLinePunct w:val="0"/>
        <w:bidi w:val="0"/>
        <w:spacing w:line="240" w:lineRule="auto"/>
        <w:jc w:val="center"/>
        <w:rPr>
          <w:rFonts w:hint="eastAsia" w:ascii="宋体" w:hAnsi="宋体" w:eastAsia="宋体" w:cs="宋体"/>
          <w:color w:val="auto"/>
        </w:rPr>
      </w:pPr>
      <w:bookmarkStart w:id="95" w:name="_Toc26489"/>
      <w:r>
        <w:rPr>
          <w:rFonts w:hint="eastAsia" w:ascii="宋体" w:hAnsi="宋体" w:eastAsia="宋体" w:cs="宋体"/>
          <w:color w:val="auto"/>
        </w:rPr>
        <w:t>第四章 合同条款</w:t>
      </w:r>
      <w:bookmarkEnd w:id="76"/>
      <w:bookmarkEnd w:id="77"/>
      <w:bookmarkEnd w:id="78"/>
      <w:bookmarkEnd w:id="95"/>
    </w:p>
    <w:p w14:paraId="77120646">
      <w:pPr>
        <w:pageBreakBefore w:val="0"/>
        <w:kinsoku/>
        <w:wordWrap/>
        <w:overflowPunct/>
        <w:topLinePunct w:val="0"/>
        <w:bidi w:val="0"/>
        <w:spacing w:line="240" w:lineRule="auto"/>
        <w:jc w:val="center"/>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政府采购合同书格式</w:t>
      </w:r>
      <w:r>
        <w:rPr>
          <w:rFonts w:hint="eastAsia" w:ascii="宋体" w:hAnsi="宋体" w:eastAsia="宋体" w:cs="宋体"/>
          <w:b/>
          <w:color w:val="auto"/>
          <w:sz w:val="32"/>
          <w:szCs w:val="32"/>
          <w:lang w:eastAsia="zh-CN"/>
        </w:rPr>
        <w:t>（以实际签订为准）</w:t>
      </w:r>
    </w:p>
    <w:p w14:paraId="7B7AFEFD">
      <w:pPr>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val="0"/>
          <w:bCs w:val="0"/>
          <w:sz w:val="24"/>
          <w:szCs w:val="24"/>
        </w:rPr>
      </w:pPr>
    </w:p>
    <w:p w14:paraId="217C34CC">
      <w:pPr>
        <w:keepNext w:val="0"/>
        <w:keepLines w:val="0"/>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第一节 政府采购合同协议书</w:t>
      </w:r>
    </w:p>
    <w:p w14:paraId="42B71336">
      <w:pPr>
        <w:keepNext w:val="0"/>
        <w:keepLines w:val="0"/>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val="0"/>
          <w:bCs w:val="0"/>
          <w:sz w:val="24"/>
          <w:szCs w:val="24"/>
        </w:rPr>
      </w:pPr>
    </w:p>
    <w:p w14:paraId="0CE4331C">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甲方（全称）：</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lang w:eastAsia="zh-CN"/>
        </w:rPr>
        <w:t>招标人、受招标人委托签订合同的单位</w:t>
      </w:r>
      <w:r>
        <w:rPr>
          <w:rFonts w:hint="eastAsia" w:ascii="宋体" w:hAnsi="宋体" w:eastAsia="宋体" w:cs="宋体"/>
          <w:sz w:val="22"/>
          <w:szCs w:val="22"/>
        </w:rPr>
        <w:t>或采购文件约定的合同甲方）</w:t>
      </w:r>
    </w:p>
    <w:p w14:paraId="3B9209C1">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乙方</w:t>
      </w:r>
      <w:r>
        <w:rPr>
          <w:rFonts w:hint="eastAsia" w:ascii="宋体" w:hAnsi="宋体" w:eastAsia="宋体" w:cs="宋体"/>
          <w:sz w:val="22"/>
          <w:szCs w:val="22"/>
          <w:lang w:val="en-US" w:eastAsia="zh-CN"/>
        </w:rPr>
        <w:t>1</w:t>
      </w:r>
      <w:r>
        <w:rPr>
          <w:rFonts w:hint="eastAsia" w:ascii="宋体" w:hAnsi="宋体" w:eastAsia="宋体" w:cs="宋体"/>
          <w:sz w:val="22"/>
          <w:szCs w:val="22"/>
        </w:rPr>
        <w:t>（全称）：</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lang w:eastAsia="zh-CN"/>
        </w:rPr>
        <w:t>投标人</w:t>
      </w:r>
      <w:r>
        <w:rPr>
          <w:rFonts w:hint="eastAsia" w:ascii="宋体" w:hAnsi="宋体" w:eastAsia="宋体" w:cs="宋体"/>
          <w:sz w:val="22"/>
          <w:szCs w:val="22"/>
        </w:rPr>
        <w:t>）</w:t>
      </w:r>
    </w:p>
    <w:p w14:paraId="16259D1B">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乙方2（全称）：</w:t>
      </w:r>
      <w:r>
        <w:rPr>
          <w:rFonts w:hint="eastAsia" w:ascii="宋体" w:hAnsi="宋体" w:eastAsia="宋体" w:cs="宋体"/>
          <w:sz w:val="22"/>
          <w:szCs w:val="22"/>
          <w:u w:val="single"/>
        </w:rPr>
        <w:t xml:space="preserve">                        </w:t>
      </w:r>
      <w:r>
        <w:rPr>
          <w:rFonts w:hint="eastAsia" w:ascii="宋体" w:hAnsi="宋体" w:eastAsia="宋体" w:cs="宋体"/>
          <w:sz w:val="22"/>
          <w:szCs w:val="22"/>
        </w:rPr>
        <w:t>（联合体成员</w:t>
      </w:r>
      <w:r>
        <w:rPr>
          <w:rFonts w:hint="eastAsia" w:ascii="宋体" w:hAnsi="宋体" w:eastAsia="宋体" w:cs="宋体"/>
          <w:sz w:val="22"/>
          <w:szCs w:val="22"/>
          <w:lang w:eastAsia="zh-CN"/>
        </w:rPr>
        <w:t>投标人</w:t>
      </w:r>
      <w:r>
        <w:rPr>
          <w:rFonts w:hint="eastAsia" w:ascii="宋体" w:hAnsi="宋体" w:eastAsia="宋体" w:cs="宋体"/>
          <w:sz w:val="22"/>
          <w:szCs w:val="22"/>
        </w:rPr>
        <w:t>或其他合同主体）（如有）</w:t>
      </w:r>
    </w:p>
    <w:p w14:paraId="08B68C0F">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乙方</w:t>
      </w:r>
      <w:r>
        <w:rPr>
          <w:rFonts w:hint="eastAsia" w:ascii="宋体" w:hAnsi="宋体" w:eastAsia="宋体" w:cs="宋体"/>
          <w:sz w:val="22"/>
          <w:szCs w:val="22"/>
          <w:lang w:val="en-US" w:eastAsia="zh-CN"/>
        </w:rPr>
        <w:t>3（全称）</w:t>
      </w:r>
      <w:r>
        <w:rPr>
          <w:rFonts w:hint="eastAsia" w:ascii="宋体" w:hAnsi="宋体" w:eastAsia="宋体" w:cs="宋体"/>
          <w:sz w:val="22"/>
          <w:szCs w:val="22"/>
          <w:u w:val="single"/>
        </w:rPr>
        <w:t xml:space="preserve">                          </w:t>
      </w:r>
      <w:r>
        <w:rPr>
          <w:rFonts w:hint="eastAsia" w:ascii="宋体" w:hAnsi="宋体" w:eastAsia="宋体" w:cs="宋体"/>
          <w:sz w:val="22"/>
          <w:szCs w:val="22"/>
        </w:rPr>
        <w:t>（联合体成员</w:t>
      </w:r>
      <w:r>
        <w:rPr>
          <w:rFonts w:hint="eastAsia" w:ascii="宋体" w:hAnsi="宋体" w:eastAsia="宋体" w:cs="宋体"/>
          <w:sz w:val="22"/>
          <w:szCs w:val="22"/>
          <w:lang w:eastAsia="zh-CN"/>
        </w:rPr>
        <w:t>投标人</w:t>
      </w:r>
      <w:r>
        <w:rPr>
          <w:rFonts w:hint="eastAsia" w:ascii="宋体" w:hAnsi="宋体" w:eastAsia="宋体" w:cs="宋体"/>
          <w:sz w:val="22"/>
          <w:szCs w:val="22"/>
        </w:rPr>
        <w:t>或其他合同主体）（如有）</w:t>
      </w:r>
    </w:p>
    <w:p w14:paraId="1270179C">
      <w:pPr>
        <w:pStyle w:val="3"/>
        <w:keepNext w:val="0"/>
        <w:keepLines w:val="0"/>
        <w:pageBreakBefore w:val="0"/>
        <w:kinsoku/>
        <w:wordWrap/>
        <w:overflowPunct/>
        <w:topLinePunct w:val="0"/>
        <w:bidi w:val="0"/>
        <w:adjustRightInd w:val="0"/>
        <w:snapToGrid w:val="0"/>
        <w:spacing w:after="0" w:afterLines="0" w:line="240" w:lineRule="auto"/>
        <w:ind w:left="0" w:leftChars="0"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依据《中华人民共和国民法典》</w:t>
      </w:r>
      <w:r>
        <w:rPr>
          <w:rFonts w:hint="eastAsia" w:ascii="宋体" w:hAnsi="宋体" w:eastAsia="宋体" w:cs="宋体"/>
          <w:sz w:val="22"/>
          <w:szCs w:val="22"/>
          <w:lang w:eastAsia="zh-CN"/>
        </w:rPr>
        <w:t>、</w:t>
      </w:r>
      <w:r>
        <w:rPr>
          <w:rFonts w:hint="eastAsia" w:ascii="宋体" w:hAnsi="宋体" w:eastAsia="宋体" w:cs="宋体"/>
          <w:sz w:val="22"/>
          <w:szCs w:val="22"/>
        </w:rPr>
        <w:t>《中华人民共和国政府采购法》等有关的法律法规，以及</w:t>
      </w:r>
      <w:r>
        <w:rPr>
          <w:rFonts w:hint="eastAsia" w:ascii="宋体" w:hAnsi="宋体" w:eastAsia="宋体" w:cs="宋体"/>
          <w:i w:val="0"/>
          <w:iCs w:val="0"/>
          <w:sz w:val="22"/>
          <w:szCs w:val="22"/>
          <w:u w:val="none"/>
          <w:lang w:eastAsia="zh-CN"/>
        </w:rPr>
        <w:t>本采购项目</w:t>
      </w:r>
      <w:r>
        <w:rPr>
          <w:rFonts w:hint="eastAsia" w:ascii="宋体" w:hAnsi="宋体" w:eastAsia="宋体" w:cs="宋体"/>
          <w:sz w:val="22"/>
          <w:szCs w:val="22"/>
        </w:rPr>
        <w:t>的</w:t>
      </w:r>
      <w:r>
        <w:rPr>
          <w:rFonts w:hint="eastAsia" w:ascii="宋体" w:hAnsi="宋体" w:eastAsia="宋体" w:cs="宋体"/>
          <w:sz w:val="22"/>
          <w:szCs w:val="22"/>
          <w:lang w:eastAsia="zh-CN"/>
        </w:rPr>
        <w:t>招标</w:t>
      </w:r>
      <w:r>
        <w:rPr>
          <w:rFonts w:hint="eastAsia" w:ascii="宋体" w:hAnsi="宋体" w:eastAsia="宋体" w:cs="宋体"/>
          <w:sz w:val="22"/>
          <w:szCs w:val="22"/>
          <w:lang w:val="en-US" w:eastAsia="zh-CN"/>
        </w:rPr>
        <w:t>/谈判</w:t>
      </w:r>
      <w:r>
        <w:rPr>
          <w:rFonts w:hint="eastAsia" w:ascii="宋体" w:hAnsi="宋体" w:eastAsia="宋体" w:cs="宋体"/>
          <w:sz w:val="22"/>
          <w:szCs w:val="22"/>
          <w:lang w:eastAsia="zh-CN"/>
        </w:rPr>
        <w:t>文件等</w:t>
      </w:r>
      <w:r>
        <w:rPr>
          <w:rFonts w:hint="eastAsia" w:ascii="宋体" w:hAnsi="宋体" w:eastAsia="宋体" w:cs="宋体"/>
          <w:sz w:val="22"/>
          <w:szCs w:val="22"/>
        </w:rPr>
        <w:t>采购文件</w:t>
      </w:r>
      <w:r>
        <w:rPr>
          <w:rFonts w:hint="eastAsia" w:ascii="宋体" w:hAnsi="宋体" w:eastAsia="宋体" w:cs="宋体"/>
          <w:sz w:val="22"/>
          <w:szCs w:val="22"/>
          <w:lang w:eastAsia="zh-CN"/>
        </w:rPr>
        <w:t>、</w:t>
      </w:r>
      <w:r>
        <w:rPr>
          <w:rFonts w:hint="eastAsia" w:ascii="宋体" w:hAnsi="宋体" w:eastAsia="宋体" w:cs="宋体"/>
          <w:sz w:val="22"/>
          <w:szCs w:val="22"/>
        </w:rPr>
        <w:t xml:space="preserve">乙方的《投标（响应）文件》及《中标（成交）通知书》，甲乙双方同意签订本合同。具体情况及要求如下：     </w:t>
      </w:r>
    </w:p>
    <w:p w14:paraId="5AE43801">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项目信息</w:t>
      </w:r>
    </w:p>
    <w:p w14:paraId="1920566A">
      <w:pPr>
        <w:pStyle w:val="3"/>
        <w:keepNext w:val="0"/>
        <w:keepLines w:val="0"/>
        <w:pageBreakBefore w:val="0"/>
        <w:numPr>
          <w:ilvl w:val="0"/>
          <w:numId w:val="8"/>
        </w:numPr>
        <w:kinsoku/>
        <w:wordWrap/>
        <w:overflowPunct/>
        <w:topLinePunct w:val="0"/>
        <w:bidi w:val="0"/>
        <w:adjustRightInd w:val="0"/>
        <w:snapToGrid w:val="0"/>
        <w:spacing w:after="0" w:afterLines="0" w:line="240" w:lineRule="auto"/>
        <w:ind w:left="0" w:leftChars="0" w:firstLine="440" w:firstLineChars="2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t>采购项目名称：</w:t>
      </w:r>
      <w:r>
        <w:rPr>
          <w:rFonts w:hint="eastAsia" w:ascii="宋体" w:hAnsi="宋体" w:eastAsia="宋体" w:cs="宋体"/>
          <w:sz w:val="22"/>
          <w:szCs w:val="22"/>
          <w:u w:val="single"/>
        </w:rPr>
        <w:t xml:space="preserve">                                          </w:t>
      </w:r>
    </w:p>
    <w:p w14:paraId="24741F69">
      <w:pPr>
        <w:pStyle w:val="3"/>
        <w:keepNext w:val="0"/>
        <w:keepLines w:val="0"/>
        <w:pageBreakBefore w:val="0"/>
        <w:numPr>
          <w:ilvl w:val="-1"/>
          <w:numId w:val="0"/>
        </w:numPr>
        <w:tabs>
          <w:tab w:val="left" w:pos="999"/>
        </w:tabs>
        <w:kinsoku/>
        <w:wordWrap/>
        <w:overflowPunct/>
        <w:topLinePunct w:val="0"/>
        <w:bidi w:val="0"/>
        <w:adjustRightInd w:val="0"/>
        <w:snapToGrid w:val="0"/>
        <w:spacing w:after="0" w:afterLines="0" w:line="240" w:lineRule="auto"/>
        <w:ind w:left="0" w:leftChars="0" w:firstLine="0" w:firstLineChars="0"/>
        <w:textAlignment w:val="auto"/>
        <w:outlineLvl w:val="9"/>
        <w:rPr>
          <w:rFonts w:hint="eastAsia" w:ascii="宋体" w:hAnsi="宋体" w:eastAsia="宋体" w:cs="宋体"/>
          <w:sz w:val="22"/>
          <w:szCs w:val="22"/>
          <w:u w:val="none"/>
          <w:lang w:val="en-US" w:eastAsia="zh-CN"/>
        </w:rPr>
      </w:pPr>
      <w:r>
        <w:rPr>
          <w:rFonts w:hint="eastAsia" w:ascii="宋体" w:hAnsi="宋体" w:eastAsia="宋体" w:cs="宋体"/>
          <w:sz w:val="22"/>
          <w:szCs w:val="22"/>
          <w:u w:val="none"/>
          <w:lang w:val="en-US" w:eastAsia="zh-CN"/>
        </w:rPr>
        <w:t xml:space="preserve">         采购项目编号：</w:t>
      </w:r>
      <w:r>
        <w:rPr>
          <w:rFonts w:hint="eastAsia" w:ascii="宋体" w:hAnsi="宋体" w:eastAsia="宋体" w:cs="宋体"/>
          <w:sz w:val="22"/>
          <w:szCs w:val="22"/>
          <w:u w:val="single"/>
        </w:rPr>
        <w:t xml:space="preserve">                                          </w:t>
      </w:r>
    </w:p>
    <w:p w14:paraId="444FE887">
      <w:pPr>
        <w:pStyle w:val="3"/>
        <w:keepNext w:val="0"/>
        <w:keepLines w:val="0"/>
        <w:pageBreakBefore w:val="0"/>
        <w:kinsoku/>
        <w:wordWrap/>
        <w:overflowPunct/>
        <w:topLinePunct w:val="0"/>
        <w:bidi w:val="0"/>
        <w:adjustRightInd w:val="0"/>
        <w:snapToGrid w:val="0"/>
        <w:spacing w:after="0" w:afterLines="0" w:line="240" w:lineRule="auto"/>
        <w:ind w:left="0" w:leftChars="0"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（2）采购计划编号：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5003F292">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（3）项目内容：</w:t>
      </w:r>
    </w:p>
    <w:p w14:paraId="0146799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采购标的及数量</w:t>
      </w:r>
      <w:r>
        <w:rPr>
          <w:rFonts w:hint="eastAsia" w:ascii="宋体" w:hAnsi="宋体" w:eastAsia="宋体" w:cs="宋体"/>
          <w:sz w:val="22"/>
          <w:szCs w:val="22"/>
          <w:lang w:val="en-US" w:eastAsia="zh-CN"/>
        </w:rPr>
        <w:t>（台/套</w:t>
      </w:r>
      <w:r>
        <w:rPr>
          <w:rFonts w:hint="eastAsia" w:ascii="宋体" w:hAnsi="宋体" w:eastAsia="宋体" w:cs="宋体"/>
          <w:sz w:val="22"/>
          <w:szCs w:val="22"/>
          <w:lang w:val="en" w:eastAsia="zh-CN"/>
        </w:rPr>
        <w:t>/个/架/组等</w:t>
      </w:r>
      <w:r>
        <w:rPr>
          <w:rFonts w:hint="eastAsia" w:ascii="宋体" w:hAnsi="宋体" w:eastAsia="宋体" w:cs="宋体"/>
          <w:sz w:val="22"/>
          <w:szCs w:val="22"/>
          <w:lang w:val="en-US" w:eastAsia="zh-CN"/>
        </w:rPr>
        <w:t>）</w:t>
      </w:r>
      <w:r>
        <w:rPr>
          <w:rFonts w:hint="eastAsia" w:ascii="宋体" w:hAnsi="宋体" w:eastAsia="宋体" w:cs="宋体"/>
          <w:sz w:val="22"/>
          <w:szCs w:val="22"/>
          <w:lang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w:t>
      </w:r>
    </w:p>
    <w:p w14:paraId="58204C8C">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val="en" w:eastAsia="zh-CN"/>
        </w:rPr>
      </w:pPr>
      <w:r>
        <w:rPr>
          <w:rFonts w:hint="eastAsia" w:ascii="宋体" w:hAnsi="宋体" w:eastAsia="宋体" w:cs="宋体"/>
          <w:sz w:val="22"/>
          <w:szCs w:val="22"/>
          <w:highlight w:val="none"/>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 w:eastAsia="zh-CN"/>
        </w:rPr>
        <w:t xml:space="preserve">     </w:t>
      </w:r>
      <w:r>
        <w:rPr>
          <w:rFonts w:hint="eastAsia" w:ascii="宋体" w:hAnsi="宋体" w:eastAsia="宋体" w:cs="宋体"/>
          <w:sz w:val="22"/>
          <w:szCs w:val="22"/>
          <w:lang w:val="en-US" w:eastAsia="zh-CN"/>
        </w:rPr>
        <w:t>规格型号：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p>
    <w:p w14:paraId="6A3A9556">
      <w:pPr>
        <w:keepNext w:val="0"/>
        <w:keepLines w:val="0"/>
        <w:pageBreakBefore w:val="0"/>
        <w:kinsoku/>
        <w:wordWrap/>
        <w:overflowPunct/>
        <w:topLinePunct w:val="0"/>
        <w:bidi w:val="0"/>
        <w:adjustRightInd w:val="0"/>
        <w:snapToGrid w:val="0"/>
        <w:spacing w:line="240" w:lineRule="auto"/>
        <w:ind w:firstLine="990" w:firstLineChars="450"/>
        <w:textAlignment w:val="auto"/>
        <w:outlineLvl w:val="9"/>
        <w:rPr>
          <w:rFonts w:hint="eastAsia" w:ascii="宋体" w:hAnsi="宋体" w:eastAsia="宋体" w:cs="宋体"/>
          <w:sz w:val="22"/>
          <w:szCs w:val="22"/>
          <w:highlight w:val="none"/>
          <w:u w:val="single"/>
        </w:rPr>
      </w:pPr>
      <w:r>
        <w:rPr>
          <w:rFonts w:hint="eastAsia" w:ascii="宋体" w:hAnsi="宋体" w:eastAsia="宋体" w:cs="宋体"/>
          <w:sz w:val="22"/>
          <w:szCs w:val="22"/>
          <w:highlight w:val="none"/>
          <w:u w:val="none"/>
          <w:lang w:val="en-US" w:eastAsia="zh-CN"/>
        </w:rPr>
        <w:t>采购标的的技术要求、商务要求具体见附件。</w:t>
      </w:r>
    </w:p>
    <w:p w14:paraId="177A324B">
      <w:pPr>
        <w:keepNext w:val="0"/>
        <w:keepLines w:val="0"/>
        <w:pageBreakBefore w:val="0"/>
        <w:numPr>
          <w:ilvl w:val="-1"/>
          <w:numId w:val="0"/>
        </w:numPr>
        <w:kinsoku/>
        <w:wordWrap/>
        <w:overflowPunct/>
        <w:topLinePunct w:val="0"/>
        <w:bidi w:val="0"/>
        <w:adjustRightInd w:val="0"/>
        <w:snapToGrid w:val="0"/>
        <w:spacing w:line="240" w:lineRule="auto"/>
        <w:ind w:firstLine="990" w:firstLineChars="45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①涉及信息类产品，请填写该产品关键部件的品牌、型号：</w:t>
      </w:r>
    </w:p>
    <w:p w14:paraId="5BA8053B">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kern w:val="0"/>
          <w:sz w:val="22"/>
          <w:szCs w:val="22"/>
          <w:u w:val="single"/>
          <w:lang w:val="en-US" w:eastAsia="zh-CN"/>
        </w:rPr>
      </w:pPr>
      <w:r>
        <w:rPr>
          <w:rFonts w:hint="eastAsia" w:ascii="宋体" w:hAnsi="宋体" w:eastAsia="宋体" w:cs="宋体"/>
          <w:sz w:val="22"/>
          <w:szCs w:val="22"/>
          <w:lang w:val="en-US" w:eastAsia="zh-CN"/>
        </w:rPr>
        <w:t xml:space="preserve">     标的名称：</w:t>
      </w: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u w:val="single"/>
          <w:lang w:val="en" w:eastAsia="zh-CN"/>
        </w:rPr>
        <w:t xml:space="preserve">               </w:t>
      </w:r>
      <w:r>
        <w:rPr>
          <w:rFonts w:hint="eastAsia" w:ascii="宋体" w:hAnsi="宋体" w:eastAsia="宋体" w:cs="宋体"/>
          <w:kern w:val="0"/>
          <w:sz w:val="22"/>
          <w:szCs w:val="22"/>
          <w:u w:val="single"/>
          <w:lang w:val="en-US" w:eastAsia="zh-CN"/>
        </w:rPr>
        <w:t xml:space="preserve">    </w:t>
      </w:r>
    </w:p>
    <w:p w14:paraId="5FDE09D6">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关键部件：</w:t>
      </w: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型号：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w:t>
      </w:r>
    </w:p>
    <w:p w14:paraId="5A35B7B4">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w:t>
      </w:r>
      <w:r>
        <w:rPr>
          <w:rFonts w:hint="eastAsia" w:ascii="宋体" w:hAnsi="宋体" w:eastAsia="宋体" w:cs="宋体"/>
          <w:kern w:val="2"/>
          <w:sz w:val="22"/>
          <w:szCs w:val="22"/>
          <w:lang w:val="en-US" w:eastAsia="zh-CN"/>
        </w:rPr>
        <w:t>关键部件</w:t>
      </w:r>
      <w:r>
        <w:rPr>
          <w:rFonts w:hint="eastAsia" w:ascii="宋体" w:hAnsi="宋体" w:eastAsia="宋体" w:cs="宋体"/>
          <w:sz w:val="22"/>
          <w:szCs w:val="22"/>
          <w:lang w:val="en-US"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型号：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w:t>
      </w:r>
    </w:p>
    <w:p w14:paraId="0F18CB21">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关键部件：</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型号：</w:t>
      </w:r>
      <w:r>
        <w:rPr>
          <w:rFonts w:hint="eastAsia" w:ascii="宋体" w:hAnsi="宋体" w:eastAsia="宋体" w:cs="宋体"/>
          <w:sz w:val="22"/>
          <w:szCs w:val="22"/>
          <w:u w:val="single"/>
          <w:lang w:val="en-US" w:eastAsia="zh-CN"/>
        </w:rPr>
        <w:t xml:space="preserve">       </w:t>
      </w:r>
    </w:p>
    <w:p w14:paraId="5D73CB93">
      <w:pPr>
        <w:pStyle w:val="73"/>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3377CF4">
      <w:pPr>
        <w:pStyle w:val="73"/>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②涉及车辆采购，请填写是否属于新能源汽车：</w:t>
      </w:r>
    </w:p>
    <w:p w14:paraId="48D53054">
      <w:pPr>
        <w:pStyle w:val="73"/>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lang w:val="en-US" w:eastAsia="zh-CN"/>
        </w:rPr>
      </w:pPr>
      <w:r>
        <w:rPr>
          <w:rFonts w:hint="eastAsia" w:ascii="宋体" w:hAnsi="宋体" w:eastAsia="宋体" w:cs="宋体"/>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，《政府采购品目分类目录》底级品目名称</w:t>
      </w:r>
      <w:r>
        <w:rPr>
          <w:rFonts w:hint="eastAsia" w:ascii="宋体" w:hAnsi="宋体" w:eastAsia="宋体" w:cs="宋体"/>
          <w:sz w:val="22"/>
          <w:szCs w:val="22"/>
          <w:lang w:val="en-US"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数量：</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金额：</w:t>
      </w:r>
      <w:r>
        <w:rPr>
          <w:rFonts w:hint="eastAsia" w:ascii="宋体" w:hAnsi="宋体" w:eastAsia="宋体" w:cs="宋体"/>
          <w:sz w:val="22"/>
          <w:szCs w:val="22"/>
          <w:u w:val="single"/>
          <w:lang w:val="en-US" w:eastAsia="zh-CN"/>
        </w:rPr>
        <w:t xml:space="preserve">     </w:t>
      </w:r>
      <w:r>
        <w:rPr>
          <w:rFonts w:hint="eastAsia" w:ascii="宋体" w:hAnsi="宋体" w:eastAsia="宋体" w:cs="宋体"/>
          <w:iCs w:val="0"/>
          <w:sz w:val="22"/>
          <w:szCs w:val="22"/>
          <w:lang w:val="en-US" w:eastAsia="zh-CN"/>
        </w:rPr>
        <w:t xml:space="preserve"> </w:t>
      </w:r>
    </w:p>
    <w:p w14:paraId="778DDC20">
      <w:pPr>
        <w:pStyle w:val="73"/>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lang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否</w:t>
      </w:r>
    </w:p>
    <w:p w14:paraId="62C2F629">
      <w:pPr>
        <w:pStyle w:val="73"/>
        <w:keepNext w:val="0"/>
        <w:keepLines w:val="0"/>
        <w:pageBreakBefore w:val="0"/>
        <w:numPr>
          <w:ilvl w:val="-1"/>
          <w:numId w:val="0"/>
        </w:numPr>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iCs w:val="0"/>
          <w:sz w:val="22"/>
          <w:szCs w:val="22"/>
          <w:lang w:val="en-US"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lang w:val="en" w:eastAsia="zh-CN"/>
        </w:rPr>
        <w:t>4</w:t>
      </w:r>
      <w:r>
        <w:rPr>
          <w:rFonts w:hint="eastAsia" w:ascii="宋体" w:hAnsi="宋体" w:eastAsia="宋体" w:cs="宋体"/>
          <w:iCs w:val="0"/>
          <w:sz w:val="22"/>
          <w:szCs w:val="22"/>
          <w:lang w:val="en-US" w:eastAsia="zh-CN"/>
        </w:rPr>
        <w:t>）政府采购组织形式：</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政府集中采购</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val="en-US" w:eastAsia="zh-CN"/>
        </w:rPr>
        <w:t xml:space="preserve">部门集中采购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val="en-US" w:eastAsia="zh-CN"/>
        </w:rPr>
        <w:t>分散采购</w:t>
      </w:r>
    </w:p>
    <w:p w14:paraId="28FCE0C2">
      <w:pPr>
        <w:pStyle w:val="73"/>
        <w:keepNext w:val="0"/>
        <w:keepLines w:val="0"/>
        <w:pageBreakBefore w:val="0"/>
        <w:numPr>
          <w:ilvl w:val="-1"/>
          <w:numId w:val="0"/>
        </w:numPr>
        <w:kinsoku/>
        <w:wordWrap/>
        <w:overflowPunct/>
        <w:topLinePunct w:val="0"/>
        <w:bidi w:val="0"/>
        <w:adjustRightInd w:val="0"/>
        <w:snapToGrid w:val="0"/>
        <w:spacing w:line="240" w:lineRule="auto"/>
        <w:ind w:left="0" w:firstLine="420" w:firstLineChars="0"/>
        <w:textAlignment w:val="auto"/>
        <w:outlineLvl w:val="9"/>
        <w:rPr>
          <w:rFonts w:hint="eastAsia" w:ascii="宋体" w:hAnsi="宋体" w:eastAsia="宋体" w:cs="宋体"/>
          <w:iCs w:val="0"/>
          <w:sz w:val="22"/>
          <w:szCs w:val="22"/>
          <w:lang w:eastAsia="zh-CN"/>
        </w:rPr>
      </w:pPr>
      <w:r>
        <w:rPr>
          <w:rFonts w:hint="eastAsia" w:ascii="宋体" w:hAnsi="宋体" w:eastAsia="宋体" w:cs="宋体"/>
          <w:iCs w:val="0"/>
          <w:sz w:val="22"/>
          <w:szCs w:val="22"/>
          <w:lang w:val="en-US" w:eastAsia="zh-CN"/>
        </w:rPr>
        <w:t>（</w:t>
      </w:r>
      <w:r>
        <w:rPr>
          <w:rFonts w:hint="eastAsia" w:ascii="宋体" w:hAnsi="宋体" w:eastAsia="宋体" w:cs="宋体"/>
          <w:iCs w:val="0"/>
          <w:sz w:val="22"/>
          <w:szCs w:val="22"/>
          <w:lang w:val="en" w:eastAsia="zh-CN"/>
        </w:rPr>
        <w:t>5</w:t>
      </w:r>
      <w:r>
        <w:rPr>
          <w:rFonts w:hint="eastAsia" w:ascii="宋体" w:hAnsi="宋体" w:eastAsia="宋体" w:cs="宋体"/>
          <w:iCs w:val="0"/>
          <w:sz w:val="22"/>
          <w:szCs w:val="22"/>
          <w:lang w:val="en-US" w:eastAsia="zh-CN"/>
        </w:rPr>
        <w:t>）政府采购方式：</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公开招标</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邀请招标</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竞争性谈判</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竞争性磋商</w:t>
      </w:r>
    </w:p>
    <w:p w14:paraId="6762B238">
      <w:pPr>
        <w:pStyle w:val="73"/>
        <w:keepNext w:val="0"/>
        <w:keepLines w:val="0"/>
        <w:pageBreakBefore w:val="0"/>
        <w:numPr>
          <w:ilvl w:val="-1"/>
          <w:numId w:val="0"/>
        </w:numPr>
        <w:kinsoku/>
        <w:wordWrap/>
        <w:overflowPunct/>
        <w:topLinePunct w:val="0"/>
        <w:bidi w:val="0"/>
        <w:adjustRightInd w:val="0"/>
        <w:snapToGrid w:val="0"/>
        <w:spacing w:line="240" w:lineRule="auto"/>
        <w:ind w:left="0" w:firstLine="420" w:firstLineChars="0"/>
        <w:textAlignment w:val="auto"/>
        <w:outlineLvl w:val="9"/>
        <w:rPr>
          <w:rFonts w:hint="eastAsia" w:ascii="宋体" w:hAnsi="宋体" w:eastAsia="宋体" w:cs="宋体"/>
          <w:iCs w:val="0"/>
          <w:sz w:val="22"/>
          <w:szCs w:val="22"/>
          <w:u w:val="single"/>
          <w:lang w:val="en-US" w:eastAsia="zh-CN"/>
        </w:rPr>
      </w:pPr>
      <w:r>
        <w:rPr>
          <w:rFonts w:hint="eastAsia" w:ascii="宋体" w:hAnsi="宋体" w:eastAsia="宋体" w:cs="宋体"/>
          <w:sz w:val="22"/>
          <w:szCs w:val="22"/>
          <w:u w:val="none"/>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询价</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单一来源</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框架协议</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其他：</w:t>
      </w:r>
      <w:r>
        <w:rPr>
          <w:rFonts w:hint="eastAsia" w:ascii="宋体" w:hAnsi="宋体" w:eastAsia="宋体" w:cs="宋体"/>
          <w:iCs w:val="0"/>
          <w:sz w:val="22"/>
          <w:szCs w:val="22"/>
          <w:u w:val="single"/>
          <w:lang w:val="en-US" w:eastAsia="zh-CN"/>
        </w:rPr>
        <w:t xml:space="preserve">          </w:t>
      </w:r>
    </w:p>
    <w:p w14:paraId="17F9CA8E">
      <w:pPr>
        <w:pStyle w:val="73"/>
        <w:keepNext w:val="0"/>
        <w:keepLines w:val="0"/>
        <w:pageBreakBefore w:val="0"/>
        <w:numPr>
          <w:ilvl w:val="-1"/>
          <w:numId w:val="0"/>
        </w:numPr>
        <w:kinsoku/>
        <w:wordWrap/>
        <w:overflowPunct/>
        <w:topLinePunct w:val="0"/>
        <w:bidi w:val="0"/>
        <w:adjustRightInd w:val="0"/>
        <w:snapToGrid w:val="0"/>
        <w:spacing w:line="240" w:lineRule="auto"/>
        <w:ind w:left="0" w:firstLine="420" w:firstLineChars="0"/>
        <w:textAlignment w:val="auto"/>
        <w:outlineLvl w:val="9"/>
        <w:rPr>
          <w:rFonts w:hint="eastAsia" w:ascii="宋体" w:hAnsi="宋体" w:eastAsia="宋体" w:cs="宋体"/>
          <w:iCs w:val="0"/>
          <w:sz w:val="22"/>
          <w:szCs w:val="22"/>
          <w:u w:val="none"/>
          <w:lang w:val="en-US" w:eastAsia="zh-CN"/>
        </w:rPr>
      </w:pPr>
      <w:r>
        <w:rPr>
          <w:rFonts w:hint="eastAsia" w:ascii="宋体" w:hAnsi="宋体" w:eastAsia="宋体" w:cs="宋体"/>
          <w:iCs w:val="0"/>
          <w:sz w:val="22"/>
          <w:szCs w:val="22"/>
          <w:u w:val="none"/>
          <w:lang w:val="en-US" w:eastAsia="zh-CN"/>
        </w:rPr>
        <w:t>（注：在框架协议采购的第二阶段，可选择使用该合同文本）</w:t>
      </w:r>
    </w:p>
    <w:p w14:paraId="5C77CEA5">
      <w:pPr>
        <w:pStyle w:val="73"/>
        <w:keepNext w:val="0"/>
        <w:keepLines w:val="0"/>
        <w:pageBreakBefore w:val="0"/>
        <w:numPr>
          <w:ilvl w:val="-1"/>
          <w:numId w:val="0"/>
        </w:numPr>
        <w:kinsoku/>
        <w:wordWrap/>
        <w:overflowPunct/>
        <w:topLinePunct w:val="0"/>
        <w:bidi w:val="0"/>
        <w:adjustRightInd w:val="0"/>
        <w:snapToGrid w:val="0"/>
        <w:spacing w:line="240" w:lineRule="auto"/>
        <w:ind w:firstLine="220" w:firstLineChars="100"/>
        <w:textAlignment w:val="auto"/>
        <w:outlineLvl w:val="9"/>
        <w:rPr>
          <w:rFonts w:hint="eastAsia" w:ascii="宋体" w:hAnsi="宋体" w:eastAsia="宋体" w:cs="宋体"/>
          <w:w w:val="100"/>
          <w:kern w:val="2"/>
          <w:sz w:val="22"/>
          <w:szCs w:val="22"/>
          <w:lang w:val="en-US" w:eastAsia="zh-CN" w:bidi="ar-SA"/>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val="en" w:eastAsia="zh-CN"/>
        </w:rPr>
        <w:t>6</w:t>
      </w:r>
      <w:r>
        <w:rPr>
          <w:rFonts w:hint="eastAsia" w:ascii="宋体" w:hAnsi="宋体" w:eastAsia="宋体" w:cs="宋体"/>
          <w:sz w:val="22"/>
          <w:szCs w:val="22"/>
          <w:lang w:val="en-US" w:eastAsia="zh-CN"/>
        </w:rPr>
        <w:t>）</w:t>
      </w:r>
      <w:r>
        <w:rPr>
          <w:rFonts w:hint="eastAsia" w:ascii="宋体" w:hAnsi="宋体" w:eastAsia="宋体" w:cs="宋体"/>
          <w:w w:val="100"/>
          <w:kern w:val="2"/>
          <w:sz w:val="22"/>
          <w:szCs w:val="22"/>
          <w:lang w:val="en-US" w:eastAsia="zh-CN" w:bidi="ar-SA"/>
        </w:rPr>
        <w:t>中标（成交）采购标的制造商是否为中小企业：</w:t>
      </w:r>
      <w:r>
        <w:rPr>
          <w:rFonts w:hint="eastAsia" w:ascii="宋体" w:hAnsi="宋体" w:eastAsia="宋体" w:cs="宋体"/>
          <w:w w:val="100"/>
          <w:kern w:val="2"/>
          <w:sz w:val="22"/>
          <w:szCs w:val="22"/>
          <w:lang w:val="en-US" w:eastAsia="zh-CN" w:bidi="ar-SA"/>
        </w:rPr>
        <w:sym w:font="Wingdings" w:char="00A8"/>
      </w:r>
      <w:r>
        <w:rPr>
          <w:rFonts w:hint="eastAsia" w:ascii="宋体" w:hAnsi="宋体" w:eastAsia="宋体" w:cs="宋体"/>
          <w:w w:val="100"/>
          <w:kern w:val="2"/>
          <w:sz w:val="22"/>
          <w:szCs w:val="22"/>
          <w:lang w:val="en-US" w:eastAsia="zh-CN" w:bidi="ar-SA"/>
        </w:rPr>
        <w:t xml:space="preserve">是      </w:t>
      </w:r>
      <w:r>
        <w:rPr>
          <w:rFonts w:hint="eastAsia" w:ascii="宋体" w:hAnsi="宋体" w:eastAsia="宋体" w:cs="宋体"/>
          <w:w w:val="100"/>
          <w:kern w:val="2"/>
          <w:sz w:val="22"/>
          <w:szCs w:val="22"/>
          <w:lang w:val="en-US" w:eastAsia="zh-CN" w:bidi="ar-SA"/>
        </w:rPr>
        <w:sym w:font="Wingdings" w:char="00A8"/>
      </w:r>
      <w:r>
        <w:rPr>
          <w:rFonts w:hint="eastAsia" w:ascii="宋体" w:hAnsi="宋体" w:eastAsia="宋体" w:cs="宋体"/>
          <w:w w:val="100"/>
          <w:kern w:val="2"/>
          <w:sz w:val="22"/>
          <w:szCs w:val="22"/>
          <w:lang w:val="en-US" w:eastAsia="zh-CN" w:bidi="ar-SA"/>
        </w:rPr>
        <w:t>否</w:t>
      </w:r>
    </w:p>
    <w:p w14:paraId="229C954A">
      <w:pPr>
        <w:keepNext w:val="0"/>
        <w:keepLines w:val="0"/>
        <w:pageBreakBefore w:val="0"/>
        <w:numPr>
          <w:ilvl w:val="-1"/>
          <w:numId w:val="0"/>
        </w:numPr>
        <w:kinsoku/>
        <w:wordWrap/>
        <w:overflowPunct/>
        <w:topLinePunct w:val="0"/>
        <w:bidi w:val="0"/>
        <w:adjustRightInd w:val="0"/>
        <w:snapToGrid w:val="0"/>
        <w:spacing w:line="240" w:lineRule="auto"/>
        <w:ind w:left="0" w:leftChars="0" w:firstLine="0" w:firstLineChars="0"/>
        <w:textAlignment w:val="auto"/>
        <w:outlineLvl w:val="9"/>
        <w:rPr>
          <w:rFonts w:hint="eastAsia" w:ascii="宋体" w:hAnsi="宋体" w:eastAsia="宋体" w:cs="宋体"/>
          <w:iCs/>
          <w:sz w:val="22"/>
          <w:szCs w:val="22"/>
        </w:rPr>
      </w:pPr>
      <w:r>
        <w:rPr>
          <w:rFonts w:hint="eastAsia" w:ascii="宋体" w:hAnsi="宋体" w:eastAsia="宋体" w:cs="宋体"/>
          <w:w w:val="100"/>
          <w:sz w:val="22"/>
          <w:szCs w:val="22"/>
          <w:lang w:val="en-US" w:eastAsia="zh-CN"/>
        </w:rPr>
        <w:t xml:space="preserve">         本合同</w:t>
      </w:r>
      <w:r>
        <w:rPr>
          <w:rFonts w:hint="eastAsia" w:ascii="宋体" w:hAnsi="宋体" w:eastAsia="宋体" w:cs="宋体"/>
          <w:w w:val="100"/>
          <w:sz w:val="22"/>
          <w:szCs w:val="22"/>
        </w:rPr>
        <w:t>是否</w:t>
      </w:r>
      <w:r>
        <w:rPr>
          <w:rFonts w:hint="eastAsia" w:ascii="宋体" w:hAnsi="宋体" w:eastAsia="宋体" w:cs="宋体"/>
          <w:w w:val="100"/>
          <w:sz w:val="22"/>
          <w:szCs w:val="22"/>
          <w:lang w:eastAsia="zh-CN"/>
        </w:rPr>
        <w:t>为专门面向</w:t>
      </w:r>
      <w:r>
        <w:rPr>
          <w:rFonts w:hint="eastAsia" w:ascii="宋体" w:hAnsi="宋体" w:eastAsia="宋体" w:cs="宋体"/>
          <w:w w:val="100"/>
          <w:sz w:val="22"/>
          <w:szCs w:val="22"/>
        </w:rPr>
        <w:t>中小企业</w:t>
      </w:r>
      <w:r>
        <w:rPr>
          <w:rFonts w:hint="eastAsia" w:ascii="宋体" w:hAnsi="宋体" w:eastAsia="宋体" w:cs="宋体"/>
          <w:w w:val="100"/>
          <w:sz w:val="22"/>
          <w:szCs w:val="22"/>
          <w:lang w:eastAsia="zh-CN"/>
        </w:rPr>
        <w:t>的采</w:t>
      </w:r>
      <w:r>
        <w:rPr>
          <w:rFonts w:hint="eastAsia" w:ascii="宋体" w:hAnsi="宋体" w:eastAsia="宋体" w:cs="宋体"/>
          <w:w w:val="100"/>
          <w:sz w:val="22"/>
          <w:szCs w:val="22"/>
          <w:shd w:val="clear"/>
          <w:lang w:eastAsia="zh-CN"/>
        </w:rPr>
        <w:t>购</w:t>
      </w:r>
      <w:r>
        <w:rPr>
          <w:rFonts w:hint="eastAsia" w:ascii="宋体" w:hAnsi="宋体" w:eastAsia="宋体" w:cs="宋体"/>
          <w:w w:val="100"/>
          <w:sz w:val="22"/>
          <w:szCs w:val="22"/>
          <w:shd w:val="clear"/>
        </w:rPr>
        <w:t>合同</w:t>
      </w:r>
      <w:r>
        <w:rPr>
          <w:rFonts w:hint="eastAsia" w:ascii="宋体" w:hAnsi="宋体" w:eastAsia="宋体" w:cs="宋体"/>
          <w:w w:val="100"/>
          <w:sz w:val="22"/>
          <w:szCs w:val="22"/>
          <w:shd w:val="clear"/>
          <w:lang w:eastAsia="zh-CN"/>
        </w:rPr>
        <w:t>（中小企业预留合同）</w:t>
      </w:r>
      <w:r>
        <w:rPr>
          <w:rFonts w:hint="eastAsia" w:ascii="宋体" w:hAnsi="宋体" w:eastAsia="宋体" w:cs="宋体"/>
          <w:sz w:val="22"/>
          <w:szCs w:val="22"/>
          <w:shd w:val="clear"/>
        </w:rPr>
        <w:t>：</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2DE3EC80">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rPr>
      </w:pPr>
      <w:r>
        <w:rPr>
          <w:rFonts w:hint="eastAsia" w:ascii="宋体" w:hAnsi="宋体" w:eastAsia="宋体" w:cs="宋体"/>
          <w:sz w:val="22"/>
          <w:szCs w:val="22"/>
          <w:lang w:val="en-US" w:eastAsia="zh-CN"/>
        </w:rPr>
        <w:t xml:space="preserve">         若本项目不专门面向中小企业采购，是否给予小微企业评审优惠：</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7BAA4B84">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rPr>
      </w:pPr>
      <w:r>
        <w:rPr>
          <w:rFonts w:hint="eastAsia" w:ascii="宋体" w:hAnsi="宋体" w:eastAsia="宋体" w:cs="宋体"/>
          <w:sz w:val="22"/>
          <w:szCs w:val="22"/>
          <w:lang w:val="en-US" w:eastAsia="zh-CN"/>
        </w:rPr>
        <w:t xml:space="preserve">         中标（成交）采购标的制造商是否为残疾人福利性单位：</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551D54E2">
      <w:pPr>
        <w:keepNext w:val="0"/>
        <w:keepLines w:val="0"/>
        <w:pageBreakBefore w:val="0"/>
        <w:numPr>
          <w:ilvl w:val="0"/>
          <w:numId w:val="0"/>
        </w:numPr>
        <w:kinsoku/>
        <w:wordWrap/>
        <w:overflowPunct/>
        <w:topLinePunct w:val="0"/>
        <w:bidi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中标（成交）采购标的制造商是否为监狱企业：</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4D9A9DF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 w:eastAsia="zh-CN"/>
        </w:rPr>
        <w:t>7</w:t>
      </w:r>
      <w:r>
        <w:rPr>
          <w:rFonts w:hint="eastAsia" w:ascii="宋体" w:hAnsi="宋体" w:eastAsia="宋体" w:cs="宋体"/>
          <w:sz w:val="22"/>
          <w:szCs w:val="22"/>
        </w:rPr>
        <w:t>）合同是否分包：</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76C0EB67">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single"/>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分包主要内容：</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4477C9E8">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highlight w:val="none"/>
        </w:rPr>
      </w:pP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rPr>
        <w:t>分包</w:t>
      </w:r>
      <w:r>
        <w:rPr>
          <w:rFonts w:hint="eastAsia" w:ascii="宋体" w:hAnsi="宋体" w:eastAsia="宋体" w:cs="宋体"/>
          <w:sz w:val="22"/>
          <w:szCs w:val="22"/>
          <w:highlight w:val="none"/>
          <w:lang w:eastAsia="zh-CN"/>
        </w:rPr>
        <w:t>投标人/制造商</w:t>
      </w:r>
      <w:r>
        <w:rPr>
          <w:rFonts w:hint="eastAsia" w:ascii="宋体" w:hAnsi="宋体" w:eastAsia="宋体" w:cs="宋体"/>
          <w:sz w:val="22"/>
          <w:szCs w:val="22"/>
          <w:highlight w:val="none"/>
        </w:rPr>
        <w:t>名称</w:t>
      </w:r>
      <w:r>
        <w:rPr>
          <w:rFonts w:hint="eastAsia" w:ascii="宋体" w:hAnsi="宋体" w:eastAsia="宋体" w:cs="宋体"/>
          <w:sz w:val="22"/>
          <w:szCs w:val="22"/>
          <w:highlight w:val="none"/>
          <w:lang w:eastAsia="zh-CN"/>
        </w:rPr>
        <w:t>（如投标人和制造商不同，请分别填写）</w:t>
      </w:r>
      <w:r>
        <w:rPr>
          <w:rFonts w:hint="eastAsia" w:ascii="宋体" w:hAnsi="宋体" w:eastAsia="宋体" w:cs="宋体"/>
          <w:sz w:val="22"/>
          <w:szCs w:val="22"/>
          <w:highlight w:val="none"/>
        </w:rPr>
        <w:t>：</w:t>
      </w:r>
    </w:p>
    <w:p w14:paraId="2301D097">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highlight w:val="none"/>
          <w:u w:val="single"/>
        </w:rPr>
      </w:pPr>
      <w:r>
        <w:rPr>
          <w:rFonts w:hint="eastAsia" w:ascii="宋体" w:hAnsi="宋体" w:eastAsia="宋体" w:cs="宋体"/>
          <w:sz w:val="22"/>
          <w:szCs w:val="22"/>
          <w:highlight w:val="none"/>
          <w:u w:val="none"/>
        </w:rPr>
        <w:t xml:space="preserve"> </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p>
    <w:p w14:paraId="30065296">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rPr>
      </w:pPr>
      <w:r>
        <w:rPr>
          <w:rFonts w:hint="eastAsia" w:ascii="宋体" w:hAnsi="宋体" w:eastAsia="宋体" w:cs="宋体"/>
          <w:sz w:val="22"/>
          <w:szCs w:val="22"/>
          <w:highlight w:val="none"/>
          <w:lang w:val="en-US" w:eastAsia="zh-CN"/>
        </w:rPr>
        <w:t xml:space="preserve"> </w:t>
      </w:r>
      <w:r>
        <w:rPr>
          <w:rFonts w:hint="eastAsia" w:ascii="宋体" w:hAnsi="宋体" w:eastAsia="宋体" w:cs="宋体"/>
          <w:sz w:val="22"/>
          <w:szCs w:val="22"/>
          <w:highlight w:val="none"/>
        </w:rPr>
        <w:t>分包</w:t>
      </w:r>
      <w:r>
        <w:rPr>
          <w:rFonts w:hint="eastAsia" w:ascii="宋体" w:hAnsi="宋体" w:eastAsia="宋体" w:cs="宋体"/>
          <w:sz w:val="22"/>
          <w:szCs w:val="22"/>
          <w:highlight w:val="none"/>
          <w:lang w:eastAsia="zh-CN"/>
        </w:rPr>
        <w:t>投标人</w:t>
      </w:r>
      <w:r>
        <w:rPr>
          <w:rFonts w:hint="eastAsia" w:ascii="宋体" w:hAnsi="宋体" w:eastAsia="宋体" w:cs="宋体"/>
          <w:sz w:val="22"/>
          <w:szCs w:val="22"/>
          <w:highlight w:val="none"/>
          <w:lang w:val="en-US" w:eastAsia="zh-CN"/>
        </w:rPr>
        <w:t>/</w:t>
      </w:r>
      <w:r>
        <w:rPr>
          <w:rFonts w:hint="eastAsia" w:ascii="宋体" w:hAnsi="宋体" w:eastAsia="宋体" w:cs="宋体"/>
          <w:sz w:val="22"/>
          <w:szCs w:val="22"/>
          <w:highlight w:val="none"/>
          <w:lang w:eastAsia="zh-CN"/>
        </w:rPr>
        <w:t>制造商</w:t>
      </w:r>
      <w:r>
        <w:rPr>
          <w:rFonts w:hint="eastAsia" w:ascii="宋体" w:hAnsi="宋体" w:eastAsia="宋体" w:cs="宋体"/>
          <w:sz w:val="22"/>
          <w:szCs w:val="22"/>
        </w:rPr>
        <w:t>类型</w:t>
      </w:r>
      <w:r>
        <w:rPr>
          <w:rFonts w:hint="eastAsia" w:ascii="宋体" w:hAnsi="宋体" w:eastAsia="宋体" w:cs="宋体"/>
          <w:sz w:val="22"/>
          <w:szCs w:val="22"/>
          <w:highlight w:val="none"/>
          <w:lang w:eastAsia="zh-CN"/>
        </w:rPr>
        <w:t>（如果投标人和制造商不同，只填写制造商类型）</w:t>
      </w:r>
      <w:r>
        <w:rPr>
          <w:rFonts w:hint="eastAsia" w:ascii="宋体" w:hAnsi="宋体" w:eastAsia="宋体" w:cs="宋体"/>
          <w:sz w:val="22"/>
          <w:szCs w:val="22"/>
        </w:rPr>
        <w:t>：</w:t>
      </w:r>
    </w:p>
    <w:p w14:paraId="0B00A425">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大型企业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中型企业  </w:t>
      </w:r>
      <w:r>
        <w:rPr>
          <w:rFonts w:hint="eastAsia" w:ascii="宋体" w:hAnsi="宋体" w:eastAsia="宋体" w:cs="宋体"/>
          <w:iCs/>
          <w:sz w:val="22"/>
          <w:szCs w:val="22"/>
        </w:rPr>
        <w:sym w:font="Wingdings" w:char="00A8"/>
      </w:r>
      <w:r>
        <w:rPr>
          <w:rFonts w:hint="eastAsia" w:ascii="宋体" w:hAnsi="宋体" w:eastAsia="宋体" w:cs="宋体"/>
          <w:iCs/>
          <w:sz w:val="22"/>
          <w:szCs w:val="22"/>
        </w:rPr>
        <w:t>小微型企业</w:t>
      </w:r>
      <w:r>
        <w:rPr>
          <w:rFonts w:hint="eastAsia" w:ascii="宋体" w:hAnsi="宋体" w:eastAsia="宋体" w:cs="宋体"/>
          <w:iCs/>
          <w:sz w:val="22"/>
          <w:szCs w:val="22"/>
          <w:lang w:val="en-US" w:eastAsia="zh-CN"/>
        </w:rPr>
        <w:t xml:space="preserve">  </w:t>
      </w:r>
    </w:p>
    <w:p w14:paraId="6577C82A">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none"/>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残疾人福利性单位</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监狱</w:t>
      </w:r>
      <w:r>
        <w:rPr>
          <w:rFonts w:hint="eastAsia" w:ascii="宋体" w:hAnsi="宋体" w:eastAsia="宋体" w:cs="宋体"/>
          <w:iCs/>
          <w:sz w:val="22"/>
          <w:szCs w:val="22"/>
        </w:rPr>
        <w:t>企业</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其他</w:t>
      </w:r>
    </w:p>
    <w:p w14:paraId="16046273">
      <w:pPr>
        <w:keepNext w:val="0"/>
        <w:keepLines w:val="0"/>
        <w:pageBreakBefore w:val="0"/>
        <w:numPr>
          <w:ilvl w:val="-1"/>
          <w:numId w:val="0"/>
        </w:numPr>
        <w:kinsoku/>
        <w:wordWrap/>
        <w:overflowPunct/>
        <w:topLinePunct w:val="0"/>
        <w:bidi w:val="0"/>
        <w:adjustRightInd w:val="0"/>
        <w:snapToGrid w:val="0"/>
        <w:spacing w:line="240" w:lineRule="auto"/>
        <w:ind w:left="0" w:leftChars="0" w:firstLine="0" w:firstLineChars="0"/>
        <w:textAlignment w:val="auto"/>
        <w:outlineLvl w:val="9"/>
        <w:rPr>
          <w:rFonts w:hint="eastAsia" w:ascii="宋体" w:hAnsi="宋体" w:eastAsia="宋体" w:cs="宋体"/>
          <w:iCs/>
          <w:sz w:val="22"/>
          <w:szCs w:val="22"/>
          <w:highlight w:val="none"/>
        </w:rPr>
      </w:pPr>
      <w:r>
        <w:rPr>
          <w:rFonts w:hint="eastAsia" w:ascii="宋体" w:hAnsi="宋体" w:eastAsia="宋体" w:cs="宋体"/>
          <w:sz w:val="22"/>
          <w:szCs w:val="22"/>
          <w:highlight w:val="none"/>
          <w:u w:val="none"/>
          <w:lang w:val="en-US" w:eastAsia="zh-CN"/>
        </w:rPr>
        <w:t xml:space="preserve">    （</w:t>
      </w:r>
      <w:r>
        <w:rPr>
          <w:rFonts w:hint="eastAsia" w:ascii="宋体" w:hAnsi="宋体" w:eastAsia="宋体" w:cs="宋体"/>
          <w:sz w:val="22"/>
          <w:szCs w:val="22"/>
          <w:highlight w:val="none"/>
          <w:u w:val="none"/>
          <w:lang w:val="en" w:eastAsia="zh-CN"/>
        </w:rPr>
        <w:t>8</w:t>
      </w:r>
      <w:r>
        <w:rPr>
          <w:rFonts w:hint="eastAsia" w:ascii="宋体" w:hAnsi="宋体" w:eastAsia="宋体" w:cs="宋体"/>
          <w:sz w:val="22"/>
          <w:szCs w:val="22"/>
          <w:highlight w:val="none"/>
          <w:u w:val="none"/>
          <w:lang w:val="en-US" w:eastAsia="zh-CN"/>
        </w:rPr>
        <w:t>）中标（成交）投标人是否为外商投资企业：</w:t>
      </w:r>
      <w:r>
        <w:rPr>
          <w:rFonts w:hint="eastAsia" w:ascii="宋体" w:hAnsi="宋体" w:eastAsia="宋体" w:cs="宋体"/>
          <w:iCs/>
          <w:sz w:val="22"/>
          <w:szCs w:val="22"/>
          <w:highlight w:val="none"/>
        </w:rPr>
        <w:sym w:font="Wingdings" w:char="00A8"/>
      </w:r>
      <w:r>
        <w:rPr>
          <w:rFonts w:hint="eastAsia" w:ascii="宋体" w:hAnsi="宋体" w:eastAsia="宋体" w:cs="宋体"/>
          <w:iCs/>
          <w:sz w:val="22"/>
          <w:szCs w:val="22"/>
          <w:highlight w:val="none"/>
        </w:rPr>
        <w:t xml:space="preserve">是       </w:t>
      </w:r>
      <w:r>
        <w:rPr>
          <w:rFonts w:hint="eastAsia" w:ascii="宋体" w:hAnsi="宋体" w:eastAsia="宋体" w:cs="宋体"/>
          <w:iCs/>
          <w:sz w:val="22"/>
          <w:szCs w:val="22"/>
          <w:highlight w:val="none"/>
        </w:rPr>
        <w:sym w:font="Wingdings" w:char="00A8"/>
      </w:r>
      <w:r>
        <w:rPr>
          <w:rFonts w:hint="eastAsia" w:ascii="宋体" w:hAnsi="宋体" w:eastAsia="宋体" w:cs="宋体"/>
          <w:iCs/>
          <w:sz w:val="22"/>
          <w:szCs w:val="22"/>
          <w:highlight w:val="none"/>
        </w:rPr>
        <w:t>否</w:t>
      </w:r>
    </w:p>
    <w:p w14:paraId="43A02DE9">
      <w:pPr>
        <w:pStyle w:val="73"/>
        <w:keepNext w:val="0"/>
        <w:keepLines w:val="0"/>
        <w:pageBreakBefore w:val="0"/>
        <w:tabs>
          <w:tab w:val="left" w:pos="1340"/>
        </w:tabs>
        <w:kinsoku/>
        <w:wordWrap/>
        <w:overflowPunct/>
        <w:topLinePunct w:val="0"/>
        <w:bidi w:val="0"/>
        <w:spacing w:line="240" w:lineRule="auto"/>
        <w:textAlignment w:val="auto"/>
        <w:outlineLvl w:val="9"/>
        <w:rPr>
          <w:rFonts w:hint="eastAsia" w:ascii="宋体" w:hAnsi="宋体" w:eastAsia="宋体" w:cs="宋体"/>
          <w:sz w:val="22"/>
          <w:szCs w:val="22"/>
          <w:highlight w:val="none"/>
          <w:u w:val="single"/>
        </w:rPr>
      </w:pPr>
      <w:r>
        <w:rPr>
          <w:rFonts w:hint="eastAsia" w:ascii="宋体" w:hAnsi="宋体" w:eastAsia="宋体" w:cs="宋体"/>
          <w:sz w:val="22"/>
          <w:szCs w:val="22"/>
          <w:highlight w:val="none"/>
          <w:u w:val="none"/>
          <w:lang w:val="en-US" w:eastAsia="zh-CN"/>
        </w:rPr>
        <w:t xml:space="preserve">     外商投资企业类型：</w:t>
      </w:r>
      <w:r>
        <w:rPr>
          <w:rFonts w:hint="eastAsia" w:ascii="宋体" w:hAnsi="宋体" w:eastAsia="宋体" w:cs="宋体"/>
          <w:iCs/>
          <w:sz w:val="22"/>
          <w:szCs w:val="22"/>
          <w:highlight w:val="none"/>
        </w:rPr>
        <w:sym w:font="Wingdings" w:char="00A8"/>
      </w:r>
      <w:r>
        <w:rPr>
          <w:rFonts w:hint="eastAsia" w:ascii="宋体" w:hAnsi="宋体" w:eastAsia="宋体" w:cs="宋体"/>
          <w:sz w:val="22"/>
          <w:szCs w:val="22"/>
          <w:highlight w:val="none"/>
          <w:u w:val="none"/>
          <w:lang w:val="en-US" w:eastAsia="zh-CN"/>
        </w:rPr>
        <w:t xml:space="preserve">全部由外国投资者投资  </w:t>
      </w:r>
      <w:r>
        <w:rPr>
          <w:rFonts w:hint="eastAsia" w:ascii="宋体" w:hAnsi="宋体" w:eastAsia="宋体" w:cs="宋体"/>
          <w:iCs/>
          <w:sz w:val="22"/>
          <w:szCs w:val="22"/>
          <w:highlight w:val="none"/>
        </w:rPr>
        <w:sym w:font="Wingdings" w:char="00A8"/>
      </w:r>
      <w:r>
        <w:rPr>
          <w:rFonts w:hint="eastAsia" w:ascii="宋体" w:hAnsi="宋体" w:eastAsia="宋体" w:cs="宋体"/>
          <w:iCs/>
          <w:sz w:val="22"/>
          <w:szCs w:val="22"/>
          <w:highlight w:val="none"/>
          <w:lang w:val="en-US" w:eastAsia="zh-CN"/>
        </w:rPr>
        <w:t>部分由外国投资者投资</w:t>
      </w:r>
    </w:p>
    <w:p w14:paraId="68E1CE24">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w:t>
      </w:r>
      <w:r>
        <w:rPr>
          <w:rFonts w:hint="eastAsia" w:ascii="宋体" w:hAnsi="宋体" w:eastAsia="宋体" w:cs="宋体"/>
          <w:b w:val="0"/>
          <w:bCs w:val="0"/>
          <w:sz w:val="22"/>
          <w:szCs w:val="22"/>
          <w:u w:val="none"/>
          <w:lang w:val="en" w:eastAsia="zh-CN"/>
        </w:rPr>
        <w:t>9</w:t>
      </w:r>
      <w:r>
        <w:rPr>
          <w:rFonts w:hint="eastAsia" w:ascii="宋体" w:hAnsi="宋体" w:eastAsia="宋体" w:cs="宋体"/>
          <w:b w:val="0"/>
          <w:bCs w:val="0"/>
          <w:sz w:val="22"/>
          <w:szCs w:val="22"/>
          <w:u w:val="none"/>
          <w:lang w:val="en-US" w:eastAsia="zh-CN"/>
        </w:rPr>
        <w:t>）是否涉及进口产品：</w:t>
      </w:r>
    </w:p>
    <w:p w14:paraId="652E0462">
      <w:pPr>
        <w:keepNext w:val="0"/>
        <w:keepLines w:val="0"/>
        <w:pageBreakBefore w:val="0"/>
        <w:numPr>
          <w:ilvl w:val="-1"/>
          <w:numId w:val="0"/>
        </w:numPr>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single"/>
          <w:lang w:val="en-US"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，《政府采购品目分类目录》底级品目名称</w:t>
      </w:r>
      <w:r>
        <w:rPr>
          <w:rFonts w:hint="eastAsia" w:ascii="宋体" w:hAnsi="宋体" w:eastAsia="宋体" w:cs="宋体"/>
          <w:sz w:val="22"/>
          <w:szCs w:val="22"/>
          <w:lang w:val="en-US"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金额：</w:t>
      </w:r>
      <w:r>
        <w:rPr>
          <w:rFonts w:hint="eastAsia" w:ascii="宋体" w:hAnsi="宋体" w:eastAsia="宋体" w:cs="宋体"/>
          <w:sz w:val="22"/>
          <w:szCs w:val="22"/>
          <w:u w:val="single"/>
          <w:lang w:val="en-US" w:eastAsia="zh-CN"/>
        </w:rPr>
        <w:t xml:space="preserve">        </w:t>
      </w:r>
    </w:p>
    <w:p w14:paraId="7E521C2A">
      <w:pPr>
        <w:keepNext w:val="0"/>
        <w:keepLines w:val="0"/>
        <w:pageBreakBefore w:val="0"/>
        <w:numPr>
          <w:ilvl w:val="-1"/>
          <w:numId w:val="0"/>
        </w:numPr>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iCs w:val="0"/>
          <w:sz w:val="22"/>
          <w:szCs w:val="22"/>
        </w:rPr>
      </w:pPr>
      <w:r>
        <w:rPr>
          <w:rFonts w:hint="eastAsia" w:ascii="宋体" w:hAnsi="宋体" w:eastAsia="宋体" w:cs="宋体"/>
          <w:sz w:val="22"/>
          <w:szCs w:val="22"/>
          <w:lang w:val="en-US" w:eastAsia="zh-CN"/>
        </w:rPr>
        <w:t xml:space="preserve">        国别：</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规格型号：</w:t>
      </w:r>
      <w:r>
        <w:rPr>
          <w:rFonts w:hint="eastAsia" w:ascii="宋体" w:hAnsi="宋体" w:eastAsia="宋体" w:cs="宋体"/>
          <w:sz w:val="22"/>
          <w:szCs w:val="22"/>
          <w:u w:val="single"/>
          <w:lang w:val="en-US" w:eastAsia="zh-CN"/>
        </w:rPr>
        <w:t xml:space="preserve">        </w:t>
      </w:r>
      <w:r>
        <w:rPr>
          <w:rFonts w:hint="eastAsia" w:ascii="宋体" w:hAnsi="宋体" w:eastAsia="宋体" w:cs="宋体"/>
          <w:iCs w:val="0"/>
          <w:sz w:val="22"/>
          <w:szCs w:val="22"/>
        </w:rPr>
        <w:t xml:space="preserve">      </w:t>
      </w:r>
    </w:p>
    <w:p w14:paraId="2702AE19">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none"/>
          <w:lang w:val="en-US"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否</w:t>
      </w:r>
    </w:p>
    <w:p w14:paraId="3743CEA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 xml:space="preserve">    （1</w:t>
      </w:r>
      <w:r>
        <w:rPr>
          <w:rFonts w:hint="eastAsia" w:ascii="宋体" w:hAnsi="宋体" w:eastAsia="宋体" w:cs="宋体"/>
          <w:b w:val="0"/>
          <w:bCs w:val="0"/>
          <w:sz w:val="22"/>
          <w:szCs w:val="22"/>
          <w:u w:val="none"/>
          <w:lang w:val="en" w:eastAsia="zh-CN"/>
        </w:rPr>
        <w:t>0</w:t>
      </w:r>
      <w:r>
        <w:rPr>
          <w:rFonts w:hint="eastAsia" w:ascii="宋体" w:hAnsi="宋体" w:eastAsia="宋体" w:cs="宋体"/>
          <w:b w:val="0"/>
          <w:bCs w:val="0"/>
          <w:sz w:val="22"/>
          <w:szCs w:val="22"/>
          <w:u w:val="none"/>
          <w:lang w:val="en-US" w:eastAsia="zh-CN"/>
        </w:rPr>
        <w:t>）是否涉及节能产品：</w:t>
      </w:r>
    </w:p>
    <w:p w14:paraId="24E00B8D">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b w:val="0"/>
          <w:bCs w:val="0"/>
          <w:sz w:val="22"/>
          <w:szCs w:val="22"/>
          <w:u w:val="none"/>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，《节能产品政府采购品目清单》的底级品目名称：</w:t>
      </w:r>
      <w:r>
        <w:rPr>
          <w:rFonts w:hint="eastAsia" w:ascii="宋体" w:hAnsi="宋体" w:eastAsia="宋体" w:cs="宋体"/>
          <w:sz w:val="22"/>
          <w:szCs w:val="22"/>
          <w:u w:val="single"/>
          <w:lang w:val="en-US" w:eastAsia="zh-CN"/>
        </w:rPr>
        <w:t xml:space="preserve">         </w:t>
      </w:r>
      <w:r>
        <w:rPr>
          <w:rFonts w:hint="eastAsia" w:ascii="宋体" w:hAnsi="宋体" w:eastAsia="宋体" w:cs="宋体"/>
          <w:iCs/>
          <w:sz w:val="22"/>
          <w:szCs w:val="22"/>
          <w:lang w:val="en-US" w:eastAsia="zh-CN"/>
        </w:rPr>
        <w:t xml:space="preserve">     </w:t>
      </w:r>
    </w:p>
    <w:p w14:paraId="22307B43">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强制采购</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优先采购</w:t>
      </w:r>
      <w:r>
        <w:rPr>
          <w:rFonts w:hint="eastAsia" w:ascii="宋体" w:hAnsi="宋体" w:eastAsia="宋体" w:cs="宋体"/>
          <w:iCs/>
          <w:sz w:val="22"/>
          <w:szCs w:val="22"/>
          <w:lang w:val="en-US" w:eastAsia="zh-CN"/>
        </w:rPr>
        <w:t xml:space="preserve">    </w:t>
      </w:r>
    </w:p>
    <w:p w14:paraId="08D444DF">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rPr>
      </w:pPr>
      <w:r>
        <w:rPr>
          <w:rFonts w:hint="eastAsia" w:ascii="宋体" w:hAnsi="宋体" w:eastAsia="宋体" w:cs="宋体"/>
          <w:iCs/>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否</w:t>
      </w:r>
    </w:p>
    <w:p w14:paraId="5ED80A6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 xml:space="preserve">          是否涉及环境标志产品：</w:t>
      </w:r>
    </w:p>
    <w:p w14:paraId="3107AB6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lang w:eastAsia="zh-CN"/>
        </w:rPr>
      </w:pPr>
      <w:r>
        <w:rPr>
          <w:rFonts w:hint="eastAsia" w:ascii="宋体" w:hAnsi="宋体" w:eastAsia="宋体" w:cs="宋体"/>
          <w:b w:val="0"/>
          <w:bCs w:val="0"/>
          <w:sz w:val="22"/>
          <w:szCs w:val="22"/>
          <w:u w:val="none"/>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，《环境标志产品政府采购品目清单》的底级品目名称：</w:t>
      </w:r>
      <w:r>
        <w:rPr>
          <w:rFonts w:hint="eastAsia" w:ascii="宋体" w:hAnsi="宋体" w:eastAsia="宋体" w:cs="宋体"/>
          <w:sz w:val="22"/>
          <w:szCs w:val="22"/>
          <w:u w:val="single"/>
          <w:lang w:val="en-US" w:eastAsia="zh-CN"/>
        </w:rPr>
        <w:t xml:space="preserve">         </w:t>
      </w:r>
      <w:r>
        <w:rPr>
          <w:rFonts w:hint="eastAsia" w:ascii="宋体" w:hAnsi="宋体" w:eastAsia="宋体" w:cs="宋体"/>
          <w:iCs/>
          <w:sz w:val="22"/>
          <w:szCs w:val="22"/>
          <w:lang w:val="en-US" w:eastAsia="zh-CN"/>
        </w:rPr>
        <w:t xml:space="preserve"> </w:t>
      </w:r>
    </w:p>
    <w:p w14:paraId="5EDB4151">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强制采购</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优先采购</w:t>
      </w:r>
      <w:r>
        <w:rPr>
          <w:rFonts w:hint="eastAsia" w:ascii="宋体" w:hAnsi="宋体" w:eastAsia="宋体" w:cs="宋体"/>
          <w:iCs/>
          <w:sz w:val="22"/>
          <w:szCs w:val="22"/>
          <w:lang w:val="en-US" w:eastAsia="zh-CN"/>
        </w:rPr>
        <w:t xml:space="preserve">    </w:t>
      </w:r>
    </w:p>
    <w:p w14:paraId="22FE9D6F">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否</w:t>
      </w:r>
    </w:p>
    <w:p w14:paraId="1C9775D8">
      <w:pPr>
        <w:pStyle w:val="73"/>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kern w:val="2"/>
          <w:sz w:val="22"/>
          <w:szCs w:val="22"/>
          <w:u w:val="none"/>
          <w:lang w:val="en-US" w:eastAsia="zh-CN"/>
        </w:rPr>
      </w:pPr>
      <w:r>
        <w:rPr>
          <w:rFonts w:hint="eastAsia" w:ascii="宋体" w:hAnsi="宋体" w:eastAsia="宋体" w:cs="宋体"/>
          <w:b w:val="0"/>
          <w:bCs w:val="0"/>
          <w:sz w:val="22"/>
          <w:szCs w:val="22"/>
          <w:u w:val="none"/>
          <w:lang w:val="en-US" w:eastAsia="zh-CN"/>
        </w:rPr>
        <w:t xml:space="preserve">          </w:t>
      </w:r>
      <w:r>
        <w:rPr>
          <w:rFonts w:hint="eastAsia" w:ascii="宋体" w:hAnsi="宋体" w:eastAsia="宋体" w:cs="宋体"/>
          <w:b w:val="0"/>
          <w:bCs w:val="0"/>
          <w:kern w:val="2"/>
          <w:sz w:val="22"/>
          <w:szCs w:val="22"/>
          <w:u w:val="none"/>
          <w:lang w:val="en-US" w:eastAsia="zh-CN"/>
        </w:rPr>
        <w:t>是否涉及绿色产品：</w:t>
      </w:r>
      <w:r>
        <w:rPr>
          <w:rFonts w:hint="eastAsia" w:ascii="宋体" w:hAnsi="宋体" w:eastAsia="宋体" w:cs="宋体"/>
          <w:iCs w:val="0"/>
          <w:kern w:val="2"/>
          <w:sz w:val="22"/>
          <w:szCs w:val="22"/>
          <w:u w:val="none"/>
          <w:lang w:val="en-US" w:eastAsia="zh-CN"/>
        </w:rPr>
        <w:t xml:space="preserve"> </w:t>
      </w:r>
    </w:p>
    <w:p w14:paraId="3217EF91">
      <w:pPr>
        <w:pStyle w:val="73"/>
        <w:keepNext w:val="0"/>
        <w:keepLines w:val="0"/>
        <w:pageBreakBefore w:val="0"/>
        <w:kinsoku/>
        <w:wordWrap/>
        <w:overflowPunct/>
        <w:topLinePunct w:val="0"/>
        <w:bidi w:val="0"/>
        <w:spacing w:line="240" w:lineRule="auto"/>
        <w:ind w:firstLine="420" w:firstLineChars="0"/>
        <w:textAlignment w:val="auto"/>
        <w:outlineLvl w:val="9"/>
        <w:rPr>
          <w:rFonts w:hint="eastAsia" w:ascii="宋体" w:hAnsi="宋体" w:eastAsia="宋体" w:cs="宋体"/>
          <w:sz w:val="22"/>
          <w:szCs w:val="22"/>
          <w:u w:val="single"/>
          <w:lang w:val="en-US" w:eastAsia="zh-CN"/>
        </w:rPr>
      </w:pPr>
      <w:r>
        <w:rPr>
          <w:rFonts w:hint="eastAsia" w:ascii="宋体" w:hAnsi="宋体" w:eastAsia="宋体" w:cs="宋体"/>
          <w:iCs w:val="0"/>
          <w:kern w:val="2"/>
          <w:sz w:val="22"/>
          <w:szCs w:val="22"/>
          <w:u w:val="none"/>
          <w:lang w:val="en-US" w:eastAsia="zh-CN"/>
        </w:rPr>
        <w:t xml:space="preserve">     </w:t>
      </w:r>
      <w:r>
        <w:rPr>
          <w:rFonts w:hint="eastAsia" w:ascii="宋体" w:hAnsi="宋体" w:eastAsia="宋体" w:cs="宋体"/>
          <w:iCs w:val="0"/>
          <w:kern w:val="2"/>
          <w:sz w:val="22"/>
          <w:szCs w:val="22"/>
          <w:u w:val="none"/>
        </w:rPr>
        <w:sym w:font="Wingdings" w:char="00A8"/>
      </w:r>
      <w:r>
        <w:rPr>
          <w:rFonts w:hint="eastAsia" w:ascii="宋体" w:hAnsi="宋体" w:eastAsia="宋体" w:cs="宋体"/>
          <w:iCs w:val="0"/>
          <w:kern w:val="2"/>
          <w:sz w:val="22"/>
          <w:szCs w:val="22"/>
          <w:u w:val="none"/>
        </w:rPr>
        <w:t>是</w:t>
      </w:r>
      <w:r>
        <w:rPr>
          <w:rFonts w:hint="eastAsia" w:ascii="宋体" w:hAnsi="宋体" w:eastAsia="宋体" w:cs="宋体"/>
          <w:iCs w:val="0"/>
          <w:kern w:val="2"/>
          <w:sz w:val="22"/>
          <w:szCs w:val="22"/>
          <w:u w:val="none"/>
          <w:lang w:eastAsia="zh-CN"/>
        </w:rPr>
        <w:t>，绿色产品政府采购相关政策确定的底级品目名称：</w:t>
      </w:r>
      <w:r>
        <w:rPr>
          <w:rFonts w:hint="eastAsia" w:ascii="宋体" w:hAnsi="宋体" w:eastAsia="宋体" w:cs="宋体"/>
          <w:sz w:val="22"/>
          <w:szCs w:val="22"/>
          <w:u w:val="single"/>
          <w:lang w:val="en-US" w:eastAsia="zh-CN"/>
        </w:rPr>
        <w:t xml:space="preserve">         </w:t>
      </w:r>
    </w:p>
    <w:p w14:paraId="40CEFFF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强制采购</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优先采购</w:t>
      </w:r>
      <w:r>
        <w:rPr>
          <w:rFonts w:hint="eastAsia" w:ascii="宋体" w:hAnsi="宋体" w:eastAsia="宋体" w:cs="宋体"/>
          <w:iCs/>
          <w:sz w:val="22"/>
          <w:szCs w:val="22"/>
          <w:lang w:val="en-US" w:eastAsia="zh-CN"/>
        </w:rPr>
        <w:t xml:space="preserve">    </w:t>
      </w:r>
    </w:p>
    <w:p w14:paraId="61E86DD3">
      <w:pPr>
        <w:pStyle w:val="73"/>
        <w:keepNext w:val="0"/>
        <w:keepLines w:val="0"/>
        <w:pageBreakBefore w:val="0"/>
        <w:kinsoku/>
        <w:wordWrap/>
        <w:overflowPunct/>
        <w:topLinePunct w:val="0"/>
        <w:bidi w:val="0"/>
        <w:spacing w:line="240" w:lineRule="auto"/>
        <w:ind w:firstLine="42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iCs w:val="0"/>
          <w:kern w:val="2"/>
          <w:sz w:val="22"/>
          <w:szCs w:val="22"/>
          <w:u w:val="none"/>
          <w:lang w:val="en-US" w:eastAsia="zh-CN"/>
        </w:rPr>
        <w:t xml:space="preserve">     </w:t>
      </w:r>
      <w:r>
        <w:rPr>
          <w:rFonts w:hint="eastAsia" w:ascii="宋体" w:hAnsi="宋体" w:eastAsia="宋体" w:cs="宋体"/>
          <w:iCs w:val="0"/>
          <w:kern w:val="2"/>
          <w:sz w:val="22"/>
          <w:szCs w:val="22"/>
          <w:u w:val="none"/>
        </w:rPr>
        <w:sym w:font="Wingdings" w:char="00A8"/>
      </w:r>
      <w:r>
        <w:rPr>
          <w:rFonts w:hint="eastAsia" w:ascii="宋体" w:hAnsi="宋体" w:eastAsia="宋体" w:cs="宋体"/>
          <w:iCs w:val="0"/>
          <w:kern w:val="2"/>
          <w:sz w:val="22"/>
          <w:szCs w:val="22"/>
          <w:u w:val="none"/>
        </w:rPr>
        <w:t>否</w:t>
      </w:r>
    </w:p>
    <w:p w14:paraId="21AA43CD">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（1</w:t>
      </w:r>
      <w:r>
        <w:rPr>
          <w:rFonts w:hint="eastAsia" w:ascii="宋体" w:hAnsi="宋体" w:eastAsia="宋体" w:cs="宋体"/>
          <w:sz w:val="22"/>
          <w:szCs w:val="22"/>
          <w:lang w:val="en" w:eastAsia="zh-CN"/>
        </w:rPr>
        <w:t>1</w:t>
      </w:r>
      <w:r>
        <w:rPr>
          <w:rFonts w:hint="eastAsia" w:ascii="宋体" w:hAnsi="宋体" w:eastAsia="宋体" w:cs="宋体"/>
          <w:sz w:val="22"/>
          <w:szCs w:val="22"/>
          <w:lang w:val="en-US" w:eastAsia="zh-CN"/>
        </w:rPr>
        <w:t>）涉及商品包装和快递包装的，是否参考</w:t>
      </w:r>
      <w:r>
        <w:rPr>
          <w:rFonts w:hint="eastAsia" w:ascii="宋体" w:hAnsi="宋体" w:eastAsia="宋体" w:cs="宋体"/>
          <w:sz w:val="22"/>
          <w:szCs w:val="22"/>
        </w:rPr>
        <w:t>《商品包装政府采购需求标准（试行）》、《快递包装政府采购需求标准（试行）》</w:t>
      </w:r>
      <w:r>
        <w:rPr>
          <w:rFonts w:hint="eastAsia" w:ascii="宋体" w:hAnsi="宋体" w:eastAsia="宋体" w:cs="宋体"/>
          <w:sz w:val="22"/>
          <w:szCs w:val="22"/>
          <w:lang w:eastAsia="zh-CN"/>
        </w:rPr>
        <w:t>明确产品及相关快递服务的具体包装要求：</w:t>
      </w:r>
    </w:p>
    <w:p w14:paraId="7D444FE6">
      <w:pPr>
        <w:keepNext w:val="0"/>
        <w:keepLines w:val="0"/>
        <w:pageBreakBefore w:val="0"/>
        <w:numPr>
          <w:ilvl w:val="-1"/>
          <w:numId w:val="0"/>
        </w:numPr>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iCs w:val="0"/>
          <w:sz w:val="22"/>
          <w:szCs w:val="22"/>
          <w:lang w:val="en-US" w:eastAsia="zh-CN"/>
        </w:rPr>
      </w:pP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 xml:space="preserve">是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否</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不涉及</w:t>
      </w:r>
    </w:p>
    <w:p w14:paraId="64FC79C4">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highlight w:val="none"/>
        </w:rPr>
      </w:pPr>
      <w:r>
        <w:rPr>
          <w:rFonts w:hint="eastAsia" w:ascii="宋体" w:hAnsi="宋体" w:eastAsia="宋体" w:cs="宋体"/>
          <w:b/>
          <w:sz w:val="22"/>
          <w:szCs w:val="22"/>
          <w:highlight w:val="none"/>
        </w:rPr>
        <w:t>合同金额</w:t>
      </w:r>
    </w:p>
    <w:p w14:paraId="61285A54">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（1）合同金额小写：</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03562E2A">
      <w:pPr>
        <w:keepNext w:val="0"/>
        <w:keepLines w:val="0"/>
        <w:pageBreakBefore w:val="0"/>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sz w:val="22"/>
          <w:szCs w:val="22"/>
          <w:u w:val="single"/>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大写：</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1DA6F493">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分包金额</w:t>
      </w:r>
      <w:r>
        <w:rPr>
          <w:rFonts w:hint="eastAsia" w:ascii="宋体" w:hAnsi="宋体" w:eastAsia="宋体" w:cs="宋体"/>
          <w:sz w:val="22"/>
          <w:szCs w:val="22"/>
          <w:lang w:eastAsia="zh-CN"/>
        </w:rPr>
        <w:t>（如有）</w:t>
      </w:r>
      <w:r>
        <w:rPr>
          <w:rFonts w:hint="eastAsia" w:ascii="宋体" w:hAnsi="宋体" w:eastAsia="宋体" w:cs="宋体"/>
          <w:sz w:val="22"/>
          <w:szCs w:val="22"/>
        </w:rPr>
        <w:t>小写：</w:t>
      </w:r>
      <w:r>
        <w:rPr>
          <w:rFonts w:hint="eastAsia" w:ascii="宋体" w:hAnsi="宋体" w:eastAsia="宋体" w:cs="宋体"/>
          <w:sz w:val="22"/>
          <w:szCs w:val="22"/>
          <w:u w:val="single"/>
        </w:rPr>
        <w:t xml:space="preserve">                   </w:t>
      </w:r>
    </w:p>
    <w:p w14:paraId="306762D3">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u w:val="single"/>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大写：</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3CAD4900">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（注：固定单价合同应填写单价和最高限价）</w:t>
      </w:r>
    </w:p>
    <w:p w14:paraId="3A3C7C5C">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2</w:t>
      </w:r>
      <w:r>
        <w:rPr>
          <w:rFonts w:hint="eastAsia" w:ascii="宋体" w:hAnsi="宋体" w:eastAsia="宋体" w:cs="宋体"/>
          <w:sz w:val="22"/>
          <w:szCs w:val="22"/>
          <w:lang w:eastAsia="zh-CN"/>
        </w:rPr>
        <w:t>）</w:t>
      </w:r>
      <w:r>
        <w:rPr>
          <w:rFonts w:hint="eastAsia" w:ascii="宋体" w:hAnsi="宋体" w:eastAsia="宋体" w:cs="宋体"/>
          <w:sz w:val="22"/>
          <w:szCs w:val="22"/>
        </w:rPr>
        <w:t>合同定价方式</w:t>
      </w:r>
      <w:r>
        <w:rPr>
          <w:rFonts w:hint="eastAsia" w:ascii="宋体" w:hAnsi="宋体" w:eastAsia="宋体" w:cs="宋体"/>
          <w:sz w:val="22"/>
          <w:szCs w:val="22"/>
          <w:lang w:eastAsia="zh-CN"/>
        </w:rPr>
        <w:t>（采用组合定价方式的，可以勾选多项）</w:t>
      </w:r>
      <w:r>
        <w:rPr>
          <w:rFonts w:hint="eastAsia" w:ascii="宋体" w:hAnsi="宋体" w:eastAsia="宋体" w:cs="宋体"/>
          <w:sz w:val="22"/>
          <w:szCs w:val="22"/>
        </w:rPr>
        <w:t>：</w:t>
      </w:r>
    </w:p>
    <w:p w14:paraId="0593B39B">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固定总价 </w:t>
      </w:r>
      <w:r>
        <w:rPr>
          <w:rFonts w:hint="eastAsia" w:ascii="宋体" w:hAnsi="宋体" w:eastAsia="宋体" w:cs="宋体"/>
          <w:iCs/>
          <w:sz w:val="22"/>
          <w:szCs w:val="22"/>
        </w:rPr>
        <w:sym w:font="Wingdings" w:char="00A8"/>
      </w:r>
      <w:r>
        <w:rPr>
          <w:rFonts w:hint="eastAsia" w:ascii="宋体" w:hAnsi="宋体" w:eastAsia="宋体" w:cs="宋体"/>
          <w:iCs/>
          <w:sz w:val="22"/>
          <w:szCs w:val="22"/>
        </w:rPr>
        <w:t>固定单价</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固定费率</w:t>
      </w:r>
      <w:r>
        <w:rPr>
          <w:rFonts w:hint="eastAsia" w:ascii="宋体" w:hAnsi="宋体" w:eastAsia="宋体" w:cs="宋体"/>
          <w:iCs/>
          <w:sz w:val="22"/>
          <w:szCs w:val="22"/>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成本补偿 </w:t>
      </w:r>
      <w:r>
        <w:rPr>
          <w:rFonts w:hint="eastAsia" w:ascii="宋体" w:hAnsi="宋体" w:eastAsia="宋体" w:cs="宋体"/>
          <w:iCs/>
          <w:sz w:val="22"/>
          <w:szCs w:val="22"/>
        </w:rPr>
        <w:sym w:font="Wingdings" w:char="00A8"/>
      </w:r>
      <w:r>
        <w:rPr>
          <w:rFonts w:hint="eastAsia" w:ascii="宋体" w:hAnsi="宋体" w:eastAsia="宋体" w:cs="宋体"/>
          <w:iCs/>
          <w:sz w:val="22"/>
          <w:szCs w:val="22"/>
        </w:rPr>
        <w:t>绩效激励</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其他</w:t>
      </w:r>
      <w:r>
        <w:rPr>
          <w:rFonts w:hint="eastAsia" w:ascii="宋体" w:hAnsi="宋体" w:eastAsia="宋体" w:cs="宋体"/>
          <w:sz w:val="22"/>
          <w:szCs w:val="22"/>
          <w:u w:val="single"/>
        </w:rPr>
        <w:t xml:space="preserve">       </w:t>
      </w:r>
    </w:p>
    <w:p w14:paraId="5DC7AD62">
      <w:pPr>
        <w:pStyle w:val="74"/>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3</w:t>
      </w:r>
      <w:r>
        <w:rPr>
          <w:rFonts w:hint="eastAsia" w:ascii="宋体" w:hAnsi="宋体" w:eastAsia="宋体" w:cs="宋体"/>
          <w:sz w:val="22"/>
          <w:szCs w:val="22"/>
        </w:rPr>
        <w:t>）付款方式（按项目实际勾选填写）：</w:t>
      </w:r>
    </w:p>
    <w:p w14:paraId="7B9A3175">
      <w:pPr>
        <w:keepNext w:val="0"/>
        <w:keepLines w:val="0"/>
        <w:pageBreakBefore w:val="0"/>
        <w:kinsoku/>
        <w:wordWrap/>
        <w:overflowPunct/>
        <w:topLinePunct w:val="0"/>
        <w:bidi w:val="0"/>
        <w:adjustRightInd w:val="0"/>
        <w:snapToGrid w:val="0"/>
        <w:spacing w:line="240" w:lineRule="auto"/>
        <w:ind w:firstLine="660" w:firstLineChars="3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sym w:font="Wingdings" w:char="00A8"/>
      </w:r>
      <w:r>
        <w:rPr>
          <w:rFonts w:hint="eastAsia" w:ascii="宋体" w:hAnsi="宋体" w:eastAsia="宋体" w:cs="宋体"/>
          <w:sz w:val="22"/>
          <w:szCs w:val="22"/>
        </w:rPr>
        <w:t>全额付款：</w:t>
      </w:r>
      <w:r>
        <w:rPr>
          <w:rFonts w:hint="eastAsia" w:ascii="宋体" w:hAnsi="宋体" w:eastAsia="宋体" w:cs="宋体"/>
          <w:sz w:val="22"/>
          <w:szCs w:val="22"/>
          <w:u w:val="single"/>
        </w:rPr>
        <w:t xml:space="preserve">     （应</w:t>
      </w:r>
      <w:r>
        <w:rPr>
          <w:rFonts w:hint="eastAsia" w:ascii="宋体" w:hAnsi="宋体" w:eastAsia="宋体" w:cs="宋体"/>
          <w:sz w:val="22"/>
          <w:szCs w:val="22"/>
          <w:u w:val="single"/>
          <w:lang w:eastAsia="zh-CN"/>
        </w:rPr>
        <w:t>明确</w:t>
      </w:r>
      <w:r>
        <w:rPr>
          <w:rFonts w:hint="eastAsia" w:ascii="宋体" w:hAnsi="宋体" w:eastAsia="宋体" w:cs="宋体"/>
          <w:sz w:val="22"/>
          <w:szCs w:val="22"/>
          <w:u w:val="single"/>
        </w:rPr>
        <w:t>一次性支付合同款项</w:t>
      </w:r>
      <w:r>
        <w:rPr>
          <w:rFonts w:hint="eastAsia" w:ascii="宋体" w:hAnsi="宋体" w:eastAsia="宋体" w:cs="宋体"/>
          <w:sz w:val="22"/>
          <w:szCs w:val="22"/>
          <w:u w:val="single"/>
          <w:lang w:eastAsia="zh-CN"/>
        </w:rPr>
        <w:t>的条件</w:t>
      </w:r>
      <w:r>
        <w:rPr>
          <w:rFonts w:hint="eastAsia" w:ascii="宋体" w:hAnsi="宋体" w:eastAsia="宋体" w:cs="宋体"/>
          <w:sz w:val="22"/>
          <w:szCs w:val="22"/>
          <w:u w:val="single"/>
        </w:rPr>
        <w:t xml:space="preserve">）                    </w:t>
      </w:r>
    </w:p>
    <w:p w14:paraId="094264D2">
      <w:pPr>
        <w:keepNext w:val="0"/>
        <w:keepLines w:val="0"/>
        <w:pageBreakBefore w:val="0"/>
        <w:kinsoku/>
        <w:wordWrap/>
        <w:overflowPunct/>
        <w:topLinePunct w:val="0"/>
        <w:bidi w:val="0"/>
        <w:snapToGrid w:val="0"/>
        <w:spacing w:line="240" w:lineRule="auto"/>
        <w:ind w:firstLine="660" w:firstLineChars="300"/>
        <w:textAlignment w:val="auto"/>
        <w:outlineLvl w:val="9"/>
        <w:rPr>
          <w:rFonts w:hint="eastAsia" w:ascii="宋体" w:hAnsi="宋体" w:eastAsia="宋体" w:cs="宋体"/>
          <w:sz w:val="22"/>
          <w:szCs w:val="22"/>
        </w:rPr>
      </w:pPr>
      <w:r>
        <w:rPr>
          <w:rFonts w:hint="eastAsia" w:ascii="宋体" w:hAnsi="宋体" w:eastAsia="宋体" w:cs="宋体"/>
          <w:sz w:val="22"/>
          <w:szCs w:val="22"/>
        </w:rPr>
        <w:sym w:font="Wingdings" w:char="00A8"/>
      </w:r>
      <w:r>
        <w:rPr>
          <w:rFonts w:hint="eastAsia" w:ascii="宋体" w:hAnsi="宋体" w:eastAsia="宋体" w:cs="宋体"/>
          <w:sz w:val="22"/>
          <w:szCs w:val="22"/>
        </w:rPr>
        <w:t>分期付款：</w:t>
      </w:r>
      <w:r>
        <w:rPr>
          <w:rFonts w:hint="eastAsia" w:ascii="宋体" w:hAnsi="宋体" w:eastAsia="宋体" w:cs="宋体"/>
          <w:sz w:val="22"/>
          <w:szCs w:val="22"/>
          <w:u w:val="single"/>
        </w:rPr>
        <w:t xml:space="preserve">  （应明确分期支付合同款项的各期比例和支付条件</w:t>
      </w:r>
      <w:r>
        <w:rPr>
          <w:rFonts w:hint="eastAsia" w:ascii="宋体" w:hAnsi="宋体" w:eastAsia="宋体" w:cs="宋体"/>
          <w:sz w:val="22"/>
          <w:szCs w:val="22"/>
          <w:u w:val="single"/>
          <w:lang w:eastAsia="zh-CN"/>
        </w:rPr>
        <w:t>，各期支付条件应与分期履约验收情况挂钩</w:t>
      </w:r>
      <w:r>
        <w:rPr>
          <w:rFonts w:hint="eastAsia" w:ascii="宋体" w:hAnsi="宋体" w:eastAsia="宋体" w:cs="宋体"/>
          <w:sz w:val="22"/>
          <w:szCs w:val="22"/>
          <w:u w:val="single"/>
        </w:rPr>
        <w:t xml:space="preserve">） </w:t>
      </w:r>
      <w:r>
        <w:rPr>
          <w:rFonts w:hint="eastAsia" w:ascii="宋体" w:hAnsi="宋体" w:eastAsia="宋体" w:cs="宋体"/>
          <w:sz w:val="22"/>
          <w:szCs w:val="22"/>
          <w:u w:val="none"/>
          <w:lang w:eastAsia="zh-CN"/>
        </w:rPr>
        <w:t>，</w:t>
      </w:r>
      <w:r>
        <w:rPr>
          <w:rFonts w:hint="eastAsia" w:ascii="宋体" w:hAnsi="宋体" w:eastAsia="宋体" w:cs="宋体"/>
          <w:sz w:val="22"/>
          <w:szCs w:val="22"/>
          <w:lang w:eastAsia="zh-CN"/>
        </w:rPr>
        <w:t>其中涉及预付款的</w:t>
      </w:r>
      <w:r>
        <w:rPr>
          <w:rFonts w:hint="eastAsia" w:ascii="宋体" w:hAnsi="宋体" w:eastAsia="宋体" w:cs="宋体"/>
          <w:sz w:val="22"/>
          <w:szCs w:val="22"/>
        </w:rPr>
        <w:t>：</w:t>
      </w:r>
      <w:r>
        <w:rPr>
          <w:rFonts w:hint="eastAsia" w:ascii="宋体" w:hAnsi="宋体" w:eastAsia="宋体" w:cs="宋体"/>
          <w:sz w:val="22"/>
          <w:szCs w:val="22"/>
          <w:u w:val="single"/>
        </w:rPr>
        <w:t xml:space="preserve"> （应明确预付款的支付比例和支付条件） </w:t>
      </w:r>
    </w:p>
    <w:p w14:paraId="75096C70">
      <w:pPr>
        <w:keepNext w:val="0"/>
        <w:keepLines w:val="0"/>
        <w:pageBreakBefore w:val="0"/>
        <w:kinsoku/>
        <w:wordWrap/>
        <w:overflowPunct/>
        <w:topLinePunct w:val="0"/>
        <w:bidi w:val="0"/>
        <w:adjustRightInd w:val="0"/>
        <w:snapToGrid w:val="0"/>
        <w:spacing w:line="240" w:lineRule="auto"/>
        <w:ind w:firstLine="660" w:firstLineChars="3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sym w:font="Wingdings" w:char="00A8"/>
      </w:r>
      <w:r>
        <w:rPr>
          <w:rFonts w:hint="eastAsia" w:ascii="宋体" w:hAnsi="宋体" w:eastAsia="宋体" w:cs="宋体"/>
          <w:sz w:val="22"/>
          <w:szCs w:val="22"/>
        </w:rPr>
        <w:t>成本补偿：</w:t>
      </w:r>
      <w:r>
        <w:rPr>
          <w:rFonts w:hint="eastAsia" w:ascii="宋体" w:hAnsi="宋体" w:eastAsia="宋体" w:cs="宋体"/>
          <w:sz w:val="22"/>
          <w:szCs w:val="22"/>
          <w:u w:val="single"/>
        </w:rPr>
        <w:t xml:space="preserve">      （应明确按照成本补偿方式的支付方式和支付条件）   </w:t>
      </w:r>
    </w:p>
    <w:p w14:paraId="4C12D9E5">
      <w:pPr>
        <w:keepNext w:val="0"/>
        <w:keepLines w:val="0"/>
        <w:pageBreakBefore w:val="0"/>
        <w:kinsoku/>
        <w:wordWrap/>
        <w:overflowPunct/>
        <w:topLinePunct w:val="0"/>
        <w:bidi w:val="0"/>
        <w:adjustRightInd w:val="0"/>
        <w:snapToGrid w:val="0"/>
        <w:spacing w:line="240" w:lineRule="auto"/>
        <w:ind w:firstLine="660" w:firstLineChars="300"/>
        <w:textAlignment w:val="auto"/>
        <w:outlineLvl w:val="9"/>
        <w:rPr>
          <w:rFonts w:hint="eastAsia" w:ascii="宋体" w:hAnsi="宋体" w:eastAsia="宋体" w:cs="宋体"/>
          <w:sz w:val="22"/>
          <w:szCs w:val="22"/>
        </w:rPr>
      </w:pPr>
      <w:r>
        <w:rPr>
          <w:rFonts w:hint="eastAsia" w:ascii="宋体" w:hAnsi="宋体" w:eastAsia="宋体" w:cs="宋体"/>
          <w:sz w:val="22"/>
          <w:szCs w:val="22"/>
        </w:rPr>
        <w:sym w:font="Wingdings" w:char="00A8"/>
      </w:r>
      <w:r>
        <w:rPr>
          <w:rFonts w:hint="eastAsia" w:ascii="宋体" w:hAnsi="宋体" w:eastAsia="宋体" w:cs="宋体"/>
          <w:sz w:val="22"/>
          <w:szCs w:val="22"/>
        </w:rPr>
        <w:t>绩效激励：</w:t>
      </w:r>
      <w:r>
        <w:rPr>
          <w:rFonts w:hint="eastAsia" w:ascii="宋体" w:hAnsi="宋体" w:eastAsia="宋体" w:cs="宋体"/>
          <w:sz w:val="22"/>
          <w:szCs w:val="22"/>
          <w:u w:val="single"/>
        </w:rPr>
        <w:t xml:space="preserve">      （应明确按照绩效激励方式的支付方式和支付条件）   </w:t>
      </w:r>
    </w:p>
    <w:p w14:paraId="1D5DC72D">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bCs w:val="0"/>
          <w:sz w:val="22"/>
          <w:szCs w:val="22"/>
          <w:u w:val="single"/>
        </w:rPr>
      </w:pPr>
      <w:r>
        <w:rPr>
          <w:rFonts w:hint="eastAsia" w:ascii="宋体" w:hAnsi="宋体" w:eastAsia="宋体" w:cs="宋体"/>
          <w:b/>
          <w:bCs w:val="0"/>
          <w:sz w:val="22"/>
          <w:szCs w:val="22"/>
        </w:rPr>
        <w:t>合同履行</w:t>
      </w:r>
    </w:p>
    <w:p w14:paraId="76B97640">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（1）起始日期：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日，完成日期：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5CAB5682">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t>（2）</w:t>
      </w:r>
      <w:r>
        <w:rPr>
          <w:rFonts w:hint="eastAsia" w:ascii="宋体" w:hAnsi="宋体" w:eastAsia="宋体" w:cs="宋体"/>
          <w:sz w:val="22"/>
          <w:szCs w:val="22"/>
          <w:lang w:eastAsia="zh-CN"/>
        </w:rPr>
        <w:t>履约</w:t>
      </w:r>
      <w:r>
        <w:rPr>
          <w:rFonts w:hint="eastAsia" w:ascii="宋体" w:hAnsi="宋体" w:eastAsia="宋体" w:cs="宋体"/>
          <w:sz w:val="22"/>
          <w:szCs w:val="22"/>
        </w:rPr>
        <w:t>地点</w:t>
      </w:r>
      <w:r>
        <w:rPr>
          <w:rFonts w:hint="eastAsia" w:ascii="宋体" w:hAnsi="宋体" w:eastAsia="宋体" w:cs="宋体"/>
          <w:b w:val="0"/>
          <w:bCs/>
          <w:sz w:val="22"/>
          <w:szCs w:val="22"/>
        </w:rPr>
        <w:t>：</w:t>
      </w:r>
      <w:r>
        <w:rPr>
          <w:rFonts w:hint="eastAsia" w:ascii="宋体" w:hAnsi="宋体" w:eastAsia="宋体" w:cs="宋体"/>
          <w:sz w:val="22"/>
          <w:szCs w:val="22"/>
          <w:u w:val="single"/>
        </w:rPr>
        <w:t xml:space="preserve">                             </w:t>
      </w:r>
    </w:p>
    <w:p w14:paraId="7E70F70A">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eastAsia="zh-CN"/>
        </w:rPr>
      </w:pPr>
      <w:r>
        <w:rPr>
          <w:rFonts w:hint="eastAsia" w:ascii="宋体" w:hAnsi="宋体" w:eastAsia="宋体" w:cs="宋体"/>
          <w:bCs/>
          <w:sz w:val="22"/>
          <w:szCs w:val="22"/>
        </w:rPr>
        <w:t>（3）履约担保：</w:t>
      </w:r>
      <w:r>
        <w:rPr>
          <w:rFonts w:hint="eastAsia" w:ascii="宋体" w:hAnsi="宋体" w:eastAsia="宋体" w:cs="宋体"/>
          <w:sz w:val="22"/>
          <w:szCs w:val="22"/>
          <w:lang w:val="en-US" w:eastAsia="zh-CN"/>
        </w:rPr>
        <w:t>是否收取履约保证金：</w:t>
      </w:r>
      <w:r>
        <w:rPr>
          <w:rFonts w:hint="eastAsia" w:ascii="宋体" w:hAnsi="宋体" w:eastAsia="宋体" w:cs="宋体"/>
          <w:sz w:val="22"/>
          <w:szCs w:val="22"/>
        </w:rPr>
        <w:sym w:font="Wingdings" w:char="00A8"/>
      </w:r>
      <w:r>
        <w:rPr>
          <w:rFonts w:hint="eastAsia" w:ascii="宋体" w:hAnsi="宋体" w:eastAsia="宋体" w:cs="宋体"/>
          <w:sz w:val="22"/>
          <w:szCs w:val="22"/>
          <w:lang w:eastAsia="zh-CN"/>
        </w:rPr>
        <w:t>是</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sym w:font="Wingdings" w:char="00A8"/>
      </w:r>
      <w:r>
        <w:rPr>
          <w:rFonts w:hint="eastAsia" w:ascii="宋体" w:hAnsi="宋体" w:eastAsia="宋体" w:cs="宋体"/>
          <w:sz w:val="22"/>
          <w:szCs w:val="22"/>
          <w:lang w:eastAsia="zh-CN"/>
        </w:rPr>
        <w:t>否</w:t>
      </w:r>
    </w:p>
    <w:p w14:paraId="3E0A6EDB">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bCs/>
          <w:sz w:val="22"/>
          <w:szCs w:val="22"/>
          <w:u w:val="none"/>
          <w:lang w:val="en-US" w:eastAsia="zh-CN"/>
        </w:rPr>
        <w:t xml:space="preserve">  </w:t>
      </w:r>
      <w:r>
        <w:rPr>
          <w:rFonts w:hint="eastAsia" w:ascii="宋体" w:hAnsi="宋体" w:eastAsia="宋体" w:cs="宋体"/>
          <w:sz w:val="22"/>
          <w:szCs w:val="22"/>
          <w:lang w:val="en-US" w:eastAsia="zh-CN"/>
        </w:rPr>
        <w:t xml:space="preserve">  收取履约保证金形式：</w:t>
      </w:r>
      <w:r>
        <w:rPr>
          <w:rFonts w:hint="eastAsia" w:ascii="宋体" w:hAnsi="宋体" w:eastAsia="宋体" w:cs="宋体"/>
          <w:bCs/>
          <w:sz w:val="22"/>
          <w:szCs w:val="22"/>
          <w:u w:val="single"/>
        </w:rPr>
        <w:t xml:space="preserve">                            </w:t>
      </w:r>
    </w:p>
    <w:p w14:paraId="2B81FF20">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收取履约保证金金额：</w:t>
      </w:r>
      <w:r>
        <w:rPr>
          <w:rFonts w:hint="eastAsia" w:ascii="宋体" w:hAnsi="宋体" w:eastAsia="宋体" w:cs="宋体"/>
          <w:bCs/>
          <w:sz w:val="22"/>
          <w:szCs w:val="22"/>
          <w:u w:val="single"/>
        </w:rPr>
        <w:t xml:space="preserve">                            </w:t>
      </w:r>
    </w:p>
    <w:p w14:paraId="3E3DC4F7">
      <w:pPr>
        <w:keepNext w:val="0"/>
        <w:keepLines w:val="0"/>
        <w:pageBreakBefore w:val="0"/>
        <w:kinsoku/>
        <w:wordWrap/>
        <w:overflowPunct/>
        <w:topLinePunct w:val="0"/>
        <w:bidi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bCs/>
          <w:sz w:val="22"/>
          <w:szCs w:val="22"/>
          <w:u w:val="none"/>
          <w:lang w:val="en-US" w:eastAsia="zh-CN"/>
        </w:rPr>
        <w:t xml:space="preserve">    履约担保期限</w:t>
      </w:r>
      <w:r>
        <w:rPr>
          <w:rFonts w:hint="eastAsia" w:ascii="宋体" w:hAnsi="宋体" w:eastAsia="宋体" w:cs="宋体"/>
          <w:bCs/>
          <w:sz w:val="22"/>
          <w:szCs w:val="22"/>
          <w:u w:val="none"/>
          <w:lang w:eastAsia="zh-CN"/>
        </w:rPr>
        <w:t>：</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r>
        <w:rPr>
          <w:rFonts w:hint="eastAsia" w:ascii="宋体" w:hAnsi="宋体" w:eastAsia="宋体" w:cs="宋体"/>
          <w:bCs/>
          <w:sz w:val="22"/>
          <w:szCs w:val="22"/>
          <w:u w:val="single"/>
        </w:rPr>
        <w:t xml:space="preserve">       </w:t>
      </w:r>
    </w:p>
    <w:p w14:paraId="4313F638">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（4）分期履行要求：</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r>
        <w:rPr>
          <w:rFonts w:hint="eastAsia" w:ascii="宋体" w:hAnsi="宋体" w:eastAsia="宋体" w:cs="宋体"/>
          <w:bCs/>
          <w:sz w:val="22"/>
          <w:szCs w:val="22"/>
          <w:u w:val="single"/>
        </w:rPr>
        <w:t xml:space="preserve"> </w:t>
      </w:r>
    </w:p>
    <w:p w14:paraId="0110A56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u w:val="single"/>
        </w:rPr>
      </w:pPr>
      <w:r>
        <w:rPr>
          <w:rFonts w:hint="eastAsia" w:ascii="宋体" w:hAnsi="宋体" w:eastAsia="宋体" w:cs="宋体"/>
          <w:bCs/>
          <w:sz w:val="22"/>
          <w:szCs w:val="22"/>
        </w:rPr>
        <w:t>（5）</w:t>
      </w:r>
      <w:r>
        <w:rPr>
          <w:rFonts w:hint="eastAsia" w:ascii="宋体" w:hAnsi="宋体" w:eastAsia="宋体" w:cs="宋体"/>
          <w:bCs/>
          <w:sz w:val="22"/>
          <w:szCs w:val="22"/>
          <w:lang w:eastAsia="zh-CN"/>
        </w:rPr>
        <w:t>风险处置措施和替代方案</w:t>
      </w:r>
      <w:r>
        <w:rPr>
          <w:rFonts w:hint="eastAsia" w:ascii="宋体" w:hAnsi="宋体" w:eastAsia="宋体" w:cs="宋体"/>
          <w:bCs/>
          <w:sz w:val="22"/>
          <w:szCs w:val="22"/>
        </w:rPr>
        <w:t>：</w:t>
      </w:r>
      <w:r>
        <w:rPr>
          <w:rFonts w:hint="eastAsia" w:ascii="宋体" w:hAnsi="宋体" w:eastAsia="宋体" w:cs="宋体"/>
          <w:color w:val="0000FF"/>
          <w:sz w:val="22"/>
          <w:szCs w:val="22"/>
          <w:u w:val="single"/>
        </w:rPr>
        <w:t xml:space="preserve"> </w:t>
      </w:r>
      <w:r>
        <w:rPr>
          <w:rFonts w:hint="eastAsia" w:ascii="宋体" w:hAnsi="宋体" w:eastAsia="宋体" w:cs="宋体"/>
          <w:color w:val="000000" w:themeColor="text1"/>
          <w:sz w:val="22"/>
          <w:szCs w:val="22"/>
          <w:u w:val="single"/>
          <w14:textFill>
            <w14:solidFill>
              <w14:schemeClr w14:val="tx1"/>
            </w14:solidFill>
          </w14:textFill>
        </w:rPr>
        <w:t xml:space="preserve">              </w:t>
      </w:r>
      <w:r>
        <w:rPr>
          <w:rFonts w:hint="eastAsia" w:ascii="宋体" w:hAnsi="宋体" w:eastAsia="宋体" w:cs="宋体"/>
          <w:sz w:val="22"/>
          <w:szCs w:val="22"/>
          <w:u w:val="single"/>
        </w:rPr>
        <w:t xml:space="preserve">                                                </w:t>
      </w:r>
    </w:p>
    <w:p w14:paraId="480E4DE3">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合同验收</w:t>
      </w:r>
    </w:p>
    <w:p w14:paraId="2DE13A98">
      <w:pPr>
        <w:keepNext w:val="0"/>
        <w:keepLines w:val="0"/>
        <w:pageBreakBefore w:val="0"/>
        <w:numPr>
          <w:ilvl w:val="0"/>
          <w:numId w:val="9"/>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验收组织方式：</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自行组织 </w:t>
      </w:r>
      <w:r>
        <w:rPr>
          <w:rFonts w:hint="eastAsia" w:ascii="宋体" w:hAnsi="宋体" w:eastAsia="宋体" w:cs="宋体"/>
          <w:sz w:val="22"/>
          <w:szCs w:val="22"/>
        </w:rPr>
        <w:sym w:font="Wingdings" w:char="00A8"/>
      </w:r>
      <w:r>
        <w:rPr>
          <w:rFonts w:hint="eastAsia" w:ascii="宋体" w:hAnsi="宋体" w:eastAsia="宋体" w:cs="宋体"/>
          <w:bCs/>
          <w:sz w:val="22"/>
          <w:szCs w:val="22"/>
        </w:rPr>
        <w:t>委托第三方组织</w:t>
      </w:r>
    </w:p>
    <w:p w14:paraId="04464CA2">
      <w:pPr>
        <w:keepNext w:val="0"/>
        <w:keepLines w:val="0"/>
        <w:pageBreakBefore w:val="0"/>
        <w:numPr>
          <w:ilvl w:val="0"/>
          <w:numId w:val="0"/>
        </w:numPr>
        <w:kinsoku/>
        <w:wordWrap/>
        <w:overflowPunct/>
        <w:topLinePunct w:val="0"/>
        <w:bidi w:val="0"/>
        <w:adjustRightInd w:val="0"/>
        <w:snapToGrid w:val="0"/>
        <w:spacing w:line="240" w:lineRule="auto"/>
        <w:textAlignment w:val="auto"/>
        <w:outlineLvl w:val="9"/>
        <w:rPr>
          <w:rFonts w:hint="eastAsia" w:ascii="宋体" w:hAnsi="宋体" w:eastAsia="宋体" w:cs="宋体"/>
          <w:bCs/>
          <w:sz w:val="22"/>
          <w:szCs w:val="22"/>
        </w:rPr>
      </w:pPr>
      <w:r>
        <w:rPr>
          <w:rFonts w:hint="eastAsia" w:ascii="宋体" w:hAnsi="宋体" w:eastAsia="宋体" w:cs="宋体"/>
          <w:bCs/>
          <w:sz w:val="22"/>
          <w:szCs w:val="22"/>
          <w:lang w:val="en-US" w:eastAsia="zh-CN"/>
        </w:rPr>
        <w:t xml:space="preserve">         </w:t>
      </w:r>
      <w:r>
        <w:rPr>
          <w:rFonts w:hint="eastAsia" w:ascii="宋体" w:hAnsi="宋体" w:eastAsia="宋体" w:cs="宋体"/>
          <w:bCs/>
          <w:sz w:val="22"/>
          <w:szCs w:val="22"/>
        </w:rPr>
        <w:t>验收主体：</w:t>
      </w:r>
      <w:r>
        <w:rPr>
          <w:rFonts w:hint="eastAsia" w:ascii="宋体" w:hAnsi="宋体" w:eastAsia="宋体" w:cs="宋体"/>
          <w:bCs/>
          <w:sz w:val="22"/>
          <w:szCs w:val="22"/>
          <w:u w:val="single"/>
        </w:rPr>
        <w:t xml:space="preserve">                  </w:t>
      </w:r>
    </w:p>
    <w:p w14:paraId="4778503B">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bCs/>
          <w:sz w:val="22"/>
          <w:szCs w:val="22"/>
        </w:rPr>
      </w:pPr>
      <w:r>
        <w:rPr>
          <w:rFonts w:hint="eastAsia" w:ascii="宋体" w:hAnsi="宋体" w:eastAsia="宋体" w:cs="宋体"/>
          <w:bCs/>
          <w:sz w:val="22"/>
          <w:szCs w:val="22"/>
          <w:lang w:val="en-US" w:eastAsia="zh-CN"/>
        </w:rPr>
        <w:t xml:space="preserve">        </w:t>
      </w:r>
      <w:r>
        <w:rPr>
          <w:rFonts w:hint="eastAsia" w:ascii="宋体" w:hAnsi="宋体" w:eastAsia="宋体" w:cs="宋体"/>
          <w:bCs/>
          <w:sz w:val="22"/>
          <w:szCs w:val="22"/>
        </w:rPr>
        <w:t>是否邀请本项目的其他</w:t>
      </w:r>
      <w:r>
        <w:rPr>
          <w:rFonts w:hint="eastAsia" w:ascii="宋体" w:hAnsi="宋体" w:eastAsia="宋体" w:cs="宋体"/>
          <w:bCs/>
          <w:sz w:val="22"/>
          <w:szCs w:val="22"/>
          <w:lang w:eastAsia="zh-CN"/>
        </w:rPr>
        <w:t>投标人参加验收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4B2AE21A">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是否邀请专家</w:t>
      </w:r>
      <w:r>
        <w:rPr>
          <w:rFonts w:hint="eastAsia" w:ascii="宋体" w:hAnsi="宋体" w:eastAsia="宋体" w:cs="宋体"/>
          <w:bCs/>
          <w:sz w:val="22"/>
          <w:szCs w:val="22"/>
          <w:lang w:eastAsia="zh-CN"/>
        </w:rPr>
        <w:t>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3A71F561">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是否邀请服务对象</w:t>
      </w:r>
      <w:r>
        <w:rPr>
          <w:rFonts w:hint="eastAsia" w:ascii="宋体" w:hAnsi="宋体" w:eastAsia="宋体" w:cs="宋体"/>
          <w:bCs/>
          <w:sz w:val="22"/>
          <w:szCs w:val="22"/>
          <w:lang w:eastAsia="zh-CN"/>
        </w:rPr>
        <w:t>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40480D89">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是否邀请第三方检测机构</w:t>
      </w:r>
      <w:r>
        <w:rPr>
          <w:rFonts w:hint="eastAsia" w:ascii="宋体" w:hAnsi="宋体" w:eastAsia="宋体" w:cs="宋体"/>
          <w:bCs/>
          <w:sz w:val="22"/>
          <w:szCs w:val="22"/>
          <w:lang w:eastAsia="zh-CN"/>
        </w:rPr>
        <w:t>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376698F3">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lang w:eastAsia="zh-CN"/>
        </w:rPr>
        <w:t>是否进行抽查检测：</w:t>
      </w:r>
      <w:r>
        <w:rPr>
          <w:rFonts w:hint="eastAsia" w:ascii="宋体" w:hAnsi="宋体" w:eastAsia="宋体" w:cs="宋体"/>
          <w:sz w:val="22"/>
          <w:szCs w:val="22"/>
        </w:rPr>
        <w:sym w:font="Wingdings" w:char="00A8"/>
      </w:r>
      <w:r>
        <w:rPr>
          <w:rFonts w:hint="eastAsia" w:ascii="宋体" w:hAnsi="宋体" w:eastAsia="宋体" w:cs="宋体"/>
          <w:bCs/>
          <w:sz w:val="22"/>
          <w:szCs w:val="22"/>
        </w:rPr>
        <w:t>是</w:t>
      </w:r>
      <w:r>
        <w:rPr>
          <w:rFonts w:hint="eastAsia" w:ascii="宋体" w:hAnsi="宋体" w:eastAsia="宋体" w:cs="宋体"/>
          <w:bCs/>
          <w:sz w:val="22"/>
          <w:szCs w:val="22"/>
          <w:lang w:eastAsia="zh-CN"/>
        </w:rPr>
        <w:t>，抽查比例：</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r>
        <w:rPr>
          <w:rFonts w:hint="eastAsia" w:ascii="宋体" w:hAnsi="宋体" w:eastAsia="宋体" w:cs="宋体"/>
          <w:bCs/>
          <w:sz w:val="22"/>
          <w:szCs w:val="22"/>
        </w:rPr>
        <w:t xml:space="preserve">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303CA4C3">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u w:val="single"/>
          <w:lang w:eastAsia="zh-CN"/>
        </w:rPr>
      </w:pPr>
      <w:r>
        <w:rPr>
          <w:rFonts w:hint="eastAsia" w:ascii="宋体" w:hAnsi="宋体" w:eastAsia="宋体" w:cs="宋体"/>
          <w:bCs/>
          <w:sz w:val="22"/>
          <w:szCs w:val="22"/>
          <w:lang w:val="en-US" w:eastAsia="zh-CN"/>
        </w:rPr>
        <w:t>是否存在破坏性检测：</w:t>
      </w:r>
      <w:r>
        <w:rPr>
          <w:rFonts w:hint="eastAsia" w:ascii="宋体" w:hAnsi="宋体" w:eastAsia="宋体" w:cs="宋体"/>
          <w:sz w:val="22"/>
          <w:szCs w:val="22"/>
        </w:rPr>
        <w:sym w:font="Wingdings" w:char="00A8"/>
      </w:r>
      <w:r>
        <w:rPr>
          <w:rFonts w:hint="eastAsia" w:ascii="宋体" w:hAnsi="宋体" w:eastAsia="宋体" w:cs="宋体"/>
          <w:bCs/>
          <w:sz w:val="22"/>
          <w:szCs w:val="22"/>
        </w:rPr>
        <w:t>是</w:t>
      </w:r>
      <w:r>
        <w:rPr>
          <w:rFonts w:hint="eastAsia" w:ascii="宋体" w:hAnsi="宋体" w:eastAsia="宋体" w:cs="宋体"/>
          <w:bCs/>
          <w:sz w:val="22"/>
          <w:szCs w:val="22"/>
          <w:lang w:eastAsia="zh-CN"/>
        </w:rPr>
        <w:t>，</w:t>
      </w:r>
      <w:r>
        <w:rPr>
          <w:rFonts w:hint="eastAsia" w:ascii="宋体" w:hAnsi="宋体" w:eastAsia="宋体" w:cs="宋体"/>
          <w:bCs/>
          <w:sz w:val="22"/>
          <w:szCs w:val="22"/>
          <w:u w:val="single"/>
          <w:lang w:eastAsia="zh-CN"/>
        </w:rPr>
        <w:t>（应明确对被破坏的检测产品的处理方式）</w:t>
      </w:r>
    </w:p>
    <w:p w14:paraId="17FBD89E">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lang w:eastAsia="zh-CN"/>
        </w:rPr>
      </w:pPr>
      <w:r>
        <w:rPr>
          <w:rFonts w:hint="eastAsia" w:ascii="宋体" w:hAnsi="宋体" w:eastAsia="宋体" w:cs="宋体"/>
          <w:bCs/>
          <w:sz w:val="22"/>
          <w:szCs w:val="22"/>
          <w:lang w:val="en-US" w:eastAsia="zh-CN"/>
        </w:rPr>
        <w:t xml:space="preserve">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2119A5B4">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验收组织的其他事项：</w:t>
      </w:r>
      <w:r>
        <w:rPr>
          <w:rFonts w:hint="eastAsia" w:ascii="宋体" w:hAnsi="宋体" w:eastAsia="宋体" w:cs="宋体"/>
          <w:bCs/>
          <w:sz w:val="22"/>
          <w:szCs w:val="22"/>
          <w:u w:val="single"/>
        </w:rPr>
        <w:t xml:space="preserve">                </w:t>
      </w:r>
    </w:p>
    <w:p w14:paraId="1417B3FF">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（2）履约验收时间：</w:t>
      </w:r>
      <w:r>
        <w:rPr>
          <w:rFonts w:hint="eastAsia" w:ascii="宋体" w:hAnsi="宋体" w:eastAsia="宋体" w:cs="宋体"/>
          <w:bCs/>
          <w:sz w:val="22"/>
          <w:szCs w:val="22"/>
          <w:u w:val="single"/>
        </w:rPr>
        <w:t>（计划于何时验收/</w:t>
      </w:r>
      <w:r>
        <w:rPr>
          <w:rFonts w:hint="eastAsia" w:ascii="宋体" w:hAnsi="宋体" w:eastAsia="宋体" w:cs="宋体"/>
          <w:bCs/>
          <w:sz w:val="22"/>
          <w:szCs w:val="22"/>
          <w:u w:val="single"/>
          <w:lang w:eastAsia="zh-CN"/>
        </w:rPr>
        <w:t>投标人</w:t>
      </w:r>
      <w:r>
        <w:rPr>
          <w:rFonts w:hint="eastAsia" w:ascii="宋体" w:hAnsi="宋体" w:eastAsia="宋体" w:cs="宋体"/>
          <w:bCs/>
          <w:sz w:val="22"/>
          <w:szCs w:val="22"/>
          <w:u w:val="single"/>
        </w:rPr>
        <w:t>提出验收申请之日起   日内组织验收）</w:t>
      </w:r>
      <w:r>
        <w:rPr>
          <w:rFonts w:hint="eastAsia" w:ascii="宋体" w:hAnsi="宋体" w:eastAsia="宋体" w:cs="宋体"/>
          <w:bCs/>
          <w:sz w:val="22"/>
          <w:szCs w:val="22"/>
          <w:u w:val="single"/>
          <w:lang w:val="en-US" w:eastAsia="zh-CN"/>
        </w:rPr>
        <w:t xml:space="preserve"> </w:t>
      </w:r>
    </w:p>
    <w:p w14:paraId="740F49C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（3）履约验收方式：</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一次性验收         </w:t>
      </w:r>
    </w:p>
    <w:p w14:paraId="747F68F0">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bCs/>
          <w:sz w:val="22"/>
          <w:szCs w:val="22"/>
          <w:lang w:val="en-US" w:eastAsia="zh-CN"/>
        </w:rPr>
      </w:pPr>
      <w:r>
        <w:rPr>
          <w:rFonts w:hint="eastAsia" w:ascii="宋体" w:hAnsi="宋体" w:eastAsia="宋体" w:cs="宋体"/>
          <w:bCs/>
          <w:sz w:val="22"/>
          <w:szCs w:val="22"/>
          <w:lang w:val="en-US" w:eastAsia="zh-CN"/>
        </w:rPr>
        <w:t xml:space="preserve">                       </w:t>
      </w:r>
      <w:r>
        <w:rPr>
          <w:rFonts w:hint="eastAsia" w:ascii="宋体" w:hAnsi="宋体" w:eastAsia="宋体" w:cs="宋体"/>
          <w:sz w:val="22"/>
          <w:szCs w:val="22"/>
        </w:rPr>
        <w:sym w:font="Wingdings" w:char="00A8"/>
      </w:r>
      <w:r>
        <w:rPr>
          <w:rFonts w:hint="eastAsia" w:ascii="宋体" w:hAnsi="宋体" w:eastAsia="宋体" w:cs="宋体"/>
          <w:bCs/>
          <w:sz w:val="22"/>
          <w:szCs w:val="22"/>
        </w:rPr>
        <w:t>分期/分项验收</w:t>
      </w:r>
      <w:r>
        <w:rPr>
          <w:rFonts w:hint="eastAsia" w:ascii="宋体" w:hAnsi="宋体" w:eastAsia="宋体" w:cs="宋体"/>
          <w:bCs/>
          <w:sz w:val="22"/>
          <w:szCs w:val="22"/>
          <w:lang w:eastAsia="zh-CN"/>
        </w:rPr>
        <w:t>：</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eastAsia="zh-CN"/>
        </w:rPr>
        <w:t>（应明确分期</w:t>
      </w:r>
      <w:r>
        <w:rPr>
          <w:rFonts w:hint="eastAsia" w:ascii="宋体" w:hAnsi="宋体" w:eastAsia="宋体" w:cs="宋体"/>
          <w:bCs/>
          <w:sz w:val="22"/>
          <w:szCs w:val="22"/>
          <w:u w:val="single"/>
          <w:lang w:val="en" w:eastAsia="zh-CN"/>
        </w:rPr>
        <w:t>/分项验收的工作安排</w:t>
      </w:r>
      <w:r>
        <w:rPr>
          <w:rFonts w:hint="eastAsia" w:ascii="宋体" w:hAnsi="宋体" w:eastAsia="宋体" w:cs="宋体"/>
          <w:bCs/>
          <w:sz w:val="22"/>
          <w:szCs w:val="22"/>
          <w:u w:val="single"/>
          <w:lang w:eastAsia="zh-CN"/>
        </w:rPr>
        <w:t>）</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p>
    <w:p w14:paraId="7E8F8A8C">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（4）履约验收程序：</w:t>
      </w:r>
      <w:r>
        <w:rPr>
          <w:rFonts w:hint="eastAsia" w:ascii="宋体" w:hAnsi="宋体" w:eastAsia="宋体" w:cs="宋体"/>
          <w:bCs/>
          <w:sz w:val="22"/>
          <w:szCs w:val="22"/>
          <w:u w:val="single"/>
        </w:rPr>
        <w:t xml:space="preserve">                                         </w:t>
      </w:r>
    </w:p>
    <w:p w14:paraId="41700A0F">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（5）履约验收的内容：</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2"/>
          <w:szCs w:val="22"/>
          <w:u w:val="single"/>
        </w:rPr>
        <w:t xml:space="preserve">                                      </w:t>
      </w:r>
    </w:p>
    <w:p w14:paraId="1B4AE273">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（6）履约验收标准：</w:t>
      </w:r>
      <w:r>
        <w:rPr>
          <w:rFonts w:hint="eastAsia" w:ascii="宋体" w:hAnsi="宋体" w:eastAsia="宋体" w:cs="宋体"/>
          <w:bCs/>
          <w:sz w:val="22"/>
          <w:szCs w:val="22"/>
          <w:u w:val="single"/>
        </w:rPr>
        <w:t xml:space="preserve">                                         </w:t>
      </w:r>
    </w:p>
    <w:p w14:paraId="15CD35AB">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eastAsia="zh-CN"/>
        </w:rPr>
      </w:pPr>
      <w:r>
        <w:rPr>
          <w:rFonts w:hint="eastAsia" w:ascii="宋体" w:hAnsi="宋体" w:eastAsia="宋体" w:cs="宋体"/>
          <w:bCs/>
          <w:sz w:val="22"/>
          <w:szCs w:val="22"/>
          <w:u w:val="none"/>
          <w:lang w:eastAsia="zh-CN"/>
        </w:rPr>
        <w:t>（</w:t>
      </w:r>
      <w:r>
        <w:rPr>
          <w:rFonts w:hint="eastAsia" w:ascii="宋体" w:hAnsi="宋体" w:eastAsia="宋体" w:cs="宋体"/>
          <w:bCs/>
          <w:sz w:val="22"/>
          <w:szCs w:val="22"/>
          <w:u w:val="none"/>
          <w:lang w:val="en-US" w:eastAsia="zh-CN"/>
        </w:rPr>
        <w:t>7</w:t>
      </w:r>
      <w:r>
        <w:rPr>
          <w:rFonts w:hint="eastAsia" w:ascii="宋体" w:hAnsi="宋体" w:eastAsia="宋体" w:cs="宋体"/>
          <w:bCs/>
          <w:sz w:val="22"/>
          <w:szCs w:val="22"/>
          <w:u w:val="none"/>
          <w:lang w:eastAsia="zh-CN"/>
        </w:rPr>
        <w:t>）是否以采购活动中投标人提供的样品作为参考：</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56589225">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（8）履约验收其他事项：</w:t>
      </w:r>
      <w:r>
        <w:rPr>
          <w:rFonts w:hint="eastAsia" w:ascii="宋体" w:hAnsi="宋体" w:eastAsia="宋体" w:cs="宋体"/>
          <w:bCs/>
          <w:sz w:val="22"/>
          <w:szCs w:val="22"/>
          <w:u w:val="single"/>
        </w:rPr>
        <w:t xml:space="preserve">      </w:t>
      </w:r>
      <w:r>
        <w:rPr>
          <w:rFonts w:hint="eastAsia" w:ascii="宋体" w:hAnsi="宋体" w:eastAsia="宋体" w:cs="宋体"/>
          <w:bCs/>
          <w:i w:val="0"/>
          <w:iCs w:val="0"/>
          <w:sz w:val="22"/>
          <w:szCs w:val="22"/>
          <w:u w:val="single"/>
        </w:rPr>
        <w:t>（产权过户登记等）</w:t>
      </w:r>
      <w:r>
        <w:rPr>
          <w:rFonts w:hint="eastAsia" w:ascii="宋体" w:hAnsi="宋体" w:eastAsia="宋体" w:cs="宋体"/>
          <w:bCs/>
          <w:sz w:val="22"/>
          <w:szCs w:val="22"/>
          <w:u w:val="single"/>
        </w:rPr>
        <w:t xml:space="preserve">          </w:t>
      </w:r>
    </w:p>
    <w:p w14:paraId="771FEA9A">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组成合同的文件</w:t>
      </w:r>
    </w:p>
    <w:p w14:paraId="2A164DB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本协议书与下列文件一起构成合同文件，如下述文件之间有任何抵触、矛盾或歧义，应按以下顺序解释：</w:t>
      </w:r>
    </w:p>
    <w:p w14:paraId="1271927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color w:val="auto"/>
          <w:sz w:val="22"/>
          <w:szCs w:val="22"/>
          <w:lang w:eastAsia="zh-CN"/>
        </w:rPr>
      </w:pPr>
      <w:r>
        <w:rPr>
          <w:rFonts w:hint="eastAsia" w:ascii="宋体" w:hAnsi="宋体" w:eastAsia="宋体" w:cs="宋体"/>
          <w:color w:val="auto"/>
          <w:sz w:val="22"/>
          <w:szCs w:val="22"/>
        </w:rPr>
        <w:t>（1）</w:t>
      </w:r>
      <w:r>
        <w:rPr>
          <w:rFonts w:hint="eastAsia" w:ascii="宋体" w:hAnsi="宋体" w:eastAsia="宋体" w:cs="宋体"/>
          <w:color w:val="auto"/>
          <w:sz w:val="22"/>
          <w:szCs w:val="22"/>
          <w:lang w:eastAsia="zh-CN"/>
        </w:rPr>
        <w:t>政府采购</w:t>
      </w:r>
      <w:r>
        <w:rPr>
          <w:rFonts w:hint="eastAsia" w:ascii="宋体" w:hAnsi="宋体" w:eastAsia="宋体" w:cs="宋体"/>
          <w:color w:val="auto"/>
          <w:sz w:val="22"/>
          <w:szCs w:val="22"/>
        </w:rPr>
        <w:t>合同协议书及其变更、补充</w:t>
      </w:r>
      <w:r>
        <w:rPr>
          <w:rFonts w:hint="eastAsia" w:ascii="宋体" w:hAnsi="宋体" w:eastAsia="宋体" w:cs="宋体"/>
          <w:color w:val="auto"/>
          <w:sz w:val="22"/>
          <w:szCs w:val="22"/>
          <w:lang w:eastAsia="zh-CN"/>
        </w:rPr>
        <w:t>协议</w:t>
      </w:r>
    </w:p>
    <w:p w14:paraId="1DE761B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2</w:t>
      </w:r>
      <w:r>
        <w:rPr>
          <w:rFonts w:hint="eastAsia" w:ascii="宋体" w:hAnsi="宋体" w:eastAsia="宋体" w:cs="宋体"/>
          <w:sz w:val="22"/>
          <w:szCs w:val="22"/>
        </w:rPr>
        <w:t>）政府采购合同专用条款</w:t>
      </w:r>
    </w:p>
    <w:p w14:paraId="6CCBF15E">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3</w:t>
      </w:r>
      <w:r>
        <w:rPr>
          <w:rFonts w:hint="eastAsia" w:ascii="宋体" w:hAnsi="宋体" w:eastAsia="宋体" w:cs="宋体"/>
          <w:sz w:val="22"/>
          <w:szCs w:val="22"/>
        </w:rPr>
        <w:t>）政府采购合同通用条款</w:t>
      </w:r>
    </w:p>
    <w:p w14:paraId="522376B0">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）中标</w:t>
      </w:r>
      <w:r>
        <w:rPr>
          <w:rFonts w:hint="eastAsia" w:ascii="宋体" w:hAnsi="宋体" w:eastAsia="宋体" w:cs="宋体"/>
          <w:color w:val="auto"/>
          <w:sz w:val="22"/>
          <w:szCs w:val="22"/>
          <w:lang w:eastAsia="zh-CN"/>
        </w:rPr>
        <w:t>（成交）</w:t>
      </w:r>
      <w:r>
        <w:rPr>
          <w:rFonts w:hint="eastAsia" w:ascii="宋体" w:hAnsi="宋体" w:eastAsia="宋体" w:cs="宋体"/>
          <w:color w:val="auto"/>
          <w:sz w:val="22"/>
          <w:szCs w:val="22"/>
        </w:rPr>
        <w:t>通知书</w:t>
      </w:r>
    </w:p>
    <w:p w14:paraId="6594BB5B">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5</w:t>
      </w:r>
      <w:r>
        <w:rPr>
          <w:rFonts w:hint="eastAsia" w:ascii="宋体" w:hAnsi="宋体" w:eastAsia="宋体" w:cs="宋体"/>
          <w:sz w:val="22"/>
          <w:szCs w:val="22"/>
        </w:rPr>
        <w:t>）投标（响应）文件</w:t>
      </w:r>
    </w:p>
    <w:p w14:paraId="35FA946D">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（6）采购文件</w:t>
      </w:r>
    </w:p>
    <w:p w14:paraId="1F58F50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（7）有关技术文件，图纸</w:t>
      </w:r>
    </w:p>
    <w:p w14:paraId="13E69D66">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kern w:val="2"/>
          <w:sz w:val="22"/>
          <w:szCs w:val="22"/>
          <w:highlight w:val="none"/>
          <w:lang w:eastAsia="zh-CN"/>
        </w:rPr>
      </w:pP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lang w:val="en-US" w:eastAsia="zh-CN"/>
        </w:rPr>
        <w:t>8</w:t>
      </w:r>
      <w:r>
        <w:rPr>
          <w:rFonts w:hint="eastAsia" w:ascii="宋体" w:hAnsi="宋体" w:eastAsia="宋体" w:cs="宋体"/>
          <w:sz w:val="22"/>
          <w:szCs w:val="22"/>
          <w:highlight w:val="none"/>
          <w:lang w:eastAsia="zh-CN"/>
        </w:rPr>
        <w:t>）</w:t>
      </w:r>
      <w:r>
        <w:rPr>
          <w:rFonts w:hint="eastAsia" w:ascii="宋体" w:hAnsi="宋体" w:eastAsia="宋体" w:cs="宋体"/>
          <w:bCs w:val="0"/>
          <w:color w:val="000000" w:themeColor="text1"/>
          <w:kern w:val="2"/>
          <w:sz w:val="22"/>
          <w:szCs w:val="22"/>
          <w:highlight w:val="none"/>
          <w:lang w:eastAsia="zh-CN"/>
          <w14:textFill>
            <w14:solidFill>
              <w14:schemeClr w14:val="tx1"/>
            </w14:solidFill>
          </w14:textFill>
        </w:rPr>
        <w:t>国家法律、行政法规和规章制度规定或合同约定的作为合同组成部分的其他文件</w:t>
      </w:r>
    </w:p>
    <w:p w14:paraId="75823A74">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合同生效</w:t>
      </w:r>
    </w:p>
    <w:p w14:paraId="092A6BD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本合同自</w:t>
      </w:r>
      <w:r>
        <w:rPr>
          <w:rFonts w:hint="eastAsia" w:ascii="宋体" w:hAnsi="宋体" w:eastAsia="宋体" w:cs="宋体"/>
          <w:sz w:val="22"/>
          <w:szCs w:val="22"/>
          <w:u w:val="single"/>
        </w:rPr>
        <w:t xml:space="preserve">                             </w:t>
      </w:r>
      <w:r>
        <w:rPr>
          <w:rFonts w:hint="eastAsia" w:ascii="宋体" w:hAnsi="宋体" w:eastAsia="宋体" w:cs="宋体"/>
          <w:sz w:val="22"/>
          <w:szCs w:val="22"/>
        </w:rPr>
        <w:t>生效。</w:t>
      </w:r>
    </w:p>
    <w:p w14:paraId="16021242">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合同份数</w:t>
      </w:r>
    </w:p>
    <w:p w14:paraId="41C8B0F5">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本合同一式</w:t>
      </w:r>
      <w:r>
        <w:rPr>
          <w:rFonts w:hint="eastAsia" w:ascii="宋体" w:hAnsi="宋体" w:eastAsia="宋体" w:cs="宋体"/>
          <w:sz w:val="22"/>
          <w:szCs w:val="22"/>
          <w:u w:val="single"/>
        </w:rPr>
        <w:t xml:space="preserve">    </w:t>
      </w:r>
      <w:r>
        <w:rPr>
          <w:rFonts w:hint="eastAsia" w:ascii="宋体" w:hAnsi="宋体" w:eastAsia="宋体" w:cs="宋体"/>
          <w:sz w:val="22"/>
          <w:szCs w:val="22"/>
        </w:rPr>
        <w:t>份，</w:t>
      </w:r>
      <w:r>
        <w:rPr>
          <w:rFonts w:hint="eastAsia" w:ascii="宋体" w:hAnsi="宋体" w:eastAsia="宋体" w:cs="宋体"/>
          <w:sz w:val="22"/>
          <w:szCs w:val="22"/>
          <w:lang w:eastAsia="zh-CN"/>
        </w:rPr>
        <w:t>甲方</w:t>
      </w:r>
      <w:r>
        <w:rPr>
          <w:rFonts w:hint="eastAsia" w:ascii="宋体" w:hAnsi="宋体" w:eastAsia="宋体" w:cs="宋体"/>
          <w:sz w:val="22"/>
          <w:szCs w:val="22"/>
        </w:rPr>
        <w:t>执</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份，</w:t>
      </w:r>
      <w:r>
        <w:rPr>
          <w:rFonts w:hint="eastAsia" w:ascii="宋体" w:hAnsi="宋体" w:eastAsia="宋体" w:cs="宋体"/>
          <w:sz w:val="22"/>
          <w:szCs w:val="22"/>
          <w:lang w:eastAsia="zh-CN"/>
        </w:rPr>
        <w:t>乙方</w:t>
      </w:r>
      <w:r>
        <w:rPr>
          <w:rFonts w:hint="eastAsia" w:ascii="宋体" w:hAnsi="宋体" w:eastAsia="宋体" w:cs="宋体"/>
          <w:sz w:val="22"/>
          <w:szCs w:val="22"/>
        </w:rPr>
        <w:t>执</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份，均具有同等法律效力。</w:t>
      </w:r>
    </w:p>
    <w:p w14:paraId="1504748D">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合同订立时间：</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324A192E">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合同订立地点：</w:t>
      </w:r>
      <w:r>
        <w:rPr>
          <w:rFonts w:hint="eastAsia" w:ascii="宋体" w:hAnsi="宋体" w:eastAsia="宋体" w:cs="宋体"/>
          <w:sz w:val="22"/>
          <w:szCs w:val="22"/>
          <w:u w:val="single"/>
        </w:rPr>
        <w:t xml:space="preserve">                           </w:t>
      </w:r>
    </w:p>
    <w:p w14:paraId="04BDF06D">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附件：具体标</w:t>
      </w:r>
      <w:r>
        <w:rPr>
          <w:rFonts w:hint="eastAsia" w:ascii="宋体" w:hAnsi="宋体" w:eastAsia="宋体" w:cs="宋体"/>
          <w:sz w:val="22"/>
          <w:szCs w:val="22"/>
          <w:lang w:eastAsia="zh-CN"/>
        </w:rPr>
        <w:t>的及其</w:t>
      </w:r>
      <w:r>
        <w:rPr>
          <w:rFonts w:hint="eastAsia" w:ascii="宋体" w:hAnsi="宋体" w:eastAsia="宋体" w:cs="宋体"/>
          <w:sz w:val="22"/>
          <w:szCs w:val="22"/>
          <w:highlight w:val="none"/>
          <w:u w:val="none"/>
          <w:lang w:val="en-US" w:eastAsia="zh-CN"/>
        </w:rPr>
        <w:t>技术要求和商务要求</w:t>
      </w:r>
      <w:r>
        <w:rPr>
          <w:rFonts w:hint="eastAsia" w:ascii="宋体" w:hAnsi="宋体" w:eastAsia="宋体" w:cs="宋体"/>
          <w:sz w:val="22"/>
          <w:szCs w:val="22"/>
        </w:rPr>
        <w:t>、联合协议、分包</w:t>
      </w:r>
      <w:r>
        <w:rPr>
          <w:rFonts w:hint="eastAsia" w:ascii="宋体" w:hAnsi="宋体" w:eastAsia="宋体" w:cs="宋体"/>
          <w:sz w:val="22"/>
          <w:szCs w:val="22"/>
          <w:lang w:eastAsia="zh-CN"/>
        </w:rPr>
        <w:t>意向</w:t>
      </w:r>
      <w:r>
        <w:rPr>
          <w:rFonts w:hint="eastAsia" w:ascii="宋体" w:hAnsi="宋体" w:eastAsia="宋体" w:cs="宋体"/>
          <w:sz w:val="22"/>
          <w:szCs w:val="22"/>
        </w:rPr>
        <w:t>协议等。</w:t>
      </w: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117"/>
        <w:gridCol w:w="2704"/>
        <w:gridCol w:w="2653"/>
        <w:gridCol w:w="1934"/>
      </w:tblGrid>
      <w:tr w14:paraId="30B200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883705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甲方（</w:t>
            </w:r>
            <w:r>
              <w:rPr>
                <w:rFonts w:hint="eastAsia" w:ascii="宋体" w:hAnsi="宋体" w:eastAsia="宋体" w:cs="宋体"/>
                <w:sz w:val="22"/>
                <w:szCs w:val="22"/>
                <w:lang w:eastAsia="zh-CN"/>
              </w:rPr>
              <w:t>招标人、受招标人委托签订合同的单位</w:t>
            </w:r>
            <w:r>
              <w:rPr>
                <w:rFonts w:hint="eastAsia" w:ascii="宋体" w:hAnsi="宋体" w:eastAsia="宋体" w:cs="宋体"/>
                <w:sz w:val="22"/>
                <w:szCs w:val="22"/>
              </w:rPr>
              <w:t>或采购文件约定的合同甲方）</w:t>
            </w:r>
          </w:p>
        </w:tc>
        <w:tc>
          <w:tcPr>
            <w:tcW w:w="2437" w:type="pct"/>
            <w:gridSpan w:val="2"/>
            <w:tcBorders>
              <w:left w:val="single" w:color="auto" w:sz="2" w:space="0"/>
              <w:bottom w:val="single" w:color="auto" w:sz="2" w:space="0"/>
            </w:tcBorders>
            <w:vAlign w:val="center"/>
          </w:tcPr>
          <w:p w14:paraId="26339D6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乙方（</w:t>
            </w:r>
            <w:r>
              <w:rPr>
                <w:rFonts w:hint="eastAsia" w:ascii="宋体" w:hAnsi="宋体" w:eastAsia="宋体" w:cs="宋体"/>
                <w:sz w:val="22"/>
                <w:szCs w:val="22"/>
                <w:lang w:eastAsia="zh-CN"/>
              </w:rPr>
              <w:t>投标人</w:t>
            </w:r>
            <w:r>
              <w:rPr>
                <w:rFonts w:hint="eastAsia" w:ascii="宋体" w:hAnsi="宋体" w:eastAsia="宋体" w:cs="宋体"/>
                <w:sz w:val="22"/>
                <w:szCs w:val="22"/>
              </w:rPr>
              <w:t>）</w:t>
            </w:r>
          </w:p>
        </w:tc>
      </w:tr>
      <w:tr w14:paraId="63C90A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vAlign w:val="center"/>
          </w:tcPr>
          <w:p w14:paraId="202EE23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单位名称（公章</w:t>
            </w:r>
            <w:r>
              <w:rPr>
                <w:rFonts w:hint="eastAsia" w:ascii="宋体" w:hAnsi="宋体" w:eastAsia="宋体" w:cs="宋体"/>
                <w:sz w:val="22"/>
                <w:szCs w:val="22"/>
                <w:lang w:eastAsia="zh-CN"/>
              </w:rPr>
              <w:t>或合同章</w:t>
            </w:r>
            <w:r>
              <w:rPr>
                <w:rFonts w:hint="eastAsia" w:ascii="宋体" w:hAnsi="宋体" w:eastAsia="宋体" w:cs="宋体"/>
                <w:sz w:val="22"/>
                <w:szCs w:val="22"/>
              </w:rPr>
              <w:t>）</w:t>
            </w:r>
          </w:p>
        </w:tc>
        <w:tc>
          <w:tcPr>
            <w:tcW w:w="1436" w:type="pct"/>
            <w:tcBorders>
              <w:top w:val="single" w:color="auto" w:sz="2" w:space="0"/>
              <w:left w:val="single" w:color="auto" w:sz="2" w:space="0"/>
              <w:bottom w:val="single" w:color="auto" w:sz="2" w:space="0"/>
              <w:right w:val="single" w:color="auto" w:sz="2" w:space="0"/>
            </w:tcBorders>
            <w:vAlign w:val="center"/>
          </w:tcPr>
          <w:p w14:paraId="6795A9B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3E01AA1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单位名称（公章</w:t>
            </w:r>
            <w:r>
              <w:rPr>
                <w:rFonts w:hint="eastAsia" w:ascii="宋体" w:hAnsi="宋体" w:eastAsia="宋体" w:cs="宋体"/>
                <w:sz w:val="22"/>
                <w:szCs w:val="22"/>
                <w:lang w:eastAsia="zh-CN"/>
              </w:rPr>
              <w:t>或合同章</w:t>
            </w:r>
            <w:r>
              <w:rPr>
                <w:rFonts w:hint="eastAsia" w:ascii="宋体" w:hAnsi="宋体" w:eastAsia="宋体" w:cs="宋体"/>
                <w:sz w:val="22"/>
                <w:szCs w:val="22"/>
              </w:rPr>
              <w:t>）</w:t>
            </w:r>
          </w:p>
        </w:tc>
        <w:tc>
          <w:tcPr>
            <w:tcW w:w="1027" w:type="pct"/>
            <w:tcBorders>
              <w:top w:val="single" w:color="auto" w:sz="2" w:space="0"/>
              <w:left w:val="single" w:color="auto" w:sz="2" w:space="0"/>
              <w:bottom w:val="single" w:color="auto" w:sz="2" w:space="0"/>
            </w:tcBorders>
            <w:vAlign w:val="center"/>
          </w:tcPr>
          <w:p w14:paraId="6AABF60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016888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93" w:hRule="atLeast"/>
        </w:trPr>
        <w:tc>
          <w:tcPr>
            <w:tcW w:w="1125" w:type="pct"/>
            <w:vMerge w:val="restart"/>
            <w:tcBorders>
              <w:top w:val="single" w:color="auto" w:sz="2" w:space="0"/>
              <w:right w:val="single" w:color="auto" w:sz="2" w:space="0"/>
            </w:tcBorders>
            <w:vAlign w:val="center"/>
          </w:tcPr>
          <w:p w14:paraId="0E2F127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法定代表人</w:t>
            </w:r>
          </w:p>
          <w:p w14:paraId="75592DD8">
            <w:pPr>
              <w:pageBreakBefore w:val="0"/>
              <w:kinsoku/>
              <w:wordWrap/>
              <w:overflowPunct/>
              <w:topLinePunct w:val="0"/>
              <w:bidi w:val="0"/>
              <w:adjustRightInd w:val="0"/>
              <w:snapToGrid w:val="0"/>
              <w:spacing w:line="240" w:lineRule="auto"/>
              <w:ind w:firstLine="105" w:firstLineChars="48"/>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076F8F5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right w:val="single" w:color="auto" w:sz="2" w:space="0"/>
            </w:tcBorders>
            <w:vAlign w:val="center"/>
          </w:tcPr>
          <w:p w14:paraId="0677847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法定代表人</w:t>
            </w:r>
          </w:p>
          <w:p w14:paraId="5A9898B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或其委托代理人（签章）</w:t>
            </w:r>
          </w:p>
        </w:tc>
        <w:tc>
          <w:tcPr>
            <w:tcW w:w="1027" w:type="pct"/>
            <w:tcBorders>
              <w:top w:val="single" w:color="auto" w:sz="2" w:space="0"/>
              <w:left w:val="single" w:color="auto" w:sz="2" w:space="0"/>
              <w:bottom w:val="single" w:color="auto" w:sz="2" w:space="0"/>
            </w:tcBorders>
            <w:vAlign w:val="center"/>
          </w:tcPr>
          <w:p w14:paraId="7E81772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r>
      <w:tr w14:paraId="169BE9F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vAlign w:val="center"/>
          </w:tcPr>
          <w:p w14:paraId="4DBE16A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vMerge w:val="continue"/>
            <w:tcBorders>
              <w:left w:val="single" w:color="auto" w:sz="2" w:space="0"/>
              <w:bottom w:val="single" w:color="auto" w:sz="2" w:space="0"/>
              <w:right w:val="single" w:color="auto" w:sz="2" w:space="0"/>
            </w:tcBorders>
            <w:vAlign w:val="center"/>
          </w:tcPr>
          <w:p w14:paraId="514ED16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32750B2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拥有者性别</w:t>
            </w:r>
          </w:p>
        </w:tc>
        <w:tc>
          <w:tcPr>
            <w:tcW w:w="1027" w:type="pct"/>
            <w:tcBorders>
              <w:top w:val="single" w:color="auto" w:sz="2" w:space="0"/>
              <w:left w:val="single" w:color="auto" w:sz="2" w:space="0"/>
              <w:bottom w:val="single" w:color="auto" w:sz="2" w:space="0"/>
            </w:tcBorders>
            <w:vAlign w:val="center"/>
          </w:tcPr>
          <w:p w14:paraId="23F4E51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6AAC092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856620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住</w:t>
            </w: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338F719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1314A69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住</w:t>
            </w: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所</w:t>
            </w:r>
          </w:p>
        </w:tc>
        <w:tc>
          <w:tcPr>
            <w:tcW w:w="1027" w:type="pct"/>
            <w:tcBorders>
              <w:top w:val="single" w:color="auto" w:sz="2" w:space="0"/>
              <w:left w:val="single" w:color="auto" w:sz="2" w:space="0"/>
              <w:bottom w:val="single" w:color="auto" w:sz="2" w:space="0"/>
            </w:tcBorders>
            <w:vAlign w:val="center"/>
          </w:tcPr>
          <w:p w14:paraId="266EFA2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2A0787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42A61CF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A7C86E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09AD3E8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 系 人</w:t>
            </w:r>
          </w:p>
        </w:tc>
        <w:tc>
          <w:tcPr>
            <w:tcW w:w="1027" w:type="pct"/>
            <w:tcBorders>
              <w:top w:val="single" w:color="auto" w:sz="2" w:space="0"/>
              <w:left w:val="single" w:color="auto" w:sz="2" w:space="0"/>
              <w:bottom w:val="single" w:color="auto" w:sz="2" w:space="0"/>
            </w:tcBorders>
            <w:vAlign w:val="center"/>
          </w:tcPr>
          <w:p w14:paraId="356365B8">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5BA12F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6CAB253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131BE26">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7F05144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联系电话</w:t>
            </w:r>
          </w:p>
        </w:tc>
        <w:tc>
          <w:tcPr>
            <w:tcW w:w="1027" w:type="pct"/>
            <w:tcBorders>
              <w:top w:val="single" w:color="auto" w:sz="2" w:space="0"/>
              <w:left w:val="single" w:color="auto" w:sz="2" w:space="0"/>
              <w:bottom w:val="single" w:color="auto" w:sz="2" w:space="0"/>
            </w:tcBorders>
            <w:vAlign w:val="center"/>
          </w:tcPr>
          <w:p w14:paraId="0E07548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5FC842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0E305BD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45410AA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656995B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通信地址</w:t>
            </w:r>
          </w:p>
        </w:tc>
        <w:tc>
          <w:tcPr>
            <w:tcW w:w="1027" w:type="pct"/>
            <w:tcBorders>
              <w:top w:val="single" w:color="auto" w:sz="2" w:space="0"/>
              <w:left w:val="single" w:color="auto" w:sz="2" w:space="0"/>
              <w:bottom w:val="single" w:color="auto" w:sz="2" w:space="0"/>
            </w:tcBorders>
            <w:vAlign w:val="center"/>
          </w:tcPr>
          <w:p w14:paraId="0BA6FBF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7EA537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1BD021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38B33D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09EBF1C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邮政编码</w:t>
            </w:r>
          </w:p>
        </w:tc>
        <w:tc>
          <w:tcPr>
            <w:tcW w:w="1027" w:type="pct"/>
            <w:tcBorders>
              <w:top w:val="single" w:color="auto" w:sz="2" w:space="0"/>
              <w:left w:val="single" w:color="auto" w:sz="2" w:space="0"/>
              <w:bottom w:val="single" w:color="auto" w:sz="2" w:space="0"/>
            </w:tcBorders>
            <w:vAlign w:val="center"/>
          </w:tcPr>
          <w:p w14:paraId="3770013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022A281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72EB7AC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32CD49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6E4580A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电子邮箱</w:t>
            </w:r>
          </w:p>
        </w:tc>
        <w:tc>
          <w:tcPr>
            <w:tcW w:w="1027" w:type="pct"/>
            <w:tcBorders>
              <w:top w:val="single" w:color="auto" w:sz="2" w:space="0"/>
              <w:left w:val="single" w:color="auto" w:sz="2" w:space="0"/>
              <w:bottom w:val="single" w:color="auto" w:sz="2" w:space="0"/>
            </w:tcBorders>
            <w:vAlign w:val="center"/>
          </w:tcPr>
          <w:p w14:paraId="6B9B5E0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16D062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BC94F9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87847D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2BA7CCF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统一社会信用代码</w:t>
            </w:r>
          </w:p>
        </w:tc>
        <w:tc>
          <w:tcPr>
            <w:tcW w:w="1027" w:type="pct"/>
            <w:tcBorders>
              <w:top w:val="single" w:color="auto" w:sz="2" w:space="0"/>
              <w:left w:val="single" w:color="auto" w:sz="2" w:space="0"/>
              <w:bottom w:val="single" w:color="auto" w:sz="2" w:space="0"/>
            </w:tcBorders>
            <w:vAlign w:val="center"/>
          </w:tcPr>
          <w:p w14:paraId="1A87ED4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03ACCC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0D1875E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tcBorders>
              <w:top w:val="single" w:color="auto" w:sz="2" w:space="0"/>
              <w:left w:val="single" w:color="auto" w:sz="2" w:space="0"/>
              <w:bottom w:val="single" w:color="auto" w:sz="2" w:space="0"/>
              <w:right w:val="single" w:color="auto" w:sz="2" w:space="0"/>
            </w:tcBorders>
            <w:vAlign w:val="center"/>
          </w:tcPr>
          <w:p w14:paraId="26045A6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2D325DC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开户名称</w:t>
            </w:r>
          </w:p>
        </w:tc>
        <w:tc>
          <w:tcPr>
            <w:tcW w:w="1027" w:type="pct"/>
            <w:tcBorders>
              <w:top w:val="single" w:color="auto" w:sz="2" w:space="0"/>
              <w:left w:val="single" w:color="auto" w:sz="2" w:space="0"/>
              <w:bottom w:val="single" w:color="auto" w:sz="2" w:space="0"/>
            </w:tcBorders>
            <w:vAlign w:val="center"/>
          </w:tcPr>
          <w:p w14:paraId="68B554E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305C84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2D930D4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tcBorders>
              <w:top w:val="single" w:color="auto" w:sz="2" w:space="0"/>
              <w:left w:val="single" w:color="auto" w:sz="2" w:space="0"/>
              <w:bottom w:val="single" w:color="auto" w:sz="2" w:space="0"/>
              <w:right w:val="single" w:color="auto" w:sz="2" w:space="0"/>
            </w:tcBorders>
            <w:vAlign w:val="center"/>
          </w:tcPr>
          <w:p w14:paraId="5FC44AD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5CEE321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开户银行</w:t>
            </w:r>
          </w:p>
        </w:tc>
        <w:tc>
          <w:tcPr>
            <w:tcW w:w="1027" w:type="pct"/>
            <w:tcBorders>
              <w:top w:val="single" w:color="auto" w:sz="2" w:space="0"/>
              <w:left w:val="single" w:color="auto" w:sz="2" w:space="0"/>
              <w:bottom w:val="single" w:color="auto" w:sz="2" w:space="0"/>
            </w:tcBorders>
            <w:vAlign w:val="center"/>
          </w:tcPr>
          <w:p w14:paraId="4D70120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37B4A1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F480BF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tcBorders>
              <w:top w:val="single" w:color="auto" w:sz="2" w:space="0"/>
              <w:left w:val="single" w:color="auto" w:sz="2" w:space="0"/>
              <w:bottom w:val="single" w:color="auto" w:sz="2" w:space="0"/>
              <w:right w:val="single" w:color="auto" w:sz="2" w:space="0"/>
            </w:tcBorders>
            <w:vAlign w:val="center"/>
          </w:tcPr>
          <w:p w14:paraId="1E2EF7C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72F91A1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银行账号</w:t>
            </w:r>
          </w:p>
        </w:tc>
        <w:tc>
          <w:tcPr>
            <w:tcW w:w="1027" w:type="pct"/>
            <w:tcBorders>
              <w:top w:val="single" w:color="auto" w:sz="2" w:space="0"/>
              <w:left w:val="single" w:color="auto" w:sz="2" w:space="0"/>
              <w:bottom w:val="single" w:color="auto" w:sz="2" w:space="0"/>
            </w:tcBorders>
            <w:vAlign w:val="center"/>
          </w:tcPr>
          <w:p w14:paraId="5DBFADB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49C453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1290CEF">
            <w:pPr>
              <w:pStyle w:val="3"/>
              <w:pageBreakBefore w:val="0"/>
              <w:kinsoku/>
              <w:wordWrap/>
              <w:overflowPunct/>
              <w:topLinePunct w:val="0"/>
              <w:bidi w:val="0"/>
              <w:adjustRightInd w:val="0"/>
              <w:snapToGrid w:val="0"/>
              <w:spacing w:after="0" w:afterLines="0" w:line="240" w:lineRule="auto"/>
              <w:ind w:left="0" w:leftChars="0"/>
              <w:jc w:val="left"/>
              <w:textAlignment w:val="auto"/>
              <w:outlineLvl w:val="9"/>
              <w:rPr>
                <w:rFonts w:hint="eastAsia" w:ascii="宋体" w:hAnsi="宋体" w:eastAsia="宋体" w:cs="宋体"/>
                <w:spacing w:val="20"/>
                <w:sz w:val="22"/>
                <w:szCs w:val="22"/>
              </w:rPr>
            </w:pPr>
            <w:r>
              <w:rPr>
                <w:rFonts w:hint="eastAsia" w:ascii="宋体" w:hAnsi="宋体" w:eastAsia="宋体" w:cs="宋体"/>
                <w:sz w:val="22"/>
                <w:szCs w:val="22"/>
              </w:rPr>
              <w:t>注：涉及联合体或其他合同主体的信息应按上表格式加列。</w:t>
            </w:r>
          </w:p>
        </w:tc>
      </w:tr>
    </w:tbl>
    <w:p w14:paraId="156C8930">
      <w:pPr>
        <w:keepNext w:val="0"/>
        <w:keepLines w:val="0"/>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bCs/>
          <w:sz w:val="24"/>
          <w:szCs w:val="24"/>
        </w:rPr>
      </w:pPr>
      <w:r>
        <w:rPr>
          <w:rFonts w:hint="eastAsia" w:ascii="宋体" w:hAnsi="宋体" w:eastAsia="宋体" w:cs="宋体"/>
          <w:sz w:val="22"/>
          <w:szCs w:val="22"/>
          <w:u w:val="single"/>
        </w:rPr>
        <w:br w:type="page"/>
      </w:r>
      <w:bookmarkStart w:id="96" w:name="_Toc27624"/>
      <w:r>
        <w:rPr>
          <w:rFonts w:hint="eastAsia" w:ascii="宋体" w:hAnsi="宋体" w:eastAsia="宋体" w:cs="宋体"/>
          <w:b/>
          <w:bCs/>
          <w:sz w:val="24"/>
          <w:szCs w:val="24"/>
        </w:rPr>
        <w:t>第二节 政府采购合同通用条款</w:t>
      </w:r>
      <w:bookmarkEnd w:id="96"/>
    </w:p>
    <w:p w14:paraId="6C4D065B">
      <w:pPr>
        <w:keepNext w:val="0"/>
        <w:keepLines w:val="0"/>
        <w:pageBreakBefore w:val="0"/>
        <w:tabs>
          <w:tab w:val="left" w:pos="8820"/>
          <w:tab w:val="left" w:pos="9345"/>
          <w:tab w:val="left" w:pos="9765"/>
        </w:tabs>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sz w:val="22"/>
          <w:szCs w:val="22"/>
        </w:rPr>
      </w:pPr>
      <w:r>
        <w:rPr>
          <w:rFonts w:hint="eastAsia" w:ascii="宋体" w:hAnsi="宋体" w:eastAsia="宋体" w:cs="宋体"/>
          <w:b/>
          <w:sz w:val="22"/>
          <w:szCs w:val="22"/>
        </w:rPr>
        <w:t>1.</w:t>
      </w:r>
      <w:r>
        <w:rPr>
          <w:rFonts w:hint="eastAsia" w:ascii="宋体" w:hAnsi="宋体" w:eastAsia="宋体" w:cs="宋体"/>
          <w:b/>
          <w:sz w:val="22"/>
          <w:szCs w:val="22"/>
          <w:lang w:val="en-US" w:eastAsia="zh-CN"/>
        </w:rPr>
        <w:t xml:space="preserve"> </w:t>
      </w:r>
      <w:r>
        <w:rPr>
          <w:rFonts w:hint="eastAsia" w:ascii="宋体" w:hAnsi="宋体" w:eastAsia="宋体" w:cs="宋体"/>
          <w:b/>
          <w:bCs/>
          <w:sz w:val="22"/>
          <w:szCs w:val="22"/>
        </w:rPr>
        <w:t>定义</w:t>
      </w:r>
    </w:p>
    <w:p w14:paraId="48E4808E">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1.1合同当事人</w:t>
      </w:r>
    </w:p>
    <w:p w14:paraId="2334F22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招标人</w:t>
      </w:r>
      <w:r>
        <w:rPr>
          <w:rFonts w:hint="eastAsia" w:ascii="宋体" w:hAnsi="宋体" w:eastAsia="宋体" w:cs="宋体"/>
          <w:color w:val="auto"/>
          <w:sz w:val="22"/>
          <w:szCs w:val="22"/>
          <w:highlight w:val="none"/>
        </w:rPr>
        <w:t>（以下称甲方）是指使用财政性资金，通过政府采购方式向</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购买货物</w:t>
      </w:r>
      <w:r>
        <w:rPr>
          <w:rFonts w:hint="eastAsia" w:ascii="宋体" w:hAnsi="宋体" w:eastAsia="宋体" w:cs="宋体"/>
          <w:color w:val="auto"/>
          <w:sz w:val="22"/>
          <w:szCs w:val="22"/>
          <w:highlight w:val="none"/>
          <w:lang w:val="en-US" w:eastAsia="zh-CN"/>
        </w:rPr>
        <w:t>及其相关服务的</w:t>
      </w:r>
      <w:r>
        <w:rPr>
          <w:rFonts w:hint="eastAsia" w:ascii="宋体" w:hAnsi="宋体" w:eastAsia="宋体" w:cs="宋体"/>
          <w:color w:val="auto"/>
          <w:sz w:val="22"/>
          <w:szCs w:val="22"/>
          <w:highlight w:val="none"/>
        </w:rPr>
        <w:t>国家机关、事业单位、团体组织。</w:t>
      </w:r>
    </w:p>
    <w:p w14:paraId="4A1D93D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（以下称</w:t>
      </w:r>
      <w:r>
        <w:rPr>
          <w:rFonts w:hint="eastAsia" w:ascii="宋体" w:hAnsi="宋体" w:eastAsia="宋体" w:cs="宋体"/>
          <w:color w:val="auto"/>
          <w:sz w:val="22"/>
          <w:szCs w:val="22"/>
          <w:highlight w:val="none"/>
          <w:lang w:eastAsia="zh-CN"/>
        </w:rPr>
        <w:t>乙</w:t>
      </w:r>
      <w:r>
        <w:rPr>
          <w:rFonts w:hint="eastAsia" w:ascii="宋体" w:hAnsi="宋体" w:eastAsia="宋体" w:cs="宋体"/>
          <w:color w:val="auto"/>
          <w:sz w:val="22"/>
          <w:szCs w:val="22"/>
          <w:highlight w:val="none"/>
        </w:rPr>
        <w:t>方）是指参加政府采购活动并且中标（成交），向</w:t>
      </w:r>
      <w:r>
        <w:rPr>
          <w:rFonts w:hint="eastAsia" w:ascii="宋体" w:hAnsi="宋体" w:eastAsia="宋体" w:cs="宋体"/>
          <w:color w:val="auto"/>
          <w:sz w:val="22"/>
          <w:szCs w:val="22"/>
          <w:highlight w:val="none"/>
          <w:lang w:eastAsia="zh-CN"/>
        </w:rPr>
        <w:t>招标人</w:t>
      </w:r>
      <w:r>
        <w:rPr>
          <w:rFonts w:hint="eastAsia" w:ascii="宋体" w:hAnsi="宋体" w:eastAsia="宋体" w:cs="宋体"/>
          <w:color w:val="auto"/>
          <w:sz w:val="22"/>
          <w:szCs w:val="22"/>
          <w:highlight w:val="none"/>
        </w:rPr>
        <w:t>提供</w:t>
      </w:r>
      <w:r>
        <w:rPr>
          <w:rFonts w:hint="eastAsia" w:ascii="宋体" w:hAnsi="宋体" w:eastAsia="宋体" w:cs="宋体"/>
          <w:color w:val="auto"/>
          <w:sz w:val="22"/>
          <w:szCs w:val="22"/>
          <w:highlight w:val="none"/>
          <w:lang w:val="en-US" w:eastAsia="zh-CN"/>
        </w:rPr>
        <w:t>合同约定的货物及其相关服务的法人、非法人组织或者自然人</w:t>
      </w:r>
      <w:r>
        <w:rPr>
          <w:rFonts w:hint="eastAsia" w:ascii="宋体" w:hAnsi="宋体" w:eastAsia="宋体" w:cs="宋体"/>
          <w:color w:val="auto"/>
          <w:sz w:val="22"/>
          <w:szCs w:val="22"/>
          <w:highlight w:val="none"/>
        </w:rPr>
        <w:t>。</w:t>
      </w:r>
    </w:p>
    <w:p w14:paraId="7B5DB1D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（3）其他合同主体是指除</w:t>
      </w:r>
      <w:r>
        <w:rPr>
          <w:rFonts w:hint="eastAsia" w:ascii="宋体" w:hAnsi="宋体" w:eastAsia="宋体" w:cs="宋体"/>
          <w:color w:val="auto"/>
          <w:sz w:val="22"/>
          <w:szCs w:val="22"/>
          <w:highlight w:val="none"/>
          <w:lang w:eastAsia="zh-CN"/>
        </w:rPr>
        <w:t>招标人</w:t>
      </w:r>
      <w:r>
        <w:rPr>
          <w:rFonts w:hint="eastAsia" w:ascii="宋体" w:hAnsi="宋体" w:eastAsia="宋体" w:cs="宋体"/>
          <w:color w:val="auto"/>
          <w:sz w:val="22"/>
          <w:szCs w:val="22"/>
          <w:highlight w:val="none"/>
        </w:rPr>
        <w:t>和</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以外，</w:t>
      </w:r>
      <w:r>
        <w:rPr>
          <w:rFonts w:hint="eastAsia" w:ascii="宋体" w:hAnsi="宋体" w:eastAsia="宋体" w:cs="宋体"/>
          <w:bCs/>
          <w:color w:val="000000" w:themeColor="text1"/>
          <w:sz w:val="22"/>
          <w:szCs w:val="22"/>
          <w14:textFill>
            <w14:solidFill>
              <w14:schemeClr w14:val="tx1"/>
            </w14:solidFill>
          </w14:textFill>
        </w:rPr>
        <w:t>依法参与合同缔结或履行，享有权利、承担义务的合同当事人</w:t>
      </w:r>
      <w:r>
        <w:rPr>
          <w:rFonts w:hint="eastAsia" w:ascii="宋体" w:hAnsi="宋体" w:eastAsia="宋体" w:cs="宋体"/>
          <w:color w:val="auto"/>
          <w:sz w:val="22"/>
          <w:szCs w:val="22"/>
          <w:highlight w:val="none"/>
        </w:rPr>
        <w:t>。</w:t>
      </w:r>
    </w:p>
    <w:p w14:paraId="4008552F">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1.2本合同下列术语应解释为：</w:t>
      </w:r>
    </w:p>
    <w:p w14:paraId="5A96AA17">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（1）“合同”系指</w:t>
      </w:r>
      <w:r>
        <w:rPr>
          <w:rFonts w:hint="eastAsia" w:ascii="宋体" w:hAnsi="宋体" w:eastAsia="宋体" w:cs="宋体"/>
          <w:bCs/>
          <w:color w:val="000000" w:themeColor="text1"/>
          <w:sz w:val="22"/>
          <w:szCs w:val="22"/>
          <w14:textFill>
            <w14:solidFill>
              <w14:schemeClr w14:val="tx1"/>
            </w14:solidFill>
          </w14:textFill>
        </w:rPr>
        <w:t>合同当事人意思表示达成一致的任何协议，包括签署的</w:t>
      </w:r>
      <w:r>
        <w:rPr>
          <w:rFonts w:hint="eastAsia" w:ascii="宋体" w:hAnsi="宋体" w:eastAsia="宋体" w:cs="宋体"/>
          <w:color w:val="auto"/>
          <w:sz w:val="22"/>
          <w:szCs w:val="22"/>
          <w:lang w:eastAsia="zh-CN"/>
        </w:rPr>
        <w:t>政府采购</w:t>
      </w:r>
      <w:r>
        <w:rPr>
          <w:rFonts w:hint="eastAsia" w:ascii="宋体" w:hAnsi="宋体" w:eastAsia="宋体" w:cs="宋体"/>
          <w:color w:val="auto"/>
          <w:sz w:val="22"/>
          <w:szCs w:val="22"/>
        </w:rPr>
        <w:t>合同协议书及其变更、补充</w:t>
      </w:r>
      <w:r>
        <w:rPr>
          <w:rFonts w:hint="eastAsia" w:ascii="宋体" w:hAnsi="宋体" w:eastAsia="宋体" w:cs="宋体"/>
          <w:color w:val="auto"/>
          <w:sz w:val="22"/>
          <w:szCs w:val="22"/>
          <w:lang w:eastAsia="zh-CN"/>
        </w:rPr>
        <w:t>协议，</w:t>
      </w:r>
      <w:r>
        <w:rPr>
          <w:rFonts w:hint="eastAsia" w:ascii="宋体" w:hAnsi="宋体" w:eastAsia="宋体" w:cs="宋体"/>
          <w:sz w:val="22"/>
          <w:szCs w:val="22"/>
        </w:rPr>
        <w:t>政府采购合同专用条款</w:t>
      </w:r>
      <w:r>
        <w:rPr>
          <w:rFonts w:hint="eastAsia" w:ascii="宋体" w:hAnsi="宋体" w:eastAsia="宋体" w:cs="宋体"/>
          <w:sz w:val="22"/>
          <w:szCs w:val="22"/>
          <w:lang w:eastAsia="zh-CN"/>
        </w:rPr>
        <w:t>，</w:t>
      </w:r>
      <w:r>
        <w:rPr>
          <w:rFonts w:hint="eastAsia" w:ascii="宋体" w:hAnsi="宋体" w:eastAsia="宋体" w:cs="宋体"/>
          <w:sz w:val="22"/>
          <w:szCs w:val="22"/>
        </w:rPr>
        <w:t>政府采购合同通用条款</w:t>
      </w:r>
      <w:r>
        <w:rPr>
          <w:rFonts w:hint="eastAsia" w:ascii="宋体" w:hAnsi="宋体" w:eastAsia="宋体" w:cs="宋体"/>
          <w:sz w:val="22"/>
          <w:szCs w:val="22"/>
          <w:lang w:eastAsia="zh-CN"/>
        </w:rPr>
        <w:t>，</w:t>
      </w:r>
      <w:r>
        <w:rPr>
          <w:rFonts w:hint="eastAsia" w:ascii="宋体" w:hAnsi="宋体" w:eastAsia="宋体" w:cs="宋体"/>
          <w:color w:val="auto"/>
          <w:sz w:val="22"/>
          <w:szCs w:val="22"/>
        </w:rPr>
        <w:t>中标</w:t>
      </w:r>
      <w:r>
        <w:rPr>
          <w:rFonts w:hint="eastAsia" w:ascii="宋体" w:hAnsi="宋体" w:eastAsia="宋体" w:cs="宋体"/>
          <w:color w:val="auto"/>
          <w:sz w:val="22"/>
          <w:szCs w:val="22"/>
          <w:lang w:eastAsia="zh-CN"/>
        </w:rPr>
        <w:t>（成交）</w:t>
      </w:r>
      <w:r>
        <w:rPr>
          <w:rFonts w:hint="eastAsia" w:ascii="宋体" w:hAnsi="宋体" w:eastAsia="宋体" w:cs="宋体"/>
          <w:color w:val="auto"/>
          <w:sz w:val="22"/>
          <w:szCs w:val="22"/>
        </w:rPr>
        <w:t>通知书</w:t>
      </w:r>
      <w:r>
        <w:rPr>
          <w:rFonts w:hint="eastAsia" w:ascii="宋体" w:hAnsi="宋体" w:eastAsia="宋体" w:cs="宋体"/>
          <w:color w:val="auto"/>
          <w:sz w:val="22"/>
          <w:szCs w:val="22"/>
          <w:lang w:eastAsia="zh-CN"/>
        </w:rPr>
        <w:t>，</w:t>
      </w:r>
      <w:r>
        <w:rPr>
          <w:rFonts w:hint="eastAsia" w:ascii="宋体" w:hAnsi="宋体" w:eastAsia="宋体" w:cs="宋体"/>
          <w:sz w:val="22"/>
          <w:szCs w:val="22"/>
        </w:rPr>
        <w:t>投标（响应）文件</w:t>
      </w:r>
      <w:r>
        <w:rPr>
          <w:rFonts w:hint="eastAsia" w:ascii="宋体" w:hAnsi="宋体" w:eastAsia="宋体" w:cs="宋体"/>
          <w:sz w:val="22"/>
          <w:szCs w:val="22"/>
          <w:lang w:eastAsia="zh-CN"/>
        </w:rPr>
        <w:t>，</w:t>
      </w:r>
      <w:r>
        <w:rPr>
          <w:rFonts w:hint="eastAsia" w:ascii="宋体" w:hAnsi="宋体" w:eastAsia="宋体" w:cs="宋体"/>
          <w:sz w:val="22"/>
          <w:szCs w:val="22"/>
        </w:rPr>
        <w:t>采购文件</w:t>
      </w:r>
      <w:r>
        <w:rPr>
          <w:rFonts w:hint="eastAsia" w:ascii="宋体" w:hAnsi="宋体" w:eastAsia="宋体" w:cs="宋体"/>
          <w:sz w:val="22"/>
          <w:szCs w:val="22"/>
          <w:lang w:eastAsia="zh-CN"/>
        </w:rPr>
        <w:t>，</w:t>
      </w:r>
      <w:r>
        <w:rPr>
          <w:rFonts w:hint="eastAsia" w:ascii="宋体" w:hAnsi="宋体" w:eastAsia="宋体" w:cs="宋体"/>
          <w:sz w:val="22"/>
          <w:szCs w:val="22"/>
        </w:rPr>
        <w:t>有关技术文件</w:t>
      </w:r>
      <w:r>
        <w:rPr>
          <w:rFonts w:hint="eastAsia" w:ascii="宋体" w:hAnsi="宋体" w:eastAsia="宋体" w:cs="宋体"/>
          <w:sz w:val="22"/>
          <w:szCs w:val="22"/>
          <w:lang w:eastAsia="zh-CN"/>
        </w:rPr>
        <w:t>和</w:t>
      </w:r>
      <w:r>
        <w:rPr>
          <w:rFonts w:hint="eastAsia" w:ascii="宋体" w:hAnsi="宋体" w:eastAsia="宋体" w:cs="宋体"/>
          <w:sz w:val="22"/>
          <w:szCs w:val="22"/>
        </w:rPr>
        <w:t>图纸</w:t>
      </w:r>
      <w:r>
        <w:rPr>
          <w:rFonts w:hint="eastAsia" w:ascii="宋体" w:hAnsi="宋体" w:eastAsia="宋体" w:cs="宋体"/>
          <w:sz w:val="22"/>
          <w:szCs w:val="22"/>
          <w:lang w:eastAsia="zh-CN"/>
        </w:rPr>
        <w:t>，以及</w:t>
      </w:r>
      <w:r>
        <w:rPr>
          <w:rFonts w:hint="eastAsia" w:ascii="宋体" w:hAnsi="宋体" w:eastAsia="宋体" w:cs="宋体"/>
          <w:bCs w:val="0"/>
          <w:color w:val="000000" w:themeColor="text1"/>
          <w:kern w:val="2"/>
          <w:sz w:val="22"/>
          <w:szCs w:val="22"/>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2"/>
          <w:szCs w:val="22"/>
          <w:highlight w:val="none"/>
        </w:rPr>
        <w:t>。</w:t>
      </w:r>
    </w:p>
    <w:p w14:paraId="7EF7CBC9">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）“合同价</w:t>
      </w:r>
      <w:r>
        <w:rPr>
          <w:rFonts w:hint="eastAsia" w:ascii="宋体" w:hAnsi="宋体" w:eastAsia="宋体" w:cs="宋体"/>
          <w:color w:val="auto"/>
          <w:sz w:val="22"/>
          <w:szCs w:val="22"/>
          <w:highlight w:val="none"/>
          <w:lang w:val="en-US" w:eastAsia="zh-CN"/>
        </w:rPr>
        <w:t>款</w:t>
      </w:r>
      <w:r>
        <w:rPr>
          <w:rFonts w:hint="eastAsia" w:ascii="宋体" w:hAnsi="宋体" w:eastAsia="宋体" w:cs="宋体"/>
          <w:color w:val="auto"/>
          <w:sz w:val="22"/>
          <w:szCs w:val="22"/>
          <w:highlight w:val="none"/>
        </w:rPr>
        <w:t>”系指根据本合同规定乙方在全面履行合同义务后甲方应支付给乙方的价款。</w:t>
      </w:r>
    </w:p>
    <w:p w14:paraId="7B75CF60">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lang w:eastAsia="zh-CN"/>
          <w14:textFill>
            <w14:solidFill>
              <w14:schemeClr w14:val="tx1"/>
            </w14:solidFill>
          </w14:textFill>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）“货物”系指乙方根据本合同规定须向甲方提供的各种形态和种类的物品，包括原材料、设备、产品（</w:t>
      </w:r>
      <w:r>
        <w:rPr>
          <w:rFonts w:hint="eastAsia" w:ascii="宋体" w:hAnsi="宋体" w:eastAsia="宋体" w:cs="宋体"/>
          <w:color w:val="000000" w:themeColor="text1"/>
          <w:sz w:val="22"/>
          <w:szCs w:val="22"/>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技术资料和材料</w:t>
      </w:r>
      <w:r>
        <w:rPr>
          <w:rFonts w:hint="eastAsia" w:ascii="宋体" w:hAnsi="宋体" w:eastAsia="宋体" w:cs="宋体"/>
          <w:color w:val="000000" w:themeColor="text1"/>
          <w:sz w:val="22"/>
          <w:szCs w:val="22"/>
          <w:highlight w:val="none"/>
          <w:lang w:eastAsia="zh-CN"/>
          <w14:textFill>
            <w14:solidFill>
              <w14:schemeClr w14:val="tx1"/>
            </w14:solidFill>
          </w14:textFill>
        </w:rPr>
        <w:t>等</w:t>
      </w:r>
      <w:r>
        <w:rPr>
          <w:rFonts w:hint="eastAsia" w:ascii="宋体" w:hAnsi="宋体" w:eastAsia="宋体" w:cs="宋体"/>
          <w:color w:val="000000" w:themeColor="text1"/>
          <w:sz w:val="22"/>
          <w:szCs w:val="22"/>
          <w:highlight w:val="none"/>
          <w14:textFill>
            <w14:solidFill>
              <w14:schemeClr w14:val="tx1"/>
            </w14:solidFill>
          </w14:textFill>
        </w:rPr>
        <w:t>。</w:t>
      </w:r>
    </w:p>
    <w:p w14:paraId="2F6980D9">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yellow"/>
          <w:lang w:eastAsia="zh-CN"/>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auto"/>
          <w:sz w:val="22"/>
          <w:szCs w:val="22"/>
          <w:highlight w:val="none"/>
          <w:lang w:val="en-US" w:eastAsia="zh-CN"/>
        </w:rPr>
        <w:t>相关</w:t>
      </w:r>
      <w:r>
        <w:rPr>
          <w:rFonts w:hint="eastAsia" w:ascii="宋体" w:hAnsi="宋体" w:eastAsia="宋体" w:cs="宋体"/>
          <w:color w:val="000000" w:themeColor="text1"/>
          <w:sz w:val="22"/>
          <w:szCs w:val="22"/>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2"/>
          <w:szCs w:val="22"/>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2"/>
          <w:szCs w:val="22"/>
          <w:highlight w:val="none"/>
          <w14:textFill>
            <w14:solidFill>
              <w14:schemeClr w14:val="tx1"/>
            </w14:solidFill>
          </w14:textFill>
        </w:rPr>
        <w:t>技术、管理和</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2"/>
          <w:szCs w:val="22"/>
          <w:highlight w:val="none"/>
          <w:lang w:eastAsia="zh-CN"/>
          <w14:textFill>
            <w14:solidFill>
              <w14:schemeClr w14:val="tx1"/>
            </w14:solidFill>
          </w14:textFill>
        </w:rPr>
        <w:t>废弃处置、</w:t>
      </w:r>
      <w:r>
        <w:rPr>
          <w:rFonts w:hint="eastAsia" w:ascii="宋体" w:hAnsi="宋体" w:eastAsia="宋体" w:cs="宋体"/>
          <w:color w:val="000000" w:themeColor="text1"/>
          <w:sz w:val="22"/>
          <w:szCs w:val="22"/>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义务。</w:t>
      </w:r>
    </w:p>
    <w:p w14:paraId="6438BDAC">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yellow"/>
          <w:lang w:eastAsia="zh-CN"/>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）“分包”系指中标</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成交</w:t>
      </w:r>
      <w:r>
        <w:rPr>
          <w:rFonts w:hint="eastAsia" w:ascii="宋体" w:hAnsi="宋体" w:eastAsia="宋体" w:cs="宋体"/>
          <w:color w:val="000000" w:themeColor="text1"/>
          <w:sz w:val="22"/>
          <w:szCs w:val="22"/>
          <w:highlight w:val="none"/>
          <w:lang w:eastAsia="zh-CN"/>
          <w14:textFill>
            <w14:solidFill>
              <w14:schemeClr w14:val="tx1"/>
            </w14:solidFill>
          </w14:textFill>
        </w:rPr>
        <w:t>）投标人</w:t>
      </w:r>
      <w:r>
        <w:rPr>
          <w:rFonts w:hint="eastAsia" w:ascii="宋体" w:hAnsi="宋体" w:eastAsia="宋体" w:cs="宋体"/>
          <w:color w:val="000000" w:themeColor="text1"/>
          <w:sz w:val="22"/>
          <w:szCs w:val="22"/>
          <w:highlight w:val="none"/>
          <w14:textFill>
            <w14:solidFill>
              <w14:schemeClr w14:val="tx1"/>
            </w14:solidFill>
          </w14:textFill>
        </w:rPr>
        <w:t>按采购文件、投标（响应）文件的规定，根据分包意向协议，将中标</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成交</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项目中的部分履约内容，分给具有相应资质条件的</w:t>
      </w:r>
      <w:r>
        <w:rPr>
          <w:rFonts w:hint="eastAsia" w:ascii="宋体" w:hAnsi="宋体" w:eastAsia="宋体" w:cs="宋体"/>
          <w:color w:val="000000" w:themeColor="text1"/>
          <w:sz w:val="22"/>
          <w:szCs w:val="22"/>
          <w:highlight w:val="none"/>
          <w:lang w:eastAsia="zh-CN"/>
          <w14:textFill>
            <w14:solidFill>
              <w14:schemeClr w14:val="tx1"/>
            </w14:solidFill>
          </w14:textFill>
        </w:rPr>
        <w:t>投标人</w:t>
      </w:r>
      <w:r>
        <w:rPr>
          <w:rFonts w:hint="eastAsia" w:ascii="宋体" w:hAnsi="宋体" w:eastAsia="宋体" w:cs="宋体"/>
          <w:color w:val="000000" w:themeColor="text1"/>
          <w:sz w:val="22"/>
          <w:szCs w:val="22"/>
          <w:highlight w:val="none"/>
          <w14:textFill>
            <w14:solidFill>
              <w14:schemeClr w14:val="tx1"/>
            </w14:solidFill>
          </w14:textFill>
        </w:rPr>
        <w:t>履行合同的行为。</w:t>
      </w:r>
    </w:p>
    <w:p w14:paraId="65DB8F5B">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sz w:val="22"/>
          <w:szCs w:val="22"/>
        </w:rPr>
        <w:t>“联合体”系指</w:t>
      </w:r>
      <w:r>
        <w:rPr>
          <w:rFonts w:hint="eastAsia" w:ascii="宋体" w:hAnsi="宋体" w:eastAsia="宋体" w:cs="宋体"/>
          <w:sz w:val="22"/>
          <w:szCs w:val="22"/>
          <w:lang w:eastAsia="zh-CN"/>
        </w:rPr>
        <w:t>由</w:t>
      </w:r>
      <w:r>
        <w:rPr>
          <w:rFonts w:hint="eastAsia" w:ascii="宋体" w:hAnsi="宋体" w:eastAsia="宋体" w:cs="宋体"/>
          <w:sz w:val="22"/>
          <w:szCs w:val="22"/>
        </w:rPr>
        <w:t>两个以上的自然人、法人或者</w:t>
      </w:r>
      <w:r>
        <w:rPr>
          <w:rFonts w:hint="eastAsia" w:ascii="宋体" w:hAnsi="宋体" w:eastAsia="宋体" w:cs="宋体"/>
          <w:sz w:val="22"/>
          <w:szCs w:val="22"/>
          <w:lang w:val="en-US" w:eastAsia="zh-CN"/>
        </w:rPr>
        <w:t>非法人</w:t>
      </w:r>
      <w:r>
        <w:rPr>
          <w:rFonts w:hint="eastAsia" w:ascii="宋体" w:hAnsi="宋体" w:eastAsia="宋体" w:cs="宋体"/>
          <w:sz w:val="22"/>
          <w:szCs w:val="22"/>
        </w:rPr>
        <w:t>组织组成，</w:t>
      </w:r>
      <w:r>
        <w:rPr>
          <w:rFonts w:hint="eastAsia" w:ascii="宋体" w:hAnsi="宋体" w:eastAsia="宋体" w:cs="宋体"/>
          <w:sz w:val="22"/>
          <w:szCs w:val="22"/>
          <w:lang w:eastAsia="zh-CN"/>
        </w:rPr>
        <w:t>以一个投标人的身份共同参加政府采购的主体</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2"/>
          <w:szCs w:val="22"/>
          <w:highlight w:val="none"/>
          <w:lang w:eastAsia="zh-CN"/>
          <w14:textFill>
            <w14:solidFill>
              <w14:schemeClr w14:val="tx1"/>
            </w14:solidFill>
          </w14:textFill>
        </w:rPr>
        <w:t>甲方</w:t>
      </w:r>
      <w:r>
        <w:rPr>
          <w:rFonts w:hint="eastAsia" w:ascii="宋体" w:hAnsi="宋体" w:eastAsia="宋体" w:cs="宋体"/>
          <w:color w:val="000000" w:themeColor="text1"/>
          <w:sz w:val="22"/>
          <w:szCs w:val="22"/>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2"/>
          <w:szCs w:val="22"/>
          <w:highlight w:val="none"/>
          <w14:textFill>
            <w14:solidFill>
              <w14:schemeClr w14:val="tx1"/>
            </w14:solidFill>
          </w14:textFill>
        </w:rPr>
        <w:t>政府采购合同专用条款</w:t>
      </w:r>
      <w:r>
        <w:rPr>
          <w:rFonts w:hint="eastAsia" w:ascii="宋体" w:hAnsi="宋体" w:eastAsia="宋体" w:cs="宋体"/>
          <w:color w:val="000000" w:themeColor="text1"/>
          <w:sz w:val="22"/>
          <w:szCs w:val="22"/>
          <w:highlight w:val="none"/>
          <w14:textFill>
            <w14:solidFill>
              <w14:schemeClr w14:val="tx1"/>
            </w14:solidFill>
          </w14:textFill>
        </w:rPr>
        <w:t>】。</w:t>
      </w:r>
    </w:p>
    <w:p w14:paraId="384D6515">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）其他术语解释，见【</w:t>
      </w:r>
      <w:r>
        <w:rPr>
          <w:rFonts w:hint="eastAsia" w:ascii="宋体" w:hAnsi="宋体" w:eastAsia="宋体" w:cs="宋体"/>
          <w:b/>
          <w:bCs/>
          <w:color w:val="000000" w:themeColor="text1"/>
          <w:sz w:val="22"/>
          <w:szCs w:val="22"/>
          <w:highlight w:val="none"/>
          <w14:textFill>
            <w14:solidFill>
              <w14:schemeClr w14:val="tx1"/>
            </w14:solidFill>
          </w14:textFill>
        </w:rPr>
        <w:t>政府采购合同专用条款</w:t>
      </w:r>
      <w:r>
        <w:rPr>
          <w:rFonts w:hint="eastAsia" w:ascii="宋体" w:hAnsi="宋体" w:eastAsia="宋体" w:cs="宋体"/>
          <w:color w:val="000000" w:themeColor="text1"/>
          <w:sz w:val="22"/>
          <w:szCs w:val="22"/>
          <w:highlight w:val="none"/>
          <w14:textFill>
            <w14:solidFill>
              <w14:schemeClr w14:val="tx1"/>
            </w14:solidFill>
          </w14:textFill>
        </w:rPr>
        <w:t>】。</w:t>
      </w:r>
    </w:p>
    <w:p w14:paraId="382B0EED">
      <w:pPr>
        <w:keepNext w:val="0"/>
        <w:keepLines w:val="0"/>
        <w:pageBreakBefore w:val="0"/>
        <w:numPr>
          <w:ilvl w:val="0"/>
          <w:numId w:val="10"/>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合同标的及金额</w:t>
      </w:r>
    </w:p>
    <w:p w14:paraId="3B1C0EB9">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b/>
          <w:bCs/>
          <w:i/>
          <w:iCs/>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2</w:t>
      </w:r>
      <w:r>
        <w:rPr>
          <w:rFonts w:hint="eastAsia" w:ascii="宋体" w:hAnsi="宋体" w:eastAsia="宋体" w:cs="宋体"/>
          <w:color w:val="000000" w:themeColor="text1"/>
          <w:sz w:val="22"/>
          <w:szCs w:val="22"/>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2"/>
          <w:szCs w:val="22"/>
          <w:highlight w:val="none"/>
          <w:lang w:eastAsia="zh-CN"/>
          <w14:textFill>
            <w14:solidFill>
              <w14:schemeClr w14:val="tx1"/>
            </w14:solidFill>
          </w14:textFill>
        </w:rPr>
        <w:t>价款</w:t>
      </w:r>
      <w:r>
        <w:rPr>
          <w:rFonts w:hint="eastAsia" w:ascii="宋体" w:hAnsi="宋体" w:eastAsia="宋体" w:cs="宋体"/>
          <w:color w:val="000000" w:themeColor="text1"/>
          <w:sz w:val="22"/>
          <w:szCs w:val="22"/>
          <w:highlight w:val="none"/>
          <w14:textFill>
            <w14:solidFill>
              <w14:schemeClr w14:val="tx1"/>
            </w14:solidFill>
          </w14:textFill>
        </w:rPr>
        <w:t>中，甲方不再另行支付</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任何费用。</w:t>
      </w:r>
    </w:p>
    <w:p w14:paraId="3474E1CF">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3</w:t>
      </w:r>
      <w:r>
        <w:rPr>
          <w:rFonts w:hint="eastAsia" w:ascii="宋体" w:hAnsi="宋体" w:eastAsia="宋体" w:cs="宋体"/>
          <w:b/>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2"/>
          <w:szCs w:val="22"/>
          <w:highlight w:val="none"/>
          <w14:textFill>
            <w14:solidFill>
              <w14:schemeClr w14:val="tx1"/>
            </w14:solidFill>
          </w14:textFill>
        </w:rPr>
        <w:t>履行合同的时间、地点和方式</w:t>
      </w:r>
    </w:p>
    <w:p w14:paraId="0AEA8B59">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3</w:t>
      </w:r>
      <w:r>
        <w:rPr>
          <w:rFonts w:hint="eastAsia" w:ascii="宋体" w:hAnsi="宋体" w:eastAsia="宋体" w:cs="宋体"/>
          <w:color w:val="000000" w:themeColor="text1"/>
          <w:sz w:val="22"/>
          <w:szCs w:val="22"/>
          <w:highlight w:val="none"/>
          <w14:textFill>
            <w14:solidFill>
              <w14:schemeClr w14:val="tx1"/>
            </w14:solidFill>
          </w14:textFill>
        </w:rPr>
        <w:t xml:space="preserve">.1 </w:t>
      </w:r>
      <w:r>
        <w:rPr>
          <w:rFonts w:hint="eastAsia" w:ascii="宋体" w:hAnsi="宋体" w:eastAsia="宋体" w:cs="宋体"/>
          <w:sz w:val="22"/>
          <w:szCs w:val="22"/>
        </w:rPr>
        <w:t>乙方应当在约定的时间、地点</w:t>
      </w:r>
      <w:r>
        <w:rPr>
          <w:rFonts w:hint="eastAsia" w:ascii="宋体" w:hAnsi="宋体" w:eastAsia="宋体" w:cs="宋体"/>
          <w:sz w:val="22"/>
          <w:szCs w:val="22"/>
          <w:lang w:eastAsia="zh-CN"/>
        </w:rPr>
        <w:t>，按照约定</w:t>
      </w:r>
      <w:r>
        <w:rPr>
          <w:rFonts w:hint="eastAsia" w:ascii="宋体" w:hAnsi="宋体" w:eastAsia="宋体" w:cs="宋体"/>
          <w:sz w:val="22"/>
          <w:szCs w:val="22"/>
        </w:rPr>
        <w:t>方式履行合同。</w:t>
      </w:r>
    </w:p>
    <w:p w14:paraId="59832645">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4</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甲方的权利和义务</w:t>
      </w:r>
    </w:p>
    <w:p w14:paraId="0D84C3CF">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.1 签署合同后，甲方</w:t>
      </w:r>
      <w:r>
        <w:rPr>
          <w:rFonts w:hint="eastAsia" w:ascii="宋体" w:hAnsi="宋体" w:eastAsia="宋体" w:cs="宋体"/>
          <w:color w:val="000000" w:themeColor="text1"/>
          <w:sz w:val="22"/>
          <w:szCs w:val="22"/>
          <w:highlight w:val="none"/>
          <w:lang w:eastAsia="zh-CN"/>
          <w14:textFill>
            <w14:solidFill>
              <w14:schemeClr w14:val="tx1"/>
            </w14:solidFill>
          </w14:textFill>
        </w:rPr>
        <w:t>应</w:t>
      </w:r>
      <w:r>
        <w:rPr>
          <w:rFonts w:hint="eastAsia" w:ascii="宋体" w:hAnsi="宋体" w:eastAsia="宋体" w:cs="宋体"/>
          <w:color w:val="000000" w:themeColor="text1"/>
          <w:sz w:val="22"/>
          <w:szCs w:val="22"/>
          <w:highlight w:val="none"/>
          <w14:textFill>
            <w14:solidFill>
              <w14:schemeClr w14:val="tx1"/>
            </w14:solidFill>
          </w14:textFill>
        </w:rPr>
        <w:t>确定</w:t>
      </w:r>
      <w:r>
        <w:rPr>
          <w:rFonts w:hint="eastAsia" w:ascii="宋体" w:hAnsi="宋体" w:eastAsia="宋体" w:cs="宋体"/>
          <w:color w:val="000000" w:themeColor="text1"/>
          <w:sz w:val="22"/>
          <w:szCs w:val="22"/>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2"/>
          <w:szCs w:val="22"/>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C87D60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770F832B">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.3 甲方有权要求乙方对缺陷部分予以修复，并按合同约定享有货物保修及其他合同约定的权利。</w:t>
      </w:r>
    </w:p>
    <w:p w14:paraId="5488FF6B">
      <w:pPr>
        <w:keepNext w:val="0"/>
        <w:keepLines w:val="0"/>
        <w:pageBreakBefore w:val="0"/>
        <w:kinsoku/>
        <w:wordWrap/>
        <w:overflowPunct/>
        <w:topLinePunct w:val="0"/>
        <w:bidi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color w:val="000000" w:themeColor="text1"/>
          <w:sz w:val="22"/>
          <w:szCs w:val="22"/>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2"/>
          <w:szCs w:val="22"/>
          <w:highlight w:val="none"/>
          <w:lang w:eastAsia="zh-CN"/>
        </w:rPr>
        <w:t>未</w:t>
      </w:r>
      <w:r>
        <w:rPr>
          <w:rFonts w:hint="eastAsia" w:ascii="宋体" w:hAnsi="宋体" w:eastAsia="宋体" w:cs="宋体"/>
          <w:color w:val="000000" w:themeColor="text1"/>
          <w:sz w:val="22"/>
          <w:szCs w:val="22"/>
          <w:highlight w:val="none"/>
          <w:lang w:val="en-US" w:eastAsia="zh-CN"/>
          <w14:textFill>
            <w14:solidFill>
              <w14:schemeClr w14:val="tx1"/>
            </w14:solidFill>
          </w14:textFill>
        </w:rPr>
        <w:t>在</w:t>
      </w:r>
      <w:r>
        <w:rPr>
          <w:rFonts w:hint="eastAsia" w:ascii="宋体" w:hAnsi="宋体" w:eastAsia="宋体" w:cs="宋体"/>
          <w:b/>
          <w:bCs/>
          <w:sz w:val="22"/>
          <w:szCs w:val="22"/>
          <w:highlight w:val="none"/>
        </w:rPr>
        <w:t>【政府采购合同专用条款】</w:t>
      </w:r>
      <w:r>
        <w:rPr>
          <w:rFonts w:hint="eastAsia" w:ascii="宋体" w:hAnsi="宋体" w:eastAsia="宋体" w:cs="宋体"/>
          <w:b w:val="0"/>
          <w:bCs w:val="0"/>
          <w:sz w:val="22"/>
          <w:szCs w:val="22"/>
          <w:highlight w:val="none"/>
          <w:lang w:eastAsia="zh-CN"/>
        </w:rPr>
        <w:t>约定的期限内对乙方履约提出任何异议或者向乙方作出任何说明的，</w:t>
      </w:r>
      <w:r>
        <w:rPr>
          <w:rFonts w:hint="eastAsia" w:ascii="宋体" w:hAnsi="宋体" w:eastAsia="宋体" w:cs="宋体"/>
          <w:color w:val="000000" w:themeColor="text1"/>
          <w:sz w:val="22"/>
          <w:szCs w:val="22"/>
          <w:highlight w:val="none"/>
          <w:lang w:val="en-US" w:eastAsia="zh-CN"/>
          <w14:textFill>
            <w14:solidFill>
              <w14:schemeClr w14:val="tx1"/>
            </w14:solidFill>
          </w14:textFill>
        </w:rPr>
        <w:t>视为验收通过。</w:t>
      </w:r>
    </w:p>
    <w:p w14:paraId="364DC8E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2"/>
          <w:szCs w:val="22"/>
          <w:highlight w:val="none"/>
          <w:lang w:eastAsia="zh-CN"/>
          <w14:textFill>
            <w14:solidFill>
              <w14:schemeClr w14:val="tx1"/>
            </w14:solidFill>
          </w14:textFill>
        </w:rPr>
        <w:t>及</w:t>
      </w:r>
      <w:r>
        <w:rPr>
          <w:rFonts w:hint="eastAsia" w:ascii="宋体" w:hAnsi="宋体" w:eastAsia="宋体" w:cs="宋体"/>
          <w:color w:val="000000" w:themeColor="text1"/>
          <w:sz w:val="22"/>
          <w:szCs w:val="22"/>
          <w:highlight w:val="none"/>
          <w14:textFill>
            <w14:solidFill>
              <w14:schemeClr w14:val="tx1"/>
            </w14:solidFill>
          </w14:textFill>
        </w:rPr>
        <w:t>时向乙方支付</w:t>
      </w:r>
      <w:r>
        <w:rPr>
          <w:rFonts w:hint="eastAsia" w:ascii="宋体" w:hAnsi="宋体" w:eastAsia="宋体" w:cs="宋体"/>
          <w:color w:val="000000" w:themeColor="text1"/>
          <w:sz w:val="22"/>
          <w:szCs w:val="22"/>
          <w:highlight w:val="none"/>
          <w:lang w:eastAsia="zh-CN"/>
          <w14:textFill>
            <w14:solidFill>
              <w14:schemeClr w14:val="tx1"/>
            </w14:solidFill>
          </w14:textFill>
        </w:rPr>
        <w:t>合同价款，不得以内部人员变更、履行内部付款流程等为由，拒绝或迟延支付。</w:t>
      </w:r>
    </w:p>
    <w:p w14:paraId="50048E1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 xml:space="preserve"> 国家法律法规规定</w:t>
      </w:r>
      <w:r>
        <w:rPr>
          <w:rFonts w:hint="eastAsia" w:ascii="宋体" w:hAnsi="宋体" w:eastAsia="宋体" w:cs="宋体"/>
          <w:color w:val="000000" w:themeColor="text1"/>
          <w:sz w:val="22"/>
          <w:szCs w:val="22"/>
          <w:highlight w:val="none"/>
          <w:lang w:eastAsia="zh-CN"/>
          <w14:textFill>
            <w14:solidFill>
              <w14:schemeClr w14:val="tx1"/>
            </w14:solidFill>
          </w14:textFill>
        </w:rPr>
        <w:t>及</w:t>
      </w:r>
      <w:r>
        <w:rPr>
          <w:rFonts w:hint="eastAsia" w:ascii="宋体" w:hAnsi="宋体" w:eastAsia="宋体" w:cs="宋体"/>
          <w:b/>
          <w:bCs/>
          <w:sz w:val="22"/>
          <w:szCs w:val="22"/>
          <w:highlight w:val="none"/>
        </w:rPr>
        <w:t>【政府采购合同专用条款】</w:t>
      </w:r>
      <w:r>
        <w:rPr>
          <w:rFonts w:hint="eastAsia" w:ascii="宋体" w:hAnsi="宋体" w:eastAsia="宋体" w:cs="宋体"/>
          <w:color w:val="000000" w:themeColor="text1"/>
          <w:sz w:val="22"/>
          <w:szCs w:val="22"/>
          <w:highlight w:val="none"/>
          <w:lang w:eastAsia="zh-CN"/>
          <w14:textFill>
            <w14:solidFill>
              <w14:schemeClr w14:val="tx1"/>
            </w14:solidFill>
          </w14:textFill>
        </w:rPr>
        <w:t>约定应</w:t>
      </w:r>
      <w:r>
        <w:rPr>
          <w:rFonts w:hint="eastAsia" w:ascii="宋体" w:hAnsi="宋体" w:eastAsia="宋体" w:cs="宋体"/>
          <w:color w:val="000000" w:themeColor="text1"/>
          <w:sz w:val="22"/>
          <w:szCs w:val="22"/>
          <w:highlight w:val="none"/>
          <w14:textFill>
            <w14:solidFill>
              <w14:schemeClr w14:val="tx1"/>
            </w14:solidFill>
          </w14:textFill>
        </w:rPr>
        <w:t>由甲方承担的其他义务和责任。</w:t>
      </w:r>
    </w:p>
    <w:p w14:paraId="7329997B">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5</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乙方的权利和义务</w:t>
      </w:r>
    </w:p>
    <w:p w14:paraId="0973E06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.1 签署合同后，乙方</w:t>
      </w:r>
      <w:r>
        <w:rPr>
          <w:rFonts w:hint="eastAsia" w:ascii="宋体" w:hAnsi="宋体" w:eastAsia="宋体" w:cs="宋体"/>
          <w:color w:val="000000" w:themeColor="text1"/>
          <w:sz w:val="22"/>
          <w:szCs w:val="22"/>
          <w:highlight w:val="none"/>
          <w:lang w:eastAsia="zh-CN"/>
          <w14:textFill>
            <w14:solidFill>
              <w14:schemeClr w14:val="tx1"/>
            </w14:solidFill>
          </w14:textFill>
        </w:rPr>
        <w:t>应</w:t>
      </w:r>
      <w:r>
        <w:rPr>
          <w:rFonts w:hint="eastAsia" w:ascii="宋体" w:hAnsi="宋体" w:eastAsia="宋体" w:cs="宋体"/>
          <w:color w:val="000000" w:themeColor="text1"/>
          <w:sz w:val="22"/>
          <w:szCs w:val="22"/>
          <w:highlight w:val="none"/>
          <w14:textFill>
            <w14:solidFill>
              <w14:schemeClr w14:val="tx1"/>
            </w14:solidFill>
          </w14:textFill>
        </w:rPr>
        <w:t>确定</w:t>
      </w:r>
      <w:r>
        <w:rPr>
          <w:rFonts w:hint="eastAsia" w:ascii="宋体" w:hAnsi="宋体" w:eastAsia="宋体" w:cs="宋体"/>
          <w:color w:val="000000" w:themeColor="text1"/>
          <w:sz w:val="22"/>
          <w:szCs w:val="22"/>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2"/>
          <w:szCs w:val="22"/>
          <w:highlight w:val="none"/>
          <w14:textFill>
            <w14:solidFill>
              <w14:schemeClr w14:val="tx1"/>
            </w14:solidFill>
          </w14:textFill>
        </w:rPr>
        <w:t>，负责与本合同有关的事务。</w:t>
      </w:r>
    </w:p>
    <w:p w14:paraId="425F88A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2"/>
          <w:szCs w:val="22"/>
          <w:highlight w:val="none"/>
          <w:lang w:eastAsia="zh-CN"/>
          <w14:textFill>
            <w14:solidFill>
              <w14:schemeClr w14:val="tx1"/>
            </w14:solidFill>
          </w14:textFill>
        </w:rPr>
        <w:t>及相关</w:t>
      </w:r>
      <w:r>
        <w:rPr>
          <w:rFonts w:hint="eastAsia" w:ascii="宋体" w:hAnsi="宋体" w:eastAsia="宋体" w:cs="宋体"/>
          <w:color w:val="000000" w:themeColor="text1"/>
          <w:sz w:val="22"/>
          <w:szCs w:val="22"/>
          <w:highlight w:val="none"/>
          <w14:textFill>
            <w14:solidFill>
              <w14:schemeClr w14:val="tx1"/>
            </w14:solidFill>
          </w14:textFill>
        </w:rPr>
        <w:t>服务符合合同</w:t>
      </w:r>
      <w:r>
        <w:rPr>
          <w:rFonts w:hint="eastAsia" w:ascii="宋体" w:hAnsi="宋体" w:eastAsia="宋体" w:cs="宋体"/>
          <w:color w:val="000000" w:themeColor="text1"/>
          <w:sz w:val="22"/>
          <w:szCs w:val="22"/>
          <w:highlight w:val="none"/>
          <w:lang w:eastAsia="zh-CN"/>
          <w14:textFill>
            <w14:solidFill>
              <w14:schemeClr w14:val="tx1"/>
            </w14:solidFill>
          </w14:textFill>
        </w:rPr>
        <w:t>有关</w:t>
      </w:r>
      <w:r>
        <w:rPr>
          <w:rFonts w:hint="eastAsia" w:ascii="宋体" w:hAnsi="宋体" w:eastAsia="宋体" w:cs="宋体"/>
          <w:color w:val="000000" w:themeColor="text1"/>
          <w:sz w:val="22"/>
          <w:szCs w:val="22"/>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2"/>
          <w:szCs w:val="22"/>
          <w:highlight w:val="none"/>
          <w:lang w:eastAsia="zh-CN"/>
          <w14:textFill>
            <w14:solidFill>
              <w14:schemeClr w14:val="tx1"/>
            </w14:solidFill>
          </w14:textFill>
        </w:rPr>
        <w:t>及验收</w:t>
      </w:r>
      <w:r>
        <w:rPr>
          <w:rFonts w:hint="eastAsia" w:ascii="宋体" w:hAnsi="宋体" w:eastAsia="宋体" w:cs="宋体"/>
          <w:color w:val="000000" w:themeColor="text1"/>
          <w:sz w:val="22"/>
          <w:szCs w:val="22"/>
          <w:highlight w:val="none"/>
          <w14:textFill>
            <w14:solidFill>
              <w14:schemeClr w14:val="tx1"/>
            </w14:solidFill>
          </w14:textFill>
        </w:rPr>
        <w:t>，并负责项目实施过程中的所有协调工作。</w:t>
      </w:r>
    </w:p>
    <w:p w14:paraId="6CF7581C">
      <w:pPr>
        <w:pStyle w:val="12"/>
        <w:keepNext w:val="0"/>
        <w:keepLines w:val="0"/>
        <w:pageBreakBefore w:val="0"/>
        <w:kinsoku/>
        <w:wordWrap/>
        <w:overflowPunct/>
        <w:topLinePunct w:val="0"/>
        <w:bidi w:val="0"/>
        <w:spacing w:line="240" w:lineRule="auto"/>
        <w:ind w:firstLine="389" w:firstLineChars="176"/>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.3乙方有权根据合同约定向甲方收取</w:t>
      </w:r>
      <w:r>
        <w:rPr>
          <w:rFonts w:hint="eastAsia" w:ascii="宋体" w:hAnsi="宋体" w:eastAsia="宋体" w:cs="宋体"/>
          <w:color w:val="000000" w:themeColor="text1"/>
          <w:sz w:val="22"/>
          <w:szCs w:val="22"/>
          <w:highlight w:val="none"/>
          <w:lang w:eastAsia="zh-CN"/>
          <w14:textFill>
            <w14:solidFill>
              <w14:schemeClr w14:val="tx1"/>
            </w14:solidFill>
          </w14:textFill>
        </w:rPr>
        <w:t>合同价款</w:t>
      </w:r>
      <w:r>
        <w:rPr>
          <w:rFonts w:hint="eastAsia" w:ascii="宋体" w:hAnsi="宋体" w:eastAsia="宋体" w:cs="宋体"/>
          <w:color w:val="000000" w:themeColor="text1"/>
          <w:sz w:val="22"/>
          <w:szCs w:val="22"/>
          <w:highlight w:val="none"/>
          <w14:textFill>
            <w14:solidFill>
              <w14:schemeClr w14:val="tx1"/>
            </w14:solidFill>
          </w14:textFill>
        </w:rPr>
        <w:t>。</w:t>
      </w:r>
    </w:p>
    <w:p w14:paraId="5094FBD3">
      <w:pPr>
        <w:pStyle w:val="12"/>
        <w:keepNext w:val="0"/>
        <w:keepLines w:val="0"/>
        <w:pageBreakBefore w:val="0"/>
        <w:kinsoku/>
        <w:wordWrap/>
        <w:overflowPunct/>
        <w:topLinePunct w:val="0"/>
        <w:bidi w:val="0"/>
        <w:spacing w:line="240" w:lineRule="auto"/>
        <w:ind w:firstLine="389" w:firstLineChars="176"/>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.4国家法律法规规定</w:t>
      </w:r>
      <w:r>
        <w:rPr>
          <w:rFonts w:hint="eastAsia" w:ascii="宋体" w:hAnsi="宋体" w:eastAsia="宋体" w:cs="宋体"/>
          <w:color w:val="000000" w:themeColor="text1"/>
          <w:sz w:val="22"/>
          <w:szCs w:val="22"/>
          <w:highlight w:val="none"/>
          <w:lang w:eastAsia="zh-CN"/>
          <w14:textFill>
            <w14:solidFill>
              <w14:schemeClr w14:val="tx1"/>
            </w14:solidFill>
          </w14:textFill>
        </w:rPr>
        <w:t>及</w:t>
      </w:r>
      <w:r>
        <w:rPr>
          <w:rFonts w:hint="eastAsia" w:ascii="宋体" w:hAnsi="宋体" w:eastAsia="宋体" w:cs="宋体"/>
          <w:b/>
          <w:bCs/>
          <w:sz w:val="22"/>
          <w:szCs w:val="22"/>
          <w:highlight w:val="none"/>
        </w:rPr>
        <w:t>【政府采购合同专用条款】</w:t>
      </w:r>
      <w:r>
        <w:rPr>
          <w:rFonts w:hint="eastAsia" w:ascii="宋体" w:hAnsi="宋体" w:eastAsia="宋体" w:cs="宋体"/>
          <w:b w:val="0"/>
          <w:bCs w:val="0"/>
          <w:sz w:val="22"/>
          <w:szCs w:val="22"/>
          <w:highlight w:val="none"/>
          <w:lang w:eastAsia="zh-CN"/>
        </w:rPr>
        <w:t>约定应</w:t>
      </w:r>
      <w:r>
        <w:rPr>
          <w:rFonts w:hint="eastAsia" w:ascii="宋体" w:hAnsi="宋体" w:eastAsia="宋体" w:cs="宋体"/>
          <w:color w:val="000000" w:themeColor="text1"/>
          <w:sz w:val="22"/>
          <w:szCs w:val="22"/>
          <w:highlight w:val="none"/>
          <w14:textFill>
            <w14:solidFill>
              <w14:schemeClr w14:val="tx1"/>
            </w14:solidFill>
          </w14:textFill>
        </w:rPr>
        <w:t>由乙方承担的其他义务和责任。</w:t>
      </w:r>
    </w:p>
    <w:p w14:paraId="65016E6B">
      <w:pPr>
        <w:keepNext w:val="0"/>
        <w:keepLines w:val="0"/>
        <w:pageBreakBefore w:val="0"/>
        <w:numPr>
          <w:ilvl w:val="0"/>
          <w:numId w:val="11"/>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14:textFill>
            <w14:solidFill>
              <w14:schemeClr w14:val="tx1"/>
            </w14:solidFill>
          </w14:textFill>
        </w:rPr>
        <w:t>合同履</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行</w:t>
      </w:r>
    </w:p>
    <w:p w14:paraId="0FF37E6D">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.1 甲乙双方应当按照</w:t>
      </w:r>
      <w:r>
        <w:rPr>
          <w:rFonts w:hint="eastAsia" w:ascii="宋体" w:hAnsi="宋体" w:eastAsia="宋体" w:cs="宋体"/>
          <w:b/>
          <w:bCs/>
          <w:sz w:val="22"/>
          <w:szCs w:val="22"/>
          <w:highlight w:val="none"/>
        </w:rPr>
        <w:t>【政府采购合同专用条款】</w:t>
      </w:r>
      <w:r>
        <w:rPr>
          <w:rFonts w:hint="eastAsia" w:ascii="宋体" w:hAnsi="宋体" w:eastAsia="宋体" w:cs="宋体"/>
          <w:color w:val="000000" w:themeColor="text1"/>
          <w:sz w:val="22"/>
          <w:szCs w:val="22"/>
          <w:highlight w:val="none"/>
          <w14:textFill>
            <w14:solidFill>
              <w14:schemeClr w14:val="tx1"/>
            </w14:solidFill>
          </w14:textFill>
        </w:rPr>
        <w:t>约定顺序履行合同义务；如果没有先后顺序的，应当同时履行。</w:t>
      </w:r>
    </w:p>
    <w:p w14:paraId="1824907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sz w:val="22"/>
          <w:szCs w:val="22"/>
        </w:rPr>
      </w:pPr>
      <w:r>
        <w:rPr>
          <w:rFonts w:hint="eastAsia" w:ascii="宋体" w:hAnsi="宋体" w:eastAsia="宋体" w:cs="宋体"/>
          <w:color w:val="000000" w:themeColor="text1"/>
          <w:sz w:val="22"/>
          <w:szCs w:val="22"/>
          <w:highlight w:val="none"/>
          <w:lang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A678420">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7</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货物包装、运输</w:t>
      </w:r>
      <w:r>
        <w:rPr>
          <w:rFonts w:hint="eastAsia" w:ascii="宋体" w:hAnsi="宋体" w:eastAsia="宋体" w:cs="宋体"/>
          <w:b/>
          <w:bCs/>
          <w:color w:val="000000" w:themeColor="text1"/>
          <w:sz w:val="22"/>
          <w:szCs w:val="22"/>
          <w:highlight w:val="none"/>
          <w:lang w:eastAsia="zh-CN"/>
          <w14:textFill>
            <w14:solidFill>
              <w14:schemeClr w14:val="tx1"/>
            </w14:solidFill>
          </w14:textFill>
        </w:rPr>
        <w:t>、</w:t>
      </w:r>
      <w:r>
        <w:rPr>
          <w:rFonts w:hint="eastAsia" w:ascii="宋体" w:hAnsi="宋体" w:eastAsia="宋体" w:cs="宋体"/>
          <w:b/>
          <w:bCs/>
          <w:color w:val="000000" w:themeColor="text1"/>
          <w:sz w:val="22"/>
          <w:szCs w:val="22"/>
          <w:highlight w:val="none"/>
          <w14:textFill>
            <w14:solidFill>
              <w14:schemeClr w14:val="tx1"/>
            </w14:solidFill>
          </w14:textFill>
        </w:rPr>
        <w:t>保险</w:t>
      </w:r>
      <w:r>
        <w:rPr>
          <w:rFonts w:hint="eastAsia" w:ascii="宋体" w:hAnsi="宋体" w:eastAsia="宋体" w:cs="宋体"/>
          <w:b/>
          <w:bCs/>
          <w:color w:val="000000" w:themeColor="text1"/>
          <w:sz w:val="22"/>
          <w:szCs w:val="22"/>
          <w:highlight w:val="none"/>
          <w:lang w:eastAsia="zh-CN"/>
          <w14:textFill>
            <w14:solidFill>
              <w14:schemeClr w14:val="tx1"/>
            </w14:solidFill>
          </w14:textFill>
        </w:rPr>
        <w:t>和交付</w:t>
      </w:r>
      <w:r>
        <w:rPr>
          <w:rFonts w:hint="eastAsia" w:ascii="宋体" w:hAnsi="宋体" w:eastAsia="宋体" w:cs="宋体"/>
          <w:b/>
          <w:bCs/>
          <w:color w:val="000000" w:themeColor="text1"/>
          <w:sz w:val="22"/>
          <w:szCs w:val="22"/>
          <w:highlight w:val="none"/>
          <w14:textFill>
            <w14:solidFill>
              <w14:schemeClr w14:val="tx1"/>
            </w14:solidFill>
          </w14:textFill>
        </w:rPr>
        <w:t>要求</w:t>
      </w:r>
    </w:p>
    <w:p w14:paraId="5E6F958E">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.1 本合同</w:t>
      </w:r>
      <w:r>
        <w:rPr>
          <w:rFonts w:hint="eastAsia" w:ascii="宋体" w:hAnsi="宋体" w:eastAsia="宋体" w:cs="宋体"/>
          <w:bCs/>
          <w:color w:val="000000" w:themeColor="text1"/>
          <w:sz w:val="22"/>
          <w:szCs w:val="22"/>
          <w:highlight w:val="none"/>
          <w14:textFill>
            <w14:solidFill>
              <w14:schemeClr w14:val="tx1"/>
            </w14:solidFill>
          </w14:textFill>
        </w:rPr>
        <w:t>涉及商品包装</w:t>
      </w:r>
      <w:r>
        <w:rPr>
          <w:rFonts w:hint="eastAsia" w:ascii="宋体" w:hAnsi="宋体" w:eastAsia="宋体" w:cs="宋体"/>
          <w:bCs/>
          <w:color w:val="000000" w:themeColor="text1"/>
          <w:sz w:val="22"/>
          <w:szCs w:val="22"/>
          <w:highlight w:val="none"/>
          <w:lang w:eastAsia="zh-CN"/>
          <w14:textFill>
            <w14:solidFill>
              <w14:schemeClr w14:val="tx1"/>
            </w14:solidFill>
          </w14:textFill>
        </w:rPr>
        <w:t>、</w:t>
      </w:r>
      <w:r>
        <w:rPr>
          <w:rFonts w:hint="eastAsia" w:ascii="宋体" w:hAnsi="宋体" w:eastAsia="宋体" w:cs="宋体"/>
          <w:bCs/>
          <w:color w:val="000000" w:themeColor="text1"/>
          <w:sz w:val="22"/>
          <w:szCs w:val="22"/>
          <w:highlight w:val="none"/>
          <w14:textFill>
            <w14:solidFill>
              <w14:schemeClr w14:val="tx1"/>
            </w14:solidFill>
          </w14:textFill>
        </w:rPr>
        <w:t>快递包装的，</w:t>
      </w:r>
      <w:r>
        <w:rPr>
          <w:rFonts w:hint="eastAsia" w:ascii="宋体" w:hAnsi="宋体" w:eastAsia="宋体" w:cs="宋体"/>
          <w:color w:val="000000" w:themeColor="text1"/>
          <w:sz w:val="22"/>
          <w:szCs w:val="22"/>
          <w:highlight w:val="none"/>
          <w14:textFill>
            <w14:solidFill>
              <w14:schemeClr w14:val="tx1"/>
            </w14:solidFill>
          </w14:textFill>
        </w:rPr>
        <w:t>除</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Cs/>
          <w:color w:val="000000" w:themeColor="text1"/>
          <w:sz w:val="22"/>
          <w:szCs w:val="22"/>
          <w:highlight w:val="none"/>
          <w14:textFill>
            <w14:solidFill>
              <w14:schemeClr w14:val="tx1"/>
            </w14:solidFill>
          </w14:textFill>
        </w:rPr>
        <w:t>另有</w:t>
      </w:r>
      <w:r>
        <w:rPr>
          <w:rFonts w:hint="eastAsia" w:ascii="宋体" w:hAnsi="宋体" w:eastAsia="宋体" w:cs="宋体"/>
          <w:bCs/>
          <w:color w:val="000000" w:themeColor="text1"/>
          <w:sz w:val="22"/>
          <w:szCs w:val="22"/>
          <w:highlight w:val="none"/>
          <w:lang w:eastAsia="zh-CN"/>
          <w14:textFill>
            <w14:solidFill>
              <w14:schemeClr w14:val="tx1"/>
            </w14:solidFill>
          </w14:textFill>
        </w:rPr>
        <w:t>约</w:t>
      </w:r>
      <w:r>
        <w:rPr>
          <w:rFonts w:hint="eastAsia" w:ascii="宋体" w:hAnsi="宋体" w:eastAsia="宋体" w:cs="宋体"/>
          <w:bCs/>
          <w:color w:val="000000" w:themeColor="text1"/>
          <w:sz w:val="22"/>
          <w:szCs w:val="22"/>
          <w:highlight w:val="none"/>
          <w14:textFill>
            <w14:solidFill>
              <w14:schemeClr w14:val="tx1"/>
            </w14:solidFill>
          </w14:textFill>
        </w:rPr>
        <w:t>定</w:t>
      </w:r>
      <w:r>
        <w:rPr>
          <w:rFonts w:hint="eastAsia" w:ascii="宋体" w:hAnsi="宋体" w:eastAsia="宋体" w:cs="宋体"/>
          <w:bCs/>
          <w:color w:val="000000" w:themeColor="text1"/>
          <w:sz w:val="22"/>
          <w:szCs w:val="22"/>
          <w:highlight w:val="none"/>
          <w:lang w:eastAsia="zh-CN"/>
          <w14:textFill>
            <w14:solidFill>
              <w14:schemeClr w14:val="tx1"/>
            </w14:solidFill>
          </w14:textFill>
        </w:rPr>
        <w:t>外</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 w:val="0"/>
          <w:bCs/>
          <w:color w:val="000000" w:themeColor="text1"/>
          <w:sz w:val="22"/>
          <w:szCs w:val="22"/>
          <w:highlight w:val="none"/>
          <w:lang w:eastAsia="zh-CN"/>
          <w14:textFill>
            <w14:solidFill>
              <w14:schemeClr w14:val="tx1"/>
            </w14:solidFill>
          </w14:textFill>
        </w:rPr>
        <w:t>约定的</w:t>
      </w:r>
      <w:r>
        <w:rPr>
          <w:rFonts w:hint="eastAsia" w:ascii="宋体" w:hAnsi="宋体" w:eastAsia="宋体" w:cs="宋体"/>
          <w:color w:val="000000" w:themeColor="text1"/>
          <w:sz w:val="22"/>
          <w:szCs w:val="22"/>
          <w:highlight w:val="none"/>
          <w14:textFill>
            <w14:solidFill>
              <w14:schemeClr w14:val="tx1"/>
            </w14:solidFill>
          </w14:textFill>
        </w:rPr>
        <w:t>指定现场。</w:t>
      </w:r>
    </w:p>
    <w:p w14:paraId="456FF82B">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.2 除</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Cs/>
          <w:color w:val="000000" w:themeColor="text1"/>
          <w:sz w:val="22"/>
          <w:szCs w:val="22"/>
          <w:highlight w:val="none"/>
          <w14:textFill>
            <w14:solidFill>
              <w14:schemeClr w14:val="tx1"/>
            </w14:solidFill>
          </w14:textFill>
        </w:rPr>
        <w:t>另有</w:t>
      </w:r>
      <w:r>
        <w:rPr>
          <w:rFonts w:hint="eastAsia" w:ascii="宋体" w:hAnsi="宋体" w:eastAsia="宋体" w:cs="宋体"/>
          <w:bCs/>
          <w:color w:val="000000" w:themeColor="text1"/>
          <w:sz w:val="22"/>
          <w:szCs w:val="22"/>
          <w:highlight w:val="none"/>
          <w:lang w:eastAsia="zh-CN"/>
          <w14:textFill>
            <w14:solidFill>
              <w14:schemeClr w14:val="tx1"/>
            </w14:solidFill>
          </w14:textFill>
        </w:rPr>
        <w:t>约</w:t>
      </w:r>
      <w:r>
        <w:rPr>
          <w:rFonts w:hint="eastAsia" w:ascii="宋体" w:hAnsi="宋体" w:eastAsia="宋体" w:cs="宋体"/>
          <w:bCs/>
          <w:color w:val="000000" w:themeColor="text1"/>
          <w:sz w:val="22"/>
          <w:szCs w:val="22"/>
          <w:highlight w:val="none"/>
          <w14:textFill>
            <w14:solidFill>
              <w14:schemeClr w14:val="tx1"/>
            </w14:solidFill>
          </w14:textFill>
        </w:rPr>
        <w:t>定</w:t>
      </w:r>
      <w:r>
        <w:rPr>
          <w:rFonts w:hint="eastAsia" w:ascii="宋体" w:hAnsi="宋体" w:eastAsia="宋体" w:cs="宋体"/>
          <w:bCs/>
          <w:color w:val="000000" w:themeColor="text1"/>
          <w:sz w:val="22"/>
          <w:szCs w:val="22"/>
          <w:highlight w:val="none"/>
          <w:lang w:eastAsia="zh-CN"/>
          <w14:textFill>
            <w14:solidFill>
              <w14:schemeClr w14:val="tx1"/>
            </w14:solidFill>
          </w14:textFill>
        </w:rPr>
        <w:t>外</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2"/>
          <w:szCs w:val="22"/>
          <w:highlight w:val="none"/>
          <w:lang w:eastAsia="zh-CN"/>
          <w14:textFill>
            <w14:solidFill>
              <w14:schemeClr w14:val="tx1"/>
            </w14:solidFill>
          </w14:textFill>
        </w:rPr>
        <w:t>，并装卸、交付至甲方</w:t>
      </w:r>
      <w:r>
        <w:rPr>
          <w:rFonts w:hint="eastAsia" w:ascii="宋体" w:hAnsi="宋体" w:eastAsia="宋体" w:cs="宋体"/>
          <w:color w:val="000000" w:themeColor="text1"/>
          <w:sz w:val="22"/>
          <w:szCs w:val="22"/>
          <w:highlight w:val="none"/>
          <w14:textFill>
            <w14:solidFill>
              <w14:schemeClr w14:val="tx1"/>
            </w14:solidFill>
          </w14:textFill>
        </w:rPr>
        <w:t>的一切运输事项，相关费用应</w:t>
      </w:r>
      <w:r>
        <w:rPr>
          <w:rFonts w:hint="eastAsia" w:ascii="宋体" w:hAnsi="宋体" w:eastAsia="宋体" w:cs="宋体"/>
          <w:color w:val="000000" w:themeColor="text1"/>
          <w:sz w:val="22"/>
          <w:szCs w:val="22"/>
          <w:highlight w:val="none"/>
          <w:lang w:eastAsia="zh-CN"/>
          <w14:textFill>
            <w14:solidFill>
              <w14:schemeClr w14:val="tx1"/>
            </w14:solidFill>
          </w14:textFill>
        </w:rPr>
        <w:t>包含</w:t>
      </w:r>
      <w:r>
        <w:rPr>
          <w:rFonts w:hint="eastAsia" w:ascii="宋体" w:hAnsi="宋体" w:eastAsia="宋体" w:cs="宋体"/>
          <w:color w:val="000000" w:themeColor="text1"/>
          <w:sz w:val="22"/>
          <w:szCs w:val="22"/>
          <w:highlight w:val="none"/>
          <w14:textFill>
            <w14:solidFill>
              <w14:schemeClr w14:val="tx1"/>
            </w14:solidFill>
          </w14:textFill>
        </w:rPr>
        <w:t>在合同</w:t>
      </w:r>
      <w:r>
        <w:rPr>
          <w:rFonts w:hint="eastAsia" w:ascii="宋体" w:hAnsi="宋体" w:eastAsia="宋体" w:cs="宋体"/>
          <w:color w:val="000000" w:themeColor="text1"/>
          <w:sz w:val="22"/>
          <w:szCs w:val="22"/>
          <w:highlight w:val="none"/>
          <w:lang w:eastAsia="zh-CN"/>
          <w14:textFill>
            <w14:solidFill>
              <w14:schemeClr w14:val="tx1"/>
            </w14:solidFill>
          </w14:textFill>
        </w:rPr>
        <w:t>价款</w:t>
      </w:r>
      <w:r>
        <w:rPr>
          <w:rFonts w:hint="eastAsia" w:ascii="宋体" w:hAnsi="宋体" w:eastAsia="宋体" w:cs="宋体"/>
          <w:color w:val="000000" w:themeColor="text1"/>
          <w:sz w:val="22"/>
          <w:szCs w:val="22"/>
          <w:highlight w:val="none"/>
          <w14:textFill>
            <w14:solidFill>
              <w14:schemeClr w14:val="tx1"/>
            </w14:solidFill>
          </w14:textFill>
        </w:rPr>
        <w:t>中。</w:t>
      </w:r>
    </w:p>
    <w:p w14:paraId="1580F5D5">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.3 货物保险要求按</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Cs/>
          <w:color w:val="000000" w:themeColor="text1"/>
          <w:sz w:val="22"/>
          <w:szCs w:val="22"/>
          <w:highlight w:val="none"/>
          <w14:textFill>
            <w14:solidFill>
              <w14:schemeClr w14:val="tx1"/>
            </w14:solidFill>
          </w14:textFill>
        </w:rPr>
        <w:t>规定执行</w:t>
      </w:r>
      <w:r>
        <w:rPr>
          <w:rFonts w:hint="eastAsia" w:ascii="宋体" w:hAnsi="宋体" w:eastAsia="宋体" w:cs="宋体"/>
          <w:color w:val="000000" w:themeColor="text1"/>
          <w:sz w:val="22"/>
          <w:szCs w:val="22"/>
          <w:highlight w:val="none"/>
          <w14:textFill>
            <w14:solidFill>
              <w14:schemeClr w14:val="tx1"/>
            </w14:solidFill>
          </w14:textFill>
        </w:rPr>
        <w:t>。</w:t>
      </w:r>
    </w:p>
    <w:p w14:paraId="33ADA217">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 xml:space="preserve">.4 </w:t>
      </w:r>
      <w:r>
        <w:rPr>
          <w:rFonts w:hint="eastAsia" w:ascii="宋体" w:hAnsi="宋体" w:eastAsia="宋体" w:cs="宋体"/>
          <w:color w:val="000000" w:themeColor="text1"/>
          <w:sz w:val="22"/>
          <w:szCs w:val="22"/>
          <w:highlight w:val="none"/>
          <w:lang w:val="en-US" w:eastAsia="zh-CN"/>
          <w14:textFill>
            <w14:solidFill>
              <w14:schemeClr w14:val="tx1"/>
            </w14:solidFill>
          </w14:textFill>
        </w:rPr>
        <w:t>除采购活动</w:t>
      </w:r>
      <w:r>
        <w:rPr>
          <w:rFonts w:hint="eastAsia" w:ascii="宋体" w:hAnsi="宋体" w:eastAsia="宋体" w:cs="宋体"/>
          <w:color w:val="000000" w:themeColor="text1"/>
          <w:sz w:val="22"/>
          <w:szCs w:val="22"/>
          <w:highlight w:val="none"/>
          <w14:textFill>
            <w14:solidFill>
              <w14:schemeClr w14:val="tx1"/>
            </w14:solidFill>
          </w14:textFill>
        </w:rPr>
        <w:t>对商品包装</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快递包装</w:t>
      </w:r>
      <w:r>
        <w:rPr>
          <w:rFonts w:hint="eastAsia" w:ascii="宋体" w:hAnsi="宋体" w:eastAsia="宋体" w:cs="宋体"/>
          <w:color w:val="000000" w:themeColor="text1"/>
          <w:sz w:val="22"/>
          <w:szCs w:val="22"/>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2"/>
          <w:szCs w:val="22"/>
          <w:highlight w:val="none"/>
          <w14:textFill>
            <w14:solidFill>
              <w14:schemeClr w14:val="tx1"/>
            </w14:solidFill>
          </w14:textFill>
        </w:rPr>
        <w:t>，乙方提供产品及相关快递服务</w:t>
      </w:r>
      <w:r>
        <w:rPr>
          <w:rFonts w:hint="eastAsia" w:ascii="宋体" w:hAnsi="宋体" w:eastAsia="宋体" w:cs="宋体"/>
          <w:color w:val="000000" w:themeColor="text1"/>
          <w:sz w:val="22"/>
          <w:szCs w:val="22"/>
          <w:highlight w:val="none"/>
          <w:lang w:val="en-US" w:eastAsia="zh-CN"/>
          <w14:textFill>
            <w14:solidFill>
              <w14:schemeClr w14:val="tx1"/>
            </w14:solidFill>
          </w14:textFill>
        </w:rPr>
        <w:t>涉及到</w:t>
      </w:r>
      <w:r>
        <w:rPr>
          <w:rFonts w:hint="eastAsia" w:ascii="宋体" w:hAnsi="宋体" w:eastAsia="宋体" w:cs="宋体"/>
          <w:color w:val="000000" w:themeColor="text1"/>
          <w:sz w:val="22"/>
          <w:szCs w:val="22"/>
          <w:highlight w:val="none"/>
          <w14:textFill>
            <w14:solidFill>
              <w14:schemeClr w14:val="tx1"/>
            </w14:solidFill>
          </w14:textFill>
        </w:rPr>
        <w:t>具体包装要求</w:t>
      </w:r>
      <w:r>
        <w:rPr>
          <w:rFonts w:hint="eastAsia" w:ascii="宋体" w:hAnsi="宋体" w:eastAsia="宋体" w:cs="宋体"/>
          <w:color w:val="000000" w:themeColor="text1"/>
          <w:sz w:val="22"/>
          <w:szCs w:val="22"/>
          <w:highlight w:val="none"/>
          <w:lang w:val="en-US" w:eastAsia="zh-CN"/>
          <w14:textFill>
            <w14:solidFill>
              <w14:schemeClr w14:val="tx1"/>
            </w14:solidFill>
          </w14:textFill>
        </w:rPr>
        <w:t>的，</w:t>
      </w:r>
      <w:r>
        <w:rPr>
          <w:rFonts w:hint="eastAsia" w:ascii="宋体" w:hAnsi="宋体" w:eastAsia="宋体" w:cs="宋体"/>
          <w:color w:val="000000" w:themeColor="text1"/>
          <w:sz w:val="22"/>
          <w:szCs w:val="22"/>
          <w:highlight w:val="none"/>
          <w14:textFill>
            <w14:solidFill>
              <w14:schemeClr w14:val="tx1"/>
            </w14:solidFill>
          </w14:textFill>
        </w:rPr>
        <w:t>应</w:t>
      </w:r>
      <w:r>
        <w:rPr>
          <w:rFonts w:hint="eastAsia" w:ascii="宋体" w:hAnsi="宋体" w:eastAsia="宋体" w:cs="宋体"/>
          <w:color w:val="000000" w:themeColor="text1"/>
          <w:sz w:val="22"/>
          <w:szCs w:val="22"/>
          <w:highlight w:val="none"/>
          <w:lang w:val="en-US" w:eastAsia="zh-CN"/>
          <w14:textFill>
            <w14:solidFill>
              <w14:schemeClr w14:val="tx1"/>
            </w14:solidFill>
          </w14:textFill>
        </w:rPr>
        <w:t>不低于</w:t>
      </w:r>
      <w:r>
        <w:rPr>
          <w:rFonts w:hint="eastAsia" w:ascii="宋体" w:hAnsi="宋体" w:eastAsia="宋体" w:cs="宋体"/>
          <w:color w:val="000000" w:themeColor="text1"/>
          <w:sz w:val="22"/>
          <w:szCs w:val="22"/>
          <w:highlight w:val="none"/>
          <w14:textFill>
            <w14:solidFill>
              <w14:schemeClr w14:val="tx1"/>
            </w14:solidFill>
          </w14:textFill>
        </w:rPr>
        <w:t>《商品包装政府采购需求标准（试行）</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快递包装政府采购需求标准（试行）》</w:t>
      </w:r>
      <w:r>
        <w:rPr>
          <w:rFonts w:hint="eastAsia" w:ascii="宋体" w:hAnsi="宋体" w:eastAsia="宋体" w:cs="宋体"/>
          <w:color w:val="000000" w:themeColor="text1"/>
          <w:sz w:val="22"/>
          <w:szCs w:val="22"/>
          <w:highlight w:val="none"/>
          <w:lang w:val="en-US" w:eastAsia="zh-CN"/>
          <w14:textFill>
            <w14:solidFill>
              <w14:schemeClr w14:val="tx1"/>
            </w14:solidFill>
          </w14:textFill>
        </w:rPr>
        <w:t>标准</w:t>
      </w:r>
      <w:r>
        <w:rPr>
          <w:rFonts w:hint="eastAsia" w:ascii="宋体" w:hAnsi="宋体" w:eastAsia="宋体" w:cs="宋体"/>
          <w:color w:val="000000" w:themeColor="text1"/>
          <w:sz w:val="22"/>
          <w:szCs w:val="22"/>
          <w:highlight w:val="none"/>
          <w14:textFill>
            <w14:solidFill>
              <w14:schemeClr w14:val="tx1"/>
            </w14:solidFill>
          </w14:textFill>
        </w:rPr>
        <w:t>，并作为履约验收的内容，必要时甲方可以要求乙方在履约验收环节出具检测报告。</w:t>
      </w:r>
    </w:p>
    <w:p w14:paraId="1C57F03D">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7.5 </w:t>
      </w:r>
      <w:r>
        <w:rPr>
          <w:rFonts w:hint="eastAsia" w:ascii="宋体" w:hAnsi="宋体" w:eastAsia="宋体" w:cs="宋体"/>
          <w:color w:val="000000"/>
          <w:sz w:val="22"/>
          <w:szCs w:val="22"/>
        </w:rPr>
        <w:t>乙方在运输到达之前</w:t>
      </w:r>
      <w:r>
        <w:rPr>
          <w:rFonts w:hint="eastAsia" w:ascii="宋体" w:hAnsi="宋体" w:eastAsia="宋体" w:cs="宋体"/>
          <w:color w:val="000000"/>
          <w:sz w:val="22"/>
          <w:szCs w:val="22"/>
          <w:lang w:eastAsia="zh-CN"/>
        </w:rPr>
        <w:t>应</w:t>
      </w:r>
      <w:r>
        <w:rPr>
          <w:rFonts w:hint="eastAsia" w:ascii="宋体" w:hAnsi="宋体" w:eastAsia="宋体" w:cs="宋体"/>
          <w:color w:val="000000"/>
          <w:sz w:val="22"/>
          <w:szCs w:val="22"/>
        </w:rPr>
        <w:t>提前通知</w:t>
      </w:r>
      <w:r>
        <w:rPr>
          <w:rFonts w:hint="eastAsia" w:ascii="宋体" w:hAnsi="宋体" w:eastAsia="宋体" w:cs="宋体"/>
          <w:color w:val="000000"/>
          <w:sz w:val="22"/>
          <w:szCs w:val="22"/>
          <w:lang w:eastAsia="zh-CN"/>
        </w:rPr>
        <w:t>甲方</w:t>
      </w:r>
      <w:r>
        <w:rPr>
          <w:rFonts w:hint="eastAsia" w:ascii="宋体" w:hAnsi="宋体" w:eastAsia="宋体" w:cs="宋体"/>
          <w:color w:val="000000"/>
          <w:sz w:val="22"/>
          <w:szCs w:val="22"/>
        </w:rPr>
        <w:t>，并提示货物运输装卸的注意事项</w:t>
      </w:r>
      <w:r>
        <w:rPr>
          <w:rFonts w:hint="eastAsia" w:ascii="宋体" w:hAnsi="宋体" w:eastAsia="宋体" w:cs="宋体"/>
          <w:color w:val="000000"/>
          <w:sz w:val="22"/>
          <w:szCs w:val="22"/>
          <w:lang w:eastAsia="zh-CN"/>
        </w:rPr>
        <w:t>，甲方配合乙方做好货物的接收工作。</w:t>
      </w:r>
    </w:p>
    <w:p w14:paraId="378EB17F">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color w:val="000000" w:themeColor="text1"/>
          <w:kern w:val="2"/>
          <w:sz w:val="22"/>
          <w:szCs w:val="22"/>
          <w:highlight w:val="none"/>
          <w:lang w:val="en-US" w:eastAsia="zh-CN"/>
          <w14:textFill>
            <w14:solidFill>
              <w14:schemeClr w14:val="tx1"/>
            </w14:solidFill>
          </w14:textFill>
        </w:rPr>
        <w:t xml:space="preserve">7.6 </w:t>
      </w:r>
      <w:r>
        <w:rPr>
          <w:rFonts w:hint="eastAsia" w:ascii="宋体" w:hAnsi="宋体" w:eastAsia="宋体" w:cs="宋体"/>
          <w:color w:val="000000"/>
          <w:kern w:val="2"/>
          <w:sz w:val="22"/>
          <w:szCs w:val="22"/>
          <w:highlight w:val="none"/>
        </w:rPr>
        <w:t>如因包装</w:t>
      </w:r>
      <w:r>
        <w:rPr>
          <w:rFonts w:hint="eastAsia" w:ascii="宋体" w:hAnsi="宋体" w:eastAsia="宋体" w:cs="宋体"/>
          <w:color w:val="000000"/>
          <w:kern w:val="2"/>
          <w:sz w:val="22"/>
          <w:szCs w:val="22"/>
          <w:highlight w:val="none"/>
          <w:lang w:eastAsia="zh-CN"/>
        </w:rPr>
        <w:t>、运输</w:t>
      </w:r>
      <w:r>
        <w:rPr>
          <w:rFonts w:hint="eastAsia" w:ascii="宋体" w:hAnsi="宋体" w:eastAsia="宋体" w:cs="宋体"/>
          <w:color w:val="000000"/>
          <w:kern w:val="2"/>
          <w:sz w:val="22"/>
          <w:szCs w:val="22"/>
          <w:highlight w:val="none"/>
        </w:rPr>
        <w:t>问题导致货物</w:t>
      </w:r>
      <w:r>
        <w:rPr>
          <w:rFonts w:hint="eastAsia" w:ascii="宋体" w:hAnsi="宋体" w:eastAsia="宋体" w:cs="宋体"/>
          <w:color w:val="000000" w:themeColor="text1"/>
          <w:kern w:val="2"/>
          <w:sz w:val="22"/>
          <w:szCs w:val="22"/>
          <w:highlight w:val="none"/>
          <w:lang w:eastAsia="zh-CN"/>
          <w14:textFill>
            <w14:solidFill>
              <w14:schemeClr w14:val="tx1"/>
            </w14:solidFill>
          </w14:textFill>
        </w:rPr>
        <w:t>损毁、丢失</w:t>
      </w:r>
      <w:r>
        <w:rPr>
          <w:rFonts w:hint="eastAsia" w:ascii="宋体" w:hAnsi="宋体" w:eastAsia="宋体" w:cs="宋体"/>
          <w:color w:val="000000"/>
          <w:kern w:val="2"/>
          <w:sz w:val="22"/>
          <w:szCs w:val="22"/>
          <w:highlight w:val="none"/>
        </w:rPr>
        <w:t>或者品质下降，</w:t>
      </w:r>
      <w:r>
        <w:rPr>
          <w:rFonts w:hint="eastAsia" w:ascii="宋体" w:hAnsi="宋体" w:eastAsia="宋体" w:cs="宋体"/>
          <w:color w:val="000000"/>
          <w:kern w:val="2"/>
          <w:sz w:val="22"/>
          <w:szCs w:val="22"/>
          <w:highlight w:val="none"/>
          <w:lang w:eastAsia="zh-CN"/>
        </w:rPr>
        <w:t>甲方</w:t>
      </w:r>
      <w:r>
        <w:rPr>
          <w:rFonts w:hint="eastAsia" w:ascii="宋体" w:hAnsi="宋体" w:eastAsia="宋体" w:cs="宋体"/>
          <w:color w:val="000000"/>
          <w:kern w:val="2"/>
          <w:sz w:val="22"/>
          <w:szCs w:val="22"/>
          <w:highlight w:val="none"/>
        </w:rPr>
        <w:t>有权要求降价、换货、拒收部分或整批货物，由此</w:t>
      </w:r>
      <w:r>
        <w:rPr>
          <w:rFonts w:hint="eastAsia" w:ascii="宋体" w:hAnsi="宋体" w:eastAsia="宋体" w:cs="宋体"/>
          <w:color w:val="000000"/>
          <w:kern w:val="2"/>
          <w:sz w:val="22"/>
          <w:szCs w:val="22"/>
          <w:highlight w:val="none"/>
          <w:lang w:eastAsia="zh-CN"/>
        </w:rPr>
        <w:t>产生</w:t>
      </w:r>
      <w:r>
        <w:rPr>
          <w:rFonts w:hint="eastAsia" w:ascii="宋体" w:hAnsi="宋体" w:eastAsia="宋体" w:cs="宋体"/>
          <w:color w:val="000000"/>
          <w:kern w:val="2"/>
          <w:sz w:val="22"/>
          <w:szCs w:val="22"/>
          <w:highlight w:val="none"/>
        </w:rPr>
        <w:t>的费用和损失，均由</w:t>
      </w:r>
      <w:r>
        <w:rPr>
          <w:rFonts w:hint="eastAsia" w:ascii="宋体" w:hAnsi="宋体" w:eastAsia="宋体" w:cs="宋体"/>
          <w:color w:val="000000"/>
          <w:kern w:val="2"/>
          <w:sz w:val="22"/>
          <w:szCs w:val="22"/>
          <w:highlight w:val="none"/>
          <w:lang w:eastAsia="zh-CN"/>
        </w:rPr>
        <w:t>乙方</w:t>
      </w:r>
      <w:r>
        <w:rPr>
          <w:rFonts w:hint="eastAsia" w:ascii="宋体" w:hAnsi="宋体" w:eastAsia="宋体" w:cs="宋体"/>
          <w:color w:val="000000"/>
          <w:kern w:val="2"/>
          <w:sz w:val="22"/>
          <w:szCs w:val="22"/>
          <w:highlight w:val="none"/>
        </w:rPr>
        <w:t>承担。</w:t>
      </w:r>
    </w:p>
    <w:p w14:paraId="58E40CBC">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000000" w:themeColor="text1"/>
          <w:sz w:val="22"/>
          <w:szCs w:val="22"/>
          <w:highlight w:val="none"/>
          <w:lang w:eastAsia="zh-CN"/>
          <w14:textFill>
            <w14:solidFill>
              <w14:schemeClr w14:val="tx1"/>
            </w14:solidFill>
          </w14:textFill>
        </w:rPr>
        <w:t>8</w:t>
      </w:r>
      <w:r>
        <w:rPr>
          <w:rFonts w:hint="eastAsia" w:ascii="宋体" w:hAnsi="宋体" w:eastAsia="宋体" w:cs="宋体"/>
          <w:b/>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color w:val="auto"/>
          <w:sz w:val="22"/>
          <w:szCs w:val="22"/>
          <w:highlight w:val="none"/>
        </w:rPr>
        <w:t>质量标准和保证</w:t>
      </w:r>
    </w:p>
    <w:p w14:paraId="440C6ABE">
      <w:pPr>
        <w:pStyle w:val="13"/>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lang w:eastAsia="zh-CN"/>
        </w:rPr>
        <w:t>8</w:t>
      </w:r>
      <w:r>
        <w:rPr>
          <w:rFonts w:hint="eastAsia" w:ascii="宋体" w:hAnsi="宋体" w:eastAsia="宋体" w:cs="宋体"/>
          <w:color w:val="auto"/>
          <w:sz w:val="22"/>
          <w:szCs w:val="22"/>
          <w:highlight w:val="none"/>
        </w:rPr>
        <w:t>.1 质量标准</w:t>
      </w:r>
    </w:p>
    <w:p w14:paraId="3A1CCC8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（1）本合同下</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的货物应符合</w:t>
      </w:r>
      <w:r>
        <w:rPr>
          <w:rFonts w:hint="eastAsia" w:ascii="宋体" w:hAnsi="宋体" w:eastAsia="宋体" w:cs="宋体"/>
          <w:color w:val="auto"/>
          <w:sz w:val="22"/>
          <w:szCs w:val="22"/>
          <w:highlight w:val="none"/>
          <w:lang w:eastAsia="zh-CN"/>
        </w:rPr>
        <w:t>合同</w:t>
      </w:r>
      <w:r>
        <w:rPr>
          <w:rFonts w:hint="eastAsia" w:ascii="宋体" w:hAnsi="宋体" w:eastAsia="宋体" w:cs="宋体"/>
          <w:color w:val="000000"/>
          <w:sz w:val="22"/>
          <w:szCs w:val="22"/>
          <w:lang w:eastAsia="zh-CN"/>
        </w:rPr>
        <w:t>约</w:t>
      </w:r>
      <w:r>
        <w:rPr>
          <w:rFonts w:hint="eastAsia" w:ascii="宋体" w:hAnsi="宋体" w:eastAsia="宋体" w:cs="宋体"/>
          <w:color w:val="000000"/>
          <w:sz w:val="22"/>
          <w:szCs w:val="22"/>
        </w:rPr>
        <w:t>定的</w:t>
      </w:r>
      <w:r>
        <w:rPr>
          <w:rFonts w:hint="eastAsia" w:ascii="宋体" w:hAnsi="宋体" w:eastAsia="宋体" w:cs="宋体"/>
          <w:sz w:val="22"/>
          <w:szCs w:val="22"/>
        </w:rPr>
        <w:t>品牌、规格型号、技术性能、配置、质量、数量等要求。</w:t>
      </w:r>
      <w:r>
        <w:rPr>
          <w:rFonts w:hint="eastAsia" w:ascii="宋体" w:hAnsi="宋体" w:eastAsia="宋体" w:cs="宋体"/>
          <w:color w:val="auto"/>
          <w:sz w:val="22"/>
          <w:szCs w:val="22"/>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2"/>
          <w:szCs w:val="22"/>
          <w:highlight w:val="none"/>
          <w:lang w:eastAsia="zh-CN"/>
        </w:rPr>
        <w:t>。</w:t>
      </w:r>
    </w:p>
    <w:p w14:paraId="2FCD850F">
      <w:pPr>
        <w:pStyle w:val="13"/>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（2）采用中华人民共和国法定计量单位。</w:t>
      </w:r>
    </w:p>
    <w:p w14:paraId="4F56F4E9">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（3）乙方所</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的货物应符合国家有关安全、环保、卫生</w:t>
      </w:r>
      <w:r>
        <w:rPr>
          <w:rFonts w:hint="eastAsia" w:ascii="宋体" w:hAnsi="宋体" w:eastAsia="宋体" w:cs="宋体"/>
          <w:color w:val="auto"/>
          <w:sz w:val="22"/>
          <w:szCs w:val="22"/>
          <w:highlight w:val="none"/>
          <w:lang w:eastAsia="zh-CN"/>
        </w:rPr>
        <w:t>的</w:t>
      </w:r>
      <w:r>
        <w:rPr>
          <w:rFonts w:hint="eastAsia" w:ascii="宋体" w:hAnsi="宋体" w:eastAsia="宋体" w:cs="宋体"/>
          <w:color w:val="auto"/>
          <w:sz w:val="22"/>
          <w:szCs w:val="22"/>
          <w:highlight w:val="none"/>
        </w:rPr>
        <w:t>规定。</w:t>
      </w:r>
    </w:p>
    <w:p w14:paraId="43E7FB0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（4）乙方应向甲方提交所</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货物的技术文件，包括相应的中文技术文件，如：产品目录、图纸、操作手册、使用说明、维护手册或服务指南</w:t>
      </w:r>
      <w:r>
        <w:rPr>
          <w:rFonts w:hint="eastAsia" w:ascii="宋体" w:hAnsi="宋体" w:eastAsia="宋体" w:cs="宋体"/>
          <w:color w:val="auto"/>
          <w:sz w:val="22"/>
          <w:szCs w:val="22"/>
          <w:highlight w:val="none"/>
          <w:lang w:eastAsia="zh-CN"/>
        </w:rPr>
        <w:t>等</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上述</w:t>
      </w:r>
      <w:r>
        <w:rPr>
          <w:rFonts w:hint="eastAsia" w:ascii="宋体" w:hAnsi="宋体" w:eastAsia="宋体" w:cs="宋体"/>
          <w:color w:val="auto"/>
          <w:sz w:val="22"/>
          <w:szCs w:val="22"/>
          <w:highlight w:val="none"/>
        </w:rPr>
        <w:t>文件应包装好随货物一同发运。</w:t>
      </w:r>
    </w:p>
    <w:p w14:paraId="7C9CD6E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8</w:t>
      </w:r>
      <w:r>
        <w:rPr>
          <w:rFonts w:hint="eastAsia" w:ascii="宋体" w:hAnsi="宋体" w:eastAsia="宋体" w:cs="宋体"/>
          <w:color w:val="auto"/>
          <w:sz w:val="22"/>
          <w:szCs w:val="22"/>
          <w:highlight w:val="none"/>
        </w:rPr>
        <w:t>.2 保证</w:t>
      </w:r>
    </w:p>
    <w:p w14:paraId="54F4ECE4">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（1）乙方应保证</w:t>
      </w:r>
      <w:r>
        <w:rPr>
          <w:rFonts w:hint="eastAsia" w:ascii="宋体" w:hAnsi="宋体" w:eastAsia="宋体" w:cs="宋体"/>
          <w:color w:val="auto"/>
          <w:sz w:val="22"/>
          <w:szCs w:val="22"/>
          <w:highlight w:val="none"/>
          <w:lang w:eastAsia="zh-CN"/>
        </w:rPr>
        <w:t>提供的货物</w:t>
      </w:r>
      <w:r>
        <w:rPr>
          <w:rFonts w:hint="eastAsia" w:ascii="宋体" w:hAnsi="宋体" w:eastAsia="宋体" w:cs="宋体"/>
          <w:color w:val="auto"/>
          <w:sz w:val="22"/>
          <w:szCs w:val="22"/>
          <w:highlight w:val="none"/>
        </w:rPr>
        <w:t>完全符合合同规定的质量、规格和性能要求。乙方应保证货物在正确安装、正常使用和保养条件下，</w:t>
      </w:r>
      <w:r>
        <w:rPr>
          <w:rFonts w:hint="eastAsia" w:ascii="宋体" w:hAnsi="宋体" w:eastAsia="宋体" w:cs="宋体"/>
          <w:sz w:val="22"/>
          <w:szCs w:val="22"/>
        </w:rPr>
        <w:t>在其使用寿命期内具</w:t>
      </w:r>
      <w:r>
        <w:rPr>
          <w:rFonts w:hint="eastAsia" w:ascii="宋体" w:hAnsi="宋体" w:eastAsia="宋体" w:cs="宋体"/>
          <w:sz w:val="22"/>
          <w:szCs w:val="22"/>
          <w:lang w:eastAsia="zh-CN"/>
        </w:rPr>
        <w:t>备合同约定</w:t>
      </w:r>
      <w:r>
        <w:rPr>
          <w:rFonts w:hint="eastAsia" w:ascii="宋体" w:hAnsi="宋体" w:eastAsia="宋体" w:cs="宋体"/>
          <w:sz w:val="22"/>
          <w:szCs w:val="22"/>
        </w:rPr>
        <w:t>的性能</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存在</w:t>
      </w:r>
      <w:r>
        <w:rPr>
          <w:rFonts w:hint="eastAsia" w:ascii="宋体" w:hAnsi="宋体" w:eastAsia="宋体" w:cs="宋体"/>
          <w:color w:val="auto"/>
          <w:sz w:val="22"/>
          <w:szCs w:val="22"/>
          <w:highlight w:val="none"/>
        </w:rPr>
        <w:t>质量保证期的，货物最终交付验收</w:t>
      </w:r>
      <w:r>
        <w:rPr>
          <w:rFonts w:hint="eastAsia" w:ascii="宋体" w:hAnsi="宋体" w:eastAsia="宋体" w:cs="宋体"/>
          <w:color w:val="auto"/>
          <w:sz w:val="22"/>
          <w:szCs w:val="22"/>
          <w:highlight w:val="none"/>
          <w:lang w:eastAsia="zh-CN"/>
        </w:rPr>
        <w:t>合格</w:t>
      </w:r>
      <w:r>
        <w:rPr>
          <w:rFonts w:hint="eastAsia" w:ascii="宋体" w:hAnsi="宋体" w:eastAsia="宋体" w:cs="宋体"/>
          <w:color w:val="auto"/>
          <w:sz w:val="22"/>
          <w:szCs w:val="22"/>
          <w:highlight w:val="none"/>
        </w:rPr>
        <w:t>后</w:t>
      </w:r>
      <w:r>
        <w:rPr>
          <w:rFonts w:hint="eastAsia" w:ascii="宋体" w:hAnsi="宋体" w:eastAsia="宋体" w:cs="宋体"/>
          <w:color w:val="auto"/>
          <w:sz w:val="22"/>
          <w:szCs w:val="22"/>
          <w:highlight w:val="none"/>
          <w:lang w:eastAsia="zh-CN"/>
        </w:rPr>
        <w:t>在</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规定或乙方</w:t>
      </w:r>
      <w:r>
        <w:rPr>
          <w:rFonts w:hint="eastAsia" w:ascii="宋体" w:hAnsi="宋体" w:eastAsia="宋体" w:cs="宋体"/>
          <w:color w:val="auto"/>
          <w:sz w:val="22"/>
          <w:szCs w:val="22"/>
          <w:highlight w:val="none"/>
          <w:lang w:eastAsia="zh-CN"/>
        </w:rPr>
        <w:t>书面</w:t>
      </w:r>
      <w:r>
        <w:rPr>
          <w:rFonts w:hint="eastAsia" w:ascii="宋体" w:hAnsi="宋体" w:eastAsia="宋体" w:cs="宋体"/>
          <w:color w:val="auto"/>
          <w:sz w:val="22"/>
          <w:szCs w:val="22"/>
          <w:highlight w:val="none"/>
        </w:rPr>
        <w:t>承诺（两者以较长的为准）的质量保证期内，本保证保持有效。</w:t>
      </w:r>
    </w:p>
    <w:p w14:paraId="1B49F31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（2）在质量保证期内所发现的缺陷，甲方应尽快以书面形式通知乙方。</w:t>
      </w:r>
    </w:p>
    <w:p w14:paraId="4072E85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（3）乙方收到通知后</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应在</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规定的响应时间内以合理的速度免费维修或更换有缺陷的货物或部件。</w:t>
      </w:r>
    </w:p>
    <w:p w14:paraId="73F5318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2"/>
          <w:szCs w:val="22"/>
          <w:highlight w:val="none"/>
          <w:lang w:val="en-US" w:eastAsia="zh-CN"/>
          <w14:textFill>
            <w14:solidFill>
              <w14:schemeClr w14:val="tx1"/>
            </w14:solidFill>
          </w14:textFill>
        </w:rPr>
        <w:t>5</w:t>
      </w:r>
      <w:r>
        <w:rPr>
          <w:rFonts w:hint="eastAsia" w:ascii="宋体" w:hAnsi="宋体" w:eastAsia="宋体" w:cs="宋体"/>
          <w:color w:val="auto"/>
          <w:sz w:val="22"/>
          <w:szCs w:val="22"/>
          <w:highlight w:val="none"/>
        </w:rPr>
        <w:t>.1条规定以书面形式</w:t>
      </w:r>
      <w:r>
        <w:rPr>
          <w:rFonts w:hint="eastAsia" w:ascii="宋体" w:hAnsi="宋体" w:eastAsia="宋体" w:cs="宋体"/>
          <w:color w:val="000000" w:themeColor="text1"/>
          <w:sz w:val="22"/>
          <w:szCs w:val="22"/>
          <w:highlight w:val="none"/>
          <w:lang w:eastAsia="zh-CN"/>
          <w14:textFill>
            <w14:solidFill>
              <w14:schemeClr w14:val="tx1"/>
            </w14:solidFill>
          </w14:textFill>
        </w:rPr>
        <w:t>追究</w:t>
      </w:r>
      <w:r>
        <w:rPr>
          <w:rFonts w:hint="eastAsia" w:ascii="宋体" w:hAnsi="宋体" w:eastAsia="宋体" w:cs="宋体"/>
          <w:color w:val="auto"/>
          <w:sz w:val="22"/>
          <w:szCs w:val="22"/>
          <w:highlight w:val="none"/>
        </w:rPr>
        <w:t>乙方</w:t>
      </w:r>
      <w:r>
        <w:rPr>
          <w:rFonts w:hint="eastAsia" w:ascii="宋体" w:hAnsi="宋体" w:eastAsia="宋体" w:cs="宋体"/>
          <w:color w:val="000000" w:themeColor="text1"/>
          <w:sz w:val="22"/>
          <w:szCs w:val="22"/>
          <w:highlight w:val="none"/>
          <w:lang w:eastAsia="zh-CN"/>
          <w14:textFill>
            <w14:solidFill>
              <w14:schemeClr w14:val="tx1"/>
            </w14:solidFill>
          </w14:textFill>
        </w:rPr>
        <w:t>的违约责任</w:t>
      </w:r>
      <w:r>
        <w:rPr>
          <w:rFonts w:hint="eastAsia" w:ascii="宋体" w:hAnsi="宋体" w:eastAsia="宋体" w:cs="宋体"/>
          <w:color w:val="auto"/>
          <w:sz w:val="22"/>
          <w:szCs w:val="22"/>
          <w:highlight w:val="none"/>
        </w:rPr>
        <w:t>。</w:t>
      </w:r>
    </w:p>
    <w:p w14:paraId="249A0EF7">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2"/>
          <w:szCs w:val="22"/>
          <w:highlight w:val="none"/>
          <w:lang w:eastAsia="zh-CN"/>
        </w:rPr>
        <w:t>约定</w:t>
      </w:r>
      <w:r>
        <w:rPr>
          <w:rFonts w:hint="eastAsia" w:ascii="宋体" w:hAnsi="宋体" w:eastAsia="宋体" w:cs="宋体"/>
          <w:color w:val="auto"/>
          <w:sz w:val="22"/>
          <w:szCs w:val="22"/>
          <w:highlight w:val="none"/>
        </w:rPr>
        <w:t>对乙方行使的其他权利不受影响。</w:t>
      </w:r>
    </w:p>
    <w:p w14:paraId="1B77E8C1">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9</w:t>
      </w:r>
      <w:r>
        <w:rPr>
          <w:rFonts w:hint="eastAsia" w:ascii="宋体" w:hAnsi="宋体" w:eastAsia="宋体" w:cs="宋体"/>
          <w:b/>
          <w:bCs/>
          <w:color w:val="auto"/>
          <w:sz w:val="22"/>
          <w:szCs w:val="22"/>
          <w:highlight w:val="none"/>
        </w:rPr>
        <w:t>.</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auto"/>
          <w:sz w:val="22"/>
          <w:szCs w:val="22"/>
          <w:highlight w:val="none"/>
        </w:rPr>
        <w:t>权利瑕疵担保</w:t>
      </w:r>
    </w:p>
    <w:p w14:paraId="1E92AD0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9</w:t>
      </w:r>
      <w:r>
        <w:rPr>
          <w:rFonts w:hint="eastAsia" w:ascii="宋体" w:hAnsi="宋体" w:eastAsia="宋体" w:cs="宋体"/>
          <w:color w:val="000000" w:themeColor="text1"/>
          <w:sz w:val="22"/>
          <w:szCs w:val="22"/>
          <w:highlight w:val="none"/>
          <w14:textFill>
            <w14:solidFill>
              <w14:schemeClr w14:val="tx1"/>
            </w14:solidFill>
          </w14:textFill>
        </w:rPr>
        <w:t>.1 乙方保证对其出售的货物享有合法的权利。</w:t>
      </w:r>
    </w:p>
    <w:p w14:paraId="35997874">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9</w:t>
      </w:r>
      <w:r>
        <w:rPr>
          <w:rFonts w:hint="eastAsia" w:ascii="宋体" w:hAnsi="宋体" w:eastAsia="宋体" w:cs="宋体"/>
          <w:color w:val="000000" w:themeColor="text1"/>
          <w:sz w:val="22"/>
          <w:szCs w:val="22"/>
          <w:highlight w:val="none"/>
          <w14:textFill>
            <w14:solidFill>
              <w14:schemeClr w14:val="tx1"/>
            </w14:solidFill>
          </w14:textFill>
        </w:rPr>
        <w:t xml:space="preserve">.2 </w:t>
      </w:r>
      <w:r>
        <w:rPr>
          <w:rFonts w:hint="eastAsia" w:ascii="宋体" w:hAnsi="宋体" w:eastAsia="宋体" w:cs="宋体"/>
          <w:sz w:val="22"/>
          <w:szCs w:val="22"/>
        </w:rPr>
        <w:t>乙方保证在交付的货物上不存在抵押权等担保物权。</w:t>
      </w:r>
    </w:p>
    <w:p w14:paraId="332D749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9</w:t>
      </w:r>
      <w:r>
        <w:rPr>
          <w:rFonts w:hint="eastAsia" w:ascii="宋体" w:hAnsi="宋体" w:eastAsia="宋体" w:cs="宋体"/>
          <w:color w:val="000000" w:themeColor="text1"/>
          <w:sz w:val="22"/>
          <w:szCs w:val="22"/>
          <w:highlight w:val="none"/>
          <w14:textFill>
            <w14:solidFill>
              <w14:schemeClr w14:val="tx1"/>
            </w14:solidFill>
          </w14:textFill>
        </w:rPr>
        <w:t>.3 如甲方使用</w:t>
      </w:r>
      <w:r>
        <w:rPr>
          <w:rFonts w:hint="eastAsia" w:ascii="宋体" w:hAnsi="宋体" w:eastAsia="宋体" w:cs="宋体"/>
          <w:color w:val="000000" w:themeColor="text1"/>
          <w:sz w:val="22"/>
          <w:szCs w:val="22"/>
          <w:highlight w:val="none"/>
          <w:lang w:val="en-US" w:eastAsia="zh-CN"/>
          <w14:textFill>
            <w14:solidFill>
              <w14:schemeClr w14:val="tx1"/>
            </w14:solidFill>
          </w14:textFill>
        </w:rPr>
        <w:t>上述</w:t>
      </w:r>
      <w:r>
        <w:rPr>
          <w:rFonts w:hint="eastAsia" w:ascii="宋体" w:hAnsi="宋体" w:eastAsia="宋体" w:cs="宋体"/>
          <w:color w:val="000000" w:themeColor="text1"/>
          <w:sz w:val="22"/>
          <w:szCs w:val="22"/>
          <w:highlight w:val="none"/>
          <w14:textFill>
            <w14:solidFill>
              <w14:schemeClr w14:val="tx1"/>
            </w14:solidFill>
          </w14:textFill>
        </w:rPr>
        <w:t>货物构成</w:t>
      </w:r>
      <w:r>
        <w:rPr>
          <w:rFonts w:hint="eastAsia" w:ascii="宋体" w:hAnsi="宋体" w:eastAsia="宋体" w:cs="宋体"/>
          <w:color w:val="000000" w:themeColor="text1"/>
          <w:sz w:val="22"/>
          <w:szCs w:val="22"/>
          <w:highlight w:val="none"/>
          <w:lang w:val="en-US" w:eastAsia="zh-CN"/>
          <w14:textFill>
            <w14:solidFill>
              <w14:schemeClr w14:val="tx1"/>
            </w14:solidFill>
          </w14:textFill>
        </w:rPr>
        <w:t>对第三人</w:t>
      </w:r>
      <w:r>
        <w:rPr>
          <w:rFonts w:hint="eastAsia" w:ascii="宋体" w:hAnsi="宋体" w:eastAsia="宋体" w:cs="宋体"/>
          <w:color w:val="000000" w:themeColor="text1"/>
          <w:sz w:val="22"/>
          <w:szCs w:val="22"/>
          <w:highlight w:val="none"/>
          <w14:textFill>
            <w14:solidFill>
              <w14:schemeClr w14:val="tx1"/>
            </w14:solidFill>
          </w14:textFill>
        </w:rPr>
        <w:t>侵权的，则由乙方承担全部责任。</w:t>
      </w:r>
    </w:p>
    <w:p w14:paraId="6284766B">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14:textFill>
            <w14:solidFill>
              <w14:schemeClr w14:val="tx1"/>
            </w14:solidFill>
          </w14:textFill>
        </w:rPr>
        <w:t>1</w:t>
      </w:r>
      <w:r>
        <w:rPr>
          <w:rFonts w:hint="eastAsia" w:ascii="宋体" w:hAnsi="宋体" w:eastAsia="宋体" w:cs="宋体"/>
          <w:b/>
          <w:bCs/>
          <w:color w:val="000000" w:themeColor="text1"/>
          <w:sz w:val="22"/>
          <w:szCs w:val="22"/>
          <w:highlight w:val="none"/>
          <w:lang w:eastAsia="zh-CN"/>
          <w14:textFill>
            <w14:solidFill>
              <w14:schemeClr w14:val="tx1"/>
            </w14:solidFill>
          </w14:textFill>
        </w:rPr>
        <w:t>0</w:t>
      </w:r>
      <w:r>
        <w:rPr>
          <w:rFonts w:hint="eastAsia" w:ascii="宋体" w:hAnsi="宋体" w:eastAsia="宋体" w:cs="宋体"/>
          <w:b/>
          <w:bCs/>
          <w:color w:val="000000" w:themeColor="text1"/>
          <w:sz w:val="22"/>
          <w:szCs w:val="22"/>
          <w:highlight w:val="none"/>
          <w14:textFill>
            <w14:solidFill>
              <w14:schemeClr w14:val="tx1"/>
            </w14:solidFill>
          </w14:textFill>
        </w:rPr>
        <w:t>.</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知识产权保护</w:t>
      </w:r>
    </w:p>
    <w:p w14:paraId="2487C66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000000" w:themeColor="text1"/>
          <w:sz w:val="22"/>
          <w:szCs w:val="22"/>
          <w:highlight w:val="none"/>
          <w14:textFill>
            <w14:solidFill>
              <w14:schemeClr w14:val="tx1"/>
            </w14:solidFill>
          </w14:textFill>
        </w:rPr>
        <w:t>1</w:t>
      </w:r>
      <w:r>
        <w:rPr>
          <w:rFonts w:hint="eastAsia" w:ascii="宋体" w:hAnsi="宋体" w:eastAsia="宋体" w:cs="宋体"/>
          <w:color w:val="000000" w:themeColor="text1"/>
          <w:sz w:val="22"/>
          <w:szCs w:val="22"/>
          <w:highlight w:val="none"/>
          <w:lang w:eastAsia="zh-CN"/>
          <w14:textFill>
            <w14:solidFill>
              <w14:schemeClr w14:val="tx1"/>
            </w14:solidFill>
          </w14:textFill>
        </w:rPr>
        <w:t>0</w:t>
      </w:r>
      <w:r>
        <w:rPr>
          <w:rFonts w:hint="eastAsia" w:ascii="宋体" w:hAnsi="宋体" w:eastAsia="宋体" w:cs="宋体"/>
          <w:color w:val="000000" w:themeColor="text1"/>
          <w:sz w:val="22"/>
          <w:szCs w:val="22"/>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2"/>
          <w:szCs w:val="22"/>
          <w:highlight w:val="none"/>
        </w:rPr>
        <w:t>何第三人的知识产权等权利。</w:t>
      </w:r>
      <w:bookmarkStart w:id="97" w:name="_Hlk163047038"/>
      <w:r>
        <w:rPr>
          <w:rFonts w:hint="eastAsia" w:ascii="宋体" w:hAnsi="宋体" w:eastAsia="宋体" w:cs="宋体"/>
          <w:sz w:val="22"/>
          <w:szCs w:val="22"/>
        </w:rPr>
        <w:t>因违反前述约定对第三人构成侵权的，应当由乙方向第三人承担法律责任；甲方依法向第三人赔偿后，有权向乙方追偿。甲方有其他损失的，乙方应当赔偿</w:t>
      </w:r>
      <w:bookmarkEnd w:id="97"/>
      <w:r>
        <w:rPr>
          <w:rFonts w:hint="eastAsia" w:ascii="宋体" w:hAnsi="宋体" w:eastAsia="宋体" w:cs="宋体"/>
          <w:color w:val="auto"/>
          <w:sz w:val="22"/>
          <w:szCs w:val="22"/>
          <w:highlight w:val="none"/>
        </w:rPr>
        <w:t>。</w:t>
      </w:r>
    </w:p>
    <w:p w14:paraId="03525DC6">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1</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保密义务</w:t>
      </w:r>
    </w:p>
    <w:p w14:paraId="3A7ABF0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11.1 </w:t>
      </w:r>
      <w:r>
        <w:rPr>
          <w:rFonts w:hint="eastAsia" w:ascii="宋体" w:hAnsi="宋体" w:eastAsia="宋体" w:cs="宋体"/>
          <w:sz w:val="22"/>
          <w:szCs w:val="22"/>
        </w:rPr>
        <w:t>甲、乙双方</w:t>
      </w:r>
      <w:r>
        <w:rPr>
          <w:rFonts w:hint="eastAsia" w:ascii="宋体" w:hAnsi="宋体" w:eastAsia="宋体" w:cs="宋体"/>
          <w:sz w:val="22"/>
          <w:szCs w:val="22"/>
          <w:lang w:eastAsia="zh-CN"/>
        </w:rPr>
        <w:t>对</w:t>
      </w:r>
      <w:r>
        <w:rPr>
          <w:rFonts w:hint="eastAsia" w:ascii="宋体" w:hAnsi="宋体" w:eastAsia="宋体" w:cs="宋体"/>
          <w:sz w:val="22"/>
          <w:szCs w:val="22"/>
        </w:rPr>
        <w:t>采购和合同履行过程中所获悉的</w:t>
      </w:r>
      <w:r>
        <w:rPr>
          <w:rFonts w:hint="eastAsia" w:ascii="宋体" w:hAnsi="宋体" w:eastAsia="宋体" w:cs="宋体"/>
          <w:sz w:val="22"/>
          <w:szCs w:val="22"/>
          <w:lang w:eastAsia="zh-CN"/>
        </w:rPr>
        <w:t>国家秘密、工作秘密、</w:t>
      </w:r>
      <w:r>
        <w:rPr>
          <w:rFonts w:hint="eastAsia" w:ascii="宋体" w:hAnsi="宋体" w:eastAsia="宋体" w:cs="宋体"/>
          <w:sz w:val="22"/>
          <w:szCs w:val="22"/>
        </w:rPr>
        <w:t>商业秘密或者其他应当保密的信息，均有保密义务</w:t>
      </w:r>
      <w:r>
        <w:rPr>
          <w:rFonts w:hint="eastAsia" w:ascii="宋体" w:hAnsi="宋体" w:eastAsia="宋体" w:cs="宋体"/>
          <w:sz w:val="22"/>
          <w:szCs w:val="22"/>
          <w:lang w:eastAsia="zh-CN"/>
        </w:rPr>
        <w:t>且不受合同有效期所限，直至该信息成为公开信息</w:t>
      </w:r>
      <w:r>
        <w:rPr>
          <w:rFonts w:hint="eastAsia" w:ascii="宋体" w:hAnsi="宋体" w:eastAsia="宋体" w:cs="宋体"/>
          <w:sz w:val="22"/>
          <w:szCs w:val="22"/>
        </w:rPr>
        <w:t>。泄露、不正当地使用</w:t>
      </w:r>
      <w:r>
        <w:rPr>
          <w:rFonts w:hint="eastAsia" w:ascii="宋体" w:hAnsi="宋体" w:eastAsia="宋体" w:cs="宋体"/>
          <w:sz w:val="22"/>
          <w:szCs w:val="22"/>
          <w:lang w:eastAsia="zh-CN"/>
        </w:rPr>
        <w:t>国家秘密、工作秘密、</w:t>
      </w:r>
      <w:r>
        <w:rPr>
          <w:rFonts w:hint="eastAsia" w:ascii="宋体" w:hAnsi="宋体" w:eastAsia="宋体" w:cs="宋体"/>
          <w:sz w:val="22"/>
          <w:szCs w:val="22"/>
        </w:rPr>
        <w:t>商业秘密或者</w:t>
      </w:r>
      <w:r>
        <w:rPr>
          <w:rFonts w:hint="eastAsia" w:ascii="宋体" w:hAnsi="宋体" w:eastAsia="宋体" w:cs="宋体"/>
          <w:sz w:val="22"/>
          <w:szCs w:val="22"/>
          <w:lang w:eastAsia="zh-CN"/>
        </w:rPr>
        <w:t>其他应当保密的</w:t>
      </w:r>
      <w:r>
        <w:rPr>
          <w:rFonts w:hint="eastAsia" w:ascii="宋体" w:hAnsi="宋体" w:eastAsia="宋体" w:cs="宋体"/>
          <w:sz w:val="22"/>
          <w:szCs w:val="22"/>
        </w:rPr>
        <w:t>信息，应当承担</w:t>
      </w:r>
      <w:r>
        <w:rPr>
          <w:rFonts w:hint="eastAsia" w:ascii="宋体" w:hAnsi="宋体" w:eastAsia="宋体" w:cs="宋体"/>
          <w:sz w:val="22"/>
          <w:szCs w:val="22"/>
          <w:lang w:eastAsia="zh-CN"/>
        </w:rPr>
        <w:t>相应</w:t>
      </w:r>
      <w:r>
        <w:rPr>
          <w:rFonts w:hint="eastAsia" w:ascii="宋体" w:hAnsi="宋体" w:eastAsia="宋体" w:cs="宋体"/>
          <w:sz w:val="22"/>
          <w:szCs w:val="22"/>
        </w:rPr>
        <w:t>责任。其他应当保密的信息由双方在</w:t>
      </w:r>
      <w:r>
        <w:rPr>
          <w:rFonts w:hint="eastAsia" w:ascii="宋体" w:hAnsi="宋体" w:eastAsia="宋体" w:cs="宋体"/>
          <w:b/>
          <w:bCs/>
          <w:sz w:val="22"/>
          <w:szCs w:val="22"/>
        </w:rPr>
        <w:t>【政府采购合同专用条款】</w:t>
      </w:r>
      <w:r>
        <w:rPr>
          <w:rFonts w:hint="eastAsia" w:ascii="宋体" w:hAnsi="宋体" w:eastAsia="宋体" w:cs="宋体"/>
          <w:sz w:val="22"/>
          <w:szCs w:val="22"/>
        </w:rPr>
        <w:t>中约定。</w:t>
      </w:r>
    </w:p>
    <w:p w14:paraId="2E0B8238">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2</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合同价款支付</w:t>
      </w:r>
    </w:p>
    <w:p w14:paraId="7531F2E2">
      <w:pPr>
        <w:keepNext w:val="0"/>
        <w:keepLines w:val="0"/>
        <w:pageBreakBefore w:val="0"/>
        <w:kinsoku/>
        <w:wordWrap/>
        <w:overflowPunct/>
        <w:topLinePunct w:val="0"/>
        <w:autoSpaceDE/>
        <w:autoSpaceDN/>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2</w:t>
      </w:r>
      <w:r>
        <w:rPr>
          <w:rFonts w:hint="eastAsia" w:ascii="宋体" w:hAnsi="宋体" w:eastAsia="宋体" w:cs="宋体"/>
          <w:color w:val="auto"/>
          <w:sz w:val="22"/>
          <w:szCs w:val="22"/>
          <w:highlight w:val="none"/>
        </w:rPr>
        <w:t xml:space="preserve">.1 </w:t>
      </w:r>
      <w:r>
        <w:rPr>
          <w:rFonts w:hint="eastAsia" w:ascii="宋体" w:hAnsi="宋体" w:eastAsia="宋体" w:cs="宋体"/>
          <w:color w:val="auto"/>
          <w:sz w:val="22"/>
          <w:szCs w:val="22"/>
          <w:highlight w:val="none"/>
          <w:lang w:eastAsia="zh-CN"/>
        </w:rPr>
        <w:t>合同价款支付</w:t>
      </w:r>
      <w:r>
        <w:rPr>
          <w:rFonts w:hint="eastAsia" w:ascii="宋体" w:hAnsi="宋体" w:eastAsia="宋体" w:cs="宋体"/>
          <w:color w:val="auto"/>
          <w:sz w:val="22"/>
          <w:szCs w:val="22"/>
          <w:highlight w:val="none"/>
        </w:rPr>
        <w:t>按照国库集中支付</w:t>
      </w:r>
      <w:r>
        <w:rPr>
          <w:rFonts w:hint="eastAsia" w:ascii="宋体" w:hAnsi="宋体" w:eastAsia="宋体" w:cs="宋体"/>
          <w:color w:val="auto"/>
          <w:sz w:val="22"/>
          <w:szCs w:val="22"/>
          <w:highlight w:val="none"/>
          <w:lang w:eastAsia="zh-CN"/>
        </w:rPr>
        <w:t>制度及财政管理相关</w:t>
      </w:r>
      <w:r>
        <w:rPr>
          <w:rFonts w:hint="eastAsia" w:ascii="宋体" w:hAnsi="宋体" w:eastAsia="宋体" w:cs="宋体"/>
          <w:color w:val="auto"/>
          <w:sz w:val="22"/>
          <w:szCs w:val="22"/>
          <w:highlight w:val="none"/>
        </w:rPr>
        <w:t>规定执行。</w:t>
      </w:r>
    </w:p>
    <w:p w14:paraId="04B5C669">
      <w:pPr>
        <w:keepNext w:val="0"/>
        <w:keepLines w:val="0"/>
        <w:pageBreakBefore w:val="0"/>
        <w:kinsoku/>
        <w:wordWrap/>
        <w:overflowPunct/>
        <w:topLinePunct w:val="0"/>
        <w:bidi w:val="0"/>
        <w:spacing w:before="0" w:after="0" w:line="240" w:lineRule="auto"/>
        <w:ind w:firstLine="440" w:firstLineChars="200"/>
        <w:textAlignment w:val="auto"/>
        <w:outlineLvl w:val="9"/>
        <w:rPr>
          <w:rFonts w:hint="eastAsia" w:ascii="宋体" w:hAnsi="宋体" w:eastAsia="宋体" w:cs="宋体"/>
          <w:color w:val="auto"/>
          <w:sz w:val="22"/>
          <w:szCs w:val="22"/>
          <w:highlight w:val="none"/>
          <w:lang w:eastAsia="zh-CN"/>
        </w:rPr>
      </w:pPr>
      <w:r>
        <w:rPr>
          <w:rFonts w:hint="eastAsia" w:ascii="宋体" w:hAnsi="宋体" w:eastAsia="宋体" w:cs="宋体"/>
          <w:b w:val="0"/>
          <w:bCs w:val="0"/>
          <w:color w:val="auto"/>
          <w:sz w:val="22"/>
          <w:szCs w:val="22"/>
          <w:highlight w:val="none"/>
          <w:lang w:val="en-US" w:eastAsia="zh-CN"/>
        </w:rPr>
        <w:t xml:space="preserve">12.2 </w:t>
      </w:r>
      <w:r>
        <w:rPr>
          <w:rFonts w:hint="eastAsia" w:ascii="宋体" w:hAnsi="宋体" w:eastAsia="宋体" w:cs="宋体"/>
          <w:b w:val="0"/>
          <w:bCs w:val="0"/>
          <w:color w:val="auto"/>
          <w:kern w:val="2"/>
          <w:sz w:val="22"/>
          <w:szCs w:val="22"/>
          <w:highlight w:val="none"/>
        </w:rPr>
        <w:t>对于满足合同约定支付条件的，</w:t>
      </w:r>
      <w:r>
        <w:rPr>
          <w:rFonts w:hint="eastAsia" w:ascii="宋体" w:hAnsi="宋体" w:eastAsia="宋体" w:cs="宋体"/>
          <w:b w:val="0"/>
          <w:bCs w:val="0"/>
          <w:color w:val="auto"/>
          <w:kern w:val="2"/>
          <w:sz w:val="22"/>
          <w:szCs w:val="22"/>
          <w:highlight w:val="none"/>
          <w:lang w:val="en-US" w:eastAsia="zh-CN"/>
        </w:rPr>
        <w:t>甲方</w:t>
      </w:r>
      <w:r>
        <w:rPr>
          <w:rFonts w:hint="eastAsia" w:ascii="宋体" w:hAnsi="宋体" w:eastAsia="宋体" w:cs="宋体"/>
          <w:b w:val="0"/>
          <w:bCs w:val="0"/>
          <w:i w:val="0"/>
          <w:iCs w:val="0"/>
          <w:caps w:val="0"/>
          <w:color w:val="auto"/>
          <w:spacing w:val="0"/>
          <w:sz w:val="22"/>
          <w:szCs w:val="22"/>
          <w:highlight w:val="none"/>
          <w:shd w:val="clear"/>
          <w:vertAlign w:val="baseline"/>
        </w:rPr>
        <w:t>原则上应当自收到发票后10个工作日内</w:t>
      </w:r>
      <w:r>
        <w:rPr>
          <w:rFonts w:hint="eastAsia" w:ascii="宋体" w:hAnsi="宋体" w:eastAsia="宋体" w:cs="宋体"/>
          <w:b w:val="0"/>
          <w:bCs w:val="0"/>
          <w:color w:val="auto"/>
          <w:kern w:val="2"/>
          <w:sz w:val="22"/>
          <w:szCs w:val="22"/>
          <w:highlight w:val="none"/>
        </w:rPr>
        <w:t>将资金支付到合同约定的</w:t>
      </w:r>
      <w:r>
        <w:rPr>
          <w:rFonts w:hint="eastAsia" w:ascii="宋体" w:hAnsi="宋体" w:eastAsia="宋体" w:cs="宋体"/>
          <w:b w:val="0"/>
          <w:bCs w:val="0"/>
          <w:color w:val="auto"/>
          <w:kern w:val="2"/>
          <w:sz w:val="22"/>
          <w:szCs w:val="22"/>
          <w:highlight w:val="none"/>
          <w:lang w:eastAsia="zh-CN"/>
        </w:rPr>
        <w:t>乙方</w:t>
      </w:r>
      <w:r>
        <w:rPr>
          <w:rFonts w:hint="eastAsia" w:ascii="宋体" w:hAnsi="宋体" w:eastAsia="宋体" w:cs="宋体"/>
          <w:b w:val="0"/>
          <w:bCs w:val="0"/>
          <w:color w:val="auto"/>
          <w:kern w:val="2"/>
          <w:sz w:val="22"/>
          <w:szCs w:val="22"/>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2"/>
          <w:szCs w:val="22"/>
          <w:highlight w:val="none"/>
          <w:lang w:val="en-US" w:eastAsia="zh-CN"/>
        </w:rPr>
        <w:t>乙方</w:t>
      </w:r>
      <w:r>
        <w:rPr>
          <w:rFonts w:hint="eastAsia" w:ascii="宋体" w:hAnsi="宋体" w:eastAsia="宋体" w:cs="宋体"/>
          <w:b w:val="0"/>
          <w:bCs w:val="0"/>
          <w:color w:val="auto"/>
          <w:kern w:val="2"/>
          <w:sz w:val="22"/>
          <w:szCs w:val="22"/>
          <w:highlight w:val="none"/>
        </w:rPr>
        <w:t>付款的条件。具体合同价款支付时间在【</w:t>
      </w:r>
      <w:r>
        <w:rPr>
          <w:rFonts w:hint="eastAsia" w:ascii="宋体" w:hAnsi="宋体" w:eastAsia="宋体" w:cs="宋体"/>
          <w:b/>
          <w:bCs/>
          <w:color w:val="auto"/>
          <w:kern w:val="2"/>
          <w:sz w:val="22"/>
          <w:szCs w:val="22"/>
          <w:highlight w:val="none"/>
        </w:rPr>
        <w:t>政府采购合同专用条款</w:t>
      </w:r>
      <w:r>
        <w:rPr>
          <w:rFonts w:hint="eastAsia" w:ascii="宋体" w:hAnsi="宋体" w:eastAsia="宋体" w:cs="宋体"/>
          <w:b w:val="0"/>
          <w:bCs w:val="0"/>
          <w:color w:val="auto"/>
          <w:kern w:val="2"/>
          <w:sz w:val="22"/>
          <w:szCs w:val="22"/>
          <w:highlight w:val="none"/>
        </w:rPr>
        <w:t>】中</w:t>
      </w:r>
      <w:r>
        <w:rPr>
          <w:rFonts w:hint="eastAsia" w:ascii="宋体" w:hAnsi="宋体" w:eastAsia="宋体" w:cs="宋体"/>
          <w:b w:val="0"/>
          <w:bCs w:val="0"/>
          <w:color w:val="auto"/>
          <w:kern w:val="2"/>
          <w:sz w:val="22"/>
          <w:szCs w:val="22"/>
          <w:highlight w:val="none"/>
          <w:lang w:eastAsia="zh-CN"/>
        </w:rPr>
        <w:t>约</w:t>
      </w:r>
      <w:r>
        <w:rPr>
          <w:rFonts w:hint="eastAsia" w:ascii="宋体" w:hAnsi="宋体" w:eastAsia="宋体" w:cs="宋体"/>
          <w:b w:val="0"/>
          <w:bCs w:val="0"/>
          <w:color w:val="auto"/>
          <w:kern w:val="2"/>
          <w:sz w:val="22"/>
          <w:szCs w:val="22"/>
          <w:highlight w:val="none"/>
        </w:rPr>
        <w:t>定。</w:t>
      </w:r>
    </w:p>
    <w:p w14:paraId="57130324">
      <w:pPr>
        <w:pStyle w:val="12"/>
        <w:keepNext w:val="0"/>
        <w:keepLines w:val="0"/>
        <w:pageBreakBefore w:val="0"/>
        <w:kinsoku/>
        <w:wordWrap/>
        <w:overflowPunct/>
        <w:topLinePunct w:val="0"/>
        <w:bidi w:val="0"/>
        <w:spacing w:line="240" w:lineRule="auto"/>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3</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履约保证金</w:t>
      </w:r>
    </w:p>
    <w:p w14:paraId="16046389">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3</w:t>
      </w:r>
      <w:r>
        <w:rPr>
          <w:rFonts w:hint="eastAsia" w:ascii="宋体" w:hAnsi="宋体" w:eastAsia="宋体" w:cs="宋体"/>
          <w:color w:val="auto"/>
          <w:sz w:val="22"/>
          <w:szCs w:val="22"/>
          <w:highlight w:val="none"/>
        </w:rPr>
        <w:t xml:space="preserve">.1 </w:t>
      </w:r>
      <w:r>
        <w:rPr>
          <w:rFonts w:hint="eastAsia" w:ascii="宋体" w:hAnsi="宋体" w:eastAsia="宋体" w:cs="宋体"/>
          <w:sz w:val="22"/>
          <w:szCs w:val="22"/>
        </w:rPr>
        <w:t>乙方应当以支票、汇票、本票或者金融机构、担保机构出具的保函等非现金形式提交。</w:t>
      </w:r>
    </w:p>
    <w:p w14:paraId="6A646AA8">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3</w:t>
      </w:r>
      <w:r>
        <w:rPr>
          <w:rFonts w:hint="eastAsia" w:ascii="宋体" w:hAnsi="宋体" w:eastAsia="宋体" w:cs="宋体"/>
          <w:color w:val="auto"/>
          <w:sz w:val="22"/>
          <w:szCs w:val="22"/>
          <w:highlight w:val="none"/>
        </w:rPr>
        <w:t>.2 如果乙方</w:t>
      </w:r>
      <w:r>
        <w:rPr>
          <w:rFonts w:hint="eastAsia" w:ascii="宋体" w:hAnsi="宋体" w:eastAsia="宋体" w:cs="宋体"/>
          <w:color w:val="auto"/>
          <w:sz w:val="22"/>
          <w:szCs w:val="22"/>
          <w:highlight w:val="none"/>
          <w:lang w:eastAsia="zh-CN"/>
        </w:rPr>
        <w:t>出现</w:t>
      </w:r>
      <w:r>
        <w:rPr>
          <w:rFonts w:hint="eastAsia" w:ascii="宋体" w:hAnsi="宋体" w:eastAsia="宋体" w:cs="宋体"/>
          <w:b/>
          <w:bCs/>
          <w:sz w:val="22"/>
          <w:szCs w:val="22"/>
          <w:highlight w:val="none"/>
        </w:rPr>
        <w:t>【政府采购合同专用条款】</w:t>
      </w:r>
      <w:r>
        <w:rPr>
          <w:rFonts w:hint="eastAsia" w:ascii="宋体" w:hAnsi="宋体" w:eastAsia="宋体" w:cs="宋体"/>
          <w:b w:val="0"/>
          <w:bCs w:val="0"/>
          <w:sz w:val="22"/>
          <w:szCs w:val="22"/>
          <w:highlight w:val="none"/>
          <w:lang w:eastAsia="zh-CN"/>
        </w:rPr>
        <w:t>约定</w:t>
      </w:r>
      <w:r>
        <w:rPr>
          <w:rFonts w:hint="eastAsia" w:ascii="宋体" w:hAnsi="宋体" w:eastAsia="宋体" w:cs="宋体"/>
          <w:b w:val="0"/>
          <w:bCs w:val="0"/>
          <w:sz w:val="22"/>
          <w:szCs w:val="22"/>
          <w:lang w:eastAsia="zh-CN"/>
        </w:rPr>
        <w:t>情形的</w:t>
      </w:r>
      <w:r>
        <w:rPr>
          <w:rFonts w:hint="eastAsia" w:ascii="宋体" w:hAnsi="宋体" w:eastAsia="宋体" w:cs="宋体"/>
          <w:color w:val="auto"/>
          <w:sz w:val="22"/>
          <w:szCs w:val="22"/>
          <w:highlight w:val="none"/>
        </w:rPr>
        <w:t>，履约保证金不予退还；如果乙方未能按合同约定全面履行义务，甲方有权从履约保证金中取得补偿或赔偿，</w:t>
      </w:r>
      <w:r>
        <w:rPr>
          <w:rFonts w:hint="eastAsia" w:ascii="宋体" w:hAnsi="宋体" w:eastAsia="宋体" w:cs="宋体"/>
          <w:color w:val="auto"/>
          <w:sz w:val="22"/>
          <w:szCs w:val="22"/>
          <w:highlight w:val="none"/>
          <w:lang w:eastAsia="zh-CN"/>
        </w:rPr>
        <w:t>且</w:t>
      </w:r>
      <w:r>
        <w:rPr>
          <w:rFonts w:hint="eastAsia" w:ascii="宋体" w:hAnsi="宋体" w:eastAsia="宋体" w:cs="宋体"/>
          <w:color w:val="auto"/>
          <w:sz w:val="22"/>
          <w:szCs w:val="22"/>
          <w:highlight w:val="none"/>
        </w:rPr>
        <w:t>不影响甲方要求乙方承担合同约定的超过履约保证金的违约责任的权利。</w:t>
      </w:r>
    </w:p>
    <w:p w14:paraId="4305D79F">
      <w:pPr>
        <w:keepNext w:val="0"/>
        <w:keepLines w:val="0"/>
        <w:pageBreakBefore w:val="0"/>
        <w:kinsoku/>
        <w:wordWrap/>
        <w:overflowPunct/>
        <w:topLinePunct w:val="0"/>
        <w:bidi w:val="0"/>
        <w:spacing w:line="240" w:lineRule="auto"/>
        <w:ind w:firstLine="42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3</w:t>
      </w:r>
      <w:r>
        <w:rPr>
          <w:rFonts w:hint="eastAsia" w:ascii="宋体" w:hAnsi="宋体" w:eastAsia="宋体" w:cs="宋体"/>
          <w:color w:val="auto"/>
          <w:sz w:val="22"/>
          <w:szCs w:val="22"/>
          <w:highlight w:val="none"/>
        </w:rPr>
        <w:t>.3 甲方在项目通过验收后按照</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规定的时间内将履约保证金退还乙方；逾期退还的，乙方可要求甲方支付违约金，违约金按照</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规定支付。</w:t>
      </w:r>
    </w:p>
    <w:p w14:paraId="0AD8329B">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4</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color w:val="auto"/>
          <w:sz w:val="22"/>
          <w:szCs w:val="22"/>
          <w:highlight w:val="none"/>
        </w:rPr>
        <w:t>售后服务</w:t>
      </w:r>
    </w:p>
    <w:p w14:paraId="0032246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4</w:t>
      </w:r>
      <w:r>
        <w:rPr>
          <w:rFonts w:hint="eastAsia" w:ascii="宋体" w:hAnsi="宋体" w:eastAsia="宋体" w:cs="宋体"/>
          <w:color w:val="auto"/>
          <w:sz w:val="22"/>
          <w:szCs w:val="22"/>
          <w:highlight w:val="none"/>
        </w:rPr>
        <w:t>.1 除项目不涉及或采购活动中明确约定无须承担外，乙方还应提供下列服务：</w:t>
      </w:r>
    </w:p>
    <w:p w14:paraId="5B805E54">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（1）货物的现场移动、安装、调试、启动监督及技术支持；</w:t>
      </w:r>
    </w:p>
    <w:p w14:paraId="13187F3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（2）提供货物组装和维修所需的专用工具和辅助材料；</w:t>
      </w:r>
    </w:p>
    <w:p w14:paraId="0B98F10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（3）在</w:t>
      </w:r>
      <w:r>
        <w:rPr>
          <w:rFonts w:hint="eastAsia" w:ascii="宋体" w:hAnsi="宋体" w:eastAsia="宋体" w:cs="宋体"/>
          <w:b/>
          <w:bCs/>
          <w:sz w:val="22"/>
          <w:szCs w:val="22"/>
          <w:highlight w:val="none"/>
        </w:rPr>
        <w:t>【政府采购合同专用条款】</w:t>
      </w:r>
      <w:r>
        <w:rPr>
          <w:rFonts w:hint="eastAsia" w:ascii="宋体" w:hAnsi="宋体" w:eastAsia="宋体" w:cs="宋体"/>
          <w:color w:val="auto"/>
          <w:sz w:val="22"/>
          <w:szCs w:val="22"/>
          <w:highlight w:val="none"/>
          <w:lang w:eastAsia="zh-CN"/>
        </w:rPr>
        <w:t>约定</w:t>
      </w:r>
      <w:r>
        <w:rPr>
          <w:rFonts w:hint="eastAsia" w:ascii="宋体" w:hAnsi="宋体" w:eastAsia="宋体" w:cs="宋体"/>
          <w:color w:val="auto"/>
          <w:sz w:val="22"/>
          <w:szCs w:val="22"/>
          <w:highlight w:val="none"/>
        </w:rPr>
        <w:t>的期限内对所有的货物实施运行监督、维修，但前提条件是该服务并不能免除乙方在质量保证期内所承担的义务；</w:t>
      </w:r>
    </w:p>
    <w:p w14:paraId="3CCD208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（4）在制造商</w:t>
      </w:r>
      <w:r>
        <w:rPr>
          <w:rFonts w:hint="eastAsia" w:ascii="宋体" w:hAnsi="宋体" w:eastAsia="宋体" w:cs="宋体"/>
          <w:color w:val="auto"/>
          <w:sz w:val="22"/>
          <w:szCs w:val="22"/>
          <w:highlight w:val="none"/>
          <w:lang w:eastAsia="zh-CN"/>
        </w:rPr>
        <w:t>所在地</w:t>
      </w:r>
      <w:r>
        <w:rPr>
          <w:rFonts w:hint="eastAsia" w:ascii="宋体" w:hAnsi="宋体" w:eastAsia="宋体" w:cs="宋体"/>
          <w:color w:val="auto"/>
          <w:sz w:val="22"/>
          <w:szCs w:val="22"/>
          <w:highlight w:val="none"/>
        </w:rPr>
        <w:t>或</w:t>
      </w:r>
      <w:r>
        <w:rPr>
          <w:rFonts w:hint="eastAsia" w:ascii="宋体" w:hAnsi="宋体" w:eastAsia="宋体" w:cs="宋体"/>
          <w:color w:val="auto"/>
          <w:sz w:val="22"/>
          <w:szCs w:val="22"/>
          <w:highlight w:val="none"/>
          <w:lang w:eastAsia="zh-CN"/>
        </w:rPr>
        <w:t>指定</w:t>
      </w:r>
      <w:r>
        <w:rPr>
          <w:rFonts w:hint="eastAsia" w:ascii="宋体" w:hAnsi="宋体" w:eastAsia="宋体" w:cs="宋体"/>
          <w:color w:val="auto"/>
          <w:sz w:val="22"/>
          <w:szCs w:val="22"/>
          <w:highlight w:val="none"/>
        </w:rPr>
        <w:t>现场就货物的安装、启动、运营、维护</w:t>
      </w:r>
      <w:r>
        <w:rPr>
          <w:rFonts w:hint="eastAsia" w:ascii="宋体" w:hAnsi="宋体" w:eastAsia="宋体" w:cs="宋体"/>
          <w:color w:val="auto"/>
          <w:sz w:val="22"/>
          <w:szCs w:val="22"/>
          <w:highlight w:val="none"/>
          <w:lang w:eastAsia="zh-CN"/>
        </w:rPr>
        <w:t>、废弃处置等</w:t>
      </w:r>
      <w:r>
        <w:rPr>
          <w:rFonts w:hint="eastAsia" w:ascii="宋体" w:hAnsi="宋体" w:eastAsia="宋体" w:cs="宋体"/>
          <w:color w:val="auto"/>
          <w:sz w:val="22"/>
          <w:szCs w:val="22"/>
          <w:highlight w:val="none"/>
        </w:rPr>
        <w:t>对甲方操作人员进行培训</w:t>
      </w:r>
      <w:r>
        <w:rPr>
          <w:rFonts w:hint="eastAsia" w:ascii="宋体" w:hAnsi="宋体" w:eastAsia="宋体" w:cs="宋体"/>
          <w:sz w:val="22"/>
          <w:szCs w:val="22"/>
          <w:lang w:eastAsia="zh-CN"/>
        </w:rPr>
        <w:t>；</w:t>
      </w:r>
    </w:p>
    <w:p w14:paraId="2D6FCFB1">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（5）依照法律、行政法规的规定或者按照</w:t>
      </w:r>
      <w:r>
        <w:rPr>
          <w:rFonts w:hint="eastAsia" w:ascii="宋体" w:hAnsi="宋体" w:eastAsia="宋体" w:cs="宋体"/>
          <w:b/>
          <w:bCs/>
          <w:sz w:val="22"/>
          <w:szCs w:val="22"/>
        </w:rPr>
        <w:t>【政府采购合同专用条款】</w:t>
      </w:r>
      <w:r>
        <w:rPr>
          <w:rFonts w:hint="eastAsia" w:ascii="宋体" w:hAnsi="宋体" w:eastAsia="宋体" w:cs="宋体"/>
          <w:sz w:val="22"/>
          <w:szCs w:val="22"/>
        </w:rPr>
        <w:t>约定，货物在有效使用年限届满后应予回收的，乙方负有自行或者委托第三人对货物予以回收的义务；</w:t>
      </w:r>
    </w:p>
    <w:p w14:paraId="3C9345B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规定由乙方提供的其他服务。</w:t>
      </w:r>
    </w:p>
    <w:p w14:paraId="1899D04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.2 乙方提供的</w:t>
      </w:r>
      <w:r>
        <w:rPr>
          <w:rFonts w:hint="eastAsia" w:ascii="宋体" w:hAnsi="宋体" w:eastAsia="宋体" w:cs="宋体"/>
          <w:color w:val="auto"/>
          <w:sz w:val="22"/>
          <w:szCs w:val="22"/>
          <w:highlight w:val="none"/>
          <w:lang w:eastAsia="zh-CN"/>
        </w:rPr>
        <w:t>售后</w:t>
      </w:r>
      <w:r>
        <w:rPr>
          <w:rFonts w:hint="eastAsia" w:ascii="宋体" w:hAnsi="宋体" w:eastAsia="宋体" w:cs="宋体"/>
          <w:color w:val="auto"/>
          <w:sz w:val="22"/>
          <w:szCs w:val="22"/>
          <w:highlight w:val="none"/>
        </w:rPr>
        <w:t>服务的费用</w:t>
      </w:r>
      <w:r>
        <w:rPr>
          <w:rFonts w:hint="eastAsia" w:ascii="宋体" w:hAnsi="宋体" w:eastAsia="宋体" w:cs="宋体"/>
          <w:color w:val="auto"/>
          <w:sz w:val="22"/>
          <w:szCs w:val="22"/>
          <w:highlight w:val="none"/>
          <w:lang w:val="en-US" w:eastAsia="zh-CN"/>
        </w:rPr>
        <w:t>已</w:t>
      </w:r>
      <w:r>
        <w:rPr>
          <w:rFonts w:hint="eastAsia" w:ascii="宋体" w:hAnsi="宋体" w:eastAsia="宋体" w:cs="宋体"/>
          <w:color w:val="auto"/>
          <w:sz w:val="22"/>
          <w:szCs w:val="22"/>
          <w:highlight w:val="none"/>
        </w:rPr>
        <w:t>包含在合同价款中，甲方不再另行支付。</w:t>
      </w:r>
    </w:p>
    <w:p w14:paraId="6EE4DC02">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5</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违约责任</w:t>
      </w:r>
    </w:p>
    <w:p w14:paraId="5F2C81DB">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w:t>
      </w:r>
      <w:r>
        <w:rPr>
          <w:rFonts w:hint="eastAsia" w:ascii="宋体" w:hAnsi="宋体" w:eastAsia="宋体" w:cs="宋体"/>
          <w:bCs/>
          <w:color w:val="auto"/>
          <w:sz w:val="22"/>
          <w:szCs w:val="22"/>
          <w:highlight w:val="none"/>
          <w:lang w:eastAsia="zh-CN"/>
        </w:rPr>
        <w:t>5</w:t>
      </w:r>
      <w:r>
        <w:rPr>
          <w:rFonts w:hint="eastAsia" w:ascii="宋体" w:hAnsi="宋体" w:eastAsia="宋体" w:cs="宋体"/>
          <w:bCs/>
          <w:color w:val="auto"/>
          <w:sz w:val="22"/>
          <w:szCs w:val="22"/>
          <w:highlight w:val="none"/>
        </w:rPr>
        <w:t>.1质量瑕疵的</w:t>
      </w:r>
      <w:r>
        <w:rPr>
          <w:rFonts w:hint="eastAsia" w:ascii="宋体" w:hAnsi="宋体" w:eastAsia="宋体" w:cs="宋体"/>
          <w:bCs/>
          <w:color w:val="auto"/>
          <w:sz w:val="22"/>
          <w:szCs w:val="22"/>
          <w:highlight w:val="none"/>
          <w:lang w:eastAsia="zh-CN"/>
        </w:rPr>
        <w:t>违约责任</w:t>
      </w:r>
    </w:p>
    <w:p w14:paraId="61C9C432">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的产品不符合</w:t>
      </w:r>
      <w:r>
        <w:rPr>
          <w:rFonts w:hint="eastAsia" w:ascii="宋体" w:hAnsi="宋体" w:eastAsia="宋体" w:cs="宋体"/>
          <w:color w:val="auto"/>
          <w:sz w:val="22"/>
          <w:szCs w:val="22"/>
          <w:highlight w:val="none"/>
          <w:lang w:eastAsia="zh-CN"/>
        </w:rPr>
        <w:t>合同约定的</w:t>
      </w:r>
      <w:r>
        <w:rPr>
          <w:rFonts w:hint="eastAsia" w:ascii="宋体" w:hAnsi="宋体" w:eastAsia="宋体" w:cs="宋体"/>
          <w:color w:val="auto"/>
          <w:sz w:val="22"/>
          <w:szCs w:val="22"/>
          <w:highlight w:val="none"/>
        </w:rPr>
        <w:t>质量标准或存在产品质量缺陷，</w:t>
      </w:r>
      <w:r>
        <w:rPr>
          <w:rFonts w:hint="eastAsia" w:ascii="宋体" w:hAnsi="宋体" w:eastAsia="宋体" w:cs="宋体"/>
          <w:color w:val="auto"/>
          <w:sz w:val="22"/>
          <w:szCs w:val="22"/>
          <w:highlight w:val="none"/>
          <w:lang w:eastAsia="zh-CN"/>
        </w:rPr>
        <w:t>甲方有权要求乙方根据</w:t>
      </w:r>
      <w:r>
        <w:rPr>
          <w:rFonts w:hint="eastAsia" w:ascii="宋体" w:hAnsi="宋体" w:eastAsia="宋体" w:cs="宋体"/>
          <w:b/>
          <w:color w:val="auto"/>
          <w:sz w:val="22"/>
          <w:szCs w:val="22"/>
          <w:highlight w:val="none"/>
        </w:rPr>
        <w:t>【政府采购合同专用条款】</w:t>
      </w:r>
      <w:r>
        <w:rPr>
          <w:rFonts w:hint="eastAsia" w:ascii="宋体" w:hAnsi="宋体" w:eastAsia="宋体" w:cs="宋体"/>
          <w:b w:val="0"/>
          <w:bCs/>
          <w:color w:val="auto"/>
          <w:sz w:val="22"/>
          <w:szCs w:val="22"/>
          <w:highlight w:val="none"/>
          <w:lang w:eastAsia="zh-CN"/>
        </w:rPr>
        <w:t>要求</w:t>
      </w:r>
      <w:r>
        <w:rPr>
          <w:rFonts w:hint="eastAsia" w:ascii="宋体" w:hAnsi="宋体" w:eastAsia="宋体" w:cs="宋体"/>
          <w:color w:val="auto"/>
          <w:sz w:val="22"/>
          <w:szCs w:val="22"/>
          <w:highlight w:val="none"/>
          <w:lang w:eastAsia="zh-CN"/>
        </w:rPr>
        <w:t>及时修理、重作、更换，并承担由此给甲</w:t>
      </w:r>
      <w:r>
        <w:rPr>
          <w:rFonts w:hint="eastAsia" w:ascii="宋体" w:hAnsi="宋体" w:eastAsia="宋体" w:cs="宋体"/>
          <w:color w:val="auto"/>
          <w:sz w:val="22"/>
          <w:szCs w:val="22"/>
          <w:highlight w:val="none"/>
        </w:rPr>
        <w:t>方</w:t>
      </w:r>
      <w:r>
        <w:rPr>
          <w:rFonts w:hint="eastAsia" w:ascii="宋体" w:hAnsi="宋体" w:eastAsia="宋体" w:cs="宋体"/>
          <w:color w:val="auto"/>
          <w:sz w:val="22"/>
          <w:szCs w:val="22"/>
          <w:highlight w:val="none"/>
          <w:lang w:eastAsia="zh-CN"/>
        </w:rPr>
        <w:t>造成的损失</w:t>
      </w:r>
      <w:r>
        <w:rPr>
          <w:rFonts w:hint="eastAsia" w:ascii="宋体" w:hAnsi="宋体" w:eastAsia="宋体" w:cs="宋体"/>
          <w:color w:val="auto"/>
          <w:sz w:val="22"/>
          <w:szCs w:val="22"/>
          <w:highlight w:val="none"/>
        </w:rPr>
        <w:t>。</w:t>
      </w:r>
    </w:p>
    <w:p w14:paraId="7E96159F">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w:t>
      </w:r>
      <w:r>
        <w:rPr>
          <w:rFonts w:hint="eastAsia" w:ascii="宋体" w:hAnsi="宋体" w:eastAsia="宋体" w:cs="宋体"/>
          <w:bCs/>
          <w:color w:val="auto"/>
          <w:sz w:val="22"/>
          <w:szCs w:val="22"/>
          <w:highlight w:val="none"/>
          <w:lang w:eastAsia="zh-CN"/>
        </w:rPr>
        <w:t>5</w:t>
      </w:r>
      <w:r>
        <w:rPr>
          <w:rFonts w:hint="eastAsia" w:ascii="宋体" w:hAnsi="宋体" w:eastAsia="宋体" w:cs="宋体"/>
          <w:bCs/>
          <w:color w:val="auto"/>
          <w:sz w:val="22"/>
          <w:szCs w:val="22"/>
          <w:highlight w:val="none"/>
        </w:rPr>
        <w:t>.2 迟延交货的违约责任</w:t>
      </w:r>
    </w:p>
    <w:p w14:paraId="27CA0D7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（1）乙方应按照本合同规定的时间、地点交货和提供</w:t>
      </w:r>
      <w:r>
        <w:rPr>
          <w:rFonts w:hint="eastAsia" w:ascii="宋体" w:hAnsi="宋体" w:eastAsia="宋体" w:cs="宋体"/>
          <w:color w:val="auto"/>
          <w:sz w:val="22"/>
          <w:szCs w:val="22"/>
          <w:highlight w:val="none"/>
          <w:lang w:eastAsia="zh-CN"/>
        </w:rPr>
        <w:t>相关</w:t>
      </w:r>
      <w:r>
        <w:rPr>
          <w:rFonts w:hint="eastAsia" w:ascii="宋体" w:hAnsi="宋体" w:eastAsia="宋体" w:cs="宋体"/>
          <w:color w:val="auto"/>
          <w:sz w:val="22"/>
          <w:szCs w:val="22"/>
          <w:highlight w:val="none"/>
        </w:rPr>
        <w:t>服务。在履行合同过程中，如果乙方遇到可能</w:t>
      </w:r>
      <w:r>
        <w:rPr>
          <w:rFonts w:hint="eastAsia" w:ascii="宋体" w:hAnsi="宋体" w:eastAsia="宋体" w:cs="宋体"/>
          <w:color w:val="auto"/>
          <w:sz w:val="22"/>
          <w:szCs w:val="22"/>
          <w:highlight w:val="none"/>
          <w:lang w:eastAsia="zh-CN"/>
        </w:rPr>
        <w:t>影响</w:t>
      </w:r>
      <w:r>
        <w:rPr>
          <w:rFonts w:hint="eastAsia" w:ascii="宋体" w:hAnsi="宋体" w:eastAsia="宋体" w:cs="宋体"/>
          <w:color w:val="auto"/>
          <w:sz w:val="22"/>
          <w:szCs w:val="22"/>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2"/>
          <w:szCs w:val="22"/>
          <w:highlight w:val="none"/>
          <w:lang w:eastAsia="zh-CN"/>
        </w:rPr>
        <w:t>长</w:t>
      </w:r>
      <w:r>
        <w:rPr>
          <w:rFonts w:hint="eastAsia" w:ascii="宋体" w:hAnsi="宋体" w:eastAsia="宋体" w:cs="宋体"/>
          <w:color w:val="auto"/>
          <w:sz w:val="22"/>
          <w:szCs w:val="22"/>
          <w:highlight w:val="none"/>
        </w:rPr>
        <w:t>交货时间或延期提供服务。</w:t>
      </w:r>
    </w:p>
    <w:p w14:paraId="4DE4A88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（2）如果乙方没有按照合同规定的时间交货和提供</w:t>
      </w:r>
      <w:r>
        <w:rPr>
          <w:rFonts w:hint="eastAsia" w:ascii="宋体" w:hAnsi="宋体" w:eastAsia="宋体" w:cs="宋体"/>
          <w:color w:val="auto"/>
          <w:sz w:val="22"/>
          <w:szCs w:val="22"/>
          <w:highlight w:val="none"/>
          <w:lang w:eastAsia="zh-CN"/>
        </w:rPr>
        <w:t>相关</w:t>
      </w:r>
      <w:r>
        <w:rPr>
          <w:rFonts w:hint="eastAsia" w:ascii="宋体" w:hAnsi="宋体" w:eastAsia="宋体" w:cs="宋体"/>
          <w:color w:val="auto"/>
          <w:sz w:val="22"/>
          <w:szCs w:val="22"/>
          <w:highlight w:val="none"/>
        </w:rPr>
        <w:t>服务，甲方有权从货款中扣除误期赔偿费而不影响合同项下的其他补救方法，赔偿费按</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规定执行。如果涉及公共利益，且赔偿金额无法弥补公共利益损失，</w:t>
      </w:r>
      <w:r>
        <w:rPr>
          <w:rFonts w:hint="eastAsia" w:ascii="宋体" w:hAnsi="宋体" w:eastAsia="宋体" w:cs="宋体"/>
          <w:color w:val="auto"/>
          <w:sz w:val="22"/>
          <w:szCs w:val="22"/>
          <w:highlight w:val="none"/>
          <w:lang w:eastAsia="zh-CN"/>
        </w:rPr>
        <w:t>甲方</w:t>
      </w:r>
      <w:r>
        <w:rPr>
          <w:rFonts w:hint="eastAsia" w:ascii="宋体" w:hAnsi="宋体" w:eastAsia="宋体" w:cs="宋体"/>
          <w:color w:val="auto"/>
          <w:sz w:val="22"/>
          <w:szCs w:val="22"/>
          <w:highlight w:val="none"/>
        </w:rPr>
        <w:t>可要求继续履行或者</w:t>
      </w:r>
      <w:r>
        <w:rPr>
          <w:rFonts w:hint="eastAsia" w:ascii="宋体" w:hAnsi="宋体" w:eastAsia="宋体" w:cs="宋体"/>
          <w:color w:val="auto"/>
          <w:sz w:val="22"/>
          <w:szCs w:val="22"/>
          <w:highlight w:val="none"/>
          <w:lang w:eastAsia="zh-CN"/>
        </w:rPr>
        <w:t>采取其他补救措施</w:t>
      </w:r>
      <w:r>
        <w:rPr>
          <w:rFonts w:hint="eastAsia" w:ascii="宋体" w:hAnsi="宋体" w:eastAsia="宋体" w:cs="宋体"/>
          <w:color w:val="auto"/>
          <w:sz w:val="22"/>
          <w:szCs w:val="22"/>
          <w:highlight w:val="none"/>
        </w:rPr>
        <w:t>。</w:t>
      </w:r>
    </w:p>
    <w:p w14:paraId="77FDB52B">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5</w:t>
      </w:r>
      <w:r>
        <w:rPr>
          <w:rFonts w:hint="eastAsia" w:ascii="宋体" w:hAnsi="宋体" w:eastAsia="宋体" w:cs="宋体"/>
          <w:color w:val="auto"/>
          <w:sz w:val="22"/>
          <w:szCs w:val="22"/>
          <w:highlight w:val="none"/>
        </w:rPr>
        <w:t>.3 迟延支付的违约责任</w:t>
      </w:r>
    </w:p>
    <w:p w14:paraId="668963EC">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甲方存在迟延支付乙方合同款项的，应当承担</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color w:val="auto"/>
          <w:sz w:val="22"/>
          <w:szCs w:val="22"/>
          <w:highlight w:val="none"/>
        </w:rPr>
        <w:t>规定的逾期付款利息。</w:t>
      </w:r>
    </w:p>
    <w:p w14:paraId="76E0F25C">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1</w:t>
      </w:r>
      <w:r>
        <w:rPr>
          <w:rFonts w:hint="eastAsia" w:ascii="宋体" w:hAnsi="宋体" w:eastAsia="宋体" w:cs="宋体"/>
          <w:bCs/>
          <w:color w:val="auto"/>
          <w:sz w:val="22"/>
          <w:szCs w:val="22"/>
          <w:highlight w:val="none"/>
          <w:lang w:eastAsia="zh-CN"/>
        </w:rPr>
        <w:t>5</w:t>
      </w:r>
      <w:r>
        <w:rPr>
          <w:rFonts w:hint="eastAsia" w:ascii="宋体" w:hAnsi="宋体" w:eastAsia="宋体" w:cs="宋体"/>
          <w:bCs/>
          <w:color w:val="auto"/>
          <w:sz w:val="22"/>
          <w:szCs w:val="22"/>
          <w:highlight w:val="none"/>
        </w:rPr>
        <w:t>.4其他违约责任根据项目实际需要按</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color w:val="auto"/>
          <w:sz w:val="22"/>
          <w:szCs w:val="22"/>
          <w:highlight w:val="none"/>
        </w:rPr>
        <w:t>规定执行。</w:t>
      </w:r>
    </w:p>
    <w:p w14:paraId="41087A3F">
      <w:pPr>
        <w:keepNext w:val="0"/>
        <w:keepLines w:val="0"/>
        <w:pageBreakBefore w:val="0"/>
        <w:numPr>
          <w:ilvl w:val="0"/>
          <w:numId w:val="12"/>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合同变更</w:t>
      </w:r>
      <w:r>
        <w:rPr>
          <w:rFonts w:hint="eastAsia" w:ascii="宋体" w:hAnsi="宋体" w:eastAsia="宋体" w:cs="宋体"/>
          <w:b/>
          <w:color w:val="auto"/>
          <w:sz w:val="22"/>
          <w:szCs w:val="22"/>
          <w:highlight w:val="none"/>
          <w:lang w:eastAsia="zh-CN"/>
        </w:rPr>
        <w:t>、中止与终止</w:t>
      </w:r>
    </w:p>
    <w:p w14:paraId="3245D38F">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.1合同的</w:t>
      </w:r>
      <w:r>
        <w:rPr>
          <w:rFonts w:hint="eastAsia" w:ascii="宋体" w:hAnsi="宋体" w:eastAsia="宋体" w:cs="宋体"/>
          <w:color w:val="auto"/>
          <w:sz w:val="22"/>
          <w:szCs w:val="22"/>
          <w:highlight w:val="none"/>
          <w:lang w:eastAsia="zh-CN"/>
        </w:rPr>
        <w:t>变更</w:t>
      </w:r>
    </w:p>
    <w:p w14:paraId="2B7CC23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政府采购合同履行中，</w:t>
      </w:r>
      <w:r>
        <w:rPr>
          <w:rFonts w:hint="eastAsia" w:ascii="宋体" w:hAnsi="宋体" w:eastAsia="宋体" w:cs="宋体"/>
          <w:color w:val="auto"/>
          <w:sz w:val="22"/>
          <w:szCs w:val="22"/>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2"/>
          <w:szCs w:val="22"/>
          <w:highlight w:val="none"/>
          <w:lang w:eastAsia="zh-CN"/>
        </w:rPr>
        <w:t>一致后</w:t>
      </w:r>
      <w:r>
        <w:rPr>
          <w:rFonts w:hint="eastAsia" w:ascii="宋体" w:hAnsi="宋体" w:eastAsia="宋体" w:cs="宋体"/>
          <w:color w:val="auto"/>
          <w:sz w:val="22"/>
          <w:szCs w:val="22"/>
          <w:highlight w:val="none"/>
        </w:rPr>
        <w:t>签订补充协议。</w:t>
      </w:r>
    </w:p>
    <w:p w14:paraId="3B995392">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合同的中止</w:t>
      </w:r>
    </w:p>
    <w:p w14:paraId="4BDF88A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（1）合同履行过程中因</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就采购文件、采购过程或结果提起投诉的，甲方认为有必要的，</w:t>
      </w:r>
      <w:r>
        <w:rPr>
          <w:rFonts w:hint="eastAsia" w:ascii="宋体" w:hAnsi="宋体" w:eastAsia="宋体" w:cs="宋体"/>
          <w:color w:val="auto"/>
          <w:sz w:val="22"/>
          <w:szCs w:val="22"/>
          <w:highlight w:val="none"/>
          <w:lang w:eastAsia="zh-CN"/>
        </w:rPr>
        <w:t>可以</w:t>
      </w:r>
      <w:r>
        <w:rPr>
          <w:rFonts w:hint="eastAsia" w:ascii="宋体" w:hAnsi="宋体" w:eastAsia="宋体" w:cs="宋体"/>
          <w:color w:val="auto"/>
          <w:sz w:val="22"/>
          <w:szCs w:val="22"/>
          <w:highlight w:val="none"/>
        </w:rPr>
        <w:t>中止合同的履行。</w:t>
      </w:r>
    </w:p>
    <w:p w14:paraId="1DDF663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合同履行过程中，</w:t>
      </w:r>
      <w:r>
        <w:rPr>
          <w:rFonts w:hint="eastAsia" w:ascii="宋体" w:hAnsi="宋体" w:eastAsia="宋体" w:cs="宋体"/>
          <w:color w:val="auto"/>
          <w:sz w:val="22"/>
          <w:szCs w:val="22"/>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2"/>
          <w:szCs w:val="22"/>
          <w:highlight w:val="none"/>
          <w:lang w:eastAsia="zh-CN"/>
        </w:rPr>
        <w:t>，乙方有义务及时告知甲方</w:t>
      </w:r>
      <w:r>
        <w:rPr>
          <w:rFonts w:hint="eastAsia" w:ascii="宋体" w:hAnsi="宋体" w:eastAsia="宋体" w:cs="宋体"/>
          <w:color w:val="auto"/>
          <w:sz w:val="22"/>
          <w:szCs w:val="22"/>
          <w:highlight w:val="none"/>
        </w:rPr>
        <w:t>。甲方</w:t>
      </w:r>
      <w:r>
        <w:rPr>
          <w:rFonts w:hint="eastAsia" w:ascii="宋体" w:hAnsi="宋体" w:eastAsia="宋体" w:cs="宋体"/>
          <w:color w:val="auto"/>
          <w:sz w:val="22"/>
          <w:szCs w:val="22"/>
          <w:highlight w:val="none"/>
          <w:lang w:eastAsia="zh-CN"/>
        </w:rPr>
        <w:t>有权</w:t>
      </w:r>
      <w:r>
        <w:rPr>
          <w:rFonts w:hint="eastAsia" w:ascii="宋体" w:hAnsi="宋体" w:eastAsia="宋体" w:cs="宋体"/>
          <w:color w:val="auto"/>
          <w:sz w:val="22"/>
          <w:szCs w:val="22"/>
          <w:highlight w:val="none"/>
        </w:rPr>
        <w:t>以书面形式通知乙方中止合同</w:t>
      </w:r>
      <w:r>
        <w:rPr>
          <w:rFonts w:hint="eastAsia" w:ascii="宋体" w:hAnsi="宋体" w:eastAsia="宋体" w:cs="宋体"/>
          <w:color w:val="auto"/>
          <w:sz w:val="22"/>
          <w:szCs w:val="22"/>
          <w:highlight w:val="none"/>
          <w:lang w:eastAsia="zh-CN"/>
        </w:rPr>
        <w:t>并要求乙方在合理期限内消除相关情形或者提供适当担保。</w:t>
      </w:r>
      <w:r>
        <w:rPr>
          <w:rFonts w:hint="eastAsia" w:ascii="宋体" w:hAnsi="宋体" w:eastAsia="宋体" w:cs="宋体"/>
          <w:color w:val="auto"/>
          <w:sz w:val="22"/>
          <w:szCs w:val="22"/>
          <w:highlight w:val="none"/>
        </w:rPr>
        <w:t>乙方提供适当担保的，</w:t>
      </w:r>
      <w:r>
        <w:rPr>
          <w:rFonts w:hint="eastAsia" w:ascii="宋体" w:hAnsi="宋体" w:eastAsia="宋体" w:cs="宋体"/>
          <w:color w:val="auto"/>
          <w:sz w:val="22"/>
          <w:szCs w:val="22"/>
          <w:highlight w:val="none"/>
          <w:lang w:eastAsia="zh-CN"/>
        </w:rPr>
        <w:t>合同继续</w:t>
      </w:r>
      <w:r>
        <w:rPr>
          <w:rFonts w:hint="eastAsia" w:ascii="宋体" w:hAnsi="宋体" w:eastAsia="宋体" w:cs="宋体"/>
          <w:color w:val="auto"/>
          <w:sz w:val="22"/>
          <w:szCs w:val="22"/>
          <w:highlight w:val="none"/>
        </w:rPr>
        <w:t>履行</w:t>
      </w:r>
      <w:r>
        <w:rPr>
          <w:rFonts w:hint="eastAsia" w:ascii="宋体" w:hAnsi="宋体" w:eastAsia="宋体" w:cs="宋体"/>
          <w:color w:val="auto"/>
          <w:sz w:val="22"/>
          <w:szCs w:val="22"/>
          <w:highlight w:val="none"/>
          <w:lang w:eastAsia="zh-CN"/>
        </w:rPr>
        <w:t>；乙</w:t>
      </w:r>
      <w:r>
        <w:rPr>
          <w:rFonts w:hint="eastAsia" w:ascii="宋体" w:hAnsi="宋体" w:eastAsia="宋体" w:cs="宋体"/>
          <w:color w:val="auto"/>
          <w:sz w:val="22"/>
          <w:szCs w:val="22"/>
          <w:highlight w:val="none"/>
        </w:rPr>
        <w:t>方在合理期限内未恢复履约能力且未提供适当担保的，视为拒绝</w:t>
      </w:r>
      <w:r>
        <w:rPr>
          <w:rFonts w:hint="eastAsia" w:ascii="宋体" w:hAnsi="宋体" w:eastAsia="宋体" w:cs="宋体"/>
          <w:color w:val="auto"/>
          <w:sz w:val="22"/>
          <w:szCs w:val="22"/>
          <w:highlight w:val="none"/>
          <w:lang w:eastAsia="zh-CN"/>
        </w:rPr>
        <w:t>继续</w:t>
      </w:r>
      <w:r>
        <w:rPr>
          <w:rFonts w:hint="eastAsia" w:ascii="宋体" w:hAnsi="宋体" w:eastAsia="宋体" w:cs="宋体"/>
          <w:color w:val="auto"/>
          <w:sz w:val="22"/>
          <w:szCs w:val="22"/>
          <w:highlight w:val="none"/>
        </w:rPr>
        <w:t>履约，甲方</w:t>
      </w:r>
      <w:r>
        <w:rPr>
          <w:rFonts w:hint="eastAsia" w:ascii="宋体" w:hAnsi="宋体" w:eastAsia="宋体" w:cs="宋体"/>
          <w:color w:val="auto"/>
          <w:sz w:val="22"/>
          <w:szCs w:val="22"/>
          <w:highlight w:val="none"/>
          <w:lang w:eastAsia="zh-CN"/>
        </w:rPr>
        <w:t>有权</w:t>
      </w:r>
      <w:r>
        <w:rPr>
          <w:rFonts w:hint="eastAsia" w:ascii="宋体" w:hAnsi="宋体" w:eastAsia="宋体" w:cs="宋体"/>
          <w:color w:val="auto"/>
          <w:sz w:val="22"/>
          <w:szCs w:val="22"/>
          <w:highlight w:val="none"/>
        </w:rPr>
        <w:t>解除合同并要求乙方承担</w:t>
      </w:r>
      <w:r>
        <w:rPr>
          <w:rFonts w:hint="eastAsia" w:ascii="宋体" w:hAnsi="宋体" w:eastAsia="宋体" w:cs="宋体"/>
          <w:color w:val="auto"/>
          <w:sz w:val="22"/>
          <w:szCs w:val="22"/>
          <w:highlight w:val="none"/>
          <w:lang w:eastAsia="zh-CN"/>
        </w:rPr>
        <w:t>由此给甲方造成的损失</w:t>
      </w:r>
      <w:r>
        <w:rPr>
          <w:rFonts w:hint="eastAsia" w:ascii="宋体" w:hAnsi="宋体" w:eastAsia="宋体" w:cs="宋体"/>
          <w:color w:val="auto"/>
          <w:sz w:val="22"/>
          <w:szCs w:val="22"/>
          <w:highlight w:val="none"/>
        </w:rPr>
        <w:t>。</w:t>
      </w:r>
    </w:p>
    <w:p w14:paraId="791594F3">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（3）乙方分立、合并或者变更住所的，应当及时以书面形式告知甲方。乙方没有</w:t>
      </w:r>
      <w:r>
        <w:rPr>
          <w:rFonts w:hint="eastAsia" w:ascii="宋体" w:hAnsi="宋体" w:eastAsia="宋体" w:cs="宋体"/>
          <w:sz w:val="22"/>
          <w:szCs w:val="22"/>
          <w:lang w:eastAsia="zh-CN"/>
        </w:rPr>
        <w:t>及时告知</w:t>
      </w:r>
      <w:r>
        <w:rPr>
          <w:rFonts w:hint="eastAsia" w:ascii="宋体" w:hAnsi="宋体" w:eastAsia="宋体" w:cs="宋体"/>
          <w:sz w:val="22"/>
          <w:szCs w:val="22"/>
        </w:rPr>
        <w:t>甲方，致使</w:t>
      </w:r>
      <w:r>
        <w:rPr>
          <w:rFonts w:hint="eastAsia" w:ascii="宋体" w:hAnsi="宋体" w:eastAsia="宋体" w:cs="宋体"/>
          <w:sz w:val="22"/>
          <w:szCs w:val="22"/>
          <w:lang w:eastAsia="zh-CN"/>
        </w:rPr>
        <w:t>合同</w:t>
      </w:r>
      <w:r>
        <w:rPr>
          <w:rFonts w:hint="eastAsia" w:ascii="宋体" w:hAnsi="宋体" w:eastAsia="宋体" w:cs="宋体"/>
          <w:sz w:val="22"/>
          <w:szCs w:val="22"/>
        </w:rPr>
        <w:t>履行发生困难的，甲方可以中止合同履行并要求乙方承担由此给甲方造成的损失。</w:t>
      </w:r>
    </w:p>
    <w:p w14:paraId="75779C42">
      <w:pPr>
        <w:keepNext w:val="0"/>
        <w:keepLines w:val="0"/>
        <w:pageBreakBefore w:val="0"/>
        <w:kinsoku/>
        <w:wordWrap/>
        <w:overflowPunct/>
        <w:topLinePunct w:val="0"/>
        <w:bidi w:val="0"/>
        <w:snapToGrid w:val="0"/>
        <w:spacing w:line="240" w:lineRule="auto"/>
        <w:ind w:firstLine="440" w:firstLineChars="200"/>
        <w:jc w:val="left"/>
        <w:textAlignment w:val="auto"/>
        <w:outlineLvl w:val="9"/>
        <w:rPr>
          <w:rFonts w:hint="eastAsia" w:ascii="宋体" w:hAnsi="宋体" w:eastAsia="宋体" w:cs="宋体"/>
          <w:sz w:val="22"/>
          <w:szCs w:val="22"/>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）甲方不得以行政区划调整、政府换届、机构或者职能调整以及相关责任人更替为由中止合同。</w:t>
      </w:r>
    </w:p>
    <w:p w14:paraId="598B0B3D">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合同的终止</w:t>
      </w:r>
    </w:p>
    <w:p w14:paraId="382D34B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（1）合同因有效期限届满而终止；</w:t>
      </w:r>
    </w:p>
    <w:p w14:paraId="02B7165F">
      <w:pPr>
        <w:keepNext w:val="0"/>
        <w:keepLines w:val="0"/>
        <w:pageBreakBefore w:val="0"/>
        <w:kinsoku/>
        <w:wordWrap/>
        <w:overflowPunct/>
        <w:topLinePunct w:val="0"/>
        <w:bidi w:val="0"/>
        <w:snapToGrid w:val="0"/>
        <w:spacing w:line="240" w:lineRule="auto"/>
        <w:ind w:firstLine="440" w:firstLineChars="200"/>
        <w:textAlignment w:val="auto"/>
        <w:outlineLvl w:val="9"/>
        <w:rPr>
          <w:rFonts w:hint="eastAsia" w:ascii="宋体" w:hAnsi="宋体" w:eastAsia="宋体" w:cs="宋体"/>
          <w:sz w:val="22"/>
          <w:szCs w:val="22"/>
          <w:lang w:eastAsia="zh-CN"/>
        </w:rPr>
      </w:pPr>
      <w:r>
        <w:rPr>
          <w:rFonts w:hint="eastAsia" w:ascii="宋体" w:hAnsi="宋体" w:eastAsia="宋体" w:cs="宋体"/>
          <w:color w:val="auto"/>
          <w:sz w:val="22"/>
          <w:szCs w:val="22"/>
          <w:highlight w:val="none"/>
        </w:rPr>
        <w:t>（2）乙方未</w:t>
      </w:r>
      <w:r>
        <w:rPr>
          <w:rFonts w:hint="eastAsia" w:ascii="宋体" w:hAnsi="宋体" w:eastAsia="宋体" w:cs="宋体"/>
          <w:color w:val="auto"/>
          <w:sz w:val="22"/>
          <w:szCs w:val="22"/>
          <w:highlight w:val="none"/>
          <w:lang w:eastAsia="zh-CN"/>
        </w:rPr>
        <w:t>按</w:t>
      </w:r>
      <w:r>
        <w:rPr>
          <w:rFonts w:hint="eastAsia" w:ascii="宋体" w:hAnsi="宋体" w:eastAsia="宋体" w:cs="宋体"/>
          <w:color w:val="auto"/>
          <w:sz w:val="22"/>
          <w:szCs w:val="22"/>
          <w:highlight w:val="none"/>
        </w:rPr>
        <w:t>合同约定履行，构成根本性违约的，甲方有权终止合同</w:t>
      </w:r>
      <w:r>
        <w:rPr>
          <w:rFonts w:hint="eastAsia" w:ascii="宋体" w:hAnsi="宋体" w:eastAsia="宋体" w:cs="宋体"/>
          <w:color w:val="auto"/>
          <w:sz w:val="22"/>
          <w:szCs w:val="22"/>
          <w:highlight w:val="none"/>
          <w:lang w:eastAsia="zh-CN"/>
        </w:rPr>
        <w:t>，</w:t>
      </w:r>
      <w:r>
        <w:rPr>
          <w:rFonts w:hint="eastAsia" w:ascii="宋体" w:hAnsi="宋体" w:eastAsia="宋体" w:cs="宋体"/>
          <w:sz w:val="22"/>
          <w:szCs w:val="22"/>
        </w:rPr>
        <w:t>并追究乙方的违约责</w:t>
      </w:r>
      <w:r>
        <w:rPr>
          <w:rFonts w:hint="eastAsia" w:ascii="宋体" w:hAnsi="宋体" w:eastAsia="宋体" w:cs="宋体"/>
          <w:sz w:val="22"/>
          <w:szCs w:val="22"/>
          <w:lang w:val="en-US" w:eastAsia="zh-CN"/>
        </w:rPr>
        <w:t>任</w:t>
      </w:r>
      <w:r>
        <w:rPr>
          <w:rFonts w:hint="eastAsia" w:ascii="宋体" w:hAnsi="宋体" w:eastAsia="宋体" w:cs="宋体"/>
          <w:color w:val="auto"/>
          <w:sz w:val="22"/>
          <w:szCs w:val="22"/>
          <w:highlight w:val="none"/>
        </w:rPr>
        <w:t>。</w:t>
      </w:r>
    </w:p>
    <w:p w14:paraId="75237D95">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16.4 </w:t>
      </w:r>
      <w:r>
        <w:rPr>
          <w:rFonts w:hint="eastAsia" w:ascii="宋体" w:hAnsi="宋体" w:eastAsia="宋体" w:cs="宋体"/>
          <w:color w:val="auto"/>
          <w:kern w:val="2"/>
          <w:sz w:val="22"/>
          <w:szCs w:val="22"/>
          <w:highlight w:val="none"/>
          <w:lang w:val="en-US" w:eastAsia="zh-CN"/>
        </w:rPr>
        <w:t>涉及国家利益、社会公共利益的情形</w:t>
      </w:r>
    </w:p>
    <w:p w14:paraId="677DA675">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政府采购合同继续履行将损害国家利益和社会公共利益的，双方当事人</w:t>
      </w:r>
      <w:r>
        <w:rPr>
          <w:rFonts w:hint="eastAsia" w:ascii="宋体" w:hAnsi="宋体" w:eastAsia="宋体" w:cs="宋体"/>
          <w:sz w:val="22"/>
          <w:szCs w:val="22"/>
          <w:highlight w:val="none"/>
          <w:lang w:val="en-US" w:eastAsia="zh-CN"/>
        </w:rPr>
        <w:t>应当变更、</w:t>
      </w:r>
      <w:r>
        <w:rPr>
          <w:rFonts w:hint="eastAsia" w:ascii="宋体" w:hAnsi="宋体" w:eastAsia="宋体" w:cs="宋体"/>
          <w:sz w:val="22"/>
          <w:szCs w:val="22"/>
        </w:rPr>
        <w:t>中止</w:t>
      </w:r>
      <w:r>
        <w:rPr>
          <w:rFonts w:hint="eastAsia" w:ascii="宋体" w:hAnsi="宋体" w:eastAsia="宋体" w:cs="宋体"/>
          <w:sz w:val="22"/>
          <w:szCs w:val="22"/>
          <w:lang w:eastAsia="zh-CN"/>
        </w:rPr>
        <w:t>或者终止</w:t>
      </w:r>
      <w:r>
        <w:rPr>
          <w:rFonts w:hint="eastAsia" w:ascii="宋体" w:hAnsi="宋体" w:eastAsia="宋体" w:cs="宋体"/>
          <w:sz w:val="22"/>
          <w:szCs w:val="22"/>
        </w:rPr>
        <w:t>合同。有过错的一方应当承担赔偿责任，双方都有过错的，各自承担相应的责任。</w:t>
      </w:r>
    </w:p>
    <w:p w14:paraId="2A6DBDB4">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val="en-US" w:eastAsia="zh-CN"/>
        </w:rPr>
        <w:t>7</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合同分包</w:t>
      </w:r>
    </w:p>
    <w:p w14:paraId="1C45ACA7">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7</w:t>
      </w:r>
      <w:r>
        <w:rPr>
          <w:rFonts w:hint="eastAsia" w:ascii="宋体" w:hAnsi="宋体" w:eastAsia="宋体" w:cs="宋体"/>
          <w:color w:val="auto"/>
          <w:sz w:val="22"/>
          <w:szCs w:val="22"/>
          <w:highlight w:val="none"/>
        </w:rPr>
        <w:t>.1 乙方不得</w:t>
      </w:r>
      <w:r>
        <w:rPr>
          <w:rFonts w:hint="eastAsia" w:ascii="宋体" w:hAnsi="宋体" w:eastAsia="宋体" w:cs="宋体"/>
          <w:color w:val="auto"/>
          <w:sz w:val="22"/>
          <w:szCs w:val="22"/>
          <w:highlight w:val="none"/>
          <w:lang w:eastAsia="zh-CN"/>
        </w:rPr>
        <w:t>将合同转包给其他投标人。涉及合同分包的，乙方</w:t>
      </w:r>
      <w:r>
        <w:rPr>
          <w:rFonts w:hint="eastAsia" w:ascii="宋体" w:hAnsi="宋体" w:eastAsia="宋体" w:cs="宋体"/>
          <w:color w:val="auto"/>
          <w:sz w:val="22"/>
          <w:szCs w:val="22"/>
          <w:highlight w:val="none"/>
          <w:lang w:val="en-US" w:eastAsia="zh-CN"/>
        </w:rPr>
        <w:t>应</w:t>
      </w:r>
      <w:r>
        <w:rPr>
          <w:rFonts w:hint="eastAsia" w:ascii="宋体" w:hAnsi="宋体" w:eastAsia="宋体" w:cs="宋体"/>
          <w:color w:val="auto"/>
          <w:sz w:val="22"/>
          <w:szCs w:val="22"/>
          <w:highlight w:val="none"/>
          <w:lang w:eastAsia="zh-CN"/>
        </w:rPr>
        <w:t>根据采购文件和投标（响应）文件规定进行</w:t>
      </w:r>
      <w:r>
        <w:rPr>
          <w:rFonts w:hint="eastAsia" w:ascii="宋体" w:hAnsi="宋体" w:eastAsia="宋体" w:cs="宋体"/>
          <w:color w:val="auto"/>
          <w:sz w:val="22"/>
          <w:szCs w:val="22"/>
          <w:highlight w:val="none"/>
        </w:rPr>
        <w:t>合同分包。</w:t>
      </w:r>
    </w:p>
    <w:p w14:paraId="16F6F3F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7</w:t>
      </w:r>
      <w:r>
        <w:rPr>
          <w:rFonts w:hint="eastAsia" w:ascii="宋体" w:hAnsi="宋体" w:eastAsia="宋体" w:cs="宋体"/>
          <w:color w:val="auto"/>
          <w:sz w:val="22"/>
          <w:szCs w:val="22"/>
          <w:highlight w:val="none"/>
        </w:rPr>
        <w:t>.2 乙方执行政府采购政策向中小企业依法分包的</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乙方应当按采购文件</w:t>
      </w:r>
      <w:r>
        <w:rPr>
          <w:rFonts w:hint="eastAsia" w:ascii="宋体" w:hAnsi="宋体" w:eastAsia="宋体" w:cs="宋体"/>
          <w:color w:val="auto"/>
          <w:sz w:val="22"/>
          <w:szCs w:val="22"/>
          <w:highlight w:val="none"/>
          <w:lang w:eastAsia="zh-CN"/>
        </w:rPr>
        <w:t>和</w:t>
      </w:r>
      <w:r>
        <w:rPr>
          <w:rFonts w:hint="eastAsia" w:ascii="宋体" w:hAnsi="宋体" w:eastAsia="宋体" w:cs="宋体"/>
          <w:color w:val="auto"/>
          <w:sz w:val="22"/>
          <w:szCs w:val="22"/>
          <w:highlight w:val="none"/>
        </w:rPr>
        <w:t>投标（响应）文件签订分包</w:t>
      </w:r>
      <w:r>
        <w:rPr>
          <w:rFonts w:hint="eastAsia" w:ascii="宋体" w:hAnsi="宋体" w:eastAsia="宋体" w:cs="宋体"/>
          <w:color w:val="auto"/>
          <w:sz w:val="22"/>
          <w:szCs w:val="22"/>
          <w:highlight w:val="none"/>
          <w:lang w:eastAsia="zh-CN"/>
        </w:rPr>
        <w:t>意向</w:t>
      </w:r>
      <w:r>
        <w:rPr>
          <w:rFonts w:hint="eastAsia" w:ascii="宋体" w:hAnsi="宋体" w:eastAsia="宋体" w:cs="宋体"/>
          <w:color w:val="auto"/>
          <w:sz w:val="22"/>
          <w:szCs w:val="22"/>
          <w:highlight w:val="none"/>
        </w:rPr>
        <w:t>协议，分包</w:t>
      </w:r>
      <w:r>
        <w:rPr>
          <w:rFonts w:hint="eastAsia" w:ascii="宋体" w:hAnsi="宋体" w:eastAsia="宋体" w:cs="宋体"/>
          <w:color w:val="auto"/>
          <w:sz w:val="22"/>
          <w:szCs w:val="22"/>
          <w:highlight w:val="none"/>
          <w:lang w:eastAsia="zh-CN"/>
        </w:rPr>
        <w:t>意向</w:t>
      </w:r>
      <w:r>
        <w:rPr>
          <w:rFonts w:hint="eastAsia" w:ascii="宋体" w:hAnsi="宋体" w:eastAsia="宋体" w:cs="宋体"/>
          <w:color w:val="auto"/>
          <w:sz w:val="22"/>
          <w:szCs w:val="22"/>
          <w:highlight w:val="none"/>
        </w:rPr>
        <w:t>协议属于本合同组成部分。</w:t>
      </w:r>
    </w:p>
    <w:p w14:paraId="7FE7772E">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eastAsia="zh-CN"/>
        </w:rPr>
        <w:t>1</w:t>
      </w:r>
      <w:r>
        <w:rPr>
          <w:rFonts w:hint="eastAsia" w:ascii="宋体" w:hAnsi="宋体" w:eastAsia="宋体" w:cs="宋体"/>
          <w:b/>
          <w:bCs/>
          <w:color w:val="auto"/>
          <w:sz w:val="22"/>
          <w:szCs w:val="22"/>
          <w:highlight w:val="none"/>
          <w:lang w:val="en-US" w:eastAsia="zh-CN"/>
        </w:rPr>
        <w:t>8</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不可抗力</w:t>
      </w:r>
    </w:p>
    <w:p w14:paraId="4F18715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1</w:t>
      </w:r>
      <w:r>
        <w:rPr>
          <w:rFonts w:hint="eastAsia" w:ascii="宋体" w:hAnsi="宋体" w:eastAsia="宋体" w:cs="宋体"/>
          <w:color w:val="auto"/>
          <w:sz w:val="22"/>
          <w:szCs w:val="22"/>
          <w:highlight w:val="none"/>
          <w:lang w:val="en-US" w:eastAsia="zh-CN"/>
        </w:rPr>
        <w:t>8</w:t>
      </w:r>
      <w:r>
        <w:rPr>
          <w:rFonts w:hint="eastAsia" w:ascii="宋体" w:hAnsi="宋体" w:eastAsia="宋体" w:cs="宋体"/>
          <w:color w:val="auto"/>
          <w:sz w:val="22"/>
          <w:szCs w:val="22"/>
          <w:highlight w:val="none"/>
        </w:rPr>
        <w:t>.1 不可抗力是指合同双方不能预见、不能避免且不能克服的客观情况。</w:t>
      </w:r>
    </w:p>
    <w:p w14:paraId="411E29F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1</w:t>
      </w:r>
      <w:r>
        <w:rPr>
          <w:rFonts w:hint="eastAsia" w:ascii="宋体" w:hAnsi="宋体" w:eastAsia="宋体" w:cs="宋体"/>
          <w:color w:val="auto"/>
          <w:sz w:val="22"/>
          <w:szCs w:val="22"/>
          <w:highlight w:val="none"/>
          <w:lang w:val="en-US" w:eastAsia="zh-CN"/>
        </w:rPr>
        <w:t>8</w:t>
      </w:r>
      <w:r>
        <w:rPr>
          <w:rFonts w:hint="eastAsia" w:ascii="宋体" w:hAnsi="宋体" w:eastAsia="宋体" w:cs="宋体"/>
          <w:color w:val="auto"/>
          <w:sz w:val="22"/>
          <w:szCs w:val="22"/>
          <w:highlight w:val="none"/>
        </w:rPr>
        <w:t>.2 任何一方对由于不可抗力造成的部分或全部不能履行合同不承担违约责任。但迟延履行后发生不可抗力的，不能免除责任。</w:t>
      </w:r>
    </w:p>
    <w:p w14:paraId="5ACAF96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1</w:t>
      </w:r>
      <w:r>
        <w:rPr>
          <w:rFonts w:hint="eastAsia" w:ascii="宋体" w:hAnsi="宋体" w:eastAsia="宋体" w:cs="宋体"/>
          <w:color w:val="auto"/>
          <w:sz w:val="22"/>
          <w:szCs w:val="22"/>
          <w:highlight w:val="none"/>
          <w:lang w:val="en-US" w:eastAsia="zh-CN"/>
        </w:rPr>
        <w:t>8</w:t>
      </w:r>
      <w:r>
        <w:rPr>
          <w:rFonts w:hint="eastAsia" w:ascii="宋体" w:hAnsi="宋体" w:eastAsia="宋体" w:cs="宋体"/>
          <w:color w:val="auto"/>
          <w:sz w:val="22"/>
          <w:szCs w:val="22"/>
          <w:highlight w:val="none"/>
        </w:rPr>
        <w:t>.3 遇有不可抗力的一方，应及时将事件情况以书面形式</w:t>
      </w:r>
      <w:r>
        <w:rPr>
          <w:rFonts w:hint="eastAsia" w:ascii="宋体" w:hAnsi="宋体" w:eastAsia="宋体" w:cs="宋体"/>
          <w:color w:val="auto"/>
          <w:sz w:val="22"/>
          <w:szCs w:val="22"/>
          <w:highlight w:val="none"/>
          <w:lang w:eastAsia="zh-CN"/>
        </w:rPr>
        <w:t>告</w:t>
      </w:r>
      <w:r>
        <w:rPr>
          <w:rFonts w:hint="eastAsia" w:ascii="宋体" w:hAnsi="宋体" w:eastAsia="宋体" w:cs="宋体"/>
          <w:color w:val="auto"/>
          <w:sz w:val="22"/>
          <w:szCs w:val="22"/>
          <w:highlight w:val="none"/>
        </w:rPr>
        <w:t>知另一方，并在事件发生后及时向另一方提交合同不能履行或部分不能履行或需要延期履行</w:t>
      </w:r>
      <w:r>
        <w:rPr>
          <w:rFonts w:hint="eastAsia" w:ascii="宋体" w:hAnsi="宋体" w:eastAsia="宋体" w:cs="宋体"/>
          <w:color w:val="auto"/>
          <w:sz w:val="22"/>
          <w:szCs w:val="22"/>
          <w:highlight w:val="none"/>
          <w:lang w:eastAsia="zh-CN"/>
        </w:rPr>
        <w:t>的详细</w:t>
      </w:r>
      <w:r>
        <w:rPr>
          <w:rFonts w:hint="eastAsia" w:ascii="宋体" w:hAnsi="宋体" w:eastAsia="宋体" w:cs="宋体"/>
          <w:color w:val="auto"/>
          <w:sz w:val="22"/>
          <w:szCs w:val="22"/>
          <w:highlight w:val="none"/>
        </w:rPr>
        <w:t>报告</w:t>
      </w:r>
      <w:r>
        <w:rPr>
          <w:rFonts w:hint="eastAsia" w:ascii="宋体" w:hAnsi="宋体" w:eastAsia="宋体" w:cs="宋体"/>
          <w:color w:val="auto"/>
          <w:sz w:val="22"/>
          <w:szCs w:val="22"/>
          <w:highlight w:val="none"/>
          <w:lang w:eastAsia="zh-CN"/>
        </w:rPr>
        <w:t>，以</w:t>
      </w:r>
      <w:r>
        <w:rPr>
          <w:rFonts w:hint="eastAsia" w:ascii="宋体" w:hAnsi="宋体" w:eastAsia="宋体" w:cs="宋体"/>
          <w:color w:val="auto"/>
          <w:sz w:val="22"/>
          <w:szCs w:val="22"/>
          <w:highlight w:val="none"/>
          <w:lang w:val="en-US" w:eastAsia="zh-CN"/>
        </w:rPr>
        <w:t>及证明不可抗力发生及其持续时间的证据</w:t>
      </w:r>
      <w:r>
        <w:rPr>
          <w:rFonts w:hint="eastAsia" w:ascii="宋体" w:hAnsi="宋体" w:eastAsia="宋体" w:cs="宋体"/>
          <w:color w:val="auto"/>
          <w:sz w:val="22"/>
          <w:szCs w:val="22"/>
          <w:highlight w:val="none"/>
        </w:rPr>
        <w:t>。</w:t>
      </w:r>
    </w:p>
    <w:p w14:paraId="6778F240">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19</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解决争议的方法</w:t>
      </w:r>
    </w:p>
    <w:p w14:paraId="0C8B2DD7">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19</w:t>
      </w:r>
      <w:r>
        <w:rPr>
          <w:rFonts w:hint="eastAsia" w:ascii="宋体" w:hAnsi="宋体" w:eastAsia="宋体" w:cs="宋体"/>
          <w:sz w:val="22"/>
          <w:szCs w:val="22"/>
        </w:rPr>
        <w:t>.1 因本合同及合同有关事项发生的争议，由</w:t>
      </w:r>
      <w:r>
        <w:rPr>
          <w:rFonts w:hint="eastAsia" w:ascii="宋体" w:hAnsi="宋体" w:eastAsia="宋体" w:cs="宋体"/>
          <w:sz w:val="22"/>
          <w:szCs w:val="22"/>
          <w:lang w:eastAsia="zh-CN"/>
        </w:rPr>
        <w:t>甲乙双</w:t>
      </w:r>
      <w:r>
        <w:rPr>
          <w:rFonts w:hint="eastAsia" w:ascii="宋体" w:hAnsi="宋体" w:eastAsia="宋体" w:cs="宋体"/>
          <w:sz w:val="22"/>
          <w:szCs w:val="22"/>
        </w:rPr>
        <w:t>方友好协商解决。协商不成时，可以</w:t>
      </w:r>
      <w:r>
        <w:rPr>
          <w:rFonts w:hint="eastAsia" w:ascii="宋体" w:hAnsi="宋体" w:eastAsia="宋体" w:cs="宋体"/>
          <w:sz w:val="22"/>
          <w:szCs w:val="22"/>
          <w:lang w:eastAsia="zh-CN"/>
        </w:rPr>
        <w:t>向有关组织申请</w:t>
      </w:r>
      <w:r>
        <w:rPr>
          <w:rFonts w:hint="eastAsia" w:ascii="宋体" w:hAnsi="宋体" w:eastAsia="宋体" w:cs="宋体"/>
          <w:sz w:val="22"/>
          <w:szCs w:val="22"/>
        </w:rPr>
        <w:t>调解。合同一方或</w:t>
      </w:r>
      <w:r>
        <w:rPr>
          <w:rFonts w:hint="eastAsia" w:ascii="宋体" w:hAnsi="宋体" w:eastAsia="宋体" w:cs="宋体"/>
          <w:sz w:val="22"/>
          <w:szCs w:val="22"/>
          <w:lang w:eastAsia="zh-CN"/>
        </w:rPr>
        <w:t>双</w:t>
      </w:r>
      <w:r>
        <w:rPr>
          <w:rFonts w:hint="eastAsia" w:ascii="宋体" w:hAnsi="宋体" w:eastAsia="宋体" w:cs="宋体"/>
          <w:sz w:val="22"/>
          <w:szCs w:val="22"/>
        </w:rPr>
        <w:t>方不愿调解或调解不成的，可以通过仲裁或诉讼的方式解决争议。</w:t>
      </w:r>
    </w:p>
    <w:p w14:paraId="41FFBDE8">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19</w:t>
      </w:r>
      <w:r>
        <w:rPr>
          <w:rFonts w:hint="eastAsia" w:ascii="宋体" w:hAnsi="宋体" w:eastAsia="宋体" w:cs="宋体"/>
          <w:sz w:val="22"/>
          <w:szCs w:val="22"/>
        </w:rPr>
        <w:t>.2 选择仲裁的，应在</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sz w:val="22"/>
          <w:szCs w:val="22"/>
        </w:rPr>
        <w:t>中明确仲裁机构及仲裁地；通过诉讼方式解决的，可以在</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sz w:val="22"/>
          <w:szCs w:val="22"/>
        </w:rPr>
        <w:t>中进一步约定选择与争议有实际联系的地点的人民法院管辖，但管辖法院的约定不得违反级别管辖和专属管辖的规定。</w:t>
      </w:r>
    </w:p>
    <w:p w14:paraId="75378937">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19</w:t>
      </w:r>
      <w:r>
        <w:rPr>
          <w:rFonts w:hint="eastAsia" w:ascii="宋体" w:hAnsi="宋体" w:eastAsia="宋体" w:cs="宋体"/>
          <w:sz w:val="22"/>
          <w:szCs w:val="22"/>
        </w:rPr>
        <w:t>.3 如</w:t>
      </w:r>
      <w:r>
        <w:rPr>
          <w:rFonts w:hint="eastAsia" w:ascii="宋体" w:hAnsi="宋体" w:eastAsia="宋体" w:cs="宋体"/>
          <w:sz w:val="22"/>
          <w:szCs w:val="22"/>
          <w:lang w:eastAsia="zh-CN"/>
        </w:rPr>
        <w:t>甲乙双方</w:t>
      </w:r>
      <w:r>
        <w:rPr>
          <w:rFonts w:hint="eastAsia" w:ascii="宋体" w:hAnsi="宋体" w:eastAsia="宋体" w:cs="宋体"/>
          <w:sz w:val="22"/>
          <w:szCs w:val="22"/>
        </w:rPr>
        <w:t>有争议的事项不影响合同其他部分的履行，在争议解决期间，合同其他部分应</w:t>
      </w:r>
      <w:r>
        <w:rPr>
          <w:rFonts w:hint="eastAsia" w:ascii="宋体" w:hAnsi="宋体" w:eastAsia="宋体" w:cs="宋体"/>
          <w:sz w:val="22"/>
          <w:szCs w:val="22"/>
          <w:lang w:eastAsia="zh-CN"/>
        </w:rPr>
        <w:t>当</w:t>
      </w:r>
      <w:r>
        <w:rPr>
          <w:rFonts w:hint="eastAsia" w:ascii="宋体" w:hAnsi="宋体" w:eastAsia="宋体" w:cs="宋体"/>
          <w:sz w:val="22"/>
          <w:szCs w:val="22"/>
        </w:rPr>
        <w:t>继续履行。</w:t>
      </w:r>
    </w:p>
    <w:p w14:paraId="6EF22B13">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lang w:val="en-US" w:eastAsia="zh-CN"/>
        </w:rPr>
        <w:t>20</w:t>
      </w: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 xml:space="preserve"> </w:t>
      </w:r>
      <w:r>
        <w:rPr>
          <w:rFonts w:hint="eastAsia" w:ascii="宋体" w:hAnsi="宋体" w:eastAsia="宋体" w:cs="宋体"/>
          <w:b/>
          <w:color w:val="auto"/>
          <w:sz w:val="22"/>
          <w:szCs w:val="22"/>
          <w:highlight w:val="none"/>
        </w:rPr>
        <w:t>政府采购政策</w:t>
      </w:r>
    </w:p>
    <w:p w14:paraId="663F09E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20.1 </w:t>
      </w:r>
      <w:r>
        <w:rPr>
          <w:rFonts w:hint="eastAsia" w:ascii="宋体" w:hAnsi="宋体" w:eastAsia="宋体" w:cs="宋体"/>
          <w:sz w:val="22"/>
          <w:szCs w:val="22"/>
          <w:lang w:val="en-GB"/>
        </w:rPr>
        <w:t>本合同应当按照规定执行政府采购政策。</w:t>
      </w:r>
    </w:p>
    <w:p w14:paraId="1AE14887">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0</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 xml:space="preserve"> 本合同依法执行政府采购政策的方式和内容，属于合同履约验收的范围。</w:t>
      </w:r>
      <w:r>
        <w:rPr>
          <w:rFonts w:hint="eastAsia" w:ascii="宋体" w:hAnsi="宋体" w:eastAsia="宋体" w:cs="宋体"/>
          <w:sz w:val="22"/>
          <w:szCs w:val="22"/>
          <w:lang w:eastAsia="zh-CN"/>
        </w:rPr>
        <w:t>甲乙双方</w:t>
      </w:r>
      <w:r>
        <w:rPr>
          <w:rFonts w:hint="eastAsia" w:ascii="宋体" w:hAnsi="宋体" w:eastAsia="宋体" w:cs="宋体"/>
          <w:sz w:val="22"/>
          <w:szCs w:val="22"/>
          <w:lang w:val="en-GB"/>
        </w:rPr>
        <w:t>未按规定要求执行政府采购政策造成损失的</w:t>
      </w:r>
      <w:r>
        <w:rPr>
          <w:rFonts w:hint="eastAsia" w:ascii="宋体" w:hAnsi="宋体" w:eastAsia="宋体" w:cs="宋体"/>
          <w:color w:val="auto"/>
          <w:sz w:val="22"/>
          <w:szCs w:val="22"/>
          <w:highlight w:val="none"/>
        </w:rPr>
        <w:t>，有过错的一方应当承担赔偿责任，双方都有过错的，各自承担相应的责任。</w:t>
      </w:r>
    </w:p>
    <w:p w14:paraId="76BD3F71">
      <w:pPr>
        <w:pStyle w:val="12"/>
        <w:keepNext w:val="0"/>
        <w:keepLines w:val="0"/>
        <w:pageBreakBefore w:val="0"/>
        <w:kinsoku/>
        <w:wordWrap/>
        <w:overflowPunct/>
        <w:topLinePunct w:val="0"/>
        <w:bidi w:val="0"/>
        <w:spacing w:line="240" w:lineRule="auto"/>
        <w:ind w:firstLine="442"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0</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 xml:space="preserve"> 对于</w:t>
      </w:r>
      <w:r>
        <w:rPr>
          <w:rFonts w:hint="eastAsia" w:ascii="宋体" w:hAnsi="宋体" w:eastAsia="宋体" w:cs="宋体"/>
          <w:color w:val="auto"/>
          <w:sz w:val="22"/>
          <w:szCs w:val="22"/>
          <w:highlight w:val="none"/>
          <w:lang w:eastAsia="zh-CN"/>
        </w:rPr>
        <w:t>为落实中小企业支持政策，</w:t>
      </w:r>
      <w:r>
        <w:rPr>
          <w:rFonts w:hint="eastAsia" w:ascii="宋体" w:hAnsi="宋体" w:eastAsia="宋体" w:cs="宋体"/>
          <w:color w:val="auto"/>
          <w:sz w:val="22"/>
          <w:szCs w:val="22"/>
          <w:highlight w:val="none"/>
        </w:rPr>
        <w:t>通过采购项目</w:t>
      </w:r>
      <w:r>
        <w:rPr>
          <w:rFonts w:hint="eastAsia" w:ascii="宋体" w:hAnsi="宋体" w:eastAsia="宋体" w:cs="宋体"/>
          <w:color w:val="auto"/>
          <w:sz w:val="22"/>
          <w:szCs w:val="22"/>
          <w:highlight w:val="none"/>
          <w:lang w:eastAsia="zh-CN"/>
        </w:rPr>
        <w:t>整体</w:t>
      </w:r>
      <w:r>
        <w:rPr>
          <w:rFonts w:hint="eastAsia" w:ascii="宋体" w:hAnsi="宋体" w:eastAsia="宋体" w:cs="宋体"/>
          <w:color w:val="auto"/>
          <w:sz w:val="22"/>
          <w:szCs w:val="22"/>
          <w:highlight w:val="none"/>
        </w:rPr>
        <w:t>预留、</w:t>
      </w:r>
      <w:r>
        <w:rPr>
          <w:rFonts w:hint="eastAsia" w:ascii="宋体" w:hAnsi="宋体" w:eastAsia="宋体" w:cs="宋体"/>
          <w:color w:val="auto"/>
          <w:sz w:val="22"/>
          <w:szCs w:val="22"/>
          <w:highlight w:val="none"/>
          <w:lang w:eastAsia="zh-CN"/>
        </w:rPr>
        <w:t>设置</w:t>
      </w:r>
      <w:r>
        <w:rPr>
          <w:rFonts w:hint="eastAsia" w:ascii="宋体" w:hAnsi="宋体" w:eastAsia="宋体" w:cs="宋体"/>
          <w:color w:val="auto"/>
          <w:sz w:val="22"/>
          <w:szCs w:val="22"/>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1C96C6F">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w:t>
      </w:r>
      <w:r>
        <w:rPr>
          <w:rFonts w:hint="eastAsia" w:ascii="宋体" w:hAnsi="宋体" w:eastAsia="宋体" w:cs="宋体"/>
          <w:b/>
          <w:color w:val="auto"/>
          <w:sz w:val="22"/>
          <w:szCs w:val="22"/>
          <w:highlight w:val="none"/>
          <w:lang w:val="en-US" w:eastAsia="zh-CN"/>
        </w:rPr>
        <w:t>1</w:t>
      </w: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 xml:space="preserve"> </w:t>
      </w:r>
      <w:r>
        <w:rPr>
          <w:rFonts w:hint="eastAsia" w:ascii="宋体" w:hAnsi="宋体" w:eastAsia="宋体" w:cs="宋体"/>
          <w:b/>
          <w:color w:val="auto"/>
          <w:sz w:val="22"/>
          <w:szCs w:val="22"/>
          <w:highlight w:val="none"/>
        </w:rPr>
        <w:t>法律适用</w:t>
      </w:r>
    </w:p>
    <w:p w14:paraId="7388E1AA">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1</w:t>
      </w:r>
      <w:r>
        <w:rPr>
          <w:rFonts w:hint="eastAsia" w:ascii="宋体" w:hAnsi="宋体" w:eastAsia="宋体" w:cs="宋体"/>
          <w:sz w:val="22"/>
          <w:szCs w:val="22"/>
        </w:rPr>
        <w:t>.1 本合同的订立、生效、解释、履行及与本合同有关的争议解决，均适用法律、行政法规。</w:t>
      </w:r>
    </w:p>
    <w:p w14:paraId="030BFF2F">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1</w:t>
      </w:r>
      <w:r>
        <w:rPr>
          <w:rFonts w:hint="eastAsia" w:ascii="宋体" w:hAnsi="宋体" w:eastAsia="宋体" w:cs="宋体"/>
          <w:sz w:val="22"/>
          <w:szCs w:val="22"/>
        </w:rPr>
        <w:t>.2 本合同条款与法律、行政法规的强制性规定不一致的，双方当事人应按照法律、行政法规的强制性规定修改本合同的相关条款。</w:t>
      </w:r>
    </w:p>
    <w:p w14:paraId="78DD3954">
      <w:pPr>
        <w:keepNext w:val="0"/>
        <w:keepLines w:val="0"/>
        <w:pageBreakBefore w:val="0"/>
        <w:numPr>
          <w:ilvl w:val="-1"/>
          <w:numId w:val="0"/>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val="en-US" w:eastAsia="zh-CN"/>
        </w:rPr>
        <w:t xml:space="preserve">22. </w:t>
      </w:r>
      <w:r>
        <w:rPr>
          <w:rFonts w:hint="eastAsia" w:ascii="宋体" w:hAnsi="宋体" w:eastAsia="宋体" w:cs="宋体"/>
          <w:b/>
          <w:color w:val="auto"/>
          <w:sz w:val="22"/>
          <w:szCs w:val="22"/>
          <w:highlight w:val="none"/>
        </w:rPr>
        <w:t>通知</w:t>
      </w:r>
    </w:p>
    <w:p w14:paraId="32FB178B">
      <w:pPr>
        <w:pStyle w:val="73"/>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2</w:t>
      </w:r>
      <w:r>
        <w:rPr>
          <w:rFonts w:hint="eastAsia" w:ascii="宋体" w:hAnsi="宋体" w:eastAsia="宋体" w:cs="宋体"/>
          <w:sz w:val="22"/>
          <w:szCs w:val="22"/>
        </w:rPr>
        <w:t>.1</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本合同任何一方向对方发出的通知、信件、数据电文等，应当发送至本合同第一部分《政府采购合同协议书》所约定的通讯地址、联系人、联系电话或电子邮箱。</w:t>
      </w:r>
    </w:p>
    <w:p w14:paraId="5F221D4A">
      <w:pPr>
        <w:pStyle w:val="73"/>
        <w:keepNext w:val="0"/>
        <w:keepLines w:val="0"/>
        <w:pageBreakBefore w:val="0"/>
        <w:kinsoku/>
        <w:wordWrap/>
        <w:overflowPunct/>
        <w:topLinePunct w:val="0"/>
        <w:bidi w:val="0"/>
        <w:spacing w:line="240" w:lineRule="auto"/>
        <w:ind w:firstLine="0" w:firstLineChars="0"/>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2</w:t>
      </w:r>
      <w:r>
        <w:rPr>
          <w:rFonts w:hint="eastAsia" w:ascii="宋体" w:hAnsi="宋体" w:eastAsia="宋体" w:cs="宋体"/>
          <w:sz w:val="22"/>
          <w:szCs w:val="22"/>
          <w:lang w:val="en-US" w:eastAsia="zh-CN"/>
        </w:rPr>
        <w:t>2</w:t>
      </w:r>
      <w:r>
        <w:rPr>
          <w:rFonts w:hint="eastAsia" w:ascii="宋体" w:hAnsi="宋体" w:eastAsia="宋体" w:cs="宋体"/>
          <w:sz w:val="22"/>
          <w:szCs w:val="22"/>
        </w:rPr>
        <w:t>.2</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一方当事人变更名称、</w:t>
      </w:r>
      <w:r>
        <w:rPr>
          <w:rFonts w:hint="eastAsia" w:ascii="宋体" w:hAnsi="宋体" w:eastAsia="宋体" w:cs="宋体"/>
          <w:sz w:val="22"/>
          <w:szCs w:val="22"/>
          <w:lang w:eastAsia="zh-CN"/>
        </w:rPr>
        <w:t>住所</w:t>
      </w:r>
      <w:r>
        <w:rPr>
          <w:rFonts w:hint="eastAsia" w:ascii="宋体" w:hAnsi="宋体" w:eastAsia="宋体" w:cs="宋体"/>
          <w:sz w:val="22"/>
          <w:szCs w:val="22"/>
        </w:rPr>
        <w:t>、联系人、联系电话或电子邮箱</w:t>
      </w:r>
      <w:r>
        <w:rPr>
          <w:rFonts w:hint="eastAsia" w:ascii="宋体" w:hAnsi="宋体" w:eastAsia="宋体" w:cs="宋体"/>
          <w:sz w:val="22"/>
          <w:szCs w:val="22"/>
          <w:lang w:eastAsia="zh-CN"/>
        </w:rPr>
        <w:t>等信息</w:t>
      </w:r>
      <w:r>
        <w:rPr>
          <w:rFonts w:hint="eastAsia" w:ascii="宋体" w:hAnsi="宋体" w:eastAsia="宋体" w:cs="宋体"/>
          <w:sz w:val="22"/>
          <w:szCs w:val="22"/>
        </w:rPr>
        <w:t>的，应当在变更后3日内及时书面通知对方，对方实际收到变更通知前的送达仍为有效送达。</w:t>
      </w:r>
    </w:p>
    <w:p w14:paraId="4F2CA483">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本合同一方给另一方的通知均应采用书面形式，传真或快递送到本合同中规定的对方的地址和办理签收手续。</w:t>
      </w:r>
    </w:p>
    <w:p w14:paraId="4E0F6048">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通知以送达之日或通知书中规定的生效之日起生效，两者中以较迟之日为准。</w:t>
      </w:r>
    </w:p>
    <w:p w14:paraId="07C27951">
      <w:pPr>
        <w:keepNext w:val="0"/>
        <w:keepLines w:val="0"/>
        <w:pageBreakBefore w:val="0"/>
        <w:numPr>
          <w:ilvl w:val="0"/>
          <w:numId w:val="13"/>
        </w:numPr>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合同未尽事项</w:t>
      </w:r>
    </w:p>
    <w:p w14:paraId="15630729">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2</w:t>
      </w:r>
      <w:r>
        <w:rPr>
          <w:rFonts w:hint="eastAsia" w:ascii="宋体" w:hAnsi="宋体" w:eastAsia="宋体" w:cs="宋体"/>
          <w:bCs/>
          <w:color w:val="auto"/>
          <w:sz w:val="22"/>
          <w:szCs w:val="22"/>
          <w:highlight w:val="none"/>
          <w:lang w:val="en-US" w:eastAsia="zh-CN"/>
        </w:rPr>
        <w:t>3</w:t>
      </w:r>
      <w:r>
        <w:rPr>
          <w:rFonts w:hint="eastAsia" w:ascii="宋体" w:hAnsi="宋体" w:eastAsia="宋体" w:cs="宋体"/>
          <w:bCs/>
          <w:color w:val="auto"/>
          <w:sz w:val="22"/>
          <w:szCs w:val="22"/>
          <w:highlight w:val="none"/>
        </w:rPr>
        <w:t>.1合同未尽事项见</w:t>
      </w:r>
      <w:r>
        <w:rPr>
          <w:rFonts w:hint="eastAsia" w:ascii="宋体" w:hAnsi="宋体" w:eastAsia="宋体" w:cs="宋体"/>
          <w:b/>
          <w:color w:val="auto"/>
          <w:sz w:val="22"/>
          <w:szCs w:val="22"/>
          <w:highlight w:val="none"/>
        </w:rPr>
        <w:t>【政府采购合同专用条款】</w:t>
      </w:r>
      <w:r>
        <w:rPr>
          <w:rFonts w:hint="eastAsia" w:ascii="宋体" w:hAnsi="宋体" w:eastAsia="宋体" w:cs="宋体"/>
          <w:bCs/>
          <w:color w:val="auto"/>
          <w:sz w:val="22"/>
          <w:szCs w:val="22"/>
          <w:highlight w:val="none"/>
        </w:rPr>
        <w:t>。</w:t>
      </w:r>
    </w:p>
    <w:p w14:paraId="38B5DD38">
      <w:pPr>
        <w:keepNext w:val="0"/>
        <w:keepLines w:val="0"/>
        <w:pageBreakBefore w:val="0"/>
        <w:kinsoku/>
        <w:wordWrap/>
        <w:overflowPunct/>
        <w:topLinePunct w:val="0"/>
        <w:bidi w:val="0"/>
        <w:adjustRightInd w:val="0"/>
        <w:snapToGrid w:val="0"/>
        <w:spacing w:line="240" w:lineRule="auto"/>
        <w:ind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bCs/>
          <w:color w:val="auto"/>
          <w:sz w:val="22"/>
          <w:szCs w:val="22"/>
          <w:highlight w:val="none"/>
          <w:lang w:val="en-US" w:eastAsia="zh-CN"/>
        </w:rPr>
        <w:t xml:space="preserve">    23.2 合同附件与合同正文具有同等的法律效力。</w:t>
      </w:r>
      <w:bookmarkStart w:id="98" w:name="_Toc20313"/>
    </w:p>
    <w:p w14:paraId="579A2F0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14:paraId="5A330E48">
      <w:pPr>
        <w:keepNext w:val="0"/>
        <w:keepLines w:val="0"/>
        <w:pageBreakBefore w:val="0"/>
        <w:widowControl w:val="0"/>
        <w:kinsoku/>
        <w:wordWrap/>
        <w:overflowPunct/>
        <w:topLinePunct w:val="0"/>
        <w:autoSpaceDE/>
        <w:autoSpaceDN/>
        <w:bidi w:val="0"/>
        <w:adjustRightInd w:val="0"/>
        <w:snapToGrid w:val="0"/>
        <w:spacing w:before="0" w:after="0" w:line="240" w:lineRule="auto"/>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第三节 政府采购合同专用条款</w:t>
      </w:r>
      <w:bookmarkEnd w:id="98"/>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2453"/>
        <w:gridCol w:w="4459"/>
      </w:tblGrid>
      <w:tr w14:paraId="4986D4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558EDE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0BFC20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第1.2（</w:t>
            </w:r>
            <w:r>
              <w:rPr>
                <w:rFonts w:hint="eastAsia" w:ascii="宋体" w:hAnsi="宋体" w:eastAsia="宋体" w:cs="宋体"/>
                <w:sz w:val="22"/>
                <w:szCs w:val="22"/>
                <w:lang w:val="en-US" w:eastAsia="zh-CN"/>
              </w:rPr>
              <w:t>6</w:t>
            </w:r>
            <w:r>
              <w:rPr>
                <w:rFonts w:hint="eastAsia" w:ascii="宋体" w:hAnsi="宋体" w:eastAsia="宋体" w:cs="宋体"/>
                <w:sz w:val="22"/>
                <w:szCs w:val="22"/>
              </w:rPr>
              <w:t>）项</w:t>
            </w:r>
          </w:p>
        </w:tc>
        <w:tc>
          <w:tcPr>
            <w:tcW w:w="2453" w:type="dxa"/>
            <w:vAlign w:val="center"/>
          </w:tcPr>
          <w:p w14:paraId="28F2BD6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联合体具体要求</w:t>
            </w:r>
          </w:p>
        </w:tc>
        <w:tc>
          <w:tcPr>
            <w:tcW w:w="4459" w:type="dxa"/>
            <w:vAlign w:val="center"/>
          </w:tcPr>
          <w:p w14:paraId="1EBE93CA">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2EAF3E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FC90C78">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2F4154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kern w:val="2"/>
                <w:sz w:val="22"/>
                <w:szCs w:val="22"/>
                <w:lang w:val="en-US" w:eastAsia="zh-CN" w:bidi="ar-SA"/>
              </w:rPr>
            </w:pPr>
            <w:r>
              <w:rPr>
                <w:rFonts w:hint="eastAsia" w:ascii="宋体" w:hAnsi="宋体" w:eastAsia="宋体" w:cs="宋体"/>
                <w:sz w:val="22"/>
                <w:szCs w:val="22"/>
              </w:rPr>
              <w:t>第1.2（</w:t>
            </w:r>
            <w:r>
              <w:rPr>
                <w:rFonts w:hint="eastAsia" w:ascii="宋体" w:hAnsi="宋体" w:eastAsia="宋体" w:cs="宋体"/>
                <w:sz w:val="22"/>
                <w:szCs w:val="22"/>
                <w:lang w:val="en-US" w:eastAsia="zh-CN"/>
              </w:rPr>
              <w:t>7</w:t>
            </w:r>
            <w:r>
              <w:rPr>
                <w:rFonts w:hint="eastAsia" w:ascii="宋体" w:hAnsi="宋体" w:eastAsia="宋体" w:cs="宋体"/>
                <w:sz w:val="22"/>
                <w:szCs w:val="22"/>
              </w:rPr>
              <w:t>）项</w:t>
            </w:r>
          </w:p>
        </w:tc>
        <w:tc>
          <w:tcPr>
            <w:tcW w:w="2453" w:type="dxa"/>
            <w:vAlign w:val="center"/>
          </w:tcPr>
          <w:p w14:paraId="4EA9294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r>
              <w:rPr>
                <w:rFonts w:hint="eastAsia" w:ascii="宋体" w:hAnsi="宋体" w:eastAsia="宋体" w:cs="宋体"/>
                <w:sz w:val="22"/>
                <w:szCs w:val="22"/>
              </w:rPr>
              <w:t>其他术语解释</w:t>
            </w:r>
          </w:p>
        </w:tc>
        <w:tc>
          <w:tcPr>
            <w:tcW w:w="4459" w:type="dxa"/>
            <w:vAlign w:val="center"/>
          </w:tcPr>
          <w:p w14:paraId="480484E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6C0094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6CCC9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5627E3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4.4款</w:t>
            </w:r>
          </w:p>
        </w:tc>
        <w:tc>
          <w:tcPr>
            <w:tcW w:w="2453" w:type="dxa"/>
            <w:vAlign w:val="center"/>
          </w:tcPr>
          <w:p w14:paraId="2C68CEC5">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履约验收中甲方提出异议或作出说明的期限</w:t>
            </w:r>
          </w:p>
        </w:tc>
        <w:tc>
          <w:tcPr>
            <w:tcW w:w="4459" w:type="dxa"/>
            <w:vAlign w:val="center"/>
          </w:tcPr>
          <w:p w14:paraId="5F2F000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6EC9CF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06C1FF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615F9F6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4.6款</w:t>
            </w:r>
          </w:p>
        </w:tc>
        <w:tc>
          <w:tcPr>
            <w:tcW w:w="2453" w:type="dxa"/>
            <w:vAlign w:val="center"/>
          </w:tcPr>
          <w:p w14:paraId="10265D49">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约定甲方承担的其他义务和责任</w:t>
            </w:r>
          </w:p>
        </w:tc>
        <w:tc>
          <w:tcPr>
            <w:tcW w:w="4459" w:type="dxa"/>
            <w:vAlign w:val="center"/>
          </w:tcPr>
          <w:p w14:paraId="19CBE56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00D80C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689E0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第二节</w:t>
            </w:r>
          </w:p>
          <w:p w14:paraId="62C48CB1">
            <w:pPr>
              <w:pageBreakBefore w:val="0"/>
              <w:kinsoku/>
              <w:wordWrap/>
              <w:overflowPunct/>
              <w:topLinePunct w:val="0"/>
              <w:bidi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5.4款</w:t>
            </w:r>
          </w:p>
        </w:tc>
        <w:tc>
          <w:tcPr>
            <w:tcW w:w="2453" w:type="dxa"/>
            <w:vAlign w:val="center"/>
          </w:tcPr>
          <w:p w14:paraId="292FF50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约定乙方承担的其他义务和责任</w:t>
            </w:r>
          </w:p>
        </w:tc>
        <w:tc>
          <w:tcPr>
            <w:tcW w:w="4459" w:type="dxa"/>
            <w:vAlign w:val="center"/>
          </w:tcPr>
          <w:p w14:paraId="1800239D">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4782F5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F8DF51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第二节</w:t>
            </w:r>
          </w:p>
          <w:p w14:paraId="55EE1F75">
            <w:pPr>
              <w:pageBreakBefore w:val="0"/>
              <w:kinsoku/>
              <w:wordWrap/>
              <w:overflowPunct/>
              <w:topLinePunct w:val="0"/>
              <w:bidi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6.1款</w:t>
            </w:r>
          </w:p>
        </w:tc>
        <w:tc>
          <w:tcPr>
            <w:tcW w:w="2453" w:type="dxa"/>
            <w:vAlign w:val="center"/>
          </w:tcPr>
          <w:p w14:paraId="6966FEA4">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履行合同义务的顺序</w:t>
            </w:r>
          </w:p>
        </w:tc>
        <w:tc>
          <w:tcPr>
            <w:tcW w:w="4459" w:type="dxa"/>
            <w:vAlign w:val="center"/>
          </w:tcPr>
          <w:p w14:paraId="27E9396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2A47D8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2FD687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566845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7</w:t>
            </w:r>
            <w:r>
              <w:rPr>
                <w:rFonts w:hint="eastAsia" w:ascii="宋体" w:hAnsi="宋体" w:eastAsia="宋体" w:cs="宋体"/>
                <w:sz w:val="22"/>
                <w:szCs w:val="22"/>
              </w:rPr>
              <w:t>.1</w:t>
            </w:r>
            <w:r>
              <w:rPr>
                <w:rFonts w:hint="eastAsia" w:ascii="宋体" w:hAnsi="宋体" w:eastAsia="宋体" w:cs="宋体"/>
                <w:sz w:val="22"/>
                <w:szCs w:val="22"/>
                <w:lang w:val="en-US" w:eastAsia="zh-CN"/>
              </w:rPr>
              <w:t>款</w:t>
            </w:r>
          </w:p>
        </w:tc>
        <w:tc>
          <w:tcPr>
            <w:tcW w:w="2453" w:type="dxa"/>
            <w:vAlign w:val="center"/>
          </w:tcPr>
          <w:p w14:paraId="2CF2BEF1">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包装</w:t>
            </w:r>
            <w:r>
              <w:rPr>
                <w:rFonts w:hint="eastAsia" w:ascii="宋体" w:hAnsi="宋体" w:eastAsia="宋体" w:cs="宋体"/>
                <w:sz w:val="22"/>
                <w:szCs w:val="22"/>
                <w:lang w:eastAsia="zh-CN"/>
              </w:rPr>
              <w:t>特殊要求</w:t>
            </w:r>
          </w:p>
        </w:tc>
        <w:tc>
          <w:tcPr>
            <w:tcW w:w="4459" w:type="dxa"/>
            <w:vAlign w:val="center"/>
          </w:tcPr>
          <w:p w14:paraId="260E7C18">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790E7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7239C0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2453" w:type="dxa"/>
            <w:vAlign w:val="center"/>
          </w:tcPr>
          <w:p w14:paraId="44E1254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指定现场</w:t>
            </w:r>
          </w:p>
        </w:tc>
        <w:tc>
          <w:tcPr>
            <w:tcW w:w="4459" w:type="dxa"/>
            <w:vAlign w:val="center"/>
          </w:tcPr>
          <w:p w14:paraId="36F110AC">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37DD08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79D7EA0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68F0B1A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7</w:t>
            </w:r>
            <w:r>
              <w:rPr>
                <w:rFonts w:hint="eastAsia" w:ascii="宋体" w:hAnsi="宋体" w:eastAsia="宋体" w:cs="宋体"/>
                <w:sz w:val="22"/>
                <w:szCs w:val="22"/>
              </w:rPr>
              <w:t>.2</w:t>
            </w:r>
            <w:r>
              <w:rPr>
                <w:rFonts w:hint="eastAsia" w:ascii="宋体" w:hAnsi="宋体" w:eastAsia="宋体" w:cs="宋体"/>
                <w:sz w:val="22"/>
                <w:szCs w:val="22"/>
                <w:lang w:val="en-US" w:eastAsia="zh-CN"/>
              </w:rPr>
              <w:t>款</w:t>
            </w:r>
          </w:p>
        </w:tc>
        <w:tc>
          <w:tcPr>
            <w:tcW w:w="2453" w:type="dxa"/>
            <w:vAlign w:val="center"/>
          </w:tcPr>
          <w:p w14:paraId="1202F45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运输特殊要求</w:t>
            </w:r>
          </w:p>
        </w:tc>
        <w:tc>
          <w:tcPr>
            <w:tcW w:w="4459" w:type="dxa"/>
            <w:vAlign w:val="center"/>
          </w:tcPr>
          <w:p w14:paraId="2D46D460">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198ECF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A6647C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60CA4E2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7</w:t>
            </w:r>
            <w:r>
              <w:rPr>
                <w:rFonts w:hint="eastAsia" w:ascii="宋体" w:hAnsi="宋体" w:eastAsia="宋体" w:cs="宋体"/>
                <w:sz w:val="22"/>
                <w:szCs w:val="22"/>
              </w:rPr>
              <w:t>.3</w:t>
            </w:r>
            <w:r>
              <w:rPr>
                <w:rFonts w:hint="eastAsia" w:ascii="宋体" w:hAnsi="宋体" w:eastAsia="宋体" w:cs="宋体"/>
                <w:sz w:val="22"/>
                <w:szCs w:val="22"/>
                <w:lang w:val="en-US" w:eastAsia="zh-CN"/>
              </w:rPr>
              <w:t>款</w:t>
            </w:r>
          </w:p>
        </w:tc>
        <w:tc>
          <w:tcPr>
            <w:tcW w:w="2453" w:type="dxa"/>
            <w:vAlign w:val="center"/>
          </w:tcPr>
          <w:p w14:paraId="404FACE9">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保险要求</w:t>
            </w:r>
          </w:p>
        </w:tc>
        <w:tc>
          <w:tcPr>
            <w:tcW w:w="4459" w:type="dxa"/>
            <w:vAlign w:val="center"/>
          </w:tcPr>
          <w:p w14:paraId="7C0430E2">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39F2DD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D27D2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5DF6D81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8</w:t>
            </w:r>
            <w:r>
              <w:rPr>
                <w:rFonts w:hint="eastAsia" w:ascii="宋体" w:hAnsi="宋体" w:eastAsia="宋体" w:cs="宋体"/>
                <w:sz w:val="22"/>
                <w:szCs w:val="22"/>
              </w:rPr>
              <w:t>.2（1）项</w:t>
            </w:r>
          </w:p>
        </w:tc>
        <w:tc>
          <w:tcPr>
            <w:tcW w:w="2453" w:type="dxa"/>
            <w:vAlign w:val="center"/>
          </w:tcPr>
          <w:p w14:paraId="36CD2D28">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质量保证期</w:t>
            </w:r>
          </w:p>
        </w:tc>
        <w:tc>
          <w:tcPr>
            <w:tcW w:w="4459" w:type="dxa"/>
            <w:vAlign w:val="center"/>
          </w:tcPr>
          <w:p w14:paraId="5D2FFD69">
            <w:pPr>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sz w:val="22"/>
                <w:szCs w:val="22"/>
              </w:rPr>
            </w:pPr>
          </w:p>
        </w:tc>
      </w:tr>
      <w:tr w14:paraId="00134C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E74B1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231714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8</w:t>
            </w:r>
            <w:r>
              <w:rPr>
                <w:rFonts w:hint="eastAsia" w:ascii="宋体" w:hAnsi="宋体" w:eastAsia="宋体" w:cs="宋体"/>
                <w:sz w:val="22"/>
                <w:szCs w:val="22"/>
              </w:rPr>
              <w:t>.2（3）项</w:t>
            </w:r>
          </w:p>
        </w:tc>
        <w:tc>
          <w:tcPr>
            <w:tcW w:w="2453" w:type="dxa"/>
            <w:vAlign w:val="center"/>
          </w:tcPr>
          <w:p w14:paraId="5EC61FD5">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货物质量缺陷</w:t>
            </w:r>
          </w:p>
          <w:p w14:paraId="4E7D504D">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响应时间</w:t>
            </w:r>
          </w:p>
        </w:tc>
        <w:tc>
          <w:tcPr>
            <w:tcW w:w="4459" w:type="dxa"/>
            <w:vAlign w:val="center"/>
          </w:tcPr>
          <w:p w14:paraId="1CD68F5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73A8D0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00141F">
            <w:pPr>
              <w:pageBreakBefore w:val="0"/>
              <w:kinsoku/>
              <w:wordWrap/>
              <w:overflowPunct/>
              <w:topLinePunct w:val="0"/>
              <w:bidi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第二节</w:t>
            </w:r>
          </w:p>
          <w:p w14:paraId="3F4608BD">
            <w:pPr>
              <w:pStyle w:val="73"/>
              <w:pageBreakBefore w:val="0"/>
              <w:kinsoku/>
              <w:wordWrap/>
              <w:overflowPunct/>
              <w:topLinePunct w:val="0"/>
              <w:bidi w:val="0"/>
              <w:spacing w:line="240" w:lineRule="auto"/>
              <w:ind w:firstLine="0" w:firstLineChars="0"/>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第11.1款</w:t>
            </w:r>
          </w:p>
        </w:tc>
        <w:tc>
          <w:tcPr>
            <w:tcW w:w="2453" w:type="dxa"/>
            <w:vAlign w:val="center"/>
          </w:tcPr>
          <w:p w14:paraId="4B4D87A9">
            <w:pPr>
              <w:pageBreakBefore w:val="0"/>
              <w:kinsoku/>
              <w:wordWrap/>
              <w:overflowPunct/>
              <w:topLinePunct w:val="0"/>
              <w:bidi w:val="0"/>
              <w:adjustRightInd w:val="0"/>
              <w:snapToGrid w:val="0"/>
              <w:spacing w:line="240" w:lineRule="auto"/>
              <w:jc w:val="both"/>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其他应当保密的信息</w:t>
            </w:r>
          </w:p>
        </w:tc>
        <w:tc>
          <w:tcPr>
            <w:tcW w:w="4459" w:type="dxa"/>
            <w:vAlign w:val="center"/>
          </w:tcPr>
          <w:p w14:paraId="228E37C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410173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46D8CE7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477E1B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2</w:t>
            </w:r>
            <w:r>
              <w:rPr>
                <w:rFonts w:hint="eastAsia" w:ascii="宋体" w:hAnsi="宋体" w:eastAsia="宋体" w:cs="宋体"/>
                <w:sz w:val="22"/>
                <w:szCs w:val="22"/>
              </w:rPr>
              <w:t>.2款</w:t>
            </w:r>
          </w:p>
        </w:tc>
        <w:tc>
          <w:tcPr>
            <w:tcW w:w="2453" w:type="dxa"/>
            <w:vAlign w:val="center"/>
          </w:tcPr>
          <w:p w14:paraId="22B8D6F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rPr>
              <w:t>合同价款支付</w:t>
            </w:r>
            <w:r>
              <w:rPr>
                <w:rFonts w:hint="eastAsia" w:ascii="宋体" w:hAnsi="宋体" w:eastAsia="宋体" w:cs="宋体"/>
                <w:sz w:val="22"/>
                <w:szCs w:val="22"/>
                <w:lang w:eastAsia="zh-CN"/>
              </w:rPr>
              <w:t>时间</w:t>
            </w:r>
          </w:p>
        </w:tc>
        <w:tc>
          <w:tcPr>
            <w:tcW w:w="4459" w:type="dxa"/>
            <w:vAlign w:val="center"/>
          </w:tcPr>
          <w:p w14:paraId="39E6846C">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6A7CDC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F3DE89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B28422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13.2</w:t>
            </w:r>
            <w:r>
              <w:rPr>
                <w:rFonts w:hint="eastAsia" w:ascii="宋体" w:hAnsi="宋体" w:eastAsia="宋体" w:cs="宋体"/>
                <w:sz w:val="22"/>
                <w:szCs w:val="22"/>
              </w:rPr>
              <w:t>款</w:t>
            </w:r>
          </w:p>
        </w:tc>
        <w:tc>
          <w:tcPr>
            <w:tcW w:w="2453" w:type="dxa"/>
            <w:vAlign w:val="center"/>
          </w:tcPr>
          <w:p w14:paraId="31D7062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履约保证金不予退还的情形</w:t>
            </w:r>
          </w:p>
        </w:tc>
        <w:tc>
          <w:tcPr>
            <w:tcW w:w="4459" w:type="dxa"/>
            <w:vAlign w:val="center"/>
          </w:tcPr>
          <w:p w14:paraId="61BEFDB0">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7C8495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FCC4F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04761DC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13.3</w:t>
            </w:r>
            <w:r>
              <w:rPr>
                <w:rFonts w:hint="eastAsia" w:ascii="宋体" w:hAnsi="宋体" w:eastAsia="宋体" w:cs="宋体"/>
                <w:sz w:val="22"/>
                <w:szCs w:val="22"/>
              </w:rPr>
              <w:t>款</w:t>
            </w:r>
          </w:p>
        </w:tc>
        <w:tc>
          <w:tcPr>
            <w:tcW w:w="2453" w:type="dxa"/>
            <w:vAlign w:val="center"/>
          </w:tcPr>
          <w:p w14:paraId="1E41D6F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履约保证金退还时间及</w:t>
            </w:r>
            <w:r>
              <w:rPr>
                <w:rFonts w:hint="eastAsia" w:ascii="宋体" w:hAnsi="宋体" w:eastAsia="宋体" w:cs="宋体"/>
                <w:sz w:val="22"/>
                <w:szCs w:val="22"/>
                <w:lang w:eastAsia="zh-CN"/>
              </w:rPr>
              <w:t>逾期退还的</w:t>
            </w:r>
            <w:r>
              <w:rPr>
                <w:rFonts w:hint="eastAsia" w:ascii="宋体" w:hAnsi="宋体" w:eastAsia="宋体" w:cs="宋体"/>
                <w:sz w:val="22"/>
                <w:szCs w:val="22"/>
              </w:rPr>
              <w:t>违约金</w:t>
            </w:r>
          </w:p>
        </w:tc>
        <w:tc>
          <w:tcPr>
            <w:tcW w:w="4459" w:type="dxa"/>
            <w:vAlign w:val="center"/>
          </w:tcPr>
          <w:p w14:paraId="4A0CC530">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0B261F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796ABA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16DA07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4</w:t>
            </w:r>
            <w:r>
              <w:rPr>
                <w:rFonts w:hint="eastAsia" w:ascii="宋体" w:hAnsi="宋体" w:eastAsia="宋体" w:cs="宋体"/>
                <w:sz w:val="22"/>
                <w:szCs w:val="22"/>
              </w:rPr>
              <w:t>.1（</w:t>
            </w:r>
            <w:r>
              <w:rPr>
                <w:rFonts w:hint="eastAsia" w:ascii="宋体" w:hAnsi="宋体" w:eastAsia="宋体" w:cs="宋体"/>
                <w:sz w:val="22"/>
                <w:szCs w:val="22"/>
                <w:lang w:val="en-US" w:eastAsia="zh-CN"/>
              </w:rPr>
              <w:t>3</w:t>
            </w:r>
            <w:r>
              <w:rPr>
                <w:rFonts w:hint="eastAsia" w:ascii="宋体" w:hAnsi="宋体" w:eastAsia="宋体" w:cs="宋体"/>
                <w:sz w:val="22"/>
                <w:szCs w:val="22"/>
              </w:rPr>
              <w:t>）项</w:t>
            </w:r>
          </w:p>
        </w:tc>
        <w:tc>
          <w:tcPr>
            <w:tcW w:w="2453" w:type="dxa"/>
            <w:vAlign w:val="center"/>
          </w:tcPr>
          <w:p w14:paraId="63075AAC">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运行监督、维修期限</w:t>
            </w:r>
          </w:p>
        </w:tc>
        <w:tc>
          <w:tcPr>
            <w:tcW w:w="4459" w:type="dxa"/>
            <w:vAlign w:val="center"/>
          </w:tcPr>
          <w:p w14:paraId="096E5451">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69F042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E38032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8CC04C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4</w:t>
            </w:r>
            <w:r>
              <w:rPr>
                <w:rFonts w:hint="eastAsia" w:ascii="宋体" w:hAnsi="宋体" w:eastAsia="宋体" w:cs="宋体"/>
                <w:sz w:val="22"/>
                <w:szCs w:val="22"/>
              </w:rPr>
              <w:t>.1（</w:t>
            </w:r>
            <w:r>
              <w:rPr>
                <w:rFonts w:hint="eastAsia" w:ascii="宋体" w:hAnsi="宋体" w:eastAsia="宋体" w:cs="宋体"/>
                <w:sz w:val="22"/>
                <w:szCs w:val="22"/>
                <w:lang w:val="en-US" w:eastAsia="zh-CN"/>
              </w:rPr>
              <w:t>5</w:t>
            </w:r>
            <w:r>
              <w:rPr>
                <w:rFonts w:hint="eastAsia" w:ascii="宋体" w:hAnsi="宋体" w:eastAsia="宋体" w:cs="宋体"/>
                <w:sz w:val="22"/>
                <w:szCs w:val="22"/>
              </w:rPr>
              <w:t>）项</w:t>
            </w:r>
          </w:p>
        </w:tc>
        <w:tc>
          <w:tcPr>
            <w:tcW w:w="2453" w:type="dxa"/>
            <w:vAlign w:val="center"/>
          </w:tcPr>
          <w:p w14:paraId="76AE5F65">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货物回收的约定</w:t>
            </w:r>
          </w:p>
        </w:tc>
        <w:tc>
          <w:tcPr>
            <w:tcW w:w="4459" w:type="dxa"/>
            <w:vAlign w:val="center"/>
          </w:tcPr>
          <w:p w14:paraId="1C24741A">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24F0C0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15E9F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26D940A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4</w:t>
            </w:r>
            <w:r>
              <w:rPr>
                <w:rFonts w:hint="eastAsia" w:ascii="宋体" w:hAnsi="宋体" w:eastAsia="宋体" w:cs="宋体"/>
                <w:sz w:val="22"/>
                <w:szCs w:val="22"/>
              </w:rPr>
              <w:t>.1（</w:t>
            </w:r>
            <w:r>
              <w:rPr>
                <w:rFonts w:hint="eastAsia" w:ascii="宋体" w:hAnsi="宋体" w:eastAsia="宋体" w:cs="宋体"/>
                <w:sz w:val="22"/>
                <w:szCs w:val="22"/>
                <w:lang w:val="en-US" w:eastAsia="zh-CN"/>
              </w:rPr>
              <w:t>6</w:t>
            </w:r>
            <w:r>
              <w:rPr>
                <w:rFonts w:hint="eastAsia" w:ascii="宋体" w:hAnsi="宋体" w:eastAsia="宋体" w:cs="宋体"/>
                <w:sz w:val="22"/>
                <w:szCs w:val="22"/>
              </w:rPr>
              <w:t>）项</w:t>
            </w:r>
          </w:p>
        </w:tc>
        <w:tc>
          <w:tcPr>
            <w:tcW w:w="2453" w:type="dxa"/>
            <w:vAlign w:val="center"/>
          </w:tcPr>
          <w:p w14:paraId="4C03E4EE">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乙方提供的其他服务</w:t>
            </w:r>
          </w:p>
        </w:tc>
        <w:tc>
          <w:tcPr>
            <w:tcW w:w="4459" w:type="dxa"/>
            <w:vAlign w:val="center"/>
          </w:tcPr>
          <w:p w14:paraId="112B530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6D5481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ECE1A6">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43CED0F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w:t>
            </w:r>
            <w:r>
              <w:rPr>
                <w:rFonts w:hint="eastAsia" w:ascii="宋体" w:hAnsi="宋体" w:eastAsia="宋体" w:cs="宋体"/>
                <w:sz w:val="22"/>
                <w:szCs w:val="22"/>
                <w:lang w:val="en-US" w:eastAsia="zh-CN"/>
              </w:rPr>
              <w:t>1款</w:t>
            </w:r>
          </w:p>
        </w:tc>
        <w:tc>
          <w:tcPr>
            <w:tcW w:w="2453" w:type="dxa"/>
            <w:vAlign w:val="center"/>
          </w:tcPr>
          <w:p w14:paraId="6660BF1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color w:val="auto"/>
                <w:sz w:val="22"/>
                <w:szCs w:val="22"/>
                <w:highlight w:val="none"/>
                <w:lang w:eastAsia="zh-CN"/>
              </w:rPr>
              <w:t>修理、重作、更换相关具体规定</w:t>
            </w:r>
          </w:p>
        </w:tc>
        <w:tc>
          <w:tcPr>
            <w:tcW w:w="4459" w:type="dxa"/>
            <w:vAlign w:val="center"/>
          </w:tcPr>
          <w:p w14:paraId="2A9CD73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082889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A6D2D5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B6B13C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.2（2）项</w:t>
            </w:r>
          </w:p>
        </w:tc>
        <w:tc>
          <w:tcPr>
            <w:tcW w:w="2453" w:type="dxa"/>
            <w:vAlign w:val="center"/>
          </w:tcPr>
          <w:p w14:paraId="10D473E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迟延交货赔偿费</w:t>
            </w:r>
          </w:p>
        </w:tc>
        <w:tc>
          <w:tcPr>
            <w:tcW w:w="4459" w:type="dxa"/>
            <w:vAlign w:val="center"/>
          </w:tcPr>
          <w:p w14:paraId="39A4B64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u w:val="single"/>
              </w:rPr>
            </w:pPr>
          </w:p>
        </w:tc>
      </w:tr>
      <w:tr w14:paraId="6EA06E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713A2E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1431AD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w:t>
            </w:r>
            <w:r>
              <w:rPr>
                <w:rFonts w:hint="eastAsia" w:ascii="宋体" w:hAnsi="宋体" w:eastAsia="宋体" w:cs="宋体"/>
                <w:sz w:val="22"/>
                <w:szCs w:val="22"/>
                <w:lang w:val="en-US" w:eastAsia="zh-CN"/>
              </w:rPr>
              <w:t>3款</w:t>
            </w:r>
          </w:p>
        </w:tc>
        <w:tc>
          <w:tcPr>
            <w:tcW w:w="2453" w:type="dxa"/>
            <w:vAlign w:val="center"/>
          </w:tcPr>
          <w:p w14:paraId="568FCBDE">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逾期付款利息</w:t>
            </w:r>
          </w:p>
        </w:tc>
        <w:tc>
          <w:tcPr>
            <w:tcW w:w="4459" w:type="dxa"/>
            <w:vAlign w:val="center"/>
          </w:tcPr>
          <w:p w14:paraId="2E945428">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u w:val="single"/>
              </w:rPr>
            </w:pPr>
          </w:p>
        </w:tc>
      </w:tr>
      <w:tr w14:paraId="2C2F49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E7AB09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5EDBA866">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.4</w:t>
            </w:r>
            <w:r>
              <w:rPr>
                <w:rFonts w:hint="eastAsia" w:ascii="宋体" w:hAnsi="宋体" w:eastAsia="宋体" w:cs="宋体"/>
                <w:sz w:val="22"/>
                <w:szCs w:val="22"/>
                <w:lang w:val="en-US" w:eastAsia="zh-CN"/>
              </w:rPr>
              <w:t>款</w:t>
            </w:r>
          </w:p>
        </w:tc>
        <w:tc>
          <w:tcPr>
            <w:tcW w:w="2453" w:type="dxa"/>
            <w:tcBorders>
              <w:left w:val="single" w:color="auto" w:sz="2" w:space="0"/>
              <w:bottom w:val="single" w:color="auto" w:sz="2" w:space="0"/>
              <w:right w:val="single" w:color="auto" w:sz="2" w:space="0"/>
            </w:tcBorders>
            <w:vAlign w:val="center"/>
          </w:tcPr>
          <w:p w14:paraId="65CCEC59">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其他违约责任</w:t>
            </w:r>
          </w:p>
        </w:tc>
        <w:tc>
          <w:tcPr>
            <w:tcW w:w="4459" w:type="dxa"/>
            <w:tcBorders>
              <w:left w:val="single" w:color="auto" w:sz="2" w:space="0"/>
              <w:bottom w:val="single" w:color="auto" w:sz="2" w:space="0"/>
            </w:tcBorders>
            <w:vAlign w:val="center"/>
          </w:tcPr>
          <w:p w14:paraId="688B4CC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u w:val="single"/>
              </w:rPr>
            </w:pPr>
          </w:p>
        </w:tc>
      </w:tr>
      <w:tr w14:paraId="21234C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47FB9B7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0AB420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19</w:t>
            </w:r>
            <w:r>
              <w:rPr>
                <w:rFonts w:hint="eastAsia" w:ascii="宋体" w:hAnsi="宋体" w:eastAsia="宋体" w:cs="宋体"/>
                <w:sz w:val="22"/>
                <w:szCs w:val="22"/>
              </w:rPr>
              <w:t>.2</w:t>
            </w:r>
            <w:r>
              <w:rPr>
                <w:rFonts w:hint="eastAsia" w:ascii="宋体" w:hAnsi="宋体" w:eastAsia="宋体" w:cs="宋体"/>
                <w:sz w:val="22"/>
                <w:szCs w:val="22"/>
                <w:lang w:val="en-US" w:eastAsia="zh-CN"/>
              </w:rPr>
              <w:t>款</w:t>
            </w:r>
          </w:p>
        </w:tc>
        <w:tc>
          <w:tcPr>
            <w:tcW w:w="2453" w:type="dxa"/>
            <w:tcBorders>
              <w:top w:val="single" w:color="auto" w:sz="2" w:space="0"/>
              <w:left w:val="single" w:color="auto" w:sz="2" w:space="0"/>
              <w:right w:val="single" w:color="auto" w:sz="2" w:space="0"/>
            </w:tcBorders>
            <w:vAlign w:val="center"/>
          </w:tcPr>
          <w:p w14:paraId="718C532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解决争议的方法</w:t>
            </w:r>
          </w:p>
        </w:tc>
        <w:tc>
          <w:tcPr>
            <w:tcW w:w="4459" w:type="dxa"/>
            <w:tcBorders>
              <w:top w:val="single" w:color="auto" w:sz="2" w:space="0"/>
              <w:left w:val="single" w:color="auto" w:sz="2" w:space="0"/>
            </w:tcBorders>
            <w:vAlign w:val="center"/>
          </w:tcPr>
          <w:p w14:paraId="63FAC438">
            <w:pPr>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val="0"/>
                <w:bCs w:val="0"/>
                <w:iCs/>
                <w:sz w:val="22"/>
                <w:szCs w:val="22"/>
              </w:rPr>
            </w:pPr>
            <w:r>
              <w:rPr>
                <w:rFonts w:hint="eastAsia" w:ascii="宋体" w:hAnsi="宋体" w:eastAsia="宋体" w:cs="宋体"/>
                <w:b w:val="0"/>
                <w:bCs w:val="0"/>
                <w:iCs/>
                <w:sz w:val="22"/>
                <w:szCs w:val="22"/>
              </w:rPr>
              <w:t>因本合同及合同有关事项发生的争议，按下列第</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种方式解决：</w:t>
            </w:r>
          </w:p>
          <w:p w14:paraId="679BC7E2">
            <w:pPr>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val="0"/>
                <w:bCs w:val="0"/>
                <w:iCs/>
                <w:sz w:val="22"/>
                <w:szCs w:val="22"/>
              </w:rPr>
            </w:pPr>
            <w:r>
              <w:rPr>
                <w:rFonts w:hint="eastAsia" w:ascii="宋体" w:hAnsi="宋体" w:eastAsia="宋体" w:cs="宋体"/>
                <w:b w:val="0"/>
                <w:bCs w:val="0"/>
                <w:iCs/>
                <w:sz w:val="22"/>
                <w:szCs w:val="22"/>
              </w:rPr>
              <w:t>（1）向</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仲裁委员会申请仲裁，仲裁地点为</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w:t>
            </w:r>
          </w:p>
          <w:p w14:paraId="032F1F8D">
            <w:pPr>
              <w:pageBreakBefore w:val="0"/>
              <w:kinsoku/>
              <w:wordWrap/>
              <w:overflowPunct/>
              <w:topLinePunct w:val="0"/>
              <w:bidi w:val="0"/>
              <w:adjustRightInd w:val="0"/>
              <w:snapToGrid w:val="0"/>
              <w:spacing w:line="240" w:lineRule="auto"/>
              <w:ind w:firstLine="0" w:firstLineChars="0"/>
              <w:jc w:val="left"/>
              <w:textAlignment w:val="auto"/>
              <w:outlineLvl w:val="9"/>
              <w:rPr>
                <w:rFonts w:hint="eastAsia" w:ascii="宋体" w:hAnsi="宋体" w:eastAsia="宋体" w:cs="宋体"/>
                <w:sz w:val="22"/>
                <w:szCs w:val="22"/>
                <w:u w:val="single"/>
              </w:rPr>
            </w:pPr>
            <w:r>
              <w:rPr>
                <w:rFonts w:hint="eastAsia" w:ascii="宋体" w:hAnsi="宋体" w:eastAsia="宋体" w:cs="宋体"/>
                <w:b w:val="0"/>
                <w:bCs w:val="0"/>
                <w:iCs/>
                <w:sz w:val="22"/>
                <w:szCs w:val="22"/>
              </w:rPr>
              <w:t>（2）向</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人民法院起诉。</w:t>
            </w:r>
          </w:p>
        </w:tc>
      </w:tr>
      <w:tr w14:paraId="04DE4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AA7169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2489A02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第2</w:t>
            </w:r>
            <w:r>
              <w:rPr>
                <w:rFonts w:hint="eastAsia" w:ascii="宋体" w:hAnsi="宋体" w:eastAsia="宋体" w:cs="宋体"/>
                <w:sz w:val="22"/>
                <w:szCs w:val="22"/>
                <w:lang w:val="en-US" w:eastAsia="zh-CN"/>
              </w:rPr>
              <w:t>3.1</w:t>
            </w:r>
            <w:r>
              <w:rPr>
                <w:rFonts w:hint="eastAsia" w:ascii="宋体" w:hAnsi="宋体" w:eastAsia="宋体" w:cs="宋体"/>
                <w:sz w:val="22"/>
                <w:szCs w:val="22"/>
                <w:lang w:eastAsia="zh-CN"/>
              </w:rPr>
              <w:t>款</w:t>
            </w:r>
          </w:p>
        </w:tc>
        <w:tc>
          <w:tcPr>
            <w:tcW w:w="2453" w:type="dxa"/>
            <w:vAlign w:val="center"/>
          </w:tcPr>
          <w:p w14:paraId="76920DA1">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bCs/>
                <w:color w:val="auto"/>
                <w:sz w:val="22"/>
                <w:szCs w:val="22"/>
                <w:highlight w:val="none"/>
                <w:lang w:eastAsia="zh-CN"/>
              </w:rPr>
              <w:t>其他专用条款</w:t>
            </w:r>
          </w:p>
        </w:tc>
        <w:tc>
          <w:tcPr>
            <w:tcW w:w="4459" w:type="dxa"/>
            <w:vAlign w:val="center"/>
          </w:tcPr>
          <w:p w14:paraId="61A4382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p>
        </w:tc>
      </w:tr>
    </w:tbl>
    <w:p w14:paraId="6ACB476F">
      <w:pPr>
        <w:pageBreakBefore w:val="0"/>
        <w:kinsoku/>
        <w:wordWrap/>
        <w:overflowPunct/>
        <w:topLinePunct w:val="0"/>
        <w:autoSpaceDE w:val="0"/>
        <w:autoSpaceDN w:val="0"/>
        <w:bidi w:val="0"/>
        <w:adjustRightInd w:val="0"/>
        <w:snapToGrid w:val="0"/>
        <w:spacing w:line="240" w:lineRule="auto"/>
        <w:ind w:firstLine="482"/>
        <w:textAlignment w:val="auto"/>
        <w:outlineLvl w:val="9"/>
        <w:rPr>
          <w:rFonts w:hint="eastAsia" w:ascii="宋体" w:hAnsi="宋体" w:eastAsia="宋体" w:cs="宋体"/>
          <w:color w:val="auto"/>
          <w:sz w:val="22"/>
          <w:szCs w:val="22"/>
        </w:rPr>
      </w:pPr>
    </w:p>
    <w:p w14:paraId="0B5DAB6E">
      <w:pPr>
        <w:pageBreakBefore w:val="0"/>
        <w:kinsoku/>
        <w:wordWrap/>
        <w:overflowPunct/>
        <w:topLinePunct w:val="0"/>
        <w:autoSpaceDE w:val="0"/>
        <w:autoSpaceDN w:val="0"/>
        <w:bidi w:val="0"/>
        <w:adjustRightInd w:val="0"/>
        <w:snapToGrid w:val="0"/>
        <w:spacing w:line="240" w:lineRule="auto"/>
        <w:textAlignment w:val="auto"/>
        <w:outlineLvl w:val="9"/>
        <w:rPr>
          <w:rFonts w:hint="eastAsia" w:ascii="宋体" w:hAnsi="宋体" w:eastAsia="宋体" w:cs="宋体"/>
          <w:color w:val="auto"/>
          <w:sz w:val="22"/>
          <w:szCs w:val="22"/>
          <w:lang w:val="zh-CN"/>
        </w:rPr>
      </w:pPr>
      <w:r>
        <w:rPr>
          <w:rFonts w:hint="eastAsia" w:ascii="宋体" w:hAnsi="宋体" w:eastAsia="宋体" w:cs="宋体"/>
          <w:color w:val="auto"/>
          <w:sz w:val="22"/>
          <w:szCs w:val="22"/>
        </w:rPr>
        <w:br w:type="page"/>
      </w:r>
    </w:p>
    <w:p w14:paraId="2FA760FA">
      <w:pPr>
        <w:pageBreakBefore w:val="0"/>
        <w:kinsoku/>
        <w:wordWrap/>
        <w:overflowPunct/>
        <w:topLinePunct w:val="0"/>
        <w:bidi w:val="0"/>
        <w:spacing w:line="240" w:lineRule="auto"/>
        <w:jc w:val="center"/>
        <w:outlineLvl w:val="0"/>
        <w:rPr>
          <w:rFonts w:hint="eastAsia" w:ascii="宋体" w:hAnsi="宋体" w:eastAsia="宋体" w:cs="宋体"/>
          <w:b/>
          <w:bCs/>
          <w:color w:val="auto"/>
          <w:kern w:val="44"/>
          <w:sz w:val="44"/>
          <w:szCs w:val="44"/>
          <w:highlight w:val="none"/>
        </w:rPr>
      </w:pPr>
      <w:bookmarkStart w:id="99" w:name="_Toc152045785"/>
      <w:bookmarkStart w:id="100" w:name="_Toc246996353"/>
      <w:bookmarkStart w:id="101" w:name="_Toc16884"/>
      <w:bookmarkStart w:id="102" w:name="_Toc1819"/>
      <w:bookmarkStart w:id="103" w:name="_Toc179632804"/>
      <w:bookmarkStart w:id="104" w:name="_Toc29761"/>
      <w:bookmarkStart w:id="105" w:name="_Toc246997096"/>
      <w:bookmarkStart w:id="106" w:name="_Toc144974854"/>
      <w:bookmarkStart w:id="107" w:name="_Toc152042574"/>
      <w:bookmarkStart w:id="108" w:name="_Toc247085870"/>
      <w:bookmarkStart w:id="109" w:name="_Toc32640"/>
      <w:r>
        <w:rPr>
          <w:rStyle w:val="63"/>
          <w:rFonts w:hint="eastAsia" w:ascii="宋体" w:hAnsi="宋体" w:eastAsia="宋体" w:cs="宋体"/>
          <w:color w:val="auto"/>
          <w:highlight w:val="none"/>
        </w:rPr>
        <w:t>第</w:t>
      </w:r>
      <w:r>
        <w:rPr>
          <w:rStyle w:val="63"/>
          <w:rFonts w:hint="eastAsia" w:ascii="宋体" w:hAnsi="宋体" w:eastAsia="宋体" w:cs="宋体"/>
          <w:color w:val="auto"/>
          <w:highlight w:val="none"/>
          <w:lang w:eastAsia="zh-CN"/>
        </w:rPr>
        <w:t>五</w:t>
      </w:r>
      <w:r>
        <w:rPr>
          <w:rStyle w:val="63"/>
          <w:rFonts w:hint="eastAsia" w:ascii="宋体" w:hAnsi="宋体" w:eastAsia="宋体" w:cs="宋体"/>
          <w:color w:val="auto"/>
          <w:highlight w:val="none"/>
        </w:rPr>
        <w:t xml:space="preserve">章 </w:t>
      </w:r>
      <w:bookmarkEnd w:id="99"/>
      <w:bookmarkEnd w:id="100"/>
      <w:bookmarkEnd w:id="101"/>
      <w:bookmarkEnd w:id="102"/>
      <w:bookmarkEnd w:id="103"/>
      <w:bookmarkEnd w:id="104"/>
      <w:bookmarkEnd w:id="105"/>
      <w:bookmarkEnd w:id="106"/>
      <w:bookmarkEnd w:id="107"/>
      <w:bookmarkEnd w:id="108"/>
      <w:r>
        <w:rPr>
          <w:rFonts w:hint="eastAsia" w:ascii="宋体" w:hAnsi="宋体" w:eastAsia="宋体" w:cs="宋体"/>
          <w:b/>
          <w:color w:val="auto"/>
          <w:kern w:val="44"/>
          <w:sz w:val="40"/>
          <w:szCs w:val="18"/>
          <w:highlight w:val="none"/>
          <w:lang w:val="zh-CN" w:eastAsia="zh-CN" w:bidi="ar-SA"/>
        </w:rPr>
        <w:t>技术需求</w:t>
      </w:r>
      <w:bookmarkEnd w:id="109"/>
    </w:p>
    <w:p w14:paraId="0CF4F6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color w:val="auto"/>
          <w:sz w:val="24"/>
        </w:rPr>
        <w:t xml:space="preserve"> </w:t>
      </w:r>
      <w:r>
        <w:rPr>
          <w:rFonts w:hint="eastAsia" w:ascii="宋体" w:hAnsi="宋体" w:eastAsia="宋体" w:cs="宋体"/>
          <w:b w:val="0"/>
          <w:bCs/>
          <w:color w:val="auto"/>
          <w:sz w:val="24"/>
          <w:szCs w:val="24"/>
          <w:lang w:val="en-US" w:eastAsia="zh-CN"/>
        </w:rPr>
        <w:t>1、技术需求：</w:t>
      </w:r>
    </w:p>
    <w:tbl>
      <w:tblPr>
        <w:tblStyle w:val="22"/>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67"/>
        <w:gridCol w:w="806"/>
        <w:gridCol w:w="701"/>
        <w:gridCol w:w="6469"/>
      </w:tblGrid>
      <w:tr w14:paraId="34FF3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9" w:hRule="atLeast"/>
          <w:tblHeader/>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5B2C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品种名称</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79A6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8B46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3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1E06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参数</w:t>
            </w:r>
          </w:p>
        </w:tc>
      </w:tr>
      <w:tr w14:paraId="599D7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636DC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警察男春秋常服</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389E96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497D2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312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执行标准：《GA261-2009警服 男春秋、冬常服》</w:t>
            </w:r>
          </w:p>
        </w:tc>
      </w:tr>
      <w:tr w14:paraId="05062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18231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警察女春秋常服</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0EEFB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6F74E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8F2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执行标准：《GA262-2009警服 女春秋、冬常服》</w:t>
            </w:r>
          </w:p>
        </w:tc>
      </w:tr>
      <w:tr w14:paraId="77B47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747648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警察男冬常服</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0C773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17FBB9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C8E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执行标准：《GA261-2009警服 男春秋、冬常服》</w:t>
            </w:r>
          </w:p>
        </w:tc>
      </w:tr>
      <w:tr w14:paraId="3BD0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7EB82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警察女冬常服</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100EF6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080309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A97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执行标准：《GA262-2009警服 女春秋、冬常服》</w:t>
            </w:r>
          </w:p>
        </w:tc>
      </w:tr>
      <w:tr w14:paraId="6A07E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596846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警察男冬季执勤服（套装）</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6B5E1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6AA35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1367</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E66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参数：面料：毛涤缎背哔叽：毛70%、涤26%（含导电纤维）、氨纶4%,质量:236g/㎡,12.5tex×2/12.5tex×2（Nm80/2×Nm80/2），上衣里料：防静电涤纶长丝绸，经84dtex/48f(FDY),20dtex导电丝，纬84dtex/36f(FDY) ；内胆里料：防静电涤纶平纹绸：100%涤纶，68D×68D，密度460×360，质量64g/㎡；内胆：大身絮片200g/㎡，袖子絮片150g/㎡超细纤维絮片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执行标准：《GA565-2009 警服 冬执勤服》</w:t>
            </w:r>
          </w:p>
        </w:tc>
      </w:tr>
      <w:tr w14:paraId="569D6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8B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高警男冬季执勤服</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D2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39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094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参数：面料：毛涤缎背哔叽：毛70%、涤26%（含导电纤维）、氨纶4%,质量:236g/㎡,12.5tex×2/12.5tex×2（Nm80/2×Nm80/2），上衣里料：防静电涤纶长丝绸，经84dtex/48f(FDY),20dtex导电丝，纬84dtex/36f(FDY)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执行标准：《GA567-2009 警服 高级警官执勤服》</w:t>
            </w:r>
          </w:p>
        </w:tc>
      </w:tr>
      <w:tr w14:paraId="78798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54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警察男冬季执勤服（上衣）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C6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A4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1007</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9AE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参数：面料：毛涤缎背哔叽：毛70%、涤26%（含导电纤维）、氨纶4%,质量:236g/㎡,12.5tex×2/12.5tex×2（Nm80/2×Nm80/2），上衣里料：防静电涤纶长丝绸，经84dtex/48f(FDY),20dtex导电丝，纬84dtex/36f(FDY) ；内胆里料：防静电涤纶平纹绸：100%涤纶，68D×68D，密度460×360，质量64g/㎡；内胆：大身絮片200g/㎡，袖子絮片150g/㎡超细纤维絮片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执行标准：《GA565-2009 警服 冬执勤服》</w:t>
            </w:r>
          </w:p>
        </w:tc>
      </w:tr>
      <w:tr w14:paraId="31958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2D052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警察女冬季执勤服（套装）</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0B7D7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1214E8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C9F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参数：面料：毛涤缎背哔叽：毛70%、涤26%（含导电纤维）、氨纶4%,质量:236g/㎡,12.5tex×2/12.5tex×2（Nm80/2×Nm80/2），上衣里料：防静电涤纶长丝绸，经84dtex/48f(FDY),20dtex导电丝，纬84dtex/36f(FDY) ；内胆里料：防静电涤纶平纹绸：100%涤纶，68D×68D，密度460×360，质量64g/㎡；内胆：大身絮片200g/㎡，袖子絮片150g/㎡超细纤维絮片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执行标准：《GA565-2009 警服 冬执勤服》</w:t>
            </w:r>
          </w:p>
        </w:tc>
      </w:tr>
      <w:tr w14:paraId="376BB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EB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高警女冬季执勤服</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CB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58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7EC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参数：面料：毛涤缎背哔叽：毛70%、涤26%（含导电纤维）、氨纶4%,质量:236g/㎡,12.5tex×2/12.5tex×2（Nm80/2×Nm80/2），上衣里料：防静电涤纶长丝绸，经84dtex/48f(FDY),20dtex导电丝，纬84dtex/36f(FDY)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执行标准：《GA567-2009 警服 高级警官执勤服》</w:t>
            </w:r>
          </w:p>
        </w:tc>
      </w:tr>
      <w:tr w14:paraId="02982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7AC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警察女冬季执勤服（上衣）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BE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E8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371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参数：面料：毛涤缎背哔叽：毛70%、涤26%（含导电纤维）、氨纶4%,质量:236g/㎡,12.5tex×2/12.5tex×2（Nm80/2×Nm80/2），上衣里料：防静电涤纶长丝绸，经84dtex/48f(FDY),20dtex导电丝，纬84dtex/36f(FDY) ；内胆里料：防静电涤纶平纹绸：100%涤纶，68D×68D，密度460×360，质量64g/㎡；内胆：大身絮片200g/㎡，袖子絮片150g/㎡超细纤维絮片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执行标准：《GA565-2009 警服 冬执勤服》</w:t>
            </w:r>
          </w:p>
        </w:tc>
      </w:tr>
      <w:tr w14:paraId="4607D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21945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女单裤（夏）</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3EEF5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7CCBF5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D1B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参数：毛涤素花呢，毛50%，涤50%（含导电纤维）,质量：145g/㎡，9.1tex×2/16.7tex(Nm110/2×60)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执行标准：《GA258-2009 警服 单裤》</w:t>
            </w:r>
          </w:p>
        </w:tc>
      </w:tr>
      <w:tr w14:paraId="3A5E2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25D77C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男单裤（夏）</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3E783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699AB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425</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69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参数：毛涤素花呢，毛50%，涤50%（含导电纤维）,质量：145g/㎡，9.1tex×2/16.7tex(Nm110/2×60)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执行标准：《GA258-2009 警服 单裤》</w:t>
            </w:r>
          </w:p>
        </w:tc>
      </w:tr>
      <w:tr w14:paraId="0BFEE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34E0B5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警察男内穿衬衣(2019款)</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1C8491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16B846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3E4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执行标准：《GA254-2022 警服 内穿衬衣》</w:t>
            </w:r>
          </w:p>
        </w:tc>
      </w:tr>
      <w:tr w14:paraId="226AA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5791D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警察女内穿衬衣(2019款)</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490311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6B7EE6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684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执行标准：《GA254-2022 警服 内穿衬衣》</w:t>
            </w:r>
          </w:p>
        </w:tc>
      </w:tr>
      <w:tr w14:paraId="24998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1E04E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警察男长袖制式衬衣(2019款)</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439A8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50C0D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C08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执行标准：《GA255-2022 警服 长袖制式衬衣》</w:t>
            </w:r>
          </w:p>
        </w:tc>
      </w:tr>
      <w:tr w14:paraId="05E1F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0EB6A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警察女长袖制式衬衣(2019款)</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1DE375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765DD1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FB5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执行标准：《GA255-2022 警服 长袖制式衬衣》</w:t>
            </w:r>
          </w:p>
        </w:tc>
      </w:tr>
      <w:tr w14:paraId="746BC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4CFB5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警察男夏执勤服(2019款)</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16698F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1FF17E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6C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执行标准：《GA568-2022 警服 夏执勤短袖衬衣》</w:t>
            </w:r>
          </w:p>
        </w:tc>
      </w:tr>
      <w:tr w14:paraId="7B3F2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2DC87F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警察女夏执勤服(2019款)</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1AE207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462B73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CB1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执行标准：《GA568-2022 警服 夏执勤短袖衬衣》</w:t>
            </w:r>
          </w:p>
        </w:tc>
      </w:tr>
      <w:tr w14:paraId="6F04C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98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警察男夏作训服</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13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C2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1209</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8FC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参数：精梳涤棉混纺格子布：13tex×2/28tex（45S×2/21S），涤65%，棉35%，密度433×208根/10CM，格子密度21×10根/每格，质量185g/㎡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执行标准：《GA466-2009 警服 训练服》</w:t>
            </w:r>
          </w:p>
        </w:tc>
      </w:tr>
      <w:tr w14:paraId="60E64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53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警察女夏作训服</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53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C04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7D1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参数：精梳涤棉混纺格子布：13tex×2/28tex（45S×2/21S），涤65%，棉35%，密度433×208根/10CM，格子密度21×10根/每格，质量185g/㎡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执行标准：《GA466-2009 警服 训练服》</w:t>
            </w:r>
          </w:p>
        </w:tc>
      </w:tr>
      <w:tr w14:paraId="62D06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4A3630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警察男冬作训服</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13641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30FE4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80B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参数：精梳涤棉混纺加厚格子布：18tex×2/36tex（32S×2/16S），涤65%，棉35%，密度433×181根/10CM，格子密度21×10根/每格，质量256g/㎡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执行标准：《GA466-2009 警服 训练服》</w:t>
            </w:r>
          </w:p>
        </w:tc>
      </w:tr>
      <w:tr w14:paraId="71878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71F1D3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警察女冬作训服</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5D878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10677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0B2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参数：精梳涤棉混纺加厚格子布：18tex×2/36tex（32S×2/16S），涤65%，棉35%，密度433×181根/10CM，格子密度21×10根/每格，质量256g/㎡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执行标准：《GA466-2009 警服 训练服》</w:t>
            </w:r>
          </w:p>
        </w:tc>
      </w:tr>
      <w:tr w14:paraId="33C25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AE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警察男多功能服（套装）</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35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78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20E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防水透湿复合布：基布110dtex/144f×167dtex/144f,密度：560×350/10cm,二上二下右斜纹;热塑性聚氨酯符合;单位面积质量:210g/㎡，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执行标准：《GA260-2009 警服 多功能服》</w:t>
            </w:r>
          </w:p>
        </w:tc>
      </w:tr>
      <w:tr w14:paraId="2FE50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DA6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警察女多功能服（套装）</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FA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D5A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6A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防水透湿复合布：基布110dtex/144f×167dtex/144f,密度：560×350/10cm,二上二下右斜纹;热塑性聚氨酯符合;单位面积质量:210g/㎡，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执行标准：《GA260-2009 警服 多功能服》</w:t>
            </w:r>
          </w:p>
        </w:tc>
      </w:tr>
      <w:tr w14:paraId="001E7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76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警察男多功能服（上衣）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3EE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20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3748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3BC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防水透湿复合布：基布110dtex/144f×167dtex/144f,密度：560×350/10cm,二上二下右斜纹;热塑性聚氨酯符合;单位面积质量:210g/㎡，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执行标准：《GA260-2009 警服 多功能服》</w:t>
            </w:r>
          </w:p>
        </w:tc>
      </w:tr>
      <w:tr w14:paraId="4B3FE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6B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警察女多功能服（上衣）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9D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F4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937</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E62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防水透湿复合布：基布110dtex/144f×167dtex/144f,密度：560×350/10cm,二上二下右斜纹;热塑性聚氨酯符合;单位面积质量:210g/㎡，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执行标准：《GA260-2009 警服 多功能服》</w:t>
            </w:r>
          </w:p>
        </w:tc>
      </w:tr>
      <w:tr w14:paraId="028BB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5BD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男高级警官大衣（纯羊绒）</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3E9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1CC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4C9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参数：纯羊绒大衣呢：13.5支*13.5支，羊绒95%，羊毛4%，含导电纤维，质量322g/㎡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执行标准：《GA762-2008 警服 高级警官大衣》</w:t>
            </w:r>
          </w:p>
        </w:tc>
      </w:tr>
      <w:tr w14:paraId="675C4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82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女高级警官大衣（纯羊绒）</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4E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43A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45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参数：纯羊绒大衣呢：13.5支*13.5支，羊绒95%，羊毛4%，含导电纤维，质量322g/㎡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执行标准：《GA762-2008 警服 高级警官大衣》</w:t>
            </w:r>
          </w:p>
        </w:tc>
      </w:tr>
      <w:tr w14:paraId="3B781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D16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男高级警官大衣（50%绒）</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9A4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67A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AE9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参数：50%羊绒大衣呢：Nm（48/2×13），羊绒50%，羊毛50%（含导电纤维），密度：235×260根/10CM，质量≥310g/㎡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执行标准：《GA762-2008 警服 高级警官大衣》</w:t>
            </w:r>
          </w:p>
        </w:tc>
      </w:tr>
      <w:tr w14:paraId="72549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64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男防寒大衣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851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4A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388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参数：毛涤缎背哔叽：毛70%、涤26%（含导电纤维）、氨纶4%,质量:236g/㎡,12.5tex×2/12.5tex×2（Nm80/2×Nm80/2），内胆羊剪绒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 《警服 防寒大衣（征求意见稿）》</w:t>
            </w:r>
          </w:p>
        </w:tc>
      </w:tr>
      <w:tr w14:paraId="77770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9C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女防寒大衣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6E2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A8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384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参数：毛涤缎背哔叽：毛70%、涤26%（含导电纤维）、氨纶4%,质量:236g/㎡,12.5tex×2/12.5tex×2（Nm80/2×Nm80/2），内胆羊剪绒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 《警服 防寒大衣（征求意见稿）》</w:t>
            </w:r>
          </w:p>
        </w:tc>
      </w:tr>
      <w:tr w14:paraId="2D95D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91D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金属帽徽（大）</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81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67C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735</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B28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 1、镍镀层厚度（μm）：≥5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2、耐盐雾：48h主要表面无腐蚀物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3、螺钉铆合抗拉强力（N）:≥100 2626枚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执行标准：《GA270-2009 警用服饰 帽徽》</w:t>
            </w:r>
          </w:p>
        </w:tc>
      </w:tr>
      <w:tr w14:paraId="6EAB6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E0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金属帽徽（小）</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31B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897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EC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1、镍镀层厚度（μm）：≥5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2、耐盐雾：48h主要表面无腐蚀物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3、螺钉铆合抗拉强力（N）:≥100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执行标准：《GA270-2009 警用服饰 帽徽》</w:t>
            </w:r>
          </w:p>
        </w:tc>
      </w:tr>
      <w:tr w14:paraId="73191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4A5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丝织帽徽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CB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298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1471</w:t>
            </w:r>
          </w:p>
        </w:tc>
        <w:tc>
          <w:tcPr>
            <w:tcW w:w="3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A75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执行标准：执行公安部颁发最新标准</w:t>
            </w:r>
          </w:p>
        </w:tc>
      </w:tr>
      <w:tr w14:paraId="7E53A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57334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领花</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7417B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3BEB4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A07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1、镍镀层厚度（μm）≥5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3、领花体与螺丝焊接抗拉强度（N）：≥80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执行标准：《GA277-2001 警用服饰 领花》</w:t>
            </w:r>
          </w:p>
        </w:tc>
      </w:tr>
      <w:tr w14:paraId="35CB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01CCAB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胸徽(金属)</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1130B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3FC852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934</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028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1、镍镀层厚度（μm）≥5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3、徽柄焊接抗拉强度（N）≥80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执行标准：《GA272-2001 警用服饰 胸徽》</w:t>
            </w:r>
          </w:p>
        </w:tc>
      </w:tr>
      <w:tr w14:paraId="2CCA7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698E6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胸徽(丝织)</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7C9192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20CDA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3785</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145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1、耐光色牢度（级）：5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2、耐洗色牢度（级）：变色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执行标准《GA674－2007 警用服饰 丝织胸徽》</w:t>
            </w:r>
          </w:p>
        </w:tc>
      </w:tr>
      <w:tr w14:paraId="0C2A6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367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男领带夹</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74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59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79C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1、镍镀层厚度（μm）：≥5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执行标准：《GA283-2001 警用服饰 领带夹》</w:t>
            </w:r>
          </w:p>
        </w:tc>
      </w:tr>
      <w:tr w14:paraId="58B80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09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女领带夹</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5D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8D5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549</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96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1、镍镀层厚度（μm）：≥5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执行标准：《GA283-2001 警用服饰 领带夹》</w:t>
            </w:r>
          </w:p>
        </w:tc>
      </w:tr>
      <w:tr w14:paraId="13BFE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821" w:type="pct"/>
            <w:tcBorders>
              <w:top w:val="single" w:color="000000" w:sz="4" w:space="0"/>
              <w:left w:val="single" w:color="000000" w:sz="4" w:space="0"/>
              <w:bottom w:val="single" w:color="auto" w:sz="4" w:space="0"/>
              <w:right w:val="single" w:color="000000" w:sz="4" w:space="0"/>
            </w:tcBorders>
            <w:shd w:val="clear" w:color="auto" w:fill="auto"/>
            <w:vAlign w:val="center"/>
          </w:tcPr>
          <w:p w14:paraId="40F0E6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警察领带</w:t>
            </w:r>
          </w:p>
        </w:tc>
        <w:tc>
          <w:tcPr>
            <w:tcW w:w="422" w:type="pct"/>
            <w:tcBorders>
              <w:top w:val="single" w:color="000000" w:sz="4" w:space="0"/>
              <w:left w:val="single" w:color="000000" w:sz="4" w:space="0"/>
              <w:bottom w:val="single" w:color="auto" w:sz="4" w:space="0"/>
              <w:right w:val="single" w:color="000000" w:sz="4" w:space="0"/>
            </w:tcBorders>
            <w:shd w:val="clear" w:color="auto" w:fill="auto"/>
            <w:vAlign w:val="center"/>
          </w:tcPr>
          <w:p w14:paraId="76D5D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auto" w:sz="4" w:space="0"/>
              <w:right w:val="single" w:color="000000" w:sz="4" w:space="0"/>
            </w:tcBorders>
            <w:shd w:val="clear" w:color="auto" w:fill="auto"/>
            <w:vAlign w:val="center"/>
          </w:tcPr>
          <w:p w14:paraId="032A2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702</w:t>
            </w:r>
          </w:p>
        </w:tc>
        <w:tc>
          <w:tcPr>
            <w:tcW w:w="3388" w:type="pct"/>
            <w:tcBorders>
              <w:top w:val="single" w:color="000000" w:sz="4" w:space="0"/>
              <w:left w:val="single" w:color="000000" w:sz="4" w:space="0"/>
              <w:bottom w:val="single" w:color="auto" w:sz="4" w:space="0"/>
              <w:right w:val="single" w:color="000000" w:sz="4" w:space="0"/>
            </w:tcBorders>
            <w:shd w:val="clear" w:color="auto" w:fill="auto"/>
            <w:vAlign w:val="center"/>
          </w:tcPr>
          <w:p w14:paraId="42F9FE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1、拉合、锁紧性能（N）：拉链拉合10次后锁紧力≥20N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2、保险扣拉脱力（N）：15≤F≤25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3、面料桑蚕丝含量（%）：≥10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4、徽标桑蚕丝含量（%）：纬纱：100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5、拒油性（级）：≥4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6、表面抗湿（级）：≥4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7、耐汗渍色牢度（级）：变色：≥3-4、沾色：≥3-4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8、耐干摩擦色牢度（级）：≥3-4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9、耐热压色牢度（级）：变色：≥3-4、沾色：≥3-4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执行标准：《GA282－2009 用服饰 领带》</w:t>
            </w:r>
          </w:p>
        </w:tc>
      </w:tr>
      <w:tr w14:paraId="3B4FB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821" w:type="pct"/>
            <w:tcBorders>
              <w:top w:val="single" w:color="auto" w:sz="4" w:space="0"/>
              <w:left w:val="single" w:color="auto" w:sz="4" w:space="0"/>
              <w:bottom w:val="single" w:color="auto" w:sz="4" w:space="0"/>
              <w:right w:val="single" w:color="auto" w:sz="4" w:space="0"/>
            </w:tcBorders>
            <w:shd w:val="clear" w:color="auto" w:fill="auto"/>
            <w:vAlign w:val="center"/>
          </w:tcPr>
          <w:p w14:paraId="14DBF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男内腰带(新款)</w:t>
            </w:r>
          </w:p>
        </w:tc>
        <w:tc>
          <w:tcPr>
            <w:tcW w:w="422" w:type="pct"/>
            <w:tcBorders>
              <w:top w:val="single" w:color="auto" w:sz="4" w:space="0"/>
              <w:left w:val="single" w:color="auto" w:sz="4" w:space="0"/>
              <w:bottom w:val="single" w:color="auto" w:sz="4" w:space="0"/>
              <w:right w:val="single" w:color="auto" w:sz="4" w:space="0"/>
            </w:tcBorders>
            <w:shd w:val="clear" w:color="auto" w:fill="auto"/>
            <w:vAlign w:val="center"/>
          </w:tcPr>
          <w:p w14:paraId="25B27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auto" w:sz="4" w:space="0"/>
              <w:left w:val="single" w:color="auto" w:sz="4" w:space="0"/>
              <w:bottom w:val="single" w:color="auto" w:sz="4" w:space="0"/>
              <w:right w:val="single" w:color="auto" w:sz="4" w:space="0"/>
            </w:tcBorders>
            <w:shd w:val="clear" w:color="auto" w:fill="auto"/>
            <w:vAlign w:val="center"/>
          </w:tcPr>
          <w:p w14:paraId="76BB7E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2506</w:t>
            </w:r>
          </w:p>
        </w:tc>
        <w:tc>
          <w:tcPr>
            <w:tcW w:w="3388" w:type="pct"/>
            <w:tcBorders>
              <w:top w:val="single" w:color="auto" w:sz="4" w:space="0"/>
              <w:left w:val="single" w:color="auto" w:sz="4" w:space="0"/>
              <w:bottom w:val="single" w:color="auto" w:sz="4" w:space="0"/>
              <w:right w:val="single" w:color="auto" w:sz="4" w:space="0"/>
            </w:tcBorders>
            <w:shd w:val="clear" w:color="auto" w:fill="auto"/>
            <w:vAlign w:val="center"/>
          </w:tcPr>
          <w:p w14:paraId="6ADFDD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1、钎子镍镀层厚度（μm）：≥6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2、钎子耐盐雾：48h主要表面无棕色腐蚀物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3、带体与钎子咬合力（N）:≥400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4、钎子压舌咬合力（N）:≥400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5、带体拉伸强力（N）:≥600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6、带体剥离强力（N）:≥60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内腰带》（试行稿）</w:t>
            </w:r>
          </w:p>
        </w:tc>
      </w:tr>
      <w:tr w14:paraId="79A1E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jc w:val="center"/>
        </w:trPr>
        <w:tc>
          <w:tcPr>
            <w:tcW w:w="821" w:type="pct"/>
            <w:tcBorders>
              <w:top w:val="single" w:color="auto" w:sz="4" w:space="0"/>
              <w:left w:val="single" w:color="000000" w:sz="4" w:space="0"/>
              <w:bottom w:val="nil"/>
              <w:right w:val="single" w:color="000000" w:sz="4" w:space="0"/>
            </w:tcBorders>
            <w:shd w:val="clear" w:color="auto" w:fill="auto"/>
            <w:vAlign w:val="center"/>
          </w:tcPr>
          <w:p w14:paraId="6015C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女内腰带(新款)</w:t>
            </w:r>
          </w:p>
        </w:tc>
        <w:tc>
          <w:tcPr>
            <w:tcW w:w="422" w:type="pct"/>
            <w:tcBorders>
              <w:top w:val="single" w:color="auto" w:sz="4" w:space="0"/>
              <w:left w:val="single" w:color="000000" w:sz="4" w:space="0"/>
              <w:bottom w:val="nil"/>
              <w:right w:val="single" w:color="000000" w:sz="4" w:space="0"/>
            </w:tcBorders>
            <w:shd w:val="clear" w:color="auto" w:fill="auto"/>
            <w:vAlign w:val="center"/>
          </w:tcPr>
          <w:p w14:paraId="6E8F9E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auto" w:sz="4" w:space="0"/>
              <w:left w:val="single" w:color="000000" w:sz="4" w:space="0"/>
              <w:bottom w:val="nil"/>
              <w:right w:val="single" w:color="000000" w:sz="4" w:space="0"/>
            </w:tcBorders>
            <w:shd w:val="clear" w:color="auto" w:fill="auto"/>
            <w:vAlign w:val="center"/>
          </w:tcPr>
          <w:p w14:paraId="3D6BD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3388" w:type="pct"/>
            <w:tcBorders>
              <w:top w:val="single" w:color="auto" w:sz="4" w:space="0"/>
              <w:left w:val="single" w:color="000000" w:sz="4" w:space="0"/>
              <w:bottom w:val="single" w:color="000000" w:sz="4" w:space="0"/>
              <w:right w:val="single" w:color="000000" w:sz="4" w:space="0"/>
            </w:tcBorders>
            <w:shd w:val="clear" w:color="auto" w:fill="auto"/>
            <w:vAlign w:val="center"/>
          </w:tcPr>
          <w:p w14:paraId="4AB6E1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1、钎子镍镀层厚度（μm）：≥6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2、钎子耐盐雾：48h主要表面无棕色腐蚀物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3、带体与钎子咬合力（N）:≥400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4、钎子压舌咬合力（N）:≥400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5、带体拉伸强力（N）:≥600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6、带体剥离强力（N）:≥60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内腰带》（试行稿）</w:t>
            </w:r>
          </w:p>
        </w:tc>
      </w:tr>
      <w:tr w14:paraId="04324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9A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礼服领带</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4F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D5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78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1、样式结构：《警用服饰 礼服领带》（试行稿）中3.2条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2、规格尺寸：《警用服饰 礼服领带》（试行稿）中3.3条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3、颜色色差：《警用服饰 礼服领带》（试行稿）中3.4条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4、产品标志：《警用服饰 礼服领带》（试行稿）中3.7条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5、主要工艺：《警用服饰 礼服领带》（试行稿）中3.8条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6、外观质量：《警用服饰 礼服领带》（试行稿）中3.9条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7、拉链拉头锁紧力（N）：≥20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8、保险扣拉脱力（N）：15≤F≤25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9、面料桑蚕丝含量（%）：≥10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10、徽标桑蚕丝含量（%）：纬纱：100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11、拒油性（级）：≥4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12、表面抗湿（级）：≥4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13、耐汗渍色牢度（级）：变色：≥3-4、沾色：≥3-4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14、耐干摩擦色牢度（级）：经向：≥3-4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15、耐热压色牢度（级）：变色：≥3-4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16、耐光色牢度（级）：≥5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礼服领带》（试行稿）</w:t>
            </w:r>
          </w:p>
        </w:tc>
      </w:tr>
      <w:tr w14:paraId="25DA4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FE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绶带</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A42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408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280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1、样式结构：《警用服饰 绶带》（试行稿）中4.2条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2、规格尺寸：《警用服饰 绶带》（试行稿）中4.3条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3、颜色色差：《警用服饰 绶带》（试行稿）中4.4条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4、产品标志：《警用服饰 绶带》（试行稿）中4.7条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5、主要工艺：《警用服饰 绶带》（试行稿）中4.8条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6、外观质量：《警用服饰 绶带》（试行稿）中4.9条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7、绶带坠：金镀层厚度（μm）（分包）：≥0.04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8、绶带坠：镍镀层厚度（μm）：≥8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9、绶带坠：耐盐雾腐蚀：72h无锈斑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10、绶带坠：镀层结合强度：锉刀法：镀层不脱落或揭起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11、编织绳（银灰色）：耐摩擦色牢度（级）：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干摩：≥3-4、湿摩：≥3-4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12、编织绳（银灰色）：耐皂洗色牢度（级）：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变色：≥4、沾色：≥3-4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13、编织绳（银灰色）：耐光色牢度（级）：≥5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14、编织绳（金黄色）：耐摩擦色牢度（级）：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干摩：≥3-4、湿摩：≥3-4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15、编织绳（金黄色）：耐皂洗色牢度（级）：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变色：≥4、沾色：≥3-4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16、编织绳（金黄色）：耐光色牢度（级）：≥5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绶带》（试行稿）</w:t>
            </w:r>
          </w:p>
        </w:tc>
      </w:tr>
      <w:tr w14:paraId="3B719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BEC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从警章</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A2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06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3A5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1、耐盐雾腐蚀：72h主要表面无腐蚀物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2、镀层结合强度：锉刀法：镀层不脱落或揭起。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3、平顶帽扣抗拉强力（N）：≥100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从警章》（试行稿）</w:t>
            </w:r>
          </w:p>
        </w:tc>
      </w:tr>
      <w:tr w14:paraId="16A47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2E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警礼服姓名牌</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BDD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41C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A2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1、样式结构：《警用服饰 姓名牌》（试行稿）第3.2条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2、主要尺寸：《警用服饰 姓名牌》（试行稿）第3.3条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3、颜色色差：《警用服饰 姓名牌》（试行稿）第3.4条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4、产品标志：《警用服饰 姓名牌》（试行稿）第3.7条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5、主要工艺：《警用服饰 姓名牌》（试行稿）第3.8条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6、外观质量：《警用服饰 姓名牌》（试行稿）第3.9条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7、镀镍层厚度（μm）：≥8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8、耐盐雾腐蚀：72h主要表面无腐蚀物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9、镀层结合强度：锉刀法：镀层不脱落或揭起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10、平顶帽扣抗拉强力（N）≥100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姓名牌》（试行稿）</w:t>
            </w:r>
          </w:p>
        </w:tc>
      </w:tr>
      <w:tr w14:paraId="17202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77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礼服领花</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B5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17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376</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2B4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1、样式结构：《警用服饰 礼服领花》（试行稿）中3.2条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2、主要尺寸：《警用服饰 礼服领花》（试行稿）中3.3条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3、颜色色差：《警用服饰 礼服领花》（试行稿）中3.4条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4、产品标志：《警用服饰 礼服领花》（试行稿）中3.7条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5、主要工艺：《警用服饰 礼服领花》（试行稿）中3.8条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6、外观质量：《警用服饰 礼服领花》（试行稿）中3.9条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7、镍镀层厚度（μm）：≥8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8、耐盐雾腐蚀：72h主要表面无腐蚀物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9、镀层结合强度：锉刀法：镀层不脱落或揭起。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10、螺钉抗拉强力（N）：≥100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礼服领花》（试行稿）</w:t>
            </w:r>
          </w:p>
        </w:tc>
      </w:tr>
      <w:tr w14:paraId="1CFE4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70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礼服大帽徽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12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02D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B46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1、礼服大帽徽样式结构：《警用服饰 礼服帽徽》（试行稿）中3.2条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2、礼服大帽徽规格尺寸：《警用服饰 礼服帽徽》（试行稿）中3.3条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3、礼服大帽徽颜色色差：《警用服饰 礼服帽徽》（试行稿）中3.4条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4、礼服大帽徽产品标志：《警用服饰 礼服帽徽》（试行稿）中3.7条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5、礼服大帽徽主要工艺：《警用服饰 礼服帽徽》（试行稿）中3.8条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6、礼服大帽徽外观质量：《警用服饰 礼服帽徽》（试行稿）中3.9条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7、金镀层厚度（μm）（分包）：≥0.06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8、镍镀层厚度（μm）：≥8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9、耐盐雾腐蚀：72h主要表面无腐蚀物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10、镀层结合强度：锉刀法：镀层不脱落或揭起。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11、螺钉抗拉性能：加力至300N未损坏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礼服帽徽》（试行稿）</w:t>
            </w:r>
          </w:p>
        </w:tc>
      </w:tr>
      <w:tr w14:paraId="6C200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45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礼服小帽徽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53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12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E3A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1、礼服大帽徽样式结构：《警用服饰 礼服帽徽》（试行稿）中3.2条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2、礼服大帽徽规格尺寸：《警用服饰 礼服帽徽》（试行稿）中3.3条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3、礼服大帽徽颜色色差：《警用服饰 礼服帽徽》（试行稿）中3.4条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4、礼服大帽徽产品标志：《警用服饰 礼服帽徽》（试行稿）中3.7条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5、礼服大帽徽主要工艺：《警用服饰 礼服帽徽》（试行稿）中3.8条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6、礼服大帽徽外观质量：《警用服饰 礼服帽徽》（试行稿）中3.9条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7、金镀层厚度（μm）（分包）：≥0.06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8、镍镀层厚度（μm）：≥8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9、耐盐雾腐蚀：72h主要表面无腐蚀物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10、镀层结合强度：锉刀法：镀层不脱落或揭起。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11、螺钉抗拉性能：加力至300N未损坏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礼服帽徽》（试行稿）</w:t>
            </w:r>
          </w:p>
        </w:tc>
      </w:tr>
      <w:tr w14:paraId="19933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931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礼服胸徽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F5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枚</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E3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AC8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1、金镀层厚度（μm）（分包）：≥0.06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2、镍镀层厚度（μm）：≥8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3、耐盐雾腐蚀：72h主要表面无腐蚀物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4、镀层结合强度：镀层未脱落或揭起。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5、平顶帽扣抗拉强力（N）：≥100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礼服胸徽》（试行稿）</w:t>
            </w:r>
          </w:p>
        </w:tc>
      </w:tr>
      <w:tr w14:paraId="24961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1C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礼服肩章</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CA8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F6E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464</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055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1、样式结构：《警用服饰 礼服肩章》(试行稿)中4.2条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2、规格尺寸：《警用服饰 礼服肩章》(试行稿)中4.3条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3、颜色色差：《警用服饰 礼服肩章》(试行稿)中4.4条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4、产品标志：《警用服饰 礼服肩章》(试行稿)中4.7条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5、主要工艺：《警用服饰 礼服肩章》(试行稿)中4.8条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6、外观质量：《警用服饰 礼服肩章》(试行稿)中4.9条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7、弧形保形性能(mm)：≥3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8、剥离强度(N/cm)：≥10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9、甲醛含量(mg/kg)：≤300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10、金属警衔标识件：镍镀层厚度(μm)：≥8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11、金属警衔标识件：耐盐雾腐蚀：72h主要表面无腐蚀物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12、金属警衔标识件：镀层结合强度：锉刀法:镀层不脱落或揭起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13、金属警衔标识件：钉缀脚铆合强力(N)：≥100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14、金属警衔标识件：钉缀脚耐折断：5次不折断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礼服肩章》(试行稿)</w:t>
            </w:r>
          </w:p>
        </w:tc>
      </w:tr>
      <w:tr w14:paraId="309B8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065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外腰带</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4A3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891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5E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参数：105-125cm共5个常用号型尺寸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外腰带型号105-125cm号;所投产品的样式、规格、颜色、材料外观、标志成品外观质量均符合要求。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执行标准：《GA291-2001警用服饰 外腰带》</w:t>
            </w:r>
          </w:p>
        </w:tc>
      </w:tr>
      <w:tr w14:paraId="1D08B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F91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女内腰带</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D34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3F2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13F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缝纫线为黑色涤纶缝纫线，规格:主(横)腰带规格:1100mm-1300mm 。质量:1.25kg。腰带头为锌合金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执行标准：《GA290-2001 警用服饰 内腰带》</w:t>
            </w:r>
          </w:p>
        </w:tc>
      </w:tr>
      <w:tr w14:paraId="6C22C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E4A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雨靴(中筒)</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E4C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060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329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型号和规格：规格为：220mm-290mm;其中220-240为二型半245-290为三型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执行标准：《GA315-2001 警鞋 胶靴》</w:t>
            </w:r>
          </w:p>
        </w:tc>
      </w:tr>
      <w:tr w14:paraId="2F018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793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女特警针织短裤</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48B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19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7A9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参数：面料：精梳氨纶棉针织罗纹布，丝光棉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11.7tex(50s)85%，涤15%。平方米干燥重量：180g/m²。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特警战训针织短裤》（生产检验稿）</w:t>
            </w:r>
          </w:p>
        </w:tc>
      </w:tr>
      <w:tr w14:paraId="7459E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95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男白针织手套</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75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70E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516</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A6D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参照QB/T.1617-92技术标准生产。100%涤沦低弹布，无跳丝、漏针、污渍、不褪色，针距11-13针/25mm，每付手套色泽、花形、大小、长短基本相称；不分男女款式。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执行标准：《QB/T1617-92氨纶手套》</w:t>
            </w:r>
          </w:p>
        </w:tc>
      </w:tr>
      <w:tr w14:paraId="7DA81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CF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女白针织手套</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33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BE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BAA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参照QB/T.1617-92技术标准生产。100%涤沦低弹布，无跳丝、漏针、污渍、不褪色，针距11-13针/25mm，每付手套色泽、花形、大小、长短基本相称；不分男女款式。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执行标准：《QB/T1617-92氨纶手套》</w:t>
            </w:r>
          </w:p>
        </w:tc>
      </w:tr>
      <w:tr w14:paraId="7F9ED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E1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绒手套</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54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24B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695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1、面料要求：《QB/T1617-92 氨纶手套》表2中无跳丝、漏针、污渍，不褪色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2、针距：《QB/T1617-92 氨纶手套》表2中11～13针/25mm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3、边距：《QB/T1617-92 氨纶手套》表2中明缝1.2mm，暗缝2.0～3.0mm，允许误差±0.5mm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4、缝制要求：《QB/T1617-92 氨纶手套》表2中线迹平整，松紧适宜，无脱线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5、大指：《QB/T1617-92 氨纶手套》表2中盘式均匀，虎口平服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6、手指：《QB/T1617-92 氨纶手套》表2中缝迹整齐，四指平服圆整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7、下口：《QB/T1617-92 氨纶手套》表2中滚口粗细均匀，松紧长短相称，压口阔狭均匀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8、成品搭配：《QB/T1617-92 氨纶手套》表2中同副手套色泽、花形、大小、长短基本相称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执行标准：《QB/T1617-92 氨纶手套》</w:t>
            </w:r>
          </w:p>
        </w:tc>
      </w:tr>
      <w:tr w14:paraId="0ED46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2B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男皮手套</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E0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49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0C1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黑色天然特级牛皮革。革面平整光滑,毛孔清晰。颜色,厚薄基本均匀。革身柔软,丰满,手感舒适。无刀伤,薄档,僵硬等现象。革里清洁,无油腻感。切口颜色与表面的颜色一致。外观同副手套颜色,花纹粗细基本一致,手套料明显部位以直丝为主。厚度本产品为0.8±0.1mm。宽度：11.75cm，长度：26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执行标准：《QB/T1854-2018 日用皮手套》</w:t>
            </w:r>
          </w:p>
        </w:tc>
      </w:tr>
      <w:tr w14:paraId="65B00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37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女皮手套</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1D8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92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7E7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黑色天然特级牛皮革。革面平整光滑,毛孔清晰。颜色,厚薄基本均匀。革身柔软,丰满,手感舒适。无刀伤,薄档,僵硬等现象。革里清洁,无油腻感。切口颜色与表面的颜色一致。外观同副手套颜色,花纹粗细基本一致,手套料明显部位以直丝为主。厚度本产品为0.8±0.1mm。宽度：11.75cm，长度：26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执行标准：《QB/T1854-2018 日用皮手套》</w:t>
            </w:r>
          </w:p>
        </w:tc>
      </w:tr>
      <w:tr w14:paraId="46592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D2D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男毛皮手套</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FA4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22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960</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883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参数：面料:羊皮革厚度0.6mm；里料：针织混纺毛皮50%羊毛；缝纫线120Dx3线，手套长27cm，宽13cm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执行标准：《QB/T1584-2018 日用皮手套》</w:t>
            </w:r>
          </w:p>
        </w:tc>
      </w:tr>
      <w:tr w14:paraId="15E93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374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女毛皮手套</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13D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E7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404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参数：面料:羊皮革厚度0.6mm；里料：针织混纺毛皮50%羊毛；缝纫线120Dx3线，手套长27cm，宽13cm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执行标准：《QB/T1584-2018 日用皮手套》</w:t>
            </w:r>
          </w:p>
        </w:tc>
      </w:tr>
      <w:tr w14:paraId="33A77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9EC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男警察雨衣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E3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4D8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C27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参数：聚氨酯湿法涂层雨衣布：基布83dtex/36f×83dtex/72f，密度：610×380/10CM，二上一下右斜纹，聚氨酯涂层，单位面积质量≤165g/㎡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执行标准：《GA392-2009 警服 雨衣》</w:t>
            </w:r>
          </w:p>
        </w:tc>
      </w:tr>
      <w:tr w14:paraId="0D79E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DE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女警察雨衣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33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7F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F9A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参数：聚氨酯湿法涂层雨衣布：基布83dtex/36f×83dtex/72f，密度：610×380/10CM，二上一下右斜纹，聚氨酯涂层，单位面积质量≤165g/㎡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执行标准：《GA392-2009 警服 雨衣》</w:t>
            </w:r>
          </w:p>
        </w:tc>
      </w:tr>
      <w:tr w14:paraId="7175B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EC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男警察雨衣（新款）</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A15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17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776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聚氨酯湿法涂层布,面层聚酯机织布：聚酯低弹丝（75D/72F×100D/144F，DTY），经纬纱密度为675根/10cm×365根/10cm，织物组织为二上一下右斜纹；中间层聚氨酯湿法涂层：聚氨酯微多孔涂层，25g/㎡；里层聚氨针织布：20D聚酯单面针织布，28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风雨衣（报批稿）》</w:t>
            </w:r>
          </w:p>
        </w:tc>
      </w:tr>
      <w:tr w14:paraId="03F80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A8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女警察雨衣（新款）</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FE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285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474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聚氨酯湿法涂层布,面层聚酯机织布：聚酯低弹丝（75D/72F×100D/144F，DTY），经纬纱密度为675根/10cm×365根/10cm，织物组织为二上一下右斜纹；中间层聚氨酯湿法涂层：聚氨酯微多孔涂层，25g/㎡；里层聚氨针织布：20D聚酯单面针织布，28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风雨衣（报批稿）》</w:t>
            </w:r>
          </w:p>
        </w:tc>
      </w:tr>
      <w:tr w14:paraId="2D595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243406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女卷檐帽</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2D706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32669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05C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执行标准：《GA319-2010 警帽 女布帽》</w:t>
            </w:r>
          </w:p>
        </w:tc>
      </w:tr>
      <w:tr w14:paraId="0A54D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EE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女卷檐凉帽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C0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65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46B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涤纶牵伸丝网眼布：300D/98f×150D/38f  网眼结构：三空一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执行标准：《GA673-2010 警帽 女凉帽》</w:t>
            </w:r>
          </w:p>
        </w:tc>
      </w:tr>
      <w:tr w14:paraId="47CFC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844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警便帽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8B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4E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655</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E9E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执行标准：《GA322-2010 警帽 便帽》</w:t>
            </w:r>
          </w:p>
        </w:tc>
      </w:tr>
      <w:tr w14:paraId="4689D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014C90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作训帽</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3C0A9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64E54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1880</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535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参数：精梳涤棉混纺格子布：13tex×2/28tex（45S×2/21S），涤65%，棉35%，密度433×208根/10CM，格子密度21×10根/每格，质量185g/㎡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执行标准：《警帽 战训帽（试用稿）》</w:t>
            </w:r>
          </w:p>
        </w:tc>
      </w:tr>
      <w:tr w14:paraId="42B08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17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布面平剪绒帽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E8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EB2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FB7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参数：面料：毛涤缎背哔叽：毛70%、涤26%（含导电纤维）、氨纶4%,质量:236g/㎡,12.5tex×2/12.5tex×2（Nm80/2×Nm80/2），帽前挡、帽耳平剪绒，地纱：167dtex/48F涤纶低弹丝，起绒纱：28公支超柔软睛纶：毛长：10.5mm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执行标准：《GA318-2010 警帽 剪绒帽》</w:t>
            </w:r>
          </w:p>
        </w:tc>
      </w:tr>
      <w:tr w14:paraId="249A9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3F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布面羊剪绒帽(布面直毛皮帽)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FE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49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20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参数：面料：毛涤缎背哔叽：毛70%、涤26%（含导电纤维）、氨纶4%,质量:236g/㎡,12.5tex×2/12.5tex×2（Nm80/2×Nm80/2），帽前挡、帽耳铬鞣剪绒直毛羊皮（梳、剪、烫），毛长：15.0mm±1mm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执行标准：《GA318-2010 警帽 剪绒帽》</w:t>
            </w:r>
          </w:p>
        </w:tc>
      </w:tr>
      <w:tr w14:paraId="06034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AEE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皮面羊剪绒帽(皮面直毛皮帽) </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77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15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3F2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参数：面料：服装用皮革，厚0.8mm～1.3mm，帽前挡、帽耳铬鞣剪绒直毛羊皮（梳、剪、烫），毛长：15.0mm±1mm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执行标准：《GA318-2010 警帽 剪绒帽》</w:t>
            </w:r>
          </w:p>
        </w:tc>
      </w:tr>
      <w:tr w14:paraId="62F4F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0B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礼服大檐帽(男)</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D5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A6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351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参数：精梳毛涤贡呢,羊毛60%，涤纶19%，羊绒10%，PTT10%，导电纤维1%，经纱10.0tes×2，纬纱10.0tex×2,单位面积质量：235g/㎡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执行标准：《警帽 礼服大檐帽》（送审稿）</w:t>
            </w:r>
          </w:p>
        </w:tc>
      </w:tr>
      <w:tr w14:paraId="0041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08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礼服卷檐帽(女)</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1C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4B7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6D9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精梳毛涤贡呢,羊毛60%，涤纶19%，羊绒10%，PTT10%，导电纤维1%，经纱10.0tes×2，纬纱10.0tex×2,单位面积质量：235g/㎡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执行标准：《警帽 礼服卷檐帽》（送审稿）</w:t>
            </w:r>
          </w:p>
        </w:tc>
      </w:tr>
      <w:tr w14:paraId="10B50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nil"/>
              <w:right w:val="single" w:color="000000" w:sz="4" w:space="0"/>
            </w:tcBorders>
            <w:shd w:val="clear" w:color="auto" w:fill="auto"/>
            <w:vAlign w:val="center"/>
          </w:tcPr>
          <w:p w14:paraId="0E664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大檐帽</w:t>
            </w:r>
          </w:p>
        </w:tc>
        <w:tc>
          <w:tcPr>
            <w:tcW w:w="422" w:type="pct"/>
            <w:tcBorders>
              <w:top w:val="single" w:color="000000" w:sz="4" w:space="0"/>
              <w:left w:val="single" w:color="000000" w:sz="4" w:space="0"/>
              <w:bottom w:val="nil"/>
              <w:right w:val="single" w:color="000000" w:sz="4" w:space="0"/>
            </w:tcBorders>
            <w:shd w:val="clear" w:color="auto" w:fill="auto"/>
            <w:vAlign w:val="center"/>
          </w:tcPr>
          <w:p w14:paraId="26042D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52CA5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839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执行标准：《GA317-2010 警帽 大檐帽》</w:t>
            </w:r>
          </w:p>
        </w:tc>
      </w:tr>
      <w:tr w14:paraId="69147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B2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大檐凉帽</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AA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AF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045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执行标准：《GA321-2010 警帽 大檐凉帽》</w:t>
            </w:r>
          </w:p>
        </w:tc>
      </w:tr>
      <w:tr w14:paraId="1A967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A7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警察男春秋执勤服</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231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41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507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执行标准：《GA563-2009 警服 春秋执勤服》</w:t>
            </w:r>
          </w:p>
        </w:tc>
      </w:tr>
      <w:tr w14:paraId="5361F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2AE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男单裤（春秋）</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07D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98E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F1D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执行标准：《GA261-2009警服 男春秋、冬常服》</w:t>
            </w:r>
          </w:p>
        </w:tc>
      </w:tr>
      <w:tr w14:paraId="38D7D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E5B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男长袖圆领针织T恤（棉）</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49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958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165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参数：精梳纯棉双面针织布，11.7tex（50s）纯棉，丝光双面布，平方米干燥重量：175g/m2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执行标准：《GB/T 22849-2014针织T恤衫》</w:t>
            </w:r>
          </w:p>
        </w:tc>
      </w:tr>
      <w:tr w14:paraId="1ACAB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078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男短袖圆领针织T恤（棉）</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CD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AD5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D28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参数：精梳纯棉双面针织布，8.3tex（70s）纯棉，丝光双面布，平方米干燥重量：150g/m2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执行标准：《GB/T 22849-2014针织T恤衫》</w:t>
            </w:r>
          </w:p>
        </w:tc>
      </w:tr>
      <w:tr w14:paraId="147B7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8F6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男内腰带</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EB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70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5A0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缝纫线为黑色涤纶缝纫线，规格:主(横)腰带规格:1100mm-1300mm 。质量:1.25kg。腰带头为锌合金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执行标准：《GA290-2001 警用服饰 内腰带》</w:t>
            </w:r>
          </w:p>
        </w:tc>
      </w:tr>
      <w:tr w14:paraId="38E1B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5"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25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警察男单皮鞋</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07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AB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926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1、耐折性能（mm）：裂口长度≤8.0，                                                                                                       2、耐磨性能（mm）：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发泡橡胶外底磨痕长度：≤8.0，后跟耐磨橡胶片磨痕长度：≤5.0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3、帮底剥离强度（N/cm）：≥70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4、硬度（度）：发泡橡胶外底（邵尔C）：65～75，前掌防滑橡胶片（邵尔A）：57～65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后跟耐磨橡胶片（邵尔A）：62～70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5、防滑性能（动摩擦系数）：≥0.20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6、鞋带断裂强力（N）：≥300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7、鞋带规格（mm）：780±50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执行标准：《GA309-2021 警鞋 男单皮鞋》</w:t>
            </w:r>
          </w:p>
        </w:tc>
      </w:tr>
      <w:tr w14:paraId="3F250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369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春秋作训鞋(2018款) </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F3A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D5D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7E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男春秋作训鞋：1、折后鞋底无裂纹出现，曲折部位无开胶，帮面无龟裂，辅料无开裂脱落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2、外底耐磨性能（mm）：磨痕长度：≤7.0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3、硬度（度）：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橡胶外底（邵尔A）：63±3，中底（邵尔C）：55±3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4、防滑性能（摩擦系数）：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干态：≥0.85，湿态：≥0.30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5、可分解有害芳香胺染料（mg/kg）（分包）：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鞋帮复合帆布：禁用，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三层复合鞋里网布：禁用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6、游离甲醛含量（mg/kg）：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7、鞋带扯断力（N）：≥600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8、鞋带止滑力（N）：≥16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女春秋作训鞋：1、折后鞋底无裂纹出现，曲折部位无开胶，帮面无龟裂，辅料无开裂脱落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2、外底耐磨性能（mm）：磨痕长度:≤7.0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3、硬度（度）：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橡胶外底（邵尔A）：63±3，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中底（邵尔C）：55±3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4、可分解有害芳香胺染料（mg/kg）（分包）：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鞋帮复合帆布：禁用，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三层复合鞋里网布：禁用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5、游离甲醛含量（mg/kg）：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6、鞋带扯断力（N）：≥600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7、鞋带止滑力（N）：≥16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执行标准：《警鞋2018款作训鞋》（试行稿）</w:t>
            </w:r>
          </w:p>
        </w:tc>
      </w:tr>
      <w:tr w14:paraId="51886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7A8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警用冬袜</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6D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74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A06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参数：竹材粘胶短纤维纱线、氨纶包缠丝：18.5tex×3竹纤维+20D氨纶包缠丝，144针单面平纹。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特警战训袜（生产检验稿）》</w:t>
            </w:r>
          </w:p>
        </w:tc>
      </w:tr>
      <w:tr w14:paraId="26929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FE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警用夏袜</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BD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EB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FCA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参数：竹材粘胶短纤维纱线、氨纶包缠丝：18.5tex竹纤维+20D氨纶包缠丝，200针单面平纹。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特警战训袜（生产检验稿）》</w:t>
            </w:r>
          </w:p>
        </w:tc>
      </w:tr>
      <w:tr w14:paraId="195C7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E2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男特警春秋季针织内衣</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E7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F2B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4D9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参数：产品主面料采用精梳纯棉丝光针织双面布，规格11.7tex（50s）纯棉，丝光双面布，平方米干燥重量为175g/m2。罗纹采用精梳氨纶棉罗纹，规格为11.7tex(50s)棉，加77dtex(70D)氨纶，1+1罗纹布。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特警战训针织内衣》生产检验稿</w:t>
            </w:r>
          </w:p>
        </w:tc>
      </w:tr>
    </w:tbl>
    <w:p w14:paraId="57D472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b w:val="0"/>
          <w:bCs/>
          <w:color w:val="auto"/>
          <w:sz w:val="24"/>
          <w:szCs w:val="24"/>
          <w:lang w:val="en-US" w:eastAsia="zh-CN"/>
        </w:rPr>
        <w:t>2、质量要求：符合行业相关标准及中华人民共和国公安部下发的《中华人民共和国公共安全行业标准》等相关标准。</w:t>
      </w:r>
      <w:r>
        <w:rPr>
          <w:rFonts w:hint="eastAsia" w:ascii="宋体" w:hAnsi="宋体" w:eastAsia="宋体" w:cs="宋体"/>
          <w:b/>
          <w:color w:val="auto"/>
          <w:sz w:val="24"/>
          <w:szCs w:val="24"/>
        </w:rPr>
        <w:br w:type="page"/>
      </w:r>
    </w:p>
    <w:p w14:paraId="0599D496">
      <w:pPr>
        <w:pStyle w:val="5"/>
        <w:keepNext w:val="0"/>
        <w:keepLines w:val="0"/>
        <w:pageBreakBefore w:val="0"/>
        <w:kinsoku/>
        <w:wordWrap/>
        <w:overflowPunct/>
        <w:topLinePunct w:val="0"/>
        <w:bidi w:val="0"/>
        <w:spacing w:line="240" w:lineRule="auto"/>
        <w:jc w:val="center"/>
        <w:rPr>
          <w:rFonts w:hint="eastAsia" w:ascii="宋体" w:hAnsi="宋体" w:eastAsia="宋体" w:cs="宋体"/>
          <w:b w:val="0"/>
          <w:bCs w:val="0"/>
          <w:color w:val="auto"/>
        </w:rPr>
      </w:pPr>
      <w:bookmarkStart w:id="110" w:name="_Toc461089032"/>
      <w:bookmarkStart w:id="111" w:name="_Toc3606"/>
      <w:bookmarkStart w:id="112" w:name="_Toc14054"/>
      <w:bookmarkStart w:id="113" w:name="_Toc6315"/>
      <w:bookmarkStart w:id="114" w:name="_Toc7861"/>
      <w:r>
        <w:rPr>
          <w:rFonts w:hint="eastAsia" w:ascii="宋体" w:hAnsi="宋体" w:eastAsia="宋体" w:cs="宋体"/>
          <w:color w:val="auto"/>
        </w:rPr>
        <w:t>第</w:t>
      </w:r>
      <w:r>
        <w:rPr>
          <w:rFonts w:hint="eastAsia" w:ascii="宋体" w:hAnsi="宋体" w:eastAsia="宋体" w:cs="宋体"/>
          <w:color w:val="auto"/>
          <w:lang w:eastAsia="zh-CN"/>
        </w:rPr>
        <w:t>六</w:t>
      </w:r>
      <w:r>
        <w:rPr>
          <w:rFonts w:hint="eastAsia" w:ascii="宋体" w:hAnsi="宋体" w:eastAsia="宋体" w:cs="宋体"/>
          <w:color w:val="auto"/>
        </w:rPr>
        <w:t>章 投标文件构成、要求及格式</w:t>
      </w:r>
      <w:bookmarkEnd w:id="110"/>
      <w:bookmarkEnd w:id="111"/>
      <w:bookmarkEnd w:id="112"/>
      <w:bookmarkEnd w:id="113"/>
      <w:bookmarkEnd w:id="114"/>
    </w:p>
    <w:p w14:paraId="1590DAD4">
      <w:pPr>
        <w:pageBreakBefore w:val="0"/>
        <w:overflowPunct/>
        <w:autoSpaceDE w:val="0"/>
        <w:autoSpaceDN w:val="0"/>
        <w:bidi w:val="0"/>
        <w:adjustRightInd w:val="0"/>
        <w:spacing w:line="240" w:lineRule="auto"/>
        <w:jc w:val="both"/>
        <w:outlineLvl w:val="9"/>
        <w:rPr>
          <w:rFonts w:hint="eastAsia" w:ascii="宋体" w:hAnsi="宋体" w:eastAsia="宋体" w:cs="宋体"/>
          <w:b/>
          <w:color w:val="auto"/>
          <w:sz w:val="32"/>
          <w:highlight w:val="none"/>
          <w:lang w:val="zh-CN"/>
        </w:rPr>
      </w:pPr>
      <w:r>
        <w:rPr>
          <w:rFonts w:hint="eastAsia" w:ascii="宋体" w:hAnsi="宋体" w:eastAsia="宋体" w:cs="宋体"/>
          <w:b/>
          <w:color w:val="auto"/>
          <w:sz w:val="32"/>
          <w:highlight w:val="none"/>
          <w:lang w:val="zh-CN"/>
        </w:rPr>
        <w:t>正</w:t>
      </w:r>
      <w:r>
        <w:rPr>
          <w:rFonts w:hint="eastAsia" w:ascii="宋体" w:hAnsi="宋体" w:eastAsia="宋体" w:cs="宋体"/>
          <w:b/>
          <w:color w:val="auto"/>
          <w:sz w:val="32"/>
          <w:highlight w:val="none"/>
          <w:lang w:val="en-US" w:eastAsia="zh-CN"/>
        </w:rPr>
        <w:t>/</w:t>
      </w:r>
      <w:r>
        <w:rPr>
          <w:rFonts w:hint="eastAsia" w:ascii="宋体" w:hAnsi="宋体" w:eastAsia="宋体" w:cs="宋体"/>
          <w:b/>
          <w:color w:val="auto"/>
          <w:sz w:val="32"/>
          <w:highlight w:val="none"/>
          <w:lang w:val="zh-CN"/>
        </w:rPr>
        <w:t>副本</w:t>
      </w:r>
    </w:p>
    <w:p w14:paraId="3EAC2C6A">
      <w:pPr>
        <w:pageBreakBefore w:val="0"/>
        <w:overflowPunct/>
        <w:autoSpaceDE w:val="0"/>
        <w:autoSpaceDN w:val="0"/>
        <w:bidi w:val="0"/>
        <w:adjustRightInd w:val="0"/>
        <w:spacing w:line="240" w:lineRule="auto"/>
        <w:jc w:val="both"/>
        <w:outlineLvl w:val="9"/>
        <w:rPr>
          <w:rFonts w:hint="eastAsia" w:ascii="宋体" w:hAnsi="宋体" w:eastAsia="宋体" w:cs="宋体"/>
          <w:color w:val="auto"/>
          <w:sz w:val="36"/>
          <w:szCs w:val="18"/>
          <w:highlight w:val="none"/>
          <w:lang w:val="zh-CN"/>
        </w:rPr>
      </w:pPr>
      <w:bookmarkStart w:id="115" w:name="_Toc12777"/>
      <w:bookmarkStart w:id="116" w:name="_Toc23926"/>
      <w:bookmarkStart w:id="117" w:name="_Toc31415"/>
    </w:p>
    <w:p w14:paraId="74B29372">
      <w:pPr>
        <w:pStyle w:val="77"/>
        <w:pageBreakBefore w:val="0"/>
        <w:numPr>
          <w:ilvl w:val="0"/>
          <w:numId w:val="0"/>
        </w:numPr>
        <w:overflowPunct/>
        <w:bidi w:val="0"/>
        <w:adjustRightInd w:val="0"/>
        <w:spacing w:line="240" w:lineRule="auto"/>
        <w:ind w:left="540" w:leftChars="0"/>
        <w:outlineLvl w:val="9"/>
        <w:rPr>
          <w:rFonts w:hint="eastAsia"/>
          <w:lang w:val="zh-CN"/>
        </w:rPr>
      </w:pPr>
    </w:p>
    <w:p w14:paraId="30A98F0F">
      <w:pPr>
        <w:pageBreakBefore w:val="0"/>
        <w:overflowPunct/>
        <w:autoSpaceDE w:val="0"/>
        <w:autoSpaceDN w:val="0"/>
        <w:bidi w:val="0"/>
        <w:adjustRightInd w:val="0"/>
        <w:spacing w:line="240" w:lineRule="auto"/>
        <w:jc w:val="center"/>
        <w:outlineLvl w:val="9"/>
        <w:rPr>
          <w:rFonts w:hint="default" w:ascii="宋体" w:hAnsi="宋体" w:eastAsia="宋体" w:cs="宋体"/>
          <w:color w:val="auto"/>
          <w:sz w:val="36"/>
          <w:szCs w:val="18"/>
          <w:highlight w:val="none"/>
          <w:lang w:val="en-US" w:eastAsia="zh-CN"/>
        </w:rPr>
      </w:pPr>
      <w:bookmarkStart w:id="118" w:name="_Toc28771"/>
      <w:bookmarkStart w:id="119" w:name="_Toc24730"/>
      <w:bookmarkStart w:id="120" w:name="_Toc10625"/>
      <w:r>
        <w:rPr>
          <w:rFonts w:hint="eastAsia" w:ascii="宋体" w:hAnsi="宋体" w:eastAsia="宋体" w:cs="宋体"/>
          <w:color w:val="auto"/>
          <w:sz w:val="36"/>
          <w:szCs w:val="18"/>
          <w:highlight w:val="none"/>
          <w:lang w:val="zh-CN"/>
        </w:rPr>
        <w:t>(项目名称)</w:t>
      </w:r>
      <w:bookmarkEnd w:id="115"/>
      <w:bookmarkEnd w:id="116"/>
      <w:bookmarkEnd w:id="117"/>
      <w:bookmarkEnd w:id="118"/>
      <w:bookmarkEnd w:id="119"/>
      <w:bookmarkEnd w:id="120"/>
      <w:r>
        <w:rPr>
          <w:rFonts w:hint="eastAsia" w:ascii="宋体" w:hAnsi="宋体" w:eastAsia="宋体" w:cs="宋体"/>
          <w:color w:val="auto"/>
          <w:sz w:val="36"/>
          <w:szCs w:val="18"/>
          <w:highlight w:val="none"/>
          <w:u w:val="single"/>
          <w:lang w:val="en-US" w:eastAsia="zh-CN"/>
        </w:rPr>
        <w:t xml:space="preserve">     </w:t>
      </w:r>
      <w:r>
        <w:rPr>
          <w:rFonts w:hint="eastAsia" w:ascii="宋体" w:hAnsi="宋体" w:eastAsia="宋体" w:cs="宋体"/>
          <w:color w:val="auto"/>
          <w:sz w:val="36"/>
          <w:szCs w:val="18"/>
          <w:highlight w:val="none"/>
          <w:lang w:val="en-US" w:eastAsia="zh-CN"/>
        </w:rPr>
        <w:t>标段</w:t>
      </w:r>
    </w:p>
    <w:p w14:paraId="0171C6E3">
      <w:pPr>
        <w:pageBreakBefore w:val="0"/>
        <w:overflowPunct/>
        <w:autoSpaceDE w:val="0"/>
        <w:autoSpaceDN w:val="0"/>
        <w:bidi w:val="0"/>
        <w:adjustRightInd w:val="0"/>
        <w:spacing w:line="240" w:lineRule="auto"/>
        <w:jc w:val="center"/>
        <w:outlineLvl w:val="9"/>
        <w:rPr>
          <w:rFonts w:hint="eastAsia" w:ascii="宋体" w:hAnsi="宋体" w:eastAsia="宋体" w:cs="宋体"/>
          <w:color w:val="auto"/>
          <w:szCs w:val="18"/>
          <w:highlight w:val="none"/>
          <w:lang w:val="zh-CN"/>
        </w:rPr>
      </w:pPr>
    </w:p>
    <w:p w14:paraId="4A573132">
      <w:pPr>
        <w:pageBreakBefore w:val="0"/>
        <w:overflowPunct/>
        <w:autoSpaceDE w:val="0"/>
        <w:autoSpaceDN w:val="0"/>
        <w:bidi w:val="0"/>
        <w:adjustRightInd w:val="0"/>
        <w:spacing w:line="240" w:lineRule="auto"/>
        <w:jc w:val="center"/>
        <w:outlineLvl w:val="9"/>
        <w:rPr>
          <w:rFonts w:hint="eastAsia" w:ascii="宋体" w:hAnsi="宋体" w:eastAsia="宋体" w:cs="宋体"/>
          <w:color w:val="auto"/>
          <w:sz w:val="52"/>
          <w:szCs w:val="18"/>
          <w:highlight w:val="none"/>
          <w:lang w:val="zh-CN"/>
        </w:rPr>
      </w:pPr>
    </w:p>
    <w:p w14:paraId="2FD00393">
      <w:pPr>
        <w:pageBreakBefore w:val="0"/>
        <w:overflowPunct/>
        <w:autoSpaceDE w:val="0"/>
        <w:autoSpaceDN w:val="0"/>
        <w:bidi w:val="0"/>
        <w:adjustRightInd w:val="0"/>
        <w:spacing w:line="240" w:lineRule="auto"/>
        <w:jc w:val="center"/>
        <w:outlineLvl w:val="9"/>
        <w:rPr>
          <w:rFonts w:hint="eastAsia" w:ascii="宋体" w:hAnsi="宋体" w:eastAsia="宋体" w:cs="宋体"/>
          <w:color w:val="auto"/>
          <w:sz w:val="52"/>
          <w:szCs w:val="18"/>
          <w:highlight w:val="none"/>
          <w:lang w:val="zh-CN"/>
        </w:rPr>
      </w:pPr>
    </w:p>
    <w:p w14:paraId="3F93EA9C">
      <w:pPr>
        <w:pageBreakBefore w:val="0"/>
        <w:overflowPunct/>
        <w:autoSpaceDE w:val="0"/>
        <w:autoSpaceDN w:val="0"/>
        <w:bidi w:val="0"/>
        <w:adjustRightInd w:val="0"/>
        <w:spacing w:line="240" w:lineRule="auto"/>
        <w:jc w:val="center"/>
        <w:outlineLvl w:val="9"/>
        <w:rPr>
          <w:rFonts w:hint="eastAsia" w:ascii="宋体" w:hAnsi="宋体" w:eastAsia="宋体" w:cs="宋体"/>
          <w:color w:val="auto"/>
          <w:sz w:val="52"/>
          <w:szCs w:val="18"/>
          <w:highlight w:val="none"/>
          <w:lang w:val="zh-CN"/>
        </w:rPr>
      </w:pPr>
      <w:r>
        <w:rPr>
          <w:rFonts w:hint="eastAsia" w:ascii="宋体" w:hAnsi="宋体" w:cs="宋体"/>
          <w:b/>
          <w:bCs/>
          <w:color w:val="auto"/>
          <w:sz w:val="72"/>
          <w:szCs w:val="72"/>
          <w:highlight w:val="none"/>
          <w:lang w:val="zh-CN"/>
        </w:rPr>
        <w:t>投标文件</w:t>
      </w:r>
    </w:p>
    <w:p w14:paraId="38B761A4">
      <w:pPr>
        <w:pageBreakBefore w:val="0"/>
        <w:overflowPunct/>
        <w:autoSpaceDE w:val="0"/>
        <w:autoSpaceDN w:val="0"/>
        <w:bidi w:val="0"/>
        <w:adjustRightInd w:val="0"/>
        <w:spacing w:line="240" w:lineRule="auto"/>
        <w:jc w:val="both"/>
        <w:outlineLvl w:val="9"/>
        <w:rPr>
          <w:rFonts w:hint="eastAsia" w:ascii="宋体" w:hAnsi="宋体" w:eastAsia="宋体" w:cs="宋体"/>
          <w:color w:val="auto"/>
          <w:szCs w:val="18"/>
          <w:highlight w:val="none"/>
          <w:lang w:val="zh-CN"/>
        </w:rPr>
      </w:pPr>
    </w:p>
    <w:p w14:paraId="6588490F">
      <w:pPr>
        <w:pStyle w:val="12"/>
        <w:pageBreakBefore w:val="0"/>
        <w:overflowPunct/>
        <w:bidi w:val="0"/>
        <w:adjustRightInd w:val="0"/>
        <w:spacing w:line="240" w:lineRule="auto"/>
        <w:jc w:val="both"/>
        <w:outlineLvl w:val="9"/>
        <w:rPr>
          <w:rFonts w:hint="eastAsia" w:ascii="宋体" w:hAnsi="宋体" w:eastAsia="宋体" w:cs="宋体"/>
          <w:color w:val="auto"/>
          <w:szCs w:val="18"/>
          <w:highlight w:val="none"/>
          <w:lang w:val="zh-CN"/>
        </w:rPr>
      </w:pPr>
    </w:p>
    <w:p w14:paraId="12FDE3FA">
      <w:pPr>
        <w:pStyle w:val="12"/>
        <w:pageBreakBefore w:val="0"/>
        <w:overflowPunct/>
        <w:bidi w:val="0"/>
        <w:adjustRightInd w:val="0"/>
        <w:spacing w:line="240" w:lineRule="auto"/>
        <w:jc w:val="both"/>
        <w:outlineLvl w:val="9"/>
        <w:rPr>
          <w:rFonts w:hint="eastAsia" w:ascii="宋体" w:hAnsi="宋体" w:eastAsia="宋体" w:cs="宋体"/>
          <w:color w:val="auto"/>
          <w:szCs w:val="18"/>
          <w:highlight w:val="none"/>
          <w:lang w:val="zh-CN"/>
        </w:rPr>
      </w:pPr>
    </w:p>
    <w:p w14:paraId="19E7B4A8">
      <w:pPr>
        <w:pStyle w:val="12"/>
        <w:pageBreakBefore w:val="0"/>
        <w:overflowPunct/>
        <w:bidi w:val="0"/>
        <w:adjustRightInd w:val="0"/>
        <w:spacing w:line="240" w:lineRule="auto"/>
        <w:jc w:val="both"/>
        <w:outlineLvl w:val="9"/>
        <w:rPr>
          <w:rFonts w:hint="eastAsia" w:ascii="宋体" w:hAnsi="宋体" w:eastAsia="宋体" w:cs="宋体"/>
          <w:color w:val="auto"/>
          <w:szCs w:val="18"/>
          <w:highlight w:val="none"/>
          <w:lang w:val="zh-CN"/>
        </w:rPr>
      </w:pPr>
    </w:p>
    <w:p w14:paraId="6762C7E1">
      <w:pPr>
        <w:pageBreakBefore w:val="0"/>
        <w:overflowPunct/>
        <w:autoSpaceDE w:val="0"/>
        <w:autoSpaceDN w:val="0"/>
        <w:bidi w:val="0"/>
        <w:adjustRightInd w:val="0"/>
        <w:spacing w:line="240" w:lineRule="auto"/>
        <w:jc w:val="both"/>
        <w:outlineLvl w:val="9"/>
        <w:rPr>
          <w:rFonts w:hint="eastAsia" w:ascii="宋体" w:hAnsi="宋体" w:eastAsia="宋体" w:cs="宋体"/>
          <w:color w:val="auto"/>
          <w:szCs w:val="18"/>
          <w:highlight w:val="none"/>
          <w:lang w:val="zh-CN"/>
        </w:rPr>
      </w:pPr>
    </w:p>
    <w:p w14:paraId="0AFC12E2">
      <w:pPr>
        <w:pageBreakBefore w:val="0"/>
        <w:overflowPunct/>
        <w:autoSpaceDE w:val="0"/>
        <w:autoSpaceDN w:val="0"/>
        <w:bidi w:val="0"/>
        <w:adjustRightInd w:val="0"/>
        <w:spacing w:line="240" w:lineRule="auto"/>
        <w:jc w:val="both"/>
        <w:outlineLvl w:val="9"/>
        <w:rPr>
          <w:rFonts w:hint="eastAsia" w:ascii="宋体" w:hAnsi="宋体" w:eastAsia="宋体" w:cs="宋体"/>
          <w:color w:val="auto"/>
          <w:szCs w:val="18"/>
          <w:highlight w:val="none"/>
          <w:lang w:val="zh-CN"/>
        </w:rPr>
      </w:pPr>
    </w:p>
    <w:p w14:paraId="5277AB2E">
      <w:pPr>
        <w:pageBreakBefore w:val="0"/>
        <w:overflowPunct/>
        <w:autoSpaceDE w:val="0"/>
        <w:autoSpaceDN w:val="0"/>
        <w:bidi w:val="0"/>
        <w:adjustRightInd w:val="0"/>
        <w:spacing w:line="240" w:lineRule="auto"/>
        <w:ind w:firstLine="560" w:firstLineChars="200"/>
        <w:jc w:val="both"/>
        <w:outlineLvl w:val="9"/>
        <w:rPr>
          <w:rFonts w:hint="eastAsia" w:ascii="宋体" w:hAnsi="宋体" w:eastAsia="宋体" w:cs="宋体"/>
          <w:color w:val="auto"/>
          <w:sz w:val="28"/>
          <w:szCs w:val="18"/>
          <w:highlight w:val="none"/>
          <w:lang w:val="zh-CN"/>
        </w:rPr>
      </w:pPr>
      <w:bookmarkStart w:id="121" w:name="_Toc3822"/>
      <w:bookmarkStart w:id="122" w:name="_Toc31038"/>
      <w:bookmarkStart w:id="123" w:name="_Toc20976"/>
      <w:bookmarkStart w:id="124" w:name="_Toc14176"/>
      <w:bookmarkStart w:id="125" w:name="_Toc20690"/>
      <w:bookmarkStart w:id="126" w:name="_Toc21356"/>
      <w:r>
        <w:rPr>
          <w:rFonts w:hint="eastAsia" w:ascii="宋体" w:hAnsi="宋体" w:cs="宋体"/>
          <w:color w:val="auto"/>
          <w:sz w:val="28"/>
          <w:szCs w:val="18"/>
          <w:highlight w:val="none"/>
          <w:lang w:val="zh-CN"/>
        </w:rPr>
        <w:t>投标人</w:t>
      </w:r>
      <w:r>
        <w:rPr>
          <w:rFonts w:hint="eastAsia" w:ascii="宋体" w:hAnsi="宋体" w:eastAsia="宋体" w:cs="宋体"/>
          <w:color w:val="auto"/>
          <w:sz w:val="28"/>
          <w:szCs w:val="18"/>
          <w:highlight w:val="none"/>
          <w:lang w:val="zh-CN"/>
        </w:rPr>
        <w:t>名</w:t>
      </w:r>
      <w:r>
        <w:rPr>
          <w:rFonts w:hint="eastAsia" w:ascii="宋体" w:hAnsi="宋体" w:eastAsia="宋体" w:cs="宋体"/>
          <w:color w:val="auto"/>
          <w:sz w:val="28"/>
          <w:szCs w:val="18"/>
          <w:highlight w:val="none"/>
          <w:u w:val="none"/>
          <w:lang w:val="zh-CN"/>
        </w:rPr>
        <w:t>称：</w:t>
      </w:r>
      <w:r>
        <w:rPr>
          <w:rFonts w:hint="eastAsia" w:ascii="宋体" w:hAnsi="宋体" w:eastAsia="宋体" w:cs="宋体"/>
          <w:color w:val="auto"/>
          <w:sz w:val="28"/>
          <w:szCs w:val="18"/>
          <w:highlight w:val="none"/>
          <w:u w:val="single"/>
          <w:lang w:val="zh-CN"/>
        </w:rPr>
        <w:t xml:space="preserve">                               (盖单位章)</w:t>
      </w:r>
      <w:bookmarkEnd w:id="121"/>
      <w:bookmarkEnd w:id="122"/>
      <w:bookmarkEnd w:id="123"/>
      <w:bookmarkEnd w:id="124"/>
      <w:bookmarkEnd w:id="125"/>
      <w:bookmarkEnd w:id="126"/>
    </w:p>
    <w:p w14:paraId="0BACDFA2">
      <w:pPr>
        <w:pageBreakBefore w:val="0"/>
        <w:overflowPunct/>
        <w:autoSpaceDE w:val="0"/>
        <w:autoSpaceDN w:val="0"/>
        <w:bidi w:val="0"/>
        <w:adjustRightInd w:val="0"/>
        <w:spacing w:line="240" w:lineRule="auto"/>
        <w:jc w:val="both"/>
        <w:outlineLvl w:val="9"/>
        <w:rPr>
          <w:rFonts w:hint="eastAsia" w:ascii="宋体" w:hAnsi="宋体" w:eastAsia="宋体" w:cs="宋体"/>
          <w:color w:val="auto"/>
          <w:sz w:val="28"/>
          <w:szCs w:val="18"/>
          <w:highlight w:val="none"/>
          <w:lang w:val="zh-CN"/>
        </w:rPr>
      </w:pPr>
    </w:p>
    <w:p w14:paraId="5DF747BE">
      <w:pPr>
        <w:pageBreakBefore w:val="0"/>
        <w:overflowPunct/>
        <w:autoSpaceDE w:val="0"/>
        <w:autoSpaceDN w:val="0"/>
        <w:bidi w:val="0"/>
        <w:adjustRightInd w:val="0"/>
        <w:spacing w:line="240" w:lineRule="auto"/>
        <w:ind w:firstLine="560" w:firstLineChars="200"/>
        <w:jc w:val="both"/>
        <w:outlineLvl w:val="9"/>
        <w:rPr>
          <w:rFonts w:hint="eastAsia" w:ascii="宋体" w:hAnsi="宋体" w:eastAsia="宋体" w:cs="宋体"/>
          <w:color w:val="auto"/>
          <w:sz w:val="28"/>
          <w:szCs w:val="18"/>
          <w:highlight w:val="none"/>
          <w:lang w:val="zh-CN"/>
        </w:rPr>
      </w:pPr>
      <w:bookmarkStart w:id="127" w:name="_Toc13219"/>
      <w:bookmarkStart w:id="128" w:name="_Toc2479"/>
      <w:bookmarkStart w:id="129" w:name="_Toc28795"/>
      <w:bookmarkStart w:id="130" w:name="_Toc19143"/>
      <w:bookmarkStart w:id="131" w:name="_Toc11992"/>
      <w:bookmarkStart w:id="132" w:name="_Toc18015"/>
      <w:r>
        <w:rPr>
          <w:rFonts w:hint="eastAsia" w:ascii="宋体" w:hAnsi="宋体" w:eastAsia="宋体" w:cs="宋体"/>
          <w:color w:val="auto"/>
          <w:sz w:val="28"/>
          <w:szCs w:val="18"/>
          <w:highlight w:val="none"/>
          <w:lang w:val="zh-CN"/>
        </w:rPr>
        <w:t>法定代表人或其委托代理人：</w:t>
      </w:r>
      <w:r>
        <w:rPr>
          <w:rFonts w:hint="eastAsia" w:ascii="宋体" w:hAnsi="宋体" w:eastAsia="宋体" w:cs="宋体"/>
          <w:color w:val="auto"/>
          <w:sz w:val="28"/>
          <w:szCs w:val="18"/>
          <w:highlight w:val="none"/>
          <w:u w:val="single"/>
          <w:lang w:val="zh-CN"/>
        </w:rPr>
        <w:t xml:space="preserve">    </w:t>
      </w:r>
      <w:r>
        <w:rPr>
          <w:rFonts w:hint="eastAsia" w:ascii="宋体" w:hAnsi="宋体" w:eastAsia="宋体" w:cs="宋体"/>
          <w:color w:val="auto"/>
          <w:sz w:val="28"/>
          <w:szCs w:val="18"/>
          <w:highlight w:val="none"/>
          <w:u w:val="single"/>
        </w:rPr>
        <w:t xml:space="preserve">     </w:t>
      </w:r>
      <w:r>
        <w:rPr>
          <w:rFonts w:hint="eastAsia" w:ascii="宋体" w:hAnsi="宋体" w:eastAsia="宋体" w:cs="宋体"/>
          <w:color w:val="auto"/>
          <w:sz w:val="28"/>
          <w:szCs w:val="18"/>
          <w:highlight w:val="none"/>
          <w:u w:val="single"/>
          <w:lang w:val="zh-CN"/>
        </w:rPr>
        <w:t xml:space="preserve">     (签字或盖章)</w:t>
      </w:r>
      <w:bookmarkEnd w:id="127"/>
      <w:bookmarkEnd w:id="128"/>
      <w:bookmarkEnd w:id="129"/>
      <w:bookmarkEnd w:id="130"/>
      <w:bookmarkEnd w:id="131"/>
      <w:bookmarkEnd w:id="132"/>
    </w:p>
    <w:p w14:paraId="28FE75AC">
      <w:pPr>
        <w:pageBreakBefore w:val="0"/>
        <w:overflowPunct/>
        <w:autoSpaceDE w:val="0"/>
        <w:autoSpaceDN w:val="0"/>
        <w:bidi w:val="0"/>
        <w:adjustRightInd w:val="0"/>
        <w:spacing w:line="240" w:lineRule="auto"/>
        <w:ind w:firstLine="280" w:firstLineChars="100"/>
        <w:jc w:val="both"/>
        <w:outlineLvl w:val="9"/>
        <w:rPr>
          <w:rFonts w:hint="eastAsia" w:ascii="宋体" w:hAnsi="宋体" w:eastAsia="宋体" w:cs="宋体"/>
          <w:color w:val="auto"/>
          <w:sz w:val="28"/>
          <w:szCs w:val="18"/>
          <w:highlight w:val="none"/>
          <w:lang w:val="zh-CN"/>
        </w:rPr>
      </w:pPr>
    </w:p>
    <w:p w14:paraId="3CD9903B">
      <w:pPr>
        <w:pageBreakBefore w:val="0"/>
        <w:widowControl w:val="0"/>
        <w:kinsoku/>
        <w:wordWrap w:val="0"/>
        <w:overflowPunct/>
        <w:topLinePunct/>
        <w:autoSpaceDE/>
        <w:autoSpaceDN/>
        <w:bidi w:val="0"/>
        <w:adjustRightInd w:val="0"/>
        <w:spacing w:before="287" w:line="240" w:lineRule="auto"/>
        <w:ind w:left="3758"/>
        <w:outlineLvl w:val="9"/>
        <w:rPr>
          <w:rFonts w:ascii="宋体" w:hAnsi="宋体" w:cs="宋体"/>
          <w:color w:val="auto"/>
          <w:sz w:val="28"/>
          <w:szCs w:val="28"/>
          <w:lang w:eastAsia="zh-CN"/>
        </w:rPr>
      </w:pPr>
      <w:bookmarkStart w:id="133" w:name="_Toc27614"/>
      <w:bookmarkStart w:id="134" w:name="_Toc3405"/>
      <w:bookmarkStart w:id="135" w:name="_Toc20372"/>
      <w:bookmarkStart w:id="136" w:name="_Toc23803"/>
      <w:bookmarkStart w:id="137" w:name="_Toc18081"/>
      <w:r>
        <w:rPr>
          <w:rFonts w:hint="eastAsia" w:ascii="宋体" w:hAnsi="宋体" w:eastAsia="宋体" w:cs="宋体"/>
          <w:color w:val="auto"/>
          <w:sz w:val="28"/>
          <w:szCs w:val="18"/>
          <w:highlight w:val="none"/>
          <w:lang w:val="zh-CN"/>
        </w:rPr>
        <w:t>年    月</w:t>
      </w:r>
      <w:r>
        <w:rPr>
          <w:rFonts w:hint="eastAsia" w:ascii="宋体" w:hAnsi="宋体" w:eastAsia="宋体" w:cs="宋体"/>
          <w:color w:val="auto"/>
          <w:sz w:val="28"/>
          <w:szCs w:val="18"/>
          <w:highlight w:val="none"/>
          <w:lang w:val="en-US" w:eastAsia="zh-CN"/>
        </w:rPr>
        <w:t xml:space="preserve">    </w:t>
      </w:r>
      <w:r>
        <w:rPr>
          <w:rFonts w:hint="eastAsia" w:ascii="宋体" w:hAnsi="宋体" w:eastAsia="宋体" w:cs="宋体"/>
          <w:color w:val="auto"/>
          <w:sz w:val="28"/>
          <w:szCs w:val="18"/>
          <w:highlight w:val="none"/>
          <w:lang w:val="zh-CN"/>
        </w:rPr>
        <w:t>日</w:t>
      </w:r>
      <w:bookmarkEnd w:id="133"/>
      <w:bookmarkEnd w:id="134"/>
      <w:bookmarkEnd w:id="135"/>
      <w:bookmarkEnd w:id="136"/>
      <w:bookmarkEnd w:id="137"/>
    </w:p>
    <w:p w14:paraId="3851748C">
      <w:pPr>
        <w:pageBreakBefore w:val="0"/>
        <w:widowControl w:val="0"/>
        <w:kinsoku/>
        <w:wordWrap w:val="0"/>
        <w:overflowPunct/>
        <w:topLinePunct/>
        <w:autoSpaceDE/>
        <w:autoSpaceDN/>
        <w:bidi w:val="0"/>
        <w:adjustRightInd w:val="0"/>
        <w:spacing w:line="240" w:lineRule="auto"/>
        <w:outlineLvl w:val="9"/>
        <w:rPr>
          <w:rFonts w:ascii="宋体" w:hAnsi="宋体" w:cs="宋体"/>
          <w:color w:val="auto"/>
          <w:sz w:val="28"/>
          <w:szCs w:val="28"/>
          <w:lang w:eastAsia="zh-CN"/>
        </w:rPr>
        <w:sectPr>
          <w:pgSz w:w="11905" w:h="16838"/>
          <w:pgMar w:top="1440" w:right="1134" w:bottom="1440" w:left="1440" w:header="850" w:footer="737" w:gutter="0"/>
          <w:pgNumType w:fmt="decimal"/>
          <w:cols w:space="0" w:num="1"/>
          <w:rtlGutter w:val="0"/>
          <w:docGrid w:type="lines" w:linePitch="499" w:charSpace="0"/>
        </w:sectPr>
      </w:pPr>
    </w:p>
    <w:p w14:paraId="27D857DE">
      <w:pPr>
        <w:pageBreakBefore w:val="0"/>
        <w:widowControl w:val="0"/>
        <w:tabs>
          <w:tab w:val="left" w:pos="1365"/>
        </w:tabs>
        <w:kinsoku/>
        <w:wordWrap w:val="0"/>
        <w:overflowPunct/>
        <w:topLinePunct/>
        <w:autoSpaceDE/>
        <w:autoSpaceDN/>
        <w:bidi w:val="0"/>
        <w:adjustRightInd w:val="0"/>
        <w:spacing w:line="240" w:lineRule="auto"/>
        <w:jc w:val="center"/>
        <w:outlineLvl w:val="9"/>
        <w:rPr>
          <w:rFonts w:ascii="宋体" w:hAnsi="宋体" w:cs="宋体"/>
          <w:b/>
          <w:color w:val="auto"/>
          <w:sz w:val="36"/>
          <w:szCs w:val="36"/>
          <w:lang w:eastAsia="zh-CN"/>
        </w:rPr>
      </w:pPr>
      <w:r>
        <w:rPr>
          <w:rFonts w:hint="eastAsia" w:ascii="宋体" w:hAnsi="宋体" w:cs="宋体"/>
          <w:b/>
          <w:color w:val="auto"/>
          <w:sz w:val="36"/>
          <w:szCs w:val="36"/>
          <w:lang w:eastAsia="zh-CN"/>
        </w:rPr>
        <w:t>目  录</w:t>
      </w:r>
    </w:p>
    <w:p w14:paraId="3F4C79B8">
      <w:pPr>
        <w:pageBreakBefore w:val="0"/>
        <w:tabs>
          <w:tab w:val="left" w:pos="709"/>
        </w:tabs>
        <w:kinsoku/>
        <w:wordWrap/>
        <w:overflowPunct/>
        <w:topLinePunct w:val="0"/>
        <w:autoSpaceDE w:val="0"/>
        <w:autoSpaceDN w:val="0"/>
        <w:bidi w:val="0"/>
        <w:adjustRightInd w:val="0"/>
        <w:snapToGrid w:val="0"/>
        <w:spacing w:line="240" w:lineRule="auto"/>
        <w:jc w:val="center"/>
        <w:rPr>
          <w:rFonts w:hint="eastAsia" w:ascii="宋体" w:hAnsi="宋体" w:eastAsia="宋体" w:cs="宋体"/>
          <w:b/>
          <w:bCs/>
          <w:color w:val="auto"/>
          <w:kern w:val="0"/>
          <w:szCs w:val="21"/>
          <w:lang w:val="zh-CN"/>
        </w:rPr>
      </w:pPr>
    </w:p>
    <w:p w14:paraId="482A6D2E">
      <w:pPr>
        <w:pageBreakBefore w:val="0"/>
        <w:tabs>
          <w:tab w:val="left" w:pos="709"/>
        </w:tabs>
        <w:kinsoku/>
        <w:wordWrap/>
        <w:overflowPunct/>
        <w:topLinePunct w:val="0"/>
        <w:autoSpaceDE w:val="0"/>
        <w:autoSpaceDN w:val="0"/>
        <w:bidi w:val="0"/>
        <w:adjustRightInd w:val="0"/>
        <w:snapToGrid w:val="0"/>
        <w:spacing w:line="240" w:lineRule="auto"/>
        <w:jc w:val="center"/>
        <w:rPr>
          <w:rFonts w:hint="eastAsia" w:ascii="宋体" w:hAnsi="宋体" w:eastAsia="宋体" w:cs="宋体"/>
          <w:b/>
          <w:bCs/>
          <w:color w:val="auto"/>
          <w:kern w:val="0"/>
          <w:szCs w:val="21"/>
          <w:lang w:val="zh-CN"/>
        </w:rPr>
      </w:pPr>
    </w:p>
    <w:p w14:paraId="23A55954">
      <w:pPr>
        <w:pageBreakBefore w:val="0"/>
        <w:tabs>
          <w:tab w:val="left" w:pos="709"/>
        </w:tabs>
        <w:kinsoku/>
        <w:wordWrap/>
        <w:overflowPunct/>
        <w:topLinePunct w:val="0"/>
        <w:autoSpaceDE w:val="0"/>
        <w:autoSpaceDN w:val="0"/>
        <w:bidi w:val="0"/>
        <w:adjustRightInd w:val="0"/>
        <w:snapToGrid w:val="0"/>
        <w:spacing w:line="240" w:lineRule="auto"/>
        <w:jc w:val="center"/>
        <w:rPr>
          <w:rFonts w:hint="eastAsia" w:ascii="宋体" w:hAnsi="宋体" w:eastAsia="宋体" w:cs="宋体"/>
          <w:color w:val="auto"/>
          <w:szCs w:val="21"/>
        </w:rPr>
      </w:pPr>
      <w:r>
        <w:rPr>
          <w:rFonts w:hint="eastAsia" w:ascii="宋体" w:hAnsi="宋体" w:eastAsia="宋体" w:cs="宋体"/>
          <w:b/>
          <w:bCs/>
          <w:color w:val="auto"/>
          <w:kern w:val="0"/>
          <w:szCs w:val="21"/>
          <w:lang w:val="zh-CN"/>
        </w:rPr>
        <w:t>格式自拟</w:t>
      </w:r>
      <w:r>
        <w:rPr>
          <w:rFonts w:hint="eastAsia" w:ascii="宋体" w:hAnsi="宋体" w:eastAsia="宋体" w:cs="宋体"/>
          <w:b/>
          <w:bCs/>
          <w:color w:val="auto"/>
          <w:kern w:val="0"/>
          <w:szCs w:val="21"/>
          <w:lang w:val="zh-CN"/>
        </w:rPr>
        <w:br w:type="page"/>
      </w:r>
    </w:p>
    <w:p w14:paraId="28175E82">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lang w:val="zh-CN"/>
        </w:rPr>
      </w:pPr>
      <w:bookmarkStart w:id="138" w:name="_Toc1898"/>
      <w:bookmarkStart w:id="139" w:name="_Toc11558"/>
      <w:r>
        <w:rPr>
          <w:rFonts w:hint="eastAsia" w:ascii="宋体" w:hAnsi="宋体" w:eastAsia="宋体" w:cs="宋体"/>
          <w:b/>
          <w:color w:val="auto"/>
          <w:sz w:val="24"/>
          <w:lang w:val="zh-CN"/>
        </w:rPr>
        <w:t>格式一</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lang w:val="zh-CN"/>
        </w:rPr>
        <w:t>投标函</w:t>
      </w:r>
      <w:bookmarkEnd w:id="138"/>
      <w:bookmarkEnd w:id="139"/>
    </w:p>
    <w:p w14:paraId="2388BE35">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kern w:val="0"/>
          <w:szCs w:val="21"/>
          <w:u w:val="single"/>
          <w:lang w:val="zh-CN"/>
        </w:rPr>
      </w:pPr>
      <w:r>
        <w:rPr>
          <w:rFonts w:hint="eastAsia" w:ascii="宋体" w:hAnsi="宋体" w:eastAsia="宋体" w:cs="宋体"/>
          <w:color w:val="auto"/>
          <w:kern w:val="0"/>
          <w:szCs w:val="21"/>
          <w:u w:val="single"/>
          <w:lang w:val="zh-CN"/>
        </w:rPr>
        <w:t xml:space="preserve">                    （招标人名称） ：</w:t>
      </w:r>
    </w:p>
    <w:p w14:paraId="3A4A90B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根据你方</w:t>
      </w:r>
      <w:r>
        <w:rPr>
          <w:rFonts w:hint="eastAsia" w:ascii="宋体" w:hAnsi="宋体" w:eastAsia="宋体" w:cs="宋体"/>
          <w:color w:val="auto"/>
          <w:szCs w:val="21"/>
          <w:u w:val="single"/>
          <w:lang w:val="zh-CN"/>
        </w:rPr>
        <w:t xml:space="preserve">  （项目名称） </w:t>
      </w:r>
      <w:r>
        <w:rPr>
          <w:rFonts w:hint="eastAsia" w:ascii="宋体" w:hAnsi="宋体" w:eastAsia="宋体" w:cs="宋体"/>
          <w:color w:val="auto"/>
          <w:szCs w:val="21"/>
          <w:lang w:val="zh-CN"/>
        </w:rPr>
        <w:t>项目</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lang w:val="en-US" w:eastAsia="zh-CN"/>
        </w:rPr>
        <w:t>标段</w:t>
      </w:r>
      <w:r>
        <w:rPr>
          <w:rFonts w:hint="eastAsia" w:ascii="宋体" w:hAnsi="宋体" w:eastAsia="宋体" w:cs="宋体"/>
          <w:color w:val="auto"/>
          <w:szCs w:val="21"/>
          <w:lang w:val="zh-CN"/>
        </w:rPr>
        <w:t>的编号为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招标文件，我方正式授权的下述签字人</w:t>
      </w:r>
      <w:r>
        <w:rPr>
          <w:rFonts w:hint="eastAsia" w:ascii="宋体" w:hAnsi="宋体" w:eastAsia="宋体" w:cs="宋体"/>
          <w:color w:val="auto"/>
          <w:szCs w:val="21"/>
          <w:u w:val="single"/>
          <w:lang w:val="zh-CN"/>
        </w:rPr>
        <w:t xml:space="preserve">  （姓名和职务）  </w:t>
      </w:r>
      <w:r>
        <w:rPr>
          <w:rFonts w:hint="eastAsia" w:ascii="宋体" w:hAnsi="宋体" w:eastAsia="宋体" w:cs="宋体"/>
          <w:color w:val="auto"/>
          <w:szCs w:val="21"/>
          <w:lang w:val="zh-CN"/>
        </w:rPr>
        <w:t>代表我方</w:t>
      </w:r>
      <w:r>
        <w:rPr>
          <w:rFonts w:hint="eastAsia" w:ascii="宋体" w:hAnsi="宋体" w:eastAsia="宋体" w:cs="宋体"/>
          <w:color w:val="auto"/>
          <w:szCs w:val="21"/>
          <w:u w:val="single"/>
          <w:lang w:val="zh-CN"/>
        </w:rPr>
        <w:t xml:space="preserve">  （投标人的名称）  </w:t>
      </w:r>
      <w:r>
        <w:rPr>
          <w:rFonts w:hint="eastAsia" w:ascii="宋体" w:hAnsi="宋体" w:eastAsia="宋体" w:cs="宋体"/>
          <w:color w:val="auto"/>
          <w:szCs w:val="21"/>
          <w:lang w:val="zh-CN"/>
        </w:rPr>
        <w:t>，按照你方招标文件的规定，提交《投标人须知》第8条</w:t>
      </w:r>
      <w:r>
        <w:rPr>
          <w:rFonts w:hint="eastAsia" w:ascii="宋体" w:hAnsi="宋体" w:eastAsia="宋体" w:cs="宋体"/>
          <w:color w:val="auto"/>
          <w:szCs w:val="21"/>
        </w:rPr>
        <w:t>“</w:t>
      </w:r>
      <w:r>
        <w:rPr>
          <w:rFonts w:hint="eastAsia" w:ascii="宋体" w:hAnsi="宋体" w:eastAsia="宋体" w:cs="宋体"/>
          <w:color w:val="auto"/>
          <w:szCs w:val="21"/>
          <w:lang w:val="zh-CN"/>
        </w:rPr>
        <w:t>投标文件构成</w:t>
      </w:r>
      <w:r>
        <w:rPr>
          <w:rFonts w:hint="eastAsia" w:ascii="宋体" w:hAnsi="宋体" w:eastAsia="宋体" w:cs="宋体"/>
          <w:color w:val="auto"/>
          <w:szCs w:val="21"/>
        </w:rPr>
        <w:t>”</w:t>
      </w:r>
      <w:r>
        <w:rPr>
          <w:rFonts w:hint="eastAsia" w:ascii="宋体" w:hAnsi="宋体" w:eastAsia="宋体" w:cs="宋体"/>
          <w:color w:val="auto"/>
          <w:szCs w:val="21"/>
          <w:lang w:val="zh-CN"/>
        </w:rPr>
        <w:t>要求的投标文件，并保证所提供的全部文件是真实的、有效的和准确的。</w:t>
      </w:r>
    </w:p>
    <w:p w14:paraId="4A5D551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据此函，签字人兹宣布同意如下：</w:t>
      </w:r>
    </w:p>
    <w:p w14:paraId="05CCF6A3">
      <w:pPr>
        <w:pageBreakBefore w:val="0"/>
        <w:tabs>
          <w:tab w:val="left" w:pos="8175"/>
        </w:tabs>
        <w:kinsoku/>
        <w:wordWrap/>
        <w:overflowPunct/>
        <w:topLinePunct w:val="0"/>
        <w:autoSpaceDE w:val="0"/>
        <w:autoSpaceDN w:val="0"/>
        <w:bidi w:val="0"/>
        <w:adjustRightInd w:val="0"/>
        <w:spacing w:line="240" w:lineRule="auto"/>
        <w:ind w:firstLine="420" w:firstLineChars="20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1.按招标文件规定提供货物及服务的投标总价为（大写）</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元人民币。</w:t>
      </w:r>
    </w:p>
    <w:p w14:paraId="47D8873F">
      <w:pPr>
        <w:pageBreakBefore w:val="0"/>
        <w:tabs>
          <w:tab w:val="left" w:pos="8175"/>
        </w:tabs>
        <w:kinsoku/>
        <w:wordWrap/>
        <w:overflowPunct/>
        <w:topLinePunct w:val="0"/>
        <w:autoSpaceDE w:val="0"/>
        <w:autoSpaceDN w:val="0"/>
        <w:bidi w:val="0"/>
        <w:adjustRightInd w:val="0"/>
        <w:spacing w:line="240" w:lineRule="auto"/>
        <w:ind w:firstLine="420" w:firstLineChars="20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2.如果我方中标，我们保证根据招标文件规定履行合同责任和义务。具体交货时间承诺如下：合同签订后</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天内。</w:t>
      </w:r>
    </w:p>
    <w:p w14:paraId="2AD58BE7">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3.我方人民币</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元的投标保证金与本投标文件同时提交。</w:t>
      </w:r>
    </w:p>
    <w:p w14:paraId="7E9493C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4.如果我方中标，我方保证按照招标文件规定提交履约保证金，承担履约责任。</w:t>
      </w:r>
    </w:p>
    <w:p w14:paraId="31EBEA21">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5.我们已详细阅读了全部招标文件，包括招标文件的修改、补充文件、参考资料及有关的附件，我们接受招标文件的全部条款和条件，我们知道必须放弃提出含糊不清或误解的问题的权利。</w:t>
      </w:r>
    </w:p>
    <w:p w14:paraId="35C828E8">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6.我们对招标文件关于时限、程序方面的规定没有异议，保证按照招标文件规定的时限和程序参加投标活动。</w:t>
      </w:r>
    </w:p>
    <w:p w14:paraId="4DCDA02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7.我们同意在投标人须知规定的开标时间起遵循本投标书，并在投标人须知规定的投标有效期满之前均具有约束力，并有可能中标。</w:t>
      </w:r>
    </w:p>
    <w:p w14:paraId="2F0EE5C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8.我们如果在规定的投标有效期内撤回投标，则你方可不予退还我们的投标保证金。</w:t>
      </w:r>
    </w:p>
    <w:p w14:paraId="119A35C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9.我们保证向你方提供你方可能要求的与本投标有关的任何证据或资料。</w:t>
      </w:r>
    </w:p>
    <w:p w14:paraId="4F1401D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10.我们完全理解你方不一定要接受最低报价的投标或收到的任何投标。</w:t>
      </w:r>
    </w:p>
    <w:p w14:paraId="73BB902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11.本投标自开标之时起90天内有效。</w:t>
      </w:r>
    </w:p>
    <w:p w14:paraId="2D12C064">
      <w:pPr>
        <w:pageBreakBefore w:val="0"/>
        <w:tabs>
          <w:tab w:val="left" w:pos="709"/>
        </w:tabs>
        <w:kinsoku/>
        <w:wordWrap/>
        <w:overflowPunct/>
        <w:topLinePunct w:val="0"/>
        <w:autoSpaceDE w:val="0"/>
        <w:autoSpaceDN w:val="0"/>
        <w:bidi w:val="0"/>
        <w:adjustRightInd w:val="0"/>
        <w:spacing w:line="240" w:lineRule="auto"/>
        <w:ind w:firstLine="482"/>
        <w:outlineLvl w:val="9"/>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12.我方保证严格遵守《中华人民共和国政府采购法实施条例》的有关规定，若有下列情形之一的，我方将被处不予退还投标保证金，列入不良行为记录名单，在一至三年内禁止参加政府招标活动，并予以公告：</w:t>
      </w:r>
    </w:p>
    <w:p w14:paraId="7955B53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1</w:t>
      </w:r>
      <w:r>
        <w:rPr>
          <w:rFonts w:hint="eastAsia" w:ascii="宋体" w:hAnsi="宋体" w:eastAsia="宋体" w:cs="宋体"/>
          <w:color w:val="auto"/>
          <w:szCs w:val="21"/>
          <w:lang w:val="zh-CN"/>
        </w:rPr>
        <w:t>）提供虚假材料谋取中标、成交的；</w:t>
      </w:r>
    </w:p>
    <w:p w14:paraId="724EB6F7">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2</w:t>
      </w:r>
      <w:r>
        <w:rPr>
          <w:rFonts w:hint="eastAsia" w:ascii="宋体" w:hAnsi="宋体" w:eastAsia="宋体" w:cs="宋体"/>
          <w:color w:val="auto"/>
          <w:szCs w:val="21"/>
          <w:lang w:val="zh-CN"/>
        </w:rPr>
        <w:t>）采取不正当手段诋毁、排挤其他投标人的；</w:t>
      </w:r>
    </w:p>
    <w:p w14:paraId="668011A9">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3</w:t>
      </w:r>
      <w:r>
        <w:rPr>
          <w:rFonts w:hint="eastAsia" w:ascii="宋体" w:hAnsi="宋体" w:eastAsia="宋体" w:cs="宋体"/>
          <w:color w:val="auto"/>
          <w:szCs w:val="21"/>
          <w:lang w:val="zh-CN"/>
        </w:rPr>
        <w:t>）与其他投标人、招标机构或者招标单位人员或者其他有关人员恶意串通的；</w:t>
      </w:r>
    </w:p>
    <w:p w14:paraId="6480601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4</w:t>
      </w:r>
      <w:r>
        <w:rPr>
          <w:rFonts w:hint="eastAsia" w:ascii="宋体" w:hAnsi="宋体" w:eastAsia="宋体" w:cs="宋体"/>
          <w:color w:val="auto"/>
          <w:szCs w:val="21"/>
          <w:lang w:val="zh-CN"/>
        </w:rPr>
        <w:t>）向评标委员会成员、招标机构或者招标单位人员或者其他有关人员行贿或者提供其他不正当利益的；</w:t>
      </w:r>
    </w:p>
    <w:p w14:paraId="3A2CFDE5">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5</w:t>
      </w:r>
      <w:r>
        <w:rPr>
          <w:rFonts w:hint="eastAsia" w:ascii="宋体" w:hAnsi="宋体" w:eastAsia="宋体" w:cs="宋体"/>
          <w:color w:val="auto"/>
          <w:szCs w:val="21"/>
          <w:lang w:val="zh-CN"/>
        </w:rPr>
        <w:t>）被评定中标后无正当理由不与招标人或者招标代理机构订立合同，或者中标后不按招标文件和中标投标人的投标文件订立合同，或者与招标人另行订立背离合同实质性内容的协议的；</w:t>
      </w:r>
    </w:p>
    <w:p w14:paraId="7D677DBD">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6</w:t>
      </w:r>
      <w:r>
        <w:rPr>
          <w:rFonts w:hint="eastAsia" w:ascii="宋体" w:hAnsi="宋体" w:eastAsia="宋体" w:cs="宋体"/>
          <w:color w:val="auto"/>
          <w:szCs w:val="21"/>
          <w:lang w:val="zh-CN"/>
        </w:rPr>
        <w:t>）将中标项目转让给他人或者将中标项目分包给他人的；</w:t>
      </w:r>
    </w:p>
    <w:p w14:paraId="457ACF42">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7</w:t>
      </w:r>
      <w:r>
        <w:rPr>
          <w:rFonts w:hint="eastAsia" w:ascii="宋体" w:hAnsi="宋体" w:eastAsia="宋体" w:cs="宋体"/>
          <w:color w:val="auto"/>
          <w:szCs w:val="21"/>
          <w:lang w:val="zh-CN"/>
        </w:rPr>
        <w:t>）签订合同后拒绝履行合同义务的；</w:t>
      </w:r>
    </w:p>
    <w:p w14:paraId="0263314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8</w:t>
      </w:r>
      <w:r>
        <w:rPr>
          <w:rFonts w:hint="eastAsia" w:ascii="宋体" w:hAnsi="宋体" w:eastAsia="宋体" w:cs="宋体"/>
          <w:color w:val="auto"/>
          <w:szCs w:val="21"/>
          <w:lang w:val="zh-CN"/>
        </w:rPr>
        <w:t>）拒绝有关部门监督检查或提供虚假情况的。</w:t>
      </w:r>
    </w:p>
    <w:p w14:paraId="646632FB">
      <w:pPr>
        <w:pageBreakBefore w:val="0"/>
        <w:kinsoku/>
        <w:wordWrap/>
        <w:overflowPunct/>
        <w:topLinePunct w:val="0"/>
        <w:autoSpaceDE w:val="0"/>
        <w:autoSpaceDN w:val="0"/>
        <w:bidi w:val="0"/>
        <w:adjustRightInd w:val="0"/>
        <w:spacing w:line="240" w:lineRule="auto"/>
        <w:ind w:firstLine="482"/>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投标人印刷体名称（加盖公章）：</w:t>
      </w:r>
      <w:r>
        <w:rPr>
          <w:rFonts w:hint="eastAsia" w:ascii="宋体" w:hAnsi="宋体" w:eastAsia="宋体" w:cs="宋体"/>
          <w:color w:val="auto"/>
          <w:szCs w:val="21"/>
          <w:u w:val="single"/>
          <w:lang w:val="zh-CN"/>
        </w:rPr>
        <w:t xml:space="preserve">                      </w:t>
      </w:r>
    </w:p>
    <w:p w14:paraId="78ECC47C">
      <w:pPr>
        <w:pageBreakBefore w:val="0"/>
        <w:kinsoku/>
        <w:wordWrap/>
        <w:overflowPunct/>
        <w:topLinePunct w:val="0"/>
        <w:autoSpaceDE w:val="0"/>
        <w:autoSpaceDN w:val="0"/>
        <w:bidi w:val="0"/>
        <w:adjustRightInd w:val="0"/>
        <w:spacing w:line="240" w:lineRule="auto"/>
        <w:ind w:firstLine="482"/>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法定代表人或授权代理人（签字或盖章）：</w:t>
      </w:r>
      <w:r>
        <w:rPr>
          <w:rFonts w:hint="eastAsia" w:ascii="宋体" w:hAnsi="宋体" w:eastAsia="宋体" w:cs="宋体"/>
          <w:color w:val="auto"/>
          <w:szCs w:val="21"/>
          <w:u w:val="single"/>
          <w:lang w:val="zh-CN"/>
        </w:rPr>
        <w:t xml:space="preserve">                  </w:t>
      </w:r>
    </w:p>
    <w:p w14:paraId="0342E3D9">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地址：</w:t>
      </w:r>
      <w:r>
        <w:rPr>
          <w:rFonts w:hint="eastAsia" w:ascii="宋体" w:hAnsi="宋体" w:eastAsia="宋体" w:cs="宋体"/>
          <w:color w:val="auto"/>
          <w:szCs w:val="21"/>
          <w:u w:val="single"/>
          <w:lang w:val="zh-CN"/>
        </w:rPr>
        <w:t xml:space="preserve">                                       </w:t>
      </w:r>
    </w:p>
    <w:p w14:paraId="3A71F182">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电话、传真或电传：</w:t>
      </w:r>
      <w:r>
        <w:rPr>
          <w:rFonts w:hint="eastAsia" w:ascii="宋体" w:hAnsi="宋体" w:eastAsia="宋体" w:cs="宋体"/>
          <w:color w:val="auto"/>
          <w:szCs w:val="21"/>
          <w:u w:val="single"/>
          <w:lang w:val="zh-CN"/>
        </w:rPr>
        <w:t xml:space="preserve">                           </w:t>
      </w:r>
    </w:p>
    <w:p w14:paraId="6872E82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邮政编码：</w:t>
      </w:r>
      <w:r>
        <w:rPr>
          <w:rFonts w:hint="eastAsia" w:ascii="宋体" w:hAnsi="宋体" w:eastAsia="宋体" w:cs="宋体"/>
          <w:color w:val="auto"/>
          <w:szCs w:val="21"/>
          <w:u w:val="single"/>
          <w:lang w:val="zh-CN"/>
        </w:rPr>
        <w:t xml:space="preserve">                                   </w:t>
      </w:r>
    </w:p>
    <w:p w14:paraId="62F09B7E">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日期：</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日</w:t>
      </w:r>
    </w:p>
    <w:p w14:paraId="5045008D">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p>
    <w:p w14:paraId="7C11F893">
      <w:pPr>
        <w:pageBreakBefore w:val="0"/>
        <w:kinsoku/>
        <w:wordWrap/>
        <w:overflowPunct/>
        <w:topLinePunct w:val="0"/>
        <w:autoSpaceDE w:val="0"/>
        <w:autoSpaceDN w:val="0"/>
        <w:bidi w:val="0"/>
        <w:adjustRightInd w:val="0"/>
        <w:spacing w:line="240" w:lineRule="auto"/>
        <w:ind w:firstLine="472"/>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请投标人注意：投标函必须按规定有效签署和加盖公章。</w:t>
      </w:r>
    </w:p>
    <w:p w14:paraId="7897BD09">
      <w:pPr>
        <w:pageBreakBefore w:val="0"/>
        <w:tabs>
          <w:tab w:val="left" w:pos="4442"/>
        </w:tabs>
        <w:kinsoku/>
        <w:wordWrap/>
        <w:overflowPunct/>
        <w:topLinePunct w:val="0"/>
        <w:bidi w:val="0"/>
        <w:spacing w:line="240" w:lineRule="auto"/>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ab/>
      </w:r>
    </w:p>
    <w:p w14:paraId="485C433A">
      <w:pPr>
        <w:pageBreakBefore w:val="0"/>
        <w:tabs>
          <w:tab w:val="left" w:pos="4442"/>
        </w:tabs>
        <w:kinsoku/>
        <w:wordWrap/>
        <w:overflowPunct/>
        <w:topLinePunct w:val="0"/>
        <w:bidi w:val="0"/>
        <w:spacing w:line="240" w:lineRule="auto"/>
        <w:outlineLvl w:val="9"/>
        <w:rPr>
          <w:rFonts w:hint="eastAsia" w:ascii="宋体" w:hAnsi="宋体" w:eastAsia="宋体" w:cs="宋体"/>
          <w:color w:val="auto"/>
          <w:szCs w:val="21"/>
          <w:lang w:val="zh-CN"/>
        </w:rPr>
        <w:sectPr>
          <w:headerReference r:id="rId9" w:type="default"/>
          <w:footerReference r:id="rId10"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r>
        <w:rPr>
          <w:rFonts w:hint="eastAsia" w:ascii="宋体" w:hAnsi="宋体" w:eastAsia="宋体" w:cs="宋体"/>
          <w:color w:val="auto"/>
          <w:szCs w:val="21"/>
          <w:lang w:val="zh-CN"/>
        </w:rPr>
        <w:tab/>
      </w:r>
    </w:p>
    <w:p w14:paraId="38A0E1DD">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sectPr>
          <w:headerReference r:id="rId11" w:type="default"/>
          <w:type w:val="continuous"/>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06897B64">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en-US" w:eastAsia="zh-CN"/>
        </w:rPr>
      </w:pPr>
      <w:bookmarkStart w:id="140" w:name="_Toc9192"/>
      <w:bookmarkStart w:id="141" w:name="_Toc1355"/>
      <w:bookmarkStart w:id="142" w:name="_Toc12567"/>
      <w:bookmarkStart w:id="143" w:name="_Toc29556"/>
      <w:r>
        <w:rPr>
          <w:rFonts w:hint="eastAsia" w:ascii="宋体" w:hAnsi="宋体" w:eastAsia="宋体" w:cs="宋体"/>
          <w:b/>
          <w:color w:val="auto"/>
          <w:sz w:val="24"/>
          <w:lang w:val="zh-CN"/>
        </w:rPr>
        <w:t>格式</w:t>
      </w:r>
      <w:r>
        <w:rPr>
          <w:rFonts w:hint="eastAsia" w:ascii="宋体" w:hAnsi="宋体" w:eastAsia="宋体" w:cs="宋体"/>
          <w:b/>
          <w:color w:val="auto"/>
          <w:sz w:val="24"/>
          <w:highlight w:val="none"/>
          <w:lang w:val="zh-CN"/>
        </w:rPr>
        <w:t>二</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szCs w:val="28"/>
          <w:highlight w:val="none"/>
          <w:lang w:eastAsia="zh-CN"/>
        </w:rPr>
        <w:t>法定代表人身份</w:t>
      </w:r>
      <w:r>
        <w:rPr>
          <w:rFonts w:hint="eastAsia" w:ascii="宋体" w:hAnsi="宋体" w:eastAsia="宋体" w:cs="宋体"/>
          <w:b/>
          <w:color w:val="auto"/>
          <w:sz w:val="24"/>
          <w:szCs w:val="28"/>
          <w:highlight w:val="none"/>
        </w:rPr>
        <w:t>证</w:t>
      </w:r>
      <w:r>
        <w:rPr>
          <w:rFonts w:hint="eastAsia" w:ascii="宋体" w:hAnsi="宋体" w:eastAsia="宋体" w:cs="宋体"/>
          <w:b/>
          <w:color w:val="auto"/>
          <w:sz w:val="24"/>
          <w:szCs w:val="28"/>
        </w:rPr>
        <w:t>明</w:t>
      </w:r>
      <w:bookmarkEnd w:id="140"/>
    </w:p>
    <w:p w14:paraId="795FAAC3">
      <w:pPr>
        <w:pStyle w:val="18"/>
        <w:pageBreakBefore w:val="0"/>
        <w:kinsoku/>
        <w:wordWrap/>
        <w:overflowPunct/>
        <w:topLinePunct w:val="0"/>
        <w:bidi w:val="0"/>
        <w:spacing w:line="240" w:lineRule="auto"/>
        <w:outlineLvl w:val="9"/>
        <w:rPr>
          <w:rFonts w:hint="eastAsia" w:ascii="宋体" w:hAnsi="宋体" w:eastAsia="宋体" w:cs="宋体"/>
          <w:b/>
          <w:color w:val="auto"/>
          <w:sz w:val="24"/>
          <w:lang w:val="en-US" w:eastAsia="zh-CN"/>
        </w:rPr>
      </w:pPr>
    </w:p>
    <w:p w14:paraId="2A45C4BF">
      <w:pPr>
        <w:pageBreakBefore w:val="0"/>
        <w:kinsoku/>
        <w:wordWrap/>
        <w:overflowPunct/>
        <w:topLinePunct w:val="0"/>
        <w:bidi w:val="0"/>
        <w:spacing w:line="240" w:lineRule="auto"/>
        <w:jc w:val="center"/>
        <w:outlineLvl w:val="9"/>
        <w:rPr>
          <w:rFonts w:hint="eastAsia" w:ascii="宋体" w:hAnsi="宋体" w:eastAsia="宋体" w:cs="宋体"/>
          <w:b/>
          <w:color w:val="auto"/>
          <w:sz w:val="24"/>
          <w:szCs w:val="28"/>
        </w:rPr>
      </w:pPr>
      <w:r>
        <w:rPr>
          <w:rFonts w:hint="eastAsia" w:ascii="宋体" w:hAnsi="宋体" w:eastAsia="宋体" w:cs="宋体"/>
          <w:b/>
          <w:color w:val="auto"/>
          <w:sz w:val="24"/>
          <w:szCs w:val="28"/>
          <w:lang w:eastAsia="zh-CN"/>
        </w:rPr>
        <w:t>法定代表人身份证明</w:t>
      </w:r>
    </w:p>
    <w:p w14:paraId="50C1FE5B">
      <w:pPr>
        <w:pageBreakBefore w:val="0"/>
        <w:kinsoku/>
        <w:wordWrap/>
        <w:overflowPunct/>
        <w:topLinePunct w:val="0"/>
        <w:bidi w:val="0"/>
        <w:spacing w:line="240" w:lineRule="auto"/>
        <w:jc w:val="center"/>
        <w:outlineLvl w:val="9"/>
        <w:rPr>
          <w:rFonts w:hint="eastAsia" w:ascii="宋体" w:hAnsi="宋体" w:eastAsia="宋体" w:cs="宋体"/>
          <w:color w:val="auto"/>
          <w:sz w:val="24"/>
        </w:rPr>
      </w:pPr>
    </w:p>
    <w:p w14:paraId="46DC45A0">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cs="宋体"/>
          <w:color w:val="000000"/>
          <w:sz w:val="21"/>
          <w:szCs w:val="21"/>
          <w:lang w:eastAsia="zh-CN"/>
        </w:rPr>
        <w:t>投标人</w:t>
      </w:r>
      <w:r>
        <w:rPr>
          <w:rFonts w:hint="eastAsia" w:ascii="宋体" w:hAnsi="宋体" w:eastAsia="宋体" w:cs="宋体"/>
          <w:color w:val="000000"/>
          <w:sz w:val="21"/>
          <w:szCs w:val="21"/>
        </w:rPr>
        <w:t>名称：</w:t>
      </w:r>
    </w:p>
    <w:p w14:paraId="479489F4">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单位性质：</w:t>
      </w:r>
    </w:p>
    <w:p w14:paraId="296BEA0E">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地    址：</w:t>
      </w:r>
    </w:p>
    <w:p w14:paraId="1F50C479">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rPr>
      </w:pPr>
      <w:r>
        <w:rPr>
          <w:rFonts w:hint="eastAsia" w:ascii="宋体" w:hAnsi="宋体" w:eastAsia="宋体" w:cs="宋体"/>
          <w:color w:val="000000"/>
          <w:sz w:val="21"/>
          <w:szCs w:val="21"/>
        </w:rPr>
        <w:t>成立时间：</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日</w:t>
      </w:r>
    </w:p>
    <w:p w14:paraId="1444F884">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经营期限：</w:t>
      </w:r>
    </w:p>
    <w:p w14:paraId="07309777">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 xml:space="preserve">姓名：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性别：</w:t>
      </w:r>
    </w:p>
    <w:p w14:paraId="08E27B7E">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年龄：</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职务：</w:t>
      </w:r>
    </w:p>
    <w:p w14:paraId="2CFB74FC">
      <w:pPr>
        <w:keepNext w:val="0"/>
        <w:keepLines w:val="0"/>
        <w:pageBreakBefore w:val="0"/>
        <w:widowControl w:val="0"/>
        <w:kinsoku/>
        <w:overflowPunct/>
        <w:autoSpaceDE w:val="0"/>
        <w:autoSpaceDN w:val="0"/>
        <w:bidi w:val="0"/>
        <w:adjustRightInd w:val="0"/>
        <w:snapToGrid/>
        <w:spacing w:line="440" w:lineRule="exact"/>
        <w:textAlignment w:val="auto"/>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系</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eastAsia="zh-CN"/>
        </w:rPr>
        <w:t>投标人</w:t>
      </w:r>
      <w:r>
        <w:rPr>
          <w:rFonts w:hint="eastAsia" w:ascii="宋体" w:hAnsi="宋体" w:eastAsia="宋体" w:cs="宋体"/>
          <w:color w:val="000000"/>
          <w:sz w:val="21"/>
          <w:szCs w:val="21"/>
        </w:rPr>
        <w:t>名称）的法定代表人</w:t>
      </w:r>
      <w:r>
        <w:rPr>
          <w:rFonts w:hint="eastAsia" w:ascii="宋体" w:hAnsi="宋体" w:eastAsia="宋体" w:cs="宋体"/>
          <w:color w:val="000000"/>
          <w:sz w:val="21"/>
          <w:szCs w:val="21"/>
          <w:lang w:eastAsia="zh-CN"/>
        </w:rPr>
        <w:t>。</w:t>
      </w:r>
    </w:p>
    <w:p w14:paraId="6E268FFE">
      <w:pPr>
        <w:keepNext w:val="0"/>
        <w:keepLines w:val="0"/>
        <w:pageBreakBefore w:val="0"/>
        <w:widowControl w:val="0"/>
        <w:kinsoku/>
        <w:overflowPunct/>
        <w:autoSpaceDE w:val="0"/>
        <w:autoSpaceDN w:val="0"/>
        <w:bidi w:val="0"/>
        <w:adjustRightInd w:val="0"/>
        <w:snapToGrid/>
        <w:spacing w:line="440" w:lineRule="exact"/>
        <w:ind w:firstLine="420" w:firstLineChars="200"/>
        <w:textAlignment w:val="auto"/>
        <w:outlineLvl w:val="9"/>
        <w:rPr>
          <w:rFonts w:ascii="宋体" w:hAnsi="宋体" w:eastAsia="宋体" w:cs="宋体"/>
          <w:color w:val="000000"/>
          <w:sz w:val="21"/>
          <w:szCs w:val="21"/>
        </w:rPr>
      </w:pPr>
    </w:p>
    <w:p w14:paraId="75CB0D77">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rPr>
      </w:pPr>
      <w:r>
        <w:rPr>
          <w:rFonts w:hint="eastAsia" w:ascii="宋体" w:hAnsi="宋体" w:eastAsia="宋体" w:cs="宋体"/>
          <w:color w:val="000000"/>
          <w:sz w:val="21"/>
          <w:szCs w:val="21"/>
        </w:rPr>
        <w:t>特此证明。</w:t>
      </w:r>
    </w:p>
    <w:p w14:paraId="39047FE6">
      <w:pPr>
        <w:keepNext w:val="0"/>
        <w:keepLines w:val="0"/>
        <w:pageBreakBefore w:val="0"/>
        <w:widowControl w:val="0"/>
        <w:kinsoku/>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2F2C026C">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rPr>
      </w:pPr>
      <w:r>
        <w:rPr>
          <w:rFonts w:hint="eastAsia" w:ascii="宋体" w:hAnsi="宋体" w:eastAsia="宋体" w:cs="宋体"/>
          <w:color w:val="000000"/>
          <w:sz w:val="21"/>
          <w:szCs w:val="21"/>
        </w:rPr>
        <w:t>注：后附法定代表人身份证复印件加盖公章</w:t>
      </w:r>
    </w:p>
    <w:p w14:paraId="1B0471EE">
      <w:pPr>
        <w:keepNext w:val="0"/>
        <w:keepLines w:val="0"/>
        <w:pageBreakBefore w:val="0"/>
        <w:widowControl w:val="0"/>
        <w:kinsoku/>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6329C557">
      <w:pPr>
        <w:keepNext w:val="0"/>
        <w:keepLines w:val="0"/>
        <w:pageBreakBefore w:val="0"/>
        <w:widowControl w:val="0"/>
        <w:kinsoku/>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043A584A">
      <w:pPr>
        <w:keepNext w:val="0"/>
        <w:keepLines w:val="0"/>
        <w:pageBreakBefore w:val="0"/>
        <w:widowControl w:val="0"/>
        <w:kinsoku/>
        <w:wordWrap w:val="0"/>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420AFDE3">
      <w:pPr>
        <w:pageBreakBefore w:val="0"/>
        <w:kinsoku/>
        <w:wordWrap/>
        <w:overflowPunct/>
        <w:topLinePunct w:val="0"/>
        <w:bidi w:val="0"/>
        <w:spacing w:line="240" w:lineRule="auto"/>
        <w:ind w:firstLine="420" w:firstLineChars="200"/>
        <w:jc w:val="right"/>
        <w:outlineLvl w:val="9"/>
        <w:rPr>
          <w:rFonts w:hint="eastAsia" w:ascii="宋体" w:hAnsi="宋体" w:eastAsia="宋体" w:cs="宋体"/>
          <w:color w:val="auto"/>
          <w:sz w:val="21"/>
          <w:szCs w:val="21"/>
        </w:rPr>
      </w:pPr>
      <w:r>
        <w:rPr>
          <w:rFonts w:hint="eastAsia" w:ascii="宋体" w:hAnsi="宋体" w:eastAsia="宋体" w:cs="宋体"/>
          <w:color w:val="auto"/>
          <w:szCs w:val="21"/>
          <w:lang w:val="zh-CN"/>
        </w:rPr>
        <w:t>投标人</w:t>
      </w:r>
      <w:r>
        <w:rPr>
          <w:rFonts w:hint="eastAsia" w:ascii="宋体" w:hAnsi="宋体" w:eastAsia="宋体" w:cs="宋体"/>
          <w:color w:val="auto"/>
          <w:sz w:val="21"/>
          <w:szCs w:val="21"/>
        </w:rPr>
        <w:t>全称（公章）：</w:t>
      </w:r>
    </w:p>
    <w:p w14:paraId="5070109A">
      <w:pPr>
        <w:keepNext w:val="0"/>
        <w:keepLines w:val="0"/>
        <w:pageBreakBefore w:val="0"/>
        <w:widowControl w:val="0"/>
        <w:kinsoku/>
        <w:wordWrap w:val="0"/>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26E7A2A6">
      <w:pPr>
        <w:keepNext w:val="0"/>
        <w:keepLines w:val="0"/>
        <w:pageBreakBefore w:val="0"/>
        <w:widowControl w:val="0"/>
        <w:tabs>
          <w:tab w:val="left" w:pos="1365"/>
        </w:tabs>
        <w:kinsoku/>
        <w:wordWrap w:val="0"/>
        <w:overflowPunct/>
        <w:topLinePunct/>
        <w:autoSpaceDE/>
        <w:autoSpaceDN/>
        <w:bidi w:val="0"/>
        <w:adjustRightInd w:val="0"/>
        <w:snapToGrid/>
        <w:spacing w:line="440" w:lineRule="exact"/>
        <w:ind w:left="-2" w:leftChars="-1" w:firstLine="2"/>
        <w:jc w:val="right"/>
        <w:textAlignment w:val="auto"/>
        <w:outlineLvl w:val="9"/>
        <w:rPr>
          <w:rFonts w:ascii="宋体" w:hAnsi="宋体" w:cs="宋体"/>
          <w:b/>
          <w:color w:val="auto"/>
          <w:sz w:val="21"/>
          <w:szCs w:val="21"/>
          <w:lang w:eastAsia="zh-CN"/>
        </w:rPr>
      </w:pPr>
      <w:r>
        <w:rPr>
          <w:rFonts w:hint="eastAsia" w:ascii="宋体" w:hAnsi="宋体" w:eastAsia="宋体" w:cs="宋体"/>
          <w:color w:val="000000"/>
          <w:sz w:val="21"/>
          <w:szCs w:val="21"/>
        </w:rPr>
        <w:t>年月日</w:t>
      </w:r>
    </w:p>
    <w:p w14:paraId="620D6377">
      <w:pPr>
        <w:pStyle w:val="14"/>
        <w:pageBreakBefore w:val="0"/>
        <w:kinsoku/>
        <w:wordWrap/>
        <w:overflowPunct/>
        <w:topLinePunct w:val="0"/>
        <w:bidi w:val="0"/>
        <w:spacing w:line="240" w:lineRule="auto"/>
        <w:outlineLvl w:val="9"/>
        <w:rPr>
          <w:rFonts w:hint="eastAsia" w:ascii="宋体" w:hAnsi="宋体" w:eastAsia="宋体" w:cs="宋体"/>
          <w:color w:val="auto"/>
          <w:szCs w:val="24"/>
        </w:rPr>
      </w:pPr>
    </w:p>
    <w:p w14:paraId="743F61D6">
      <w:pPr>
        <w:pageBreakBefore w:val="0"/>
        <w:kinsoku/>
        <w:wordWrap/>
        <w:overflowPunct/>
        <w:topLinePunct w:val="0"/>
        <w:bidi w:val="0"/>
        <w:spacing w:line="240" w:lineRule="auto"/>
        <w:rPr>
          <w:rFonts w:hint="eastAsia" w:ascii="宋体" w:hAnsi="宋体" w:eastAsia="宋体" w:cs="宋体"/>
          <w:color w:val="auto"/>
          <w:lang w:val="en-US" w:eastAsia="zh-CN"/>
        </w:rPr>
        <w:sectPr>
          <w:headerReference r:id="rId12"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38D388A">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en-US" w:eastAsia="zh-CN"/>
        </w:rPr>
      </w:pPr>
      <w:bookmarkStart w:id="144" w:name="_Toc17761"/>
      <w:r>
        <w:rPr>
          <w:rFonts w:hint="eastAsia" w:ascii="宋体" w:hAnsi="宋体" w:eastAsia="宋体" w:cs="宋体"/>
          <w:b/>
          <w:color w:val="auto"/>
          <w:sz w:val="24"/>
          <w:lang w:val="zh-CN"/>
        </w:rPr>
        <w:t>格式三</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szCs w:val="28"/>
          <w:highlight w:val="none"/>
          <w:lang w:eastAsia="zh-CN"/>
        </w:rPr>
        <w:t>法定代表人</w:t>
      </w:r>
      <w:r>
        <w:rPr>
          <w:rFonts w:hint="eastAsia" w:ascii="宋体" w:hAnsi="宋体" w:eastAsia="宋体" w:cs="宋体"/>
          <w:b/>
          <w:color w:val="auto"/>
          <w:sz w:val="24"/>
          <w:szCs w:val="28"/>
        </w:rPr>
        <w:t>授权</w:t>
      </w:r>
      <w:r>
        <w:rPr>
          <w:rFonts w:hint="eastAsia" w:ascii="宋体" w:hAnsi="宋体" w:eastAsia="宋体" w:cs="宋体"/>
          <w:b/>
          <w:color w:val="auto"/>
          <w:sz w:val="24"/>
          <w:szCs w:val="28"/>
          <w:lang w:eastAsia="zh-CN"/>
        </w:rPr>
        <w:t>委托</w:t>
      </w:r>
      <w:r>
        <w:rPr>
          <w:rFonts w:hint="eastAsia" w:ascii="宋体" w:hAnsi="宋体" w:eastAsia="宋体" w:cs="宋体"/>
          <w:b/>
          <w:color w:val="auto"/>
          <w:sz w:val="24"/>
          <w:szCs w:val="28"/>
        </w:rPr>
        <w:t>书</w:t>
      </w:r>
      <w:bookmarkEnd w:id="144"/>
    </w:p>
    <w:p w14:paraId="31BCB5FF">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
          <w:color w:val="auto"/>
          <w:sz w:val="24"/>
          <w:szCs w:val="28"/>
        </w:rPr>
      </w:pPr>
    </w:p>
    <w:p w14:paraId="2536104B">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color w:val="auto"/>
          <w:sz w:val="24"/>
          <w:lang w:val="zh-CN"/>
        </w:rPr>
      </w:pPr>
      <w:r>
        <w:rPr>
          <w:rFonts w:hint="eastAsia" w:ascii="宋体" w:hAnsi="宋体" w:eastAsia="宋体" w:cs="宋体"/>
          <w:b/>
          <w:color w:val="auto"/>
          <w:sz w:val="24"/>
          <w:szCs w:val="28"/>
          <w:lang w:eastAsia="zh-CN"/>
        </w:rPr>
        <w:t>法定代表人</w:t>
      </w:r>
      <w:r>
        <w:rPr>
          <w:rFonts w:hint="eastAsia" w:ascii="宋体" w:hAnsi="宋体" w:eastAsia="宋体" w:cs="宋体"/>
          <w:b/>
          <w:color w:val="auto"/>
          <w:sz w:val="24"/>
          <w:szCs w:val="28"/>
        </w:rPr>
        <w:t>授权</w:t>
      </w:r>
      <w:r>
        <w:rPr>
          <w:rFonts w:hint="eastAsia" w:ascii="宋体" w:hAnsi="宋体" w:eastAsia="宋体" w:cs="宋体"/>
          <w:b/>
          <w:color w:val="auto"/>
          <w:sz w:val="24"/>
          <w:szCs w:val="28"/>
          <w:lang w:eastAsia="zh-CN"/>
        </w:rPr>
        <w:t>委托</w:t>
      </w:r>
      <w:r>
        <w:rPr>
          <w:rFonts w:hint="eastAsia" w:ascii="宋体" w:hAnsi="宋体" w:eastAsia="宋体" w:cs="宋体"/>
          <w:b/>
          <w:color w:val="auto"/>
          <w:sz w:val="24"/>
          <w:szCs w:val="28"/>
        </w:rPr>
        <w:t>书</w:t>
      </w:r>
      <w:r>
        <w:rPr>
          <w:rFonts w:hint="eastAsia" w:ascii="宋体" w:hAnsi="宋体" w:eastAsia="宋体" w:cs="宋体"/>
          <w:color w:val="auto"/>
          <w:sz w:val="24"/>
          <w:lang w:val="zh-CN"/>
        </w:rPr>
        <w:t>（法定代表人投标的可不提供）</w:t>
      </w:r>
      <w:bookmarkEnd w:id="141"/>
    </w:p>
    <w:p w14:paraId="27C9CD5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 w:val="24"/>
          <w:lang w:val="zh-CN"/>
        </w:rPr>
      </w:pPr>
    </w:p>
    <w:p w14:paraId="2A7C6E1A">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 w:val="24"/>
          <w:lang w:val="zh-CN"/>
        </w:rPr>
      </w:pPr>
    </w:p>
    <w:p w14:paraId="45D4E26D">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本授权书声明：注册于</w:t>
      </w:r>
      <w:r>
        <w:rPr>
          <w:rFonts w:hint="eastAsia" w:ascii="宋体" w:hAnsi="宋体" w:eastAsia="宋体" w:cs="宋体"/>
          <w:color w:val="auto"/>
          <w:szCs w:val="21"/>
          <w:u w:val="single"/>
          <w:lang w:val="zh-CN"/>
        </w:rPr>
        <w:t xml:space="preserve">  （注册地点）   </w:t>
      </w:r>
      <w:r>
        <w:rPr>
          <w:rFonts w:hint="eastAsia" w:ascii="宋体" w:hAnsi="宋体" w:eastAsia="宋体" w:cs="宋体"/>
          <w:color w:val="auto"/>
          <w:szCs w:val="21"/>
          <w:lang w:val="zh-CN"/>
        </w:rPr>
        <w:t>的</w:t>
      </w:r>
      <w:r>
        <w:rPr>
          <w:rFonts w:hint="eastAsia" w:ascii="宋体" w:hAnsi="宋体" w:eastAsia="宋体" w:cs="宋体"/>
          <w:color w:val="auto"/>
          <w:szCs w:val="21"/>
          <w:u w:val="single"/>
          <w:lang w:val="zh-CN"/>
        </w:rPr>
        <w:t xml:space="preserve">   （投标人名称）   </w:t>
      </w:r>
      <w:r>
        <w:rPr>
          <w:rFonts w:hint="eastAsia" w:ascii="宋体" w:hAnsi="宋体" w:eastAsia="宋体" w:cs="宋体"/>
          <w:color w:val="auto"/>
          <w:szCs w:val="21"/>
          <w:lang w:val="zh-CN"/>
        </w:rPr>
        <w:t>公司的</w:t>
      </w:r>
      <w:r>
        <w:rPr>
          <w:rFonts w:hint="eastAsia" w:ascii="宋体" w:hAnsi="宋体" w:eastAsia="宋体" w:cs="宋体"/>
          <w:color w:val="auto"/>
          <w:szCs w:val="21"/>
          <w:u w:val="single"/>
          <w:lang w:val="zh-CN"/>
        </w:rPr>
        <w:t xml:space="preserve">  （投标人法定代表人或法定代表人姓名、职务）  </w:t>
      </w:r>
      <w:r>
        <w:rPr>
          <w:rFonts w:hint="eastAsia" w:ascii="宋体" w:hAnsi="宋体" w:eastAsia="宋体" w:cs="宋体"/>
          <w:color w:val="auto"/>
          <w:szCs w:val="21"/>
          <w:lang w:val="zh-CN"/>
        </w:rPr>
        <w:t>代表本公司授权</w:t>
      </w:r>
      <w:r>
        <w:rPr>
          <w:rFonts w:hint="eastAsia" w:ascii="宋体" w:hAnsi="宋体" w:eastAsia="宋体" w:cs="宋体"/>
          <w:color w:val="auto"/>
          <w:szCs w:val="21"/>
          <w:u w:val="single"/>
          <w:lang w:val="zh-CN"/>
        </w:rPr>
        <w:t>___（被授权人单位名称）__</w:t>
      </w:r>
      <w:r>
        <w:rPr>
          <w:rFonts w:hint="eastAsia" w:ascii="宋体" w:hAnsi="宋体" w:eastAsia="宋体" w:cs="宋体"/>
          <w:color w:val="auto"/>
          <w:szCs w:val="21"/>
          <w:lang w:val="zh-CN"/>
        </w:rPr>
        <w:t>的___</w:t>
      </w:r>
      <w:r>
        <w:rPr>
          <w:rFonts w:hint="eastAsia" w:ascii="宋体" w:hAnsi="宋体" w:eastAsia="宋体" w:cs="宋体"/>
          <w:color w:val="auto"/>
          <w:szCs w:val="21"/>
          <w:u w:val="single"/>
          <w:lang w:val="zh-CN"/>
        </w:rPr>
        <w:t xml:space="preserve">(被授权人姓名、职务)   </w:t>
      </w:r>
      <w:r>
        <w:rPr>
          <w:rFonts w:hint="eastAsia" w:ascii="宋体" w:hAnsi="宋体" w:eastAsia="宋体" w:cs="宋体"/>
          <w:color w:val="auto"/>
          <w:szCs w:val="21"/>
          <w:lang w:val="zh-CN"/>
        </w:rPr>
        <w:t>为本公司的合法代理人，就___</w:t>
      </w:r>
      <w:r>
        <w:rPr>
          <w:rFonts w:hint="eastAsia" w:ascii="宋体" w:hAnsi="宋体" w:eastAsia="宋体" w:cs="宋体"/>
          <w:color w:val="auto"/>
          <w:szCs w:val="21"/>
          <w:u w:val="single"/>
          <w:lang w:val="zh-CN"/>
        </w:rPr>
        <w:t>（招标单位名称+项目名称</w:t>
      </w:r>
      <w:r>
        <w:rPr>
          <w:rFonts w:hint="eastAsia" w:ascii="宋体" w:hAnsi="宋体" w:eastAsia="宋体" w:cs="宋体"/>
          <w:color w:val="auto"/>
          <w:szCs w:val="21"/>
          <w:u w:val="single"/>
          <w:lang w:val="en-US" w:eastAsia="zh-CN"/>
        </w:rPr>
        <w:t>+标段</w:t>
      </w:r>
      <w:r>
        <w:rPr>
          <w:rFonts w:hint="eastAsia" w:ascii="宋体" w:hAnsi="宋体" w:eastAsia="宋体" w:cs="宋体"/>
          <w:color w:val="auto"/>
          <w:szCs w:val="21"/>
          <w:u w:val="single"/>
          <w:lang w:val="zh-CN"/>
        </w:rPr>
        <w:t>）</w:t>
      </w:r>
      <w:r>
        <w:rPr>
          <w:rFonts w:hint="eastAsia" w:ascii="宋体" w:hAnsi="宋体" w:eastAsia="宋体" w:cs="宋体"/>
          <w:color w:val="auto"/>
          <w:szCs w:val="21"/>
          <w:lang w:val="zh-CN"/>
        </w:rPr>
        <w:t>___项目（招标编号   ）的投标以及合同的签约、执行、完成等全权负责，以本公司名义处理一切与之有关的事务。代理人在投标、开标、评标、合同签订和履行过程中所签署的一切文件和处理的与之有关的一切事务，我均予以承认。代理人无转委托权。</w:t>
      </w:r>
    </w:p>
    <w:p w14:paraId="1AB988EA">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本授权书于</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日签字生效，特此声明。</w:t>
      </w:r>
    </w:p>
    <w:p w14:paraId="1F49CD5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p>
    <w:p w14:paraId="77DD901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投标人印刷体名称（加盖公章）：</w:t>
      </w:r>
    </w:p>
    <w:p w14:paraId="6AD705F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地址：</w:t>
      </w:r>
    </w:p>
    <w:p w14:paraId="565671C5">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法定代表人印刷体姓名、手书签名：</w:t>
      </w:r>
    </w:p>
    <w:p w14:paraId="6B2F0CC8">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被授权人（代理人）印刷体姓名、手书签名：</w:t>
      </w:r>
    </w:p>
    <w:p w14:paraId="391D4A48">
      <w:pPr>
        <w:pageBreakBefore w:val="0"/>
        <w:kinsoku/>
        <w:wordWrap/>
        <w:overflowPunct/>
        <w:topLinePunct w:val="0"/>
        <w:autoSpaceDE w:val="0"/>
        <w:autoSpaceDN w:val="0"/>
        <w:bidi w:val="0"/>
        <w:adjustRightInd w:val="0"/>
        <w:spacing w:line="240" w:lineRule="auto"/>
        <w:ind w:firstLine="495"/>
        <w:outlineLvl w:val="9"/>
        <w:rPr>
          <w:rFonts w:hint="eastAsia" w:ascii="宋体" w:hAnsi="宋体" w:eastAsia="宋体" w:cs="宋体"/>
          <w:color w:val="auto"/>
          <w:szCs w:val="21"/>
          <w:lang w:val="zh-CN"/>
        </w:rPr>
      </w:pPr>
    </w:p>
    <w:p w14:paraId="25766D30">
      <w:pPr>
        <w:pageBreakBefore w:val="0"/>
        <w:kinsoku/>
        <w:wordWrap/>
        <w:overflowPunct/>
        <w:topLinePunct w:val="0"/>
        <w:autoSpaceDE w:val="0"/>
        <w:autoSpaceDN w:val="0"/>
        <w:bidi w:val="0"/>
        <w:adjustRightInd w:val="0"/>
        <w:spacing w:line="240" w:lineRule="auto"/>
        <w:ind w:firstLine="472"/>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请投标人注意：法定代表人授权委托书必须按规定有效签署和加盖公章。</w:t>
      </w:r>
    </w:p>
    <w:p w14:paraId="1EA5911E">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Cs w:val="21"/>
          <w:lang w:val="zh-CN"/>
        </w:rPr>
      </w:pPr>
    </w:p>
    <w:p w14:paraId="1A276DA0">
      <w:pPr>
        <w:rPr>
          <w:rFonts w:hint="eastAsia" w:ascii="宋体" w:hAnsi="宋体" w:eastAsia="宋体" w:cs="宋体"/>
          <w:b/>
          <w:color w:val="auto"/>
          <w:sz w:val="24"/>
          <w:lang w:val="zh-CN"/>
        </w:rPr>
      </w:pPr>
      <w:r>
        <w:rPr>
          <w:rFonts w:hint="eastAsia" w:ascii="宋体" w:hAnsi="宋体" w:eastAsia="宋体" w:cs="宋体"/>
          <w:b/>
          <w:color w:val="auto"/>
          <w:sz w:val="24"/>
          <w:lang w:val="zh-CN"/>
        </w:rPr>
        <w:br w:type="page"/>
      </w:r>
    </w:p>
    <w:p w14:paraId="410BE28D">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u w:val="single"/>
          <w:lang w:val="zh-CN"/>
        </w:rPr>
      </w:pPr>
      <w:r>
        <w:rPr>
          <w:rFonts w:hint="eastAsia" w:ascii="宋体" w:hAnsi="宋体" w:eastAsia="宋体" w:cs="宋体"/>
          <w:b/>
          <w:color w:val="auto"/>
          <w:sz w:val="24"/>
          <w:lang w:val="zh-CN"/>
        </w:rPr>
        <w:t>格式四</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lang w:val="zh-CN"/>
        </w:rPr>
        <w:t>开标一览表</w:t>
      </w:r>
      <w:bookmarkEnd w:id="142"/>
      <w:bookmarkEnd w:id="143"/>
      <w:r>
        <w:rPr>
          <w:rFonts w:hint="eastAsia" w:ascii="宋体" w:hAnsi="宋体" w:eastAsia="宋体" w:cs="宋体"/>
          <w:b/>
          <w:color w:val="auto"/>
          <w:sz w:val="24"/>
          <w:lang w:val="zh-CN"/>
        </w:rPr>
        <w:t xml:space="preserve"> </w:t>
      </w:r>
    </w:p>
    <w:p w14:paraId="1FBBA183">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color w:val="auto"/>
          <w:sz w:val="24"/>
          <w:lang w:val="zh-CN"/>
        </w:rPr>
      </w:pPr>
      <w:r>
        <w:rPr>
          <w:rFonts w:hint="eastAsia" w:ascii="宋体" w:hAnsi="宋体" w:eastAsia="宋体" w:cs="宋体"/>
          <w:b/>
          <w:color w:val="auto"/>
          <w:sz w:val="24"/>
          <w:lang w:val="zh-CN"/>
        </w:rPr>
        <w:t>开标一览表</w:t>
      </w:r>
    </w:p>
    <w:p w14:paraId="721A4BFB">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项目名称：</w:t>
      </w:r>
    </w:p>
    <w:p w14:paraId="602A6503">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标段：</w:t>
      </w:r>
    </w:p>
    <w:p w14:paraId="339BB38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招标编号：</w:t>
      </w:r>
    </w:p>
    <w:p w14:paraId="0E1C1A7B">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投标人名称（加盖投标人公章）：</w:t>
      </w:r>
    </w:p>
    <w:p w14:paraId="009887A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sz w:val="24"/>
          <w:szCs w:val="24"/>
          <w:lang w:val="zh-CN"/>
        </w:rPr>
      </w:pPr>
      <w:r>
        <w:rPr>
          <w:rFonts w:hint="eastAsia" w:ascii="宋体" w:hAnsi="宋体" w:eastAsia="宋体" w:cs="宋体"/>
          <w:bCs/>
          <w:color w:val="auto"/>
          <w:szCs w:val="21"/>
          <w:highlight w:val="none"/>
          <w:lang w:val="zh-CN"/>
        </w:rPr>
        <w:t>法定代表人或授</w:t>
      </w:r>
      <w:r>
        <w:rPr>
          <w:rFonts w:hint="eastAsia" w:ascii="宋体" w:hAnsi="宋体" w:eastAsia="宋体" w:cs="宋体"/>
          <w:bCs/>
          <w:color w:val="auto"/>
          <w:szCs w:val="21"/>
          <w:lang w:val="zh-CN"/>
        </w:rPr>
        <w:t xml:space="preserve">权代理人（签字）： </w:t>
      </w: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lang w:val="zh-CN"/>
        </w:rPr>
        <w:t xml:space="preserve"> 年  月   日  </w:t>
      </w:r>
      <w:r>
        <w:rPr>
          <w:rFonts w:hint="eastAsia" w:ascii="宋体" w:hAnsi="宋体" w:eastAsia="宋体" w:cs="宋体"/>
          <w:color w:val="auto"/>
          <w:sz w:val="24"/>
          <w:szCs w:val="24"/>
          <w:lang w:val="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rPr>
        <w:t xml:space="preserve">                            </w:t>
      </w:r>
    </w:p>
    <w:tbl>
      <w:tblPr>
        <w:tblStyle w:val="22"/>
        <w:tblW w:w="8793" w:type="dxa"/>
        <w:tblInd w:w="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11"/>
        <w:gridCol w:w="7082"/>
      </w:tblGrid>
      <w:tr w14:paraId="7EA001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0685EC98">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投标单位</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3C924490">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7B9214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4"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4CC63FE0">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投标报价</w:t>
            </w:r>
          </w:p>
          <w:p w14:paraId="11DA83AB">
            <w:pPr>
              <w:pStyle w:val="39"/>
              <w:pageBreakBefore w:val="0"/>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（元）</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5B8B079D">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34F1A6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1B23627B">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投标保证金</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770DB90F">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“有”或“无”</w:t>
            </w:r>
          </w:p>
        </w:tc>
      </w:tr>
      <w:tr w14:paraId="2027B8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1148320A">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质量标准</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5EA59AE0">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4D70BC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2"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76420C4F">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合同履行期限</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6B36EB93">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307EBD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5"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4E716D42">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c>
          <w:tcPr>
            <w:tcW w:w="7082" w:type="dxa"/>
            <w:tcBorders>
              <w:top w:val="single" w:color="auto" w:sz="4" w:space="0"/>
              <w:left w:val="single" w:color="auto" w:sz="4" w:space="0"/>
              <w:bottom w:val="single" w:color="auto" w:sz="4" w:space="0"/>
              <w:right w:val="single" w:color="auto" w:sz="4" w:space="0"/>
            </w:tcBorders>
            <w:noWrap w:val="0"/>
            <w:vAlign w:val="top"/>
          </w:tcPr>
          <w:p w14:paraId="7F9F958C">
            <w:pPr>
              <w:pageBreakBefore w:val="0"/>
              <w:numPr>
                <w:ilvl w:val="0"/>
                <w:numId w:val="14"/>
              </w:numPr>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本表只做唱标时使用，但本表的一切内容均具有法律效力，不得更改。</w:t>
            </w:r>
          </w:p>
          <w:p w14:paraId="70F70546">
            <w:pPr>
              <w:pageBreakBefore w:val="0"/>
              <w:numPr>
                <w:ilvl w:val="0"/>
                <w:numId w:val="14"/>
              </w:numPr>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填报的内容必须和投标文件及投标函中的内容一致</w:t>
            </w:r>
            <w:r>
              <w:rPr>
                <w:rFonts w:hint="eastAsia" w:ascii="宋体" w:hAnsi="宋体" w:eastAsia="宋体" w:cs="宋体"/>
                <w:color w:val="auto"/>
                <w:sz w:val="21"/>
                <w:szCs w:val="21"/>
                <w:lang w:eastAsia="zh-CN"/>
              </w:rPr>
              <w:t>，内容不一致的以开标一览表为准</w:t>
            </w:r>
            <w:r>
              <w:rPr>
                <w:rFonts w:hint="eastAsia" w:ascii="宋体" w:hAnsi="宋体" w:eastAsia="宋体" w:cs="宋体"/>
                <w:color w:val="auto"/>
                <w:sz w:val="21"/>
                <w:szCs w:val="21"/>
              </w:rPr>
              <w:t>。</w:t>
            </w:r>
          </w:p>
          <w:p w14:paraId="5E439016">
            <w:pPr>
              <w:pageBreakBefore w:val="0"/>
              <w:numPr>
                <w:ilvl w:val="0"/>
                <w:numId w:val="14"/>
              </w:numPr>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投标报价为一览表所列项目报价的总和。</w:t>
            </w:r>
          </w:p>
          <w:p w14:paraId="61E67E56">
            <w:pPr>
              <w:pageBreakBefore w:val="0"/>
              <w:numPr>
                <w:ilvl w:val="0"/>
                <w:numId w:val="14"/>
              </w:numPr>
              <w:kinsoku/>
              <w:wordWrap/>
              <w:overflowPunct/>
              <w:topLinePunct w:val="0"/>
              <w:bidi w:val="0"/>
              <w:spacing w:line="24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投标报价以元为单位</w:t>
            </w:r>
            <w:r>
              <w:rPr>
                <w:rFonts w:hint="eastAsia" w:ascii="宋体" w:hAnsi="宋体" w:eastAsia="宋体" w:cs="宋体"/>
                <w:b/>
                <w:color w:val="auto"/>
                <w:sz w:val="21"/>
                <w:szCs w:val="21"/>
                <w:lang w:eastAsia="zh-CN"/>
              </w:rPr>
              <w:t>，保留小数点后两位</w:t>
            </w:r>
            <w:r>
              <w:rPr>
                <w:rFonts w:hint="eastAsia" w:ascii="宋体" w:hAnsi="宋体" w:eastAsia="宋体" w:cs="宋体"/>
                <w:b/>
                <w:color w:val="auto"/>
                <w:sz w:val="21"/>
                <w:szCs w:val="21"/>
              </w:rPr>
              <w:t>。</w:t>
            </w:r>
          </w:p>
        </w:tc>
      </w:tr>
      <w:tr w14:paraId="1F59C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7" w:hRule="atLeast"/>
        </w:trPr>
        <w:tc>
          <w:tcPr>
            <w:tcW w:w="8793" w:type="dxa"/>
            <w:gridSpan w:val="2"/>
            <w:tcBorders>
              <w:top w:val="single" w:color="auto" w:sz="4" w:space="0"/>
              <w:left w:val="single" w:color="auto" w:sz="4" w:space="0"/>
              <w:bottom w:val="single" w:color="auto" w:sz="4" w:space="0"/>
              <w:right w:val="single" w:color="auto" w:sz="4" w:space="0"/>
            </w:tcBorders>
            <w:noWrap w:val="0"/>
            <w:vAlign w:val="center"/>
          </w:tcPr>
          <w:p w14:paraId="2662E7E4">
            <w:pPr>
              <w:pageBreakBefore w:val="0"/>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投标人：（盖章）</w:t>
            </w:r>
          </w:p>
          <w:p w14:paraId="1DFCAE0D">
            <w:pPr>
              <w:pageBreakBefore w:val="0"/>
              <w:kinsoku/>
              <w:wordWrap/>
              <w:overflowPunct/>
              <w:topLinePunct w:val="0"/>
              <w:bidi w:val="0"/>
              <w:spacing w:line="240" w:lineRule="auto"/>
              <w:rPr>
                <w:rFonts w:hint="eastAsia" w:ascii="宋体" w:hAnsi="宋体" w:eastAsia="宋体" w:cs="宋体"/>
                <w:color w:val="auto"/>
                <w:sz w:val="21"/>
                <w:szCs w:val="21"/>
              </w:rPr>
            </w:pPr>
          </w:p>
          <w:p w14:paraId="6962C681">
            <w:pPr>
              <w:pageBreakBefore w:val="0"/>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法定代表人或委托代理人：（签字或盖章）</w:t>
            </w:r>
          </w:p>
        </w:tc>
      </w:tr>
    </w:tbl>
    <w:p w14:paraId="4CD011ED">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投标要求：</w:t>
      </w:r>
    </w:p>
    <w:p w14:paraId="78D79160">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1.本“开标一览表”用于开标时唱标使用。</w:t>
      </w:r>
    </w:p>
    <w:p w14:paraId="7DC42858">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2.此表中的各项内容应与投标文件的相应内容一致。                   </w:t>
      </w:r>
    </w:p>
    <w:p w14:paraId="38138276">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3.此表应按投标人须知的要求单独密封和标记，与投标文件同时递交。      </w:t>
      </w:r>
    </w:p>
    <w:p w14:paraId="3DB2C0E1">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4.此表可根据需要自行拉长加宽。（可根据实际情况调整）</w:t>
      </w:r>
    </w:p>
    <w:p w14:paraId="3237B169">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5.只允许有一个报价，任何有选择性的报价或者有附加条件的报价招标人将不予接受。</w:t>
      </w:r>
    </w:p>
    <w:p w14:paraId="658C2FEB">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rPr>
        <w:t>投标总价应包括如果授予合同将要缴纳的包括增值税在内的销售税和其他税。</w:t>
      </w:r>
    </w:p>
    <w:p w14:paraId="10EA9B1F">
      <w:pPr>
        <w:rPr>
          <w:rFonts w:hint="eastAsia"/>
          <w:lang w:val="zh-CN"/>
        </w:rPr>
      </w:pPr>
      <w:r>
        <w:rPr>
          <w:rFonts w:hint="eastAsia"/>
          <w:lang w:val="zh-CN"/>
        </w:rPr>
        <w:br w:type="page"/>
      </w:r>
    </w:p>
    <w:p w14:paraId="58D4CBA0">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szCs w:val="24"/>
        </w:rPr>
        <w:t>格式</w:t>
      </w:r>
      <w:r>
        <w:rPr>
          <w:rFonts w:hint="eastAsia" w:ascii="宋体" w:hAnsi="宋体" w:eastAsia="宋体" w:cs="宋体"/>
          <w:b/>
          <w:color w:val="auto"/>
          <w:sz w:val="24"/>
          <w:szCs w:val="24"/>
          <w:lang w:eastAsia="zh-CN"/>
        </w:rPr>
        <w:t>五</w:t>
      </w:r>
      <w:r>
        <w:rPr>
          <w:rFonts w:hint="eastAsia" w:ascii="宋体" w:hAnsi="宋体" w:eastAsia="宋体" w:cs="宋体"/>
          <w:b/>
          <w:color w:val="auto"/>
          <w:sz w:val="24"/>
          <w:szCs w:val="24"/>
        </w:rPr>
        <w:t xml:space="preserve"> 报价明细表</w:t>
      </w:r>
    </w:p>
    <w:p w14:paraId="3869876B">
      <w:pPr>
        <w:pageBreakBefore w:val="0"/>
        <w:kinsoku/>
        <w:wordWrap/>
        <w:overflowPunct/>
        <w:topLinePunct w:val="0"/>
        <w:bidi w:val="0"/>
        <w:spacing w:line="240" w:lineRule="auto"/>
        <w:jc w:val="center"/>
        <w:outlineLvl w:val="9"/>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报价明细表</w:t>
      </w:r>
    </w:p>
    <w:p w14:paraId="15A2A0A9">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rPr>
      </w:pPr>
      <w:r>
        <w:rPr>
          <w:rFonts w:hint="eastAsia" w:ascii="宋体" w:hAnsi="宋体" w:eastAsia="宋体" w:cs="宋体"/>
          <w:b w:val="0"/>
          <w:bCs/>
          <w:color w:val="auto"/>
          <w:szCs w:val="21"/>
        </w:rPr>
        <w:t>项目名称：</w:t>
      </w:r>
    </w:p>
    <w:p w14:paraId="7718C3A4">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lang w:eastAsia="zh-CN"/>
        </w:rPr>
      </w:pPr>
      <w:r>
        <w:rPr>
          <w:rFonts w:hint="eastAsia" w:hAnsi="宋体" w:eastAsia="宋体" w:cs="宋体"/>
          <w:b w:val="0"/>
          <w:bCs/>
          <w:color w:val="auto"/>
          <w:szCs w:val="21"/>
          <w:lang w:eastAsia="zh-CN"/>
        </w:rPr>
        <w:t>标段：</w:t>
      </w:r>
    </w:p>
    <w:p w14:paraId="2E4BD321">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rPr>
      </w:pPr>
      <w:r>
        <w:rPr>
          <w:rFonts w:hint="eastAsia" w:ascii="宋体" w:hAnsi="宋体" w:eastAsia="宋体" w:cs="宋体"/>
          <w:b w:val="0"/>
          <w:bCs/>
          <w:color w:val="auto"/>
          <w:szCs w:val="21"/>
          <w:lang w:eastAsia="zh-CN"/>
        </w:rPr>
        <w:t>招标编号</w:t>
      </w:r>
      <w:r>
        <w:rPr>
          <w:rFonts w:hint="eastAsia" w:ascii="宋体" w:hAnsi="宋体" w:eastAsia="宋体" w:cs="宋体"/>
          <w:b w:val="0"/>
          <w:bCs/>
          <w:color w:val="auto"/>
          <w:szCs w:val="21"/>
        </w:rPr>
        <w:t>：</w:t>
      </w:r>
    </w:p>
    <w:p w14:paraId="32652EAA">
      <w:pPr>
        <w:pageBreakBefore w:val="0"/>
        <w:kinsoku/>
        <w:wordWrap/>
        <w:overflowPunct/>
        <w:topLinePunct w:val="0"/>
        <w:bidi w:val="0"/>
        <w:spacing w:line="240" w:lineRule="auto"/>
        <w:jc w:val="center"/>
        <w:outlineLvl w:val="9"/>
        <w:rPr>
          <w:rFonts w:hint="eastAsia" w:ascii="宋体" w:hAnsi="宋体" w:eastAsia="宋体" w:cs="宋体"/>
          <w:b w:val="0"/>
          <w:bCs/>
          <w:color w:val="auto"/>
          <w:szCs w:val="21"/>
          <w:vertAlign w:val="baseline"/>
        </w:rPr>
      </w:pPr>
      <w:r>
        <w:rPr>
          <w:rFonts w:hint="eastAsia" w:ascii="宋体" w:hAnsi="宋体" w:eastAsia="宋体" w:cs="宋体"/>
          <w:b w:val="0"/>
          <w:bCs/>
          <w:color w:val="auto"/>
          <w:szCs w:val="21"/>
        </w:rPr>
        <w:t xml:space="preserve">                                                            单位：元人民币</w:t>
      </w:r>
    </w:p>
    <w:tbl>
      <w:tblPr>
        <w:tblStyle w:val="22"/>
        <w:tblW w:w="4998" w:type="pct"/>
        <w:tblInd w:w="0" w:type="dxa"/>
        <w:tblLayout w:type="autofit"/>
        <w:tblCellMar>
          <w:top w:w="15" w:type="dxa"/>
          <w:left w:w="15" w:type="dxa"/>
          <w:bottom w:w="15" w:type="dxa"/>
          <w:right w:w="15" w:type="dxa"/>
        </w:tblCellMar>
      </w:tblPr>
      <w:tblGrid>
        <w:gridCol w:w="728"/>
        <w:gridCol w:w="1424"/>
        <w:gridCol w:w="878"/>
        <w:gridCol w:w="1408"/>
        <w:gridCol w:w="1162"/>
        <w:gridCol w:w="797"/>
        <w:gridCol w:w="870"/>
        <w:gridCol w:w="1118"/>
        <w:gridCol w:w="972"/>
      </w:tblGrid>
      <w:tr w14:paraId="79B5ACAA">
        <w:tblPrEx>
          <w:tblCellMar>
            <w:top w:w="15" w:type="dxa"/>
            <w:left w:w="15" w:type="dxa"/>
            <w:bottom w:w="15" w:type="dxa"/>
            <w:right w:w="15" w:type="dxa"/>
          </w:tblCellMar>
        </w:tblPrEx>
        <w:trPr>
          <w:trHeight w:val="825"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5F58598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序号</w:t>
            </w:r>
          </w:p>
        </w:tc>
        <w:tc>
          <w:tcPr>
            <w:tcW w:w="761" w:type="pct"/>
            <w:tcBorders>
              <w:top w:val="single" w:color="000000" w:sz="4" w:space="0"/>
              <w:left w:val="single" w:color="000000" w:sz="4" w:space="0"/>
              <w:bottom w:val="single" w:color="000000" w:sz="4" w:space="0"/>
              <w:right w:val="single" w:color="000000" w:sz="4" w:space="0"/>
            </w:tcBorders>
            <w:vAlign w:val="center"/>
          </w:tcPr>
          <w:p w14:paraId="24B81E73">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lang w:eastAsia="zh-CN"/>
              </w:rPr>
              <w:t>货物</w:t>
            </w:r>
            <w:r>
              <w:rPr>
                <w:rFonts w:hint="eastAsia" w:ascii="宋体" w:hAnsi="宋体" w:cs="宋体"/>
                <w:color w:val="auto"/>
              </w:rPr>
              <w:t>名称</w:t>
            </w:r>
          </w:p>
        </w:tc>
        <w:tc>
          <w:tcPr>
            <w:tcW w:w="469" w:type="pct"/>
            <w:tcBorders>
              <w:top w:val="single" w:color="000000" w:sz="4" w:space="0"/>
              <w:left w:val="single" w:color="000000" w:sz="4" w:space="0"/>
              <w:bottom w:val="single" w:color="000000" w:sz="4" w:space="0"/>
              <w:right w:val="single" w:color="000000" w:sz="4" w:space="0"/>
            </w:tcBorders>
            <w:vAlign w:val="center"/>
          </w:tcPr>
          <w:p w14:paraId="7F4874D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highlight w:val="none"/>
              </w:rPr>
            </w:pPr>
            <w:r>
              <w:rPr>
                <w:rFonts w:hint="eastAsia" w:ascii="宋体" w:hAnsi="宋体" w:cs="宋体"/>
                <w:color w:val="auto"/>
                <w:highlight w:val="none"/>
              </w:rPr>
              <w:t xml:space="preserve">品牌 </w:t>
            </w:r>
          </w:p>
        </w:tc>
        <w:tc>
          <w:tcPr>
            <w:tcW w:w="752" w:type="pct"/>
            <w:tcBorders>
              <w:top w:val="single" w:color="000000" w:sz="4" w:space="0"/>
              <w:left w:val="single" w:color="000000" w:sz="4" w:space="0"/>
              <w:bottom w:val="single" w:color="000000" w:sz="4" w:space="0"/>
              <w:right w:val="single" w:color="000000" w:sz="4" w:space="0"/>
            </w:tcBorders>
            <w:vAlign w:val="center"/>
          </w:tcPr>
          <w:p w14:paraId="5EB38732">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highlight w:val="none"/>
              </w:rPr>
            </w:pPr>
            <w:r>
              <w:rPr>
                <w:rFonts w:hint="eastAsia" w:ascii="宋体" w:hAnsi="宋体" w:cs="宋体"/>
                <w:color w:val="auto"/>
                <w:highlight w:val="none"/>
                <w:lang w:eastAsia="zh-CN"/>
              </w:rPr>
              <w:t>规格</w:t>
            </w:r>
            <w:r>
              <w:rPr>
                <w:rFonts w:hint="eastAsia" w:ascii="宋体" w:hAnsi="宋体" w:cs="宋体"/>
                <w:color w:val="auto"/>
                <w:highlight w:val="none"/>
              </w:rPr>
              <w:t>型号</w:t>
            </w:r>
          </w:p>
        </w:tc>
        <w:tc>
          <w:tcPr>
            <w:tcW w:w="621" w:type="pct"/>
            <w:tcBorders>
              <w:top w:val="single" w:color="000000" w:sz="4" w:space="0"/>
              <w:left w:val="single" w:color="000000" w:sz="4" w:space="0"/>
              <w:bottom w:val="single" w:color="000000" w:sz="4" w:space="0"/>
              <w:right w:val="single" w:color="000000" w:sz="4" w:space="0"/>
            </w:tcBorders>
            <w:vAlign w:val="center"/>
          </w:tcPr>
          <w:p w14:paraId="79AFFE9D">
            <w:pPr>
              <w:pageBreakBefore w:val="0"/>
              <w:widowControl w:val="0"/>
              <w:kinsoku/>
              <w:wordWrap w:val="0"/>
              <w:overflowPunct/>
              <w:topLinePunct/>
              <w:autoSpaceDE/>
              <w:autoSpaceDN/>
              <w:bidi w:val="0"/>
              <w:adjustRightInd w:val="0"/>
              <w:spacing w:line="240" w:lineRule="auto"/>
              <w:jc w:val="center"/>
              <w:textAlignment w:val="center"/>
              <w:outlineLvl w:val="9"/>
              <w:rPr>
                <w:rFonts w:hint="eastAsia" w:ascii="宋体" w:hAnsi="宋体" w:eastAsia="宋体" w:cs="宋体"/>
                <w:color w:val="auto"/>
                <w:highlight w:val="none"/>
                <w:lang w:eastAsia="zh-CN"/>
              </w:rPr>
            </w:pPr>
            <w:r>
              <w:rPr>
                <w:rFonts w:hint="eastAsia" w:ascii="宋体" w:hAnsi="宋体" w:cs="宋体"/>
                <w:color w:val="auto"/>
                <w:lang w:eastAsia="zh-CN"/>
              </w:rPr>
              <w:t>质保期</w:t>
            </w:r>
          </w:p>
        </w:tc>
        <w:tc>
          <w:tcPr>
            <w:tcW w:w="426" w:type="pct"/>
            <w:tcBorders>
              <w:top w:val="single" w:color="000000" w:sz="4" w:space="0"/>
              <w:left w:val="single" w:color="000000" w:sz="4" w:space="0"/>
              <w:bottom w:val="single" w:color="000000" w:sz="4" w:space="0"/>
              <w:right w:val="single" w:color="000000" w:sz="4" w:space="0"/>
            </w:tcBorders>
            <w:vAlign w:val="center"/>
          </w:tcPr>
          <w:p w14:paraId="7B858AF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数量</w:t>
            </w:r>
          </w:p>
        </w:tc>
        <w:tc>
          <w:tcPr>
            <w:tcW w:w="465" w:type="pct"/>
            <w:tcBorders>
              <w:top w:val="single" w:color="000000" w:sz="4" w:space="0"/>
              <w:left w:val="single" w:color="000000" w:sz="4" w:space="0"/>
              <w:bottom w:val="single" w:color="000000" w:sz="4" w:space="0"/>
              <w:right w:val="single" w:color="000000" w:sz="4" w:space="0"/>
            </w:tcBorders>
            <w:vAlign w:val="center"/>
          </w:tcPr>
          <w:p w14:paraId="6C250795">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单位</w:t>
            </w:r>
          </w:p>
        </w:tc>
        <w:tc>
          <w:tcPr>
            <w:tcW w:w="594" w:type="pct"/>
            <w:tcBorders>
              <w:top w:val="single" w:color="000000" w:sz="4" w:space="0"/>
              <w:left w:val="single" w:color="000000" w:sz="4" w:space="0"/>
              <w:bottom w:val="single" w:color="000000" w:sz="4" w:space="0"/>
              <w:right w:val="single" w:color="000000" w:sz="4" w:space="0"/>
            </w:tcBorders>
            <w:vAlign w:val="center"/>
          </w:tcPr>
          <w:p w14:paraId="392769F2">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单价</w:t>
            </w:r>
          </w:p>
          <w:p w14:paraId="1F152C9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（元）</w:t>
            </w:r>
          </w:p>
        </w:tc>
        <w:tc>
          <w:tcPr>
            <w:tcW w:w="519" w:type="pct"/>
            <w:tcBorders>
              <w:top w:val="single" w:color="000000" w:sz="4" w:space="0"/>
              <w:left w:val="single" w:color="000000" w:sz="4" w:space="0"/>
              <w:bottom w:val="single" w:color="000000" w:sz="4" w:space="0"/>
              <w:right w:val="single" w:color="000000" w:sz="4" w:space="0"/>
            </w:tcBorders>
            <w:vAlign w:val="center"/>
          </w:tcPr>
          <w:p w14:paraId="514DA897">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lang w:eastAsia="zh-CN"/>
              </w:rPr>
              <w:t>总价</w:t>
            </w:r>
            <w:r>
              <w:rPr>
                <w:rFonts w:hint="eastAsia" w:ascii="宋体" w:hAnsi="宋体" w:cs="宋体"/>
                <w:color w:val="auto"/>
              </w:rPr>
              <w:t>（元）</w:t>
            </w:r>
          </w:p>
        </w:tc>
      </w:tr>
      <w:tr w14:paraId="391B2F77">
        <w:tblPrEx>
          <w:tblCellMar>
            <w:top w:w="15" w:type="dxa"/>
            <w:left w:w="15" w:type="dxa"/>
            <w:bottom w:w="15" w:type="dxa"/>
            <w:right w:w="15" w:type="dxa"/>
          </w:tblCellMar>
        </w:tblPrEx>
        <w:trPr>
          <w:trHeight w:val="611"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4982745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r>
              <w:rPr>
                <w:rFonts w:hint="eastAsia" w:ascii="宋体" w:hAnsi="宋体" w:cs="宋体"/>
                <w:color w:val="auto"/>
                <w:lang w:eastAsia="zh-CN"/>
              </w:rPr>
              <w:t>1</w:t>
            </w:r>
          </w:p>
        </w:tc>
        <w:tc>
          <w:tcPr>
            <w:tcW w:w="761" w:type="pct"/>
            <w:tcBorders>
              <w:top w:val="single" w:color="000000" w:sz="4" w:space="0"/>
              <w:left w:val="single" w:color="000000" w:sz="4" w:space="0"/>
              <w:bottom w:val="single" w:color="000000" w:sz="4" w:space="0"/>
              <w:right w:val="single" w:color="000000" w:sz="4" w:space="0"/>
            </w:tcBorders>
            <w:vAlign w:val="center"/>
          </w:tcPr>
          <w:p w14:paraId="7E7E5EB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19C4DA9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2250D27C">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u w:val="dotted"/>
                <w:lang w:eastAsia="zh-CN"/>
              </w:rPr>
            </w:pPr>
          </w:p>
        </w:tc>
        <w:tc>
          <w:tcPr>
            <w:tcW w:w="621" w:type="pct"/>
            <w:tcBorders>
              <w:top w:val="single" w:color="000000" w:sz="4" w:space="0"/>
              <w:left w:val="single" w:color="000000" w:sz="4" w:space="0"/>
              <w:bottom w:val="single" w:color="000000" w:sz="4" w:space="0"/>
              <w:right w:val="single" w:color="000000" w:sz="4" w:space="0"/>
            </w:tcBorders>
            <w:vAlign w:val="center"/>
          </w:tcPr>
          <w:p w14:paraId="2E7A502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26" w:type="pct"/>
            <w:tcBorders>
              <w:top w:val="single" w:color="000000" w:sz="4" w:space="0"/>
              <w:left w:val="single" w:color="000000" w:sz="4" w:space="0"/>
              <w:bottom w:val="single" w:color="000000" w:sz="4" w:space="0"/>
              <w:right w:val="single" w:color="000000" w:sz="4" w:space="0"/>
            </w:tcBorders>
            <w:vAlign w:val="center"/>
          </w:tcPr>
          <w:p w14:paraId="11B6DF7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465" w:type="pct"/>
            <w:tcBorders>
              <w:top w:val="single" w:color="000000" w:sz="4" w:space="0"/>
              <w:left w:val="single" w:color="000000" w:sz="4" w:space="0"/>
              <w:bottom w:val="single" w:color="000000" w:sz="4" w:space="0"/>
              <w:right w:val="single" w:color="000000" w:sz="4" w:space="0"/>
            </w:tcBorders>
            <w:vAlign w:val="center"/>
          </w:tcPr>
          <w:p w14:paraId="023DF1B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94" w:type="pct"/>
            <w:tcBorders>
              <w:top w:val="single" w:color="000000" w:sz="4" w:space="0"/>
              <w:left w:val="single" w:color="000000" w:sz="4" w:space="0"/>
              <w:bottom w:val="single" w:color="000000" w:sz="4" w:space="0"/>
              <w:right w:val="single" w:color="000000" w:sz="4" w:space="0"/>
            </w:tcBorders>
            <w:vAlign w:val="center"/>
          </w:tcPr>
          <w:p w14:paraId="51502F9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19" w:type="pct"/>
            <w:tcBorders>
              <w:top w:val="single" w:color="000000" w:sz="4" w:space="0"/>
              <w:left w:val="single" w:color="000000" w:sz="4" w:space="0"/>
              <w:bottom w:val="single" w:color="000000" w:sz="4" w:space="0"/>
              <w:right w:val="single" w:color="000000" w:sz="4" w:space="0"/>
            </w:tcBorders>
            <w:vAlign w:val="center"/>
          </w:tcPr>
          <w:p w14:paraId="11201AB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r w14:paraId="6A56506B">
        <w:tblPrEx>
          <w:tblCellMar>
            <w:top w:w="15" w:type="dxa"/>
            <w:left w:w="15" w:type="dxa"/>
            <w:bottom w:w="15" w:type="dxa"/>
            <w:right w:w="15" w:type="dxa"/>
          </w:tblCellMar>
        </w:tblPrEx>
        <w:trPr>
          <w:trHeight w:val="611"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39C5955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r>
              <w:rPr>
                <w:rFonts w:hint="eastAsia" w:ascii="宋体" w:hAnsi="宋体" w:cs="宋体"/>
                <w:color w:val="auto"/>
                <w:lang w:eastAsia="zh-CN"/>
              </w:rPr>
              <w:t>2</w:t>
            </w:r>
          </w:p>
        </w:tc>
        <w:tc>
          <w:tcPr>
            <w:tcW w:w="761" w:type="pct"/>
            <w:tcBorders>
              <w:top w:val="single" w:color="000000" w:sz="4" w:space="0"/>
              <w:left w:val="single" w:color="000000" w:sz="4" w:space="0"/>
              <w:bottom w:val="single" w:color="000000" w:sz="4" w:space="0"/>
              <w:right w:val="single" w:color="000000" w:sz="4" w:space="0"/>
            </w:tcBorders>
            <w:vAlign w:val="center"/>
          </w:tcPr>
          <w:p w14:paraId="59023C6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589AC12">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4B38E8BA">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u w:val="dotted"/>
                <w:lang w:eastAsia="zh-CN"/>
              </w:rPr>
            </w:pPr>
          </w:p>
        </w:tc>
        <w:tc>
          <w:tcPr>
            <w:tcW w:w="621" w:type="pct"/>
            <w:tcBorders>
              <w:top w:val="single" w:color="000000" w:sz="4" w:space="0"/>
              <w:left w:val="single" w:color="000000" w:sz="4" w:space="0"/>
              <w:bottom w:val="single" w:color="000000" w:sz="4" w:space="0"/>
              <w:right w:val="single" w:color="000000" w:sz="4" w:space="0"/>
            </w:tcBorders>
            <w:vAlign w:val="center"/>
          </w:tcPr>
          <w:p w14:paraId="1B47376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26" w:type="pct"/>
            <w:tcBorders>
              <w:top w:val="single" w:color="000000" w:sz="4" w:space="0"/>
              <w:left w:val="single" w:color="000000" w:sz="4" w:space="0"/>
              <w:bottom w:val="single" w:color="000000" w:sz="4" w:space="0"/>
              <w:right w:val="single" w:color="000000" w:sz="4" w:space="0"/>
            </w:tcBorders>
            <w:vAlign w:val="center"/>
          </w:tcPr>
          <w:p w14:paraId="3400D60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465" w:type="pct"/>
            <w:tcBorders>
              <w:top w:val="single" w:color="000000" w:sz="4" w:space="0"/>
              <w:left w:val="single" w:color="000000" w:sz="4" w:space="0"/>
              <w:bottom w:val="single" w:color="000000" w:sz="4" w:space="0"/>
              <w:right w:val="single" w:color="000000" w:sz="4" w:space="0"/>
            </w:tcBorders>
            <w:vAlign w:val="center"/>
          </w:tcPr>
          <w:p w14:paraId="770BC05F">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94" w:type="pct"/>
            <w:tcBorders>
              <w:top w:val="single" w:color="000000" w:sz="4" w:space="0"/>
              <w:left w:val="single" w:color="000000" w:sz="4" w:space="0"/>
              <w:bottom w:val="single" w:color="000000" w:sz="4" w:space="0"/>
              <w:right w:val="single" w:color="000000" w:sz="4" w:space="0"/>
            </w:tcBorders>
            <w:vAlign w:val="center"/>
          </w:tcPr>
          <w:p w14:paraId="27C9596D">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19" w:type="pct"/>
            <w:tcBorders>
              <w:top w:val="single" w:color="000000" w:sz="4" w:space="0"/>
              <w:left w:val="single" w:color="000000" w:sz="4" w:space="0"/>
              <w:bottom w:val="single" w:color="000000" w:sz="4" w:space="0"/>
              <w:right w:val="single" w:color="000000" w:sz="4" w:space="0"/>
            </w:tcBorders>
            <w:vAlign w:val="center"/>
          </w:tcPr>
          <w:p w14:paraId="224921A4">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r w14:paraId="1C091247">
        <w:tblPrEx>
          <w:tblCellMar>
            <w:top w:w="15" w:type="dxa"/>
            <w:left w:w="15" w:type="dxa"/>
            <w:bottom w:w="15" w:type="dxa"/>
            <w:right w:w="15" w:type="dxa"/>
          </w:tblCellMar>
        </w:tblPrEx>
        <w:trPr>
          <w:trHeight w:val="581"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2620A46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r>
              <w:rPr>
                <w:rFonts w:hint="eastAsia" w:ascii="宋体" w:hAnsi="宋体" w:cs="宋体"/>
                <w:color w:val="auto"/>
                <w:lang w:eastAsia="zh-CN"/>
              </w:rPr>
              <w:t>......</w:t>
            </w:r>
          </w:p>
        </w:tc>
        <w:tc>
          <w:tcPr>
            <w:tcW w:w="761" w:type="pct"/>
            <w:tcBorders>
              <w:top w:val="single" w:color="000000" w:sz="4" w:space="0"/>
              <w:left w:val="single" w:color="000000" w:sz="4" w:space="0"/>
              <w:bottom w:val="single" w:color="000000" w:sz="4" w:space="0"/>
              <w:right w:val="single" w:color="000000" w:sz="4" w:space="0"/>
            </w:tcBorders>
            <w:vAlign w:val="center"/>
          </w:tcPr>
          <w:p w14:paraId="7D0EFB57">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93742C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50436C3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u w:val="dotted"/>
                <w:lang w:eastAsia="zh-CN"/>
              </w:rPr>
            </w:pPr>
          </w:p>
        </w:tc>
        <w:tc>
          <w:tcPr>
            <w:tcW w:w="621" w:type="pct"/>
            <w:tcBorders>
              <w:top w:val="single" w:color="000000" w:sz="4" w:space="0"/>
              <w:left w:val="single" w:color="000000" w:sz="4" w:space="0"/>
              <w:bottom w:val="single" w:color="000000" w:sz="4" w:space="0"/>
              <w:right w:val="single" w:color="000000" w:sz="4" w:space="0"/>
            </w:tcBorders>
            <w:vAlign w:val="center"/>
          </w:tcPr>
          <w:p w14:paraId="10A2CA55">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26" w:type="pct"/>
            <w:tcBorders>
              <w:top w:val="single" w:color="000000" w:sz="4" w:space="0"/>
              <w:left w:val="single" w:color="000000" w:sz="4" w:space="0"/>
              <w:bottom w:val="single" w:color="000000" w:sz="4" w:space="0"/>
              <w:right w:val="single" w:color="000000" w:sz="4" w:space="0"/>
            </w:tcBorders>
            <w:vAlign w:val="center"/>
          </w:tcPr>
          <w:p w14:paraId="7C2F08D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465" w:type="pct"/>
            <w:tcBorders>
              <w:top w:val="single" w:color="000000" w:sz="4" w:space="0"/>
              <w:left w:val="single" w:color="000000" w:sz="4" w:space="0"/>
              <w:bottom w:val="single" w:color="000000" w:sz="4" w:space="0"/>
              <w:right w:val="single" w:color="000000" w:sz="4" w:space="0"/>
            </w:tcBorders>
            <w:vAlign w:val="center"/>
          </w:tcPr>
          <w:p w14:paraId="000E56E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94" w:type="pct"/>
            <w:tcBorders>
              <w:top w:val="single" w:color="000000" w:sz="4" w:space="0"/>
              <w:left w:val="single" w:color="000000" w:sz="4" w:space="0"/>
              <w:bottom w:val="single" w:color="000000" w:sz="4" w:space="0"/>
              <w:right w:val="single" w:color="000000" w:sz="4" w:space="0"/>
            </w:tcBorders>
            <w:vAlign w:val="center"/>
          </w:tcPr>
          <w:p w14:paraId="41DF3A18">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19" w:type="pct"/>
            <w:tcBorders>
              <w:top w:val="single" w:color="000000" w:sz="4" w:space="0"/>
              <w:left w:val="single" w:color="000000" w:sz="4" w:space="0"/>
              <w:bottom w:val="single" w:color="000000" w:sz="4" w:space="0"/>
              <w:right w:val="single" w:color="000000" w:sz="4" w:space="0"/>
            </w:tcBorders>
            <w:vAlign w:val="center"/>
          </w:tcPr>
          <w:p w14:paraId="38D2E197">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r w14:paraId="40833E66">
        <w:tblPrEx>
          <w:tblCellMar>
            <w:top w:w="15" w:type="dxa"/>
            <w:left w:w="15" w:type="dxa"/>
            <w:bottom w:w="15" w:type="dxa"/>
            <w:right w:w="15" w:type="dxa"/>
          </w:tblCellMar>
        </w:tblPrEx>
        <w:trPr>
          <w:trHeight w:val="645" w:hRule="atLeast"/>
        </w:trPr>
        <w:tc>
          <w:tcPr>
            <w:tcW w:w="4480" w:type="pct"/>
            <w:gridSpan w:val="8"/>
            <w:tcBorders>
              <w:top w:val="single" w:color="000000" w:sz="4" w:space="0"/>
              <w:left w:val="single" w:color="000000" w:sz="4" w:space="0"/>
              <w:bottom w:val="single" w:color="000000" w:sz="4" w:space="0"/>
              <w:right w:val="single" w:color="000000" w:sz="4" w:space="0"/>
            </w:tcBorders>
            <w:vAlign w:val="center"/>
          </w:tcPr>
          <w:p w14:paraId="64E9998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r>
              <w:rPr>
                <w:rFonts w:hint="eastAsia" w:ascii="宋体" w:hAnsi="宋体" w:cs="宋体"/>
                <w:color w:val="auto"/>
                <w:lang w:eastAsia="zh-CN"/>
              </w:rPr>
              <w:t>合计（元）</w:t>
            </w:r>
          </w:p>
        </w:tc>
        <w:tc>
          <w:tcPr>
            <w:tcW w:w="519" w:type="pct"/>
            <w:tcBorders>
              <w:top w:val="single" w:color="000000" w:sz="4" w:space="0"/>
              <w:left w:val="single" w:color="000000" w:sz="4" w:space="0"/>
              <w:bottom w:val="single" w:color="000000" w:sz="4" w:space="0"/>
              <w:right w:val="single" w:color="000000" w:sz="4" w:space="0"/>
            </w:tcBorders>
            <w:vAlign w:val="center"/>
          </w:tcPr>
          <w:p w14:paraId="1E88E3B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bl>
    <w:p w14:paraId="7C2638AA">
      <w:pPr>
        <w:pageBreakBefore w:val="0"/>
        <w:kinsoku/>
        <w:wordWrap/>
        <w:overflowPunct/>
        <w:topLinePunct w:val="0"/>
        <w:bidi w:val="0"/>
        <w:spacing w:line="240" w:lineRule="auto"/>
        <w:jc w:val="center"/>
        <w:outlineLvl w:val="9"/>
        <w:rPr>
          <w:rFonts w:hint="eastAsia" w:ascii="宋体" w:hAnsi="宋体" w:eastAsia="宋体" w:cs="宋体"/>
          <w:b w:val="0"/>
          <w:bCs/>
          <w:color w:val="auto"/>
          <w:szCs w:val="21"/>
        </w:rPr>
      </w:pPr>
    </w:p>
    <w:p w14:paraId="55EDD4F7">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rPr>
      </w:pPr>
      <w:r>
        <w:rPr>
          <w:rFonts w:hint="eastAsia" w:ascii="宋体" w:hAnsi="宋体" w:eastAsia="宋体" w:cs="宋体"/>
          <w:b w:val="0"/>
          <w:bCs/>
          <w:color w:val="auto"/>
          <w:szCs w:val="21"/>
        </w:rPr>
        <w:t>说明：</w:t>
      </w:r>
    </w:p>
    <w:p w14:paraId="2C83830D">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1</w:t>
      </w:r>
      <w:r>
        <w:rPr>
          <w:rFonts w:hint="eastAsia" w:ascii="宋体" w:hAnsi="宋体" w:eastAsia="宋体" w:cs="宋体"/>
          <w:b w:val="0"/>
          <w:bCs/>
          <w:color w:val="auto"/>
          <w:szCs w:val="21"/>
          <w:lang w:eastAsia="zh-CN"/>
        </w:rPr>
        <w:t>.如果不提供明细报价可视为没有实质性响应</w:t>
      </w:r>
      <w:r>
        <w:rPr>
          <w:rFonts w:hint="eastAsia" w:hAnsi="宋体" w:eastAsia="宋体" w:cs="宋体"/>
          <w:b w:val="0"/>
          <w:bCs/>
          <w:color w:val="auto"/>
          <w:szCs w:val="21"/>
          <w:lang w:eastAsia="zh-CN"/>
        </w:rPr>
        <w:t>招标</w:t>
      </w:r>
      <w:r>
        <w:rPr>
          <w:rFonts w:hint="eastAsia" w:ascii="宋体" w:hAnsi="宋体" w:eastAsia="宋体" w:cs="宋体"/>
          <w:b w:val="0"/>
          <w:bCs/>
          <w:color w:val="auto"/>
          <w:szCs w:val="21"/>
          <w:lang w:eastAsia="zh-CN"/>
        </w:rPr>
        <w:t>文件。</w:t>
      </w:r>
    </w:p>
    <w:p w14:paraId="7C8C9353">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2</w:t>
      </w:r>
      <w:r>
        <w:rPr>
          <w:rFonts w:hint="eastAsia" w:ascii="宋体" w:hAnsi="宋体" w:eastAsia="宋体" w:cs="宋体"/>
          <w:b w:val="0"/>
          <w:bCs/>
          <w:color w:val="auto"/>
          <w:szCs w:val="21"/>
          <w:lang w:eastAsia="zh-CN"/>
        </w:rPr>
        <w:t>.报价包括与该项目有关的一切费用如运输、保险、国内货物的税金、强制性第三方监督检验机构的验收检验费用等。</w:t>
      </w:r>
    </w:p>
    <w:p w14:paraId="219DAF6E">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3</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zh-CN" w:eastAsia="zh-CN"/>
        </w:rPr>
        <w:t>该表可扩展，</w:t>
      </w:r>
      <w:r>
        <w:rPr>
          <w:rFonts w:hint="eastAsia" w:ascii="宋体" w:hAnsi="宋体" w:eastAsia="宋体" w:cs="宋体"/>
          <w:b w:val="0"/>
          <w:bCs/>
          <w:color w:val="auto"/>
          <w:szCs w:val="21"/>
          <w:lang w:eastAsia="zh-CN"/>
        </w:rPr>
        <w:t>可自拟格式。</w:t>
      </w:r>
    </w:p>
    <w:p w14:paraId="34383FC9">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rPr>
      </w:pPr>
    </w:p>
    <w:p w14:paraId="53D7D184">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lang w:val="en-US" w:eastAsia="zh-CN"/>
        </w:rPr>
      </w:pPr>
      <w:r>
        <w:rPr>
          <w:rFonts w:hint="eastAsia" w:ascii="宋体" w:hAnsi="宋体" w:eastAsia="宋体" w:cs="宋体"/>
          <w:b w:val="0"/>
          <w:bCs/>
          <w:color w:val="auto"/>
          <w:szCs w:val="21"/>
        </w:rPr>
        <w:t xml:space="preserve">投标人： （盖章）      </w:t>
      </w:r>
      <w:r>
        <w:rPr>
          <w:rFonts w:hint="eastAsia" w:ascii="宋体" w:hAnsi="宋体" w:eastAsia="宋体" w:cs="宋体"/>
          <w:b w:val="0"/>
          <w:bCs/>
          <w:color w:val="auto"/>
          <w:szCs w:val="21"/>
          <w:lang w:val="en-US" w:eastAsia="zh-CN"/>
        </w:rPr>
        <w:t xml:space="preserve">                </w:t>
      </w:r>
    </w:p>
    <w:p w14:paraId="14AB75FE">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rPr>
      </w:pPr>
      <w:r>
        <w:rPr>
          <w:rFonts w:hint="eastAsia" w:hAnsi="宋体" w:eastAsia="宋体" w:cs="宋体"/>
          <w:b w:val="0"/>
          <w:bCs/>
          <w:color w:val="auto"/>
          <w:szCs w:val="21"/>
          <w:lang w:eastAsia="zh-CN"/>
        </w:rPr>
        <w:t>法定代表人</w:t>
      </w:r>
      <w:r>
        <w:rPr>
          <w:rFonts w:hint="eastAsia" w:ascii="宋体" w:hAnsi="宋体" w:eastAsia="宋体" w:cs="宋体"/>
          <w:b w:val="0"/>
          <w:bCs/>
          <w:color w:val="auto"/>
          <w:szCs w:val="21"/>
        </w:rPr>
        <w:t xml:space="preserve">或授权代理人：（盖章或签字）     </w:t>
      </w:r>
    </w:p>
    <w:p w14:paraId="7EE12081">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u w:val="single"/>
        </w:rPr>
      </w:pPr>
      <w:r>
        <w:rPr>
          <w:rFonts w:hint="eastAsia" w:ascii="宋体" w:hAnsi="宋体" w:eastAsia="宋体" w:cs="宋体"/>
          <w:b w:val="0"/>
          <w:bCs/>
          <w:color w:val="auto"/>
          <w:szCs w:val="21"/>
        </w:rPr>
        <w:t>日 期：</w:t>
      </w:r>
    </w:p>
    <w:p w14:paraId="4E24A46A">
      <w:pPr>
        <w:pageBreakBefore w:val="0"/>
        <w:kinsoku/>
        <w:wordWrap/>
        <w:overflowPunct/>
        <w:topLinePunct w:val="0"/>
        <w:bidi w:val="0"/>
        <w:spacing w:line="240" w:lineRule="auto"/>
        <w:jc w:val="left"/>
        <w:outlineLvl w:val="9"/>
        <w:rPr>
          <w:rFonts w:hint="eastAsia" w:ascii="宋体" w:hAnsi="宋体" w:eastAsia="宋体" w:cs="宋体"/>
          <w:b w:val="0"/>
          <w:bCs/>
          <w:color w:val="auto"/>
          <w:szCs w:val="21"/>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50427524">
      <w:pPr>
        <w:rPr>
          <w:rFonts w:hint="eastAsia" w:ascii="宋体" w:hAnsi="宋体" w:eastAsia="宋体" w:cs="宋体"/>
          <w:b/>
          <w:color w:val="auto"/>
          <w:sz w:val="24"/>
          <w:highlight w:val="none"/>
          <w:lang w:val="zh-CN"/>
        </w:rPr>
      </w:pPr>
      <w:r>
        <w:rPr>
          <w:rFonts w:hint="eastAsia" w:ascii="宋体" w:hAnsi="宋体" w:eastAsia="宋体" w:cs="宋体"/>
          <w:b/>
          <w:color w:val="auto"/>
          <w:sz w:val="24"/>
          <w:highlight w:val="none"/>
          <w:lang w:val="zh-CN"/>
        </w:rPr>
        <w:br w:type="page"/>
      </w:r>
    </w:p>
    <w:p w14:paraId="1FAEDC6F">
      <w:pPr>
        <w:pageBreakBefore w:val="0"/>
        <w:kinsoku/>
        <w:wordWrap/>
        <w:overflowPunct/>
        <w:topLinePunct w:val="0"/>
        <w:autoSpaceDE w:val="0"/>
        <w:autoSpaceDN w:val="0"/>
        <w:bidi w:val="0"/>
        <w:adjustRightInd w:val="0"/>
        <w:spacing w:line="240" w:lineRule="auto"/>
        <w:outlineLvl w:val="1"/>
        <w:rPr>
          <w:rFonts w:hint="eastAsia"/>
          <w:lang w:val="en-US" w:eastAsia="zh-CN"/>
        </w:rPr>
      </w:pPr>
      <w:r>
        <w:rPr>
          <w:rFonts w:hint="eastAsia" w:ascii="宋体" w:hAnsi="宋体" w:eastAsia="宋体" w:cs="宋体"/>
          <w:b/>
          <w:color w:val="auto"/>
          <w:sz w:val="24"/>
          <w:highlight w:val="none"/>
          <w:lang w:val="zh-CN"/>
        </w:rPr>
        <w:t>格式六</w:t>
      </w:r>
      <w:r>
        <w:rPr>
          <w:rFonts w:hint="eastAsia" w:ascii="宋体" w:hAnsi="宋体" w:eastAsia="宋体" w:cs="宋体"/>
          <w:b/>
          <w:color w:val="auto"/>
          <w:sz w:val="24"/>
          <w:highlight w:val="none"/>
          <w:lang w:val="en-US" w:eastAsia="zh-CN"/>
        </w:rPr>
        <w:t xml:space="preserve">  资格审查</w:t>
      </w:r>
    </w:p>
    <w:p w14:paraId="73D02D34">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highlight w:val="none"/>
          <w:lang w:val="en-US" w:eastAsia="zh-CN"/>
        </w:rPr>
      </w:pPr>
    </w:p>
    <w:p w14:paraId="619B9D2B">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（一）营业执照副本</w:t>
      </w:r>
    </w:p>
    <w:p w14:paraId="60B9F49D">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highlight w:val="none"/>
          <w:lang w:val="zh-CN"/>
        </w:rPr>
      </w:pPr>
      <w:r>
        <w:rPr>
          <w:rFonts w:hint="eastAsia" w:ascii="宋体" w:hAnsi="宋体" w:eastAsia="宋体" w:cs="宋体"/>
          <w:b/>
          <w:color w:val="auto"/>
          <w:sz w:val="24"/>
          <w:highlight w:val="none"/>
          <w:lang w:val="en-US" w:eastAsia="zh-CN"/>
        </w:rPr>
        <w:t>（二）资格要求</w:t>
      </w:r>
    </w:p>
    <w:p w14:paraId="658AEC1F">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1、投标人须为公安部《人民警察服装生产企业目录》（2024版）或司法部《司法行政系统警察服装生产企业目录》（司计字[2015]128号）中的生产企业。（投标文件中需附相关证明资料）</w:t>
      </w:r>
    </w:p>
    <w:p w14:paraId="607E0F34">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2、依据《政府采购促进中小企业发展管理办法》（财库[2020]46号）及《关于进一步加大政府采购支持中小企业力度的通知》（财库[2022]19号）的规定，本标段为专门面向中小微企业的潜在投标人。</w:t>
      </w:r>
    </w:p>
    <w:p w14:paraId="03B5F1BD">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（投标文件中需附中小企业声明函）</w:t>
      </w:r>
    </w:p>
    <w:p w14:paraId="595CC715">
      <w:pPr>
        <w:rPr>
          <w:rFonts w:hint="eastAsia" w:ascii="宋体" w:hAnsi="宋体" w:eastAsia="宋体" w:cs="宋体"/>
          <w:b/>
          <w:color w:val="auto"/>
          <w:sz w:val="24"/>
          <w:lang w:val="zh-CN"/>
        </w:rPr>
      </w:pPr>
      <w:r>
        <w:rPr>
          <w:rFonts w:hint="eastAsia" w:ascii="宋体" w:hAnsi="宋体" w:eastAsia="宋体" w:cs="宋体"/>
          <w:b/>
          <w:color w:val="auto"/>
          <w:sz w:val="24"/>
          <w:lang w:val="en-US" w:eastAsia="zh-CN"/>
        </w:rPr>
        <w:t>（三）商业信誉</w:t>
      </w:r>
    </w:p>
    <w:p w14:paraId="2ABCF854">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一、信誉截图：</w:t>
      </w:r>
    </w:p>
    <w:p w14:paraId="73644E43">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eastAsia="zh-CN"/>
        </w:rPr>
      </w:pPr>
      <w:r>
        <w:rPr>
          <w:rFonts w:hint="eastAsia" w:ascii="宋体" w:hAnsi="宋体" w:eastAsia="宋体" w:cs="宋体"/>
          <w:bCs/>
          <w:color w:val="auto"/>
          <w:szCs w:val="21"/>
          <w:lang w:val="en-US" w:eastAsia="zh-CN"/>
        </w:rPr>
        <w:t>1、</w:t>
      </w:r>
      <w:r>
        <w:rPr>
          <w:rFonts w:hint="eastAsia" w:ascii="宋体" w:hAnsi="宋体" w:eastAsia="宋体" w:cs="宋体"/>
          <w:bCs/>
          <w:color w:val="auto"/>
          <w:szCs w:val="21"/>
          <w:lang w:val="zh-CN" w:eastAsia="zh-CN"/>
        </w:rPr>
        <w:t>“信用中国”网站（www.creditchina.gov.cn）中未被列入失信被执行人和重大税收违法案件当事人名单；</w:t>
      </w:r>
    </w:p>
    <w:p w14:paraId="7EC5573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eastAsia="zh-CN"/>
        </w:rPr>
      </w:pP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val="zh-CN" w:eastAsia="zh-CN"/>
        </w:rPr>
        <w:t>中国政府采购网（www.ccgp.gov.cn）未被列入政府采购严重违法失信行为记录名单中被财政部门禁止参加政府采购活动的投标人（在处罚决定规定的时间和地域范围内）（详见财库【2016】125号文）。</w:t>
      </w:r>
    </w:p>
    <w:p w14:paraId="343E15C1">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eastAsia="zh-CN"/>
        </w:rPr>
      </w:pPr>
      <w:r>
        <w:rPr>
          <w:rFonts w:hint="eastAsia" w:ascii="宋体" w:hAnsi="宋体" w:eastAsia="宋体" w:cs="宋体"/>
          <w:bCs/>
          <w:color w:val="auto"/>
          <w:szCs w:val="21"/>
          <w:lang w:val="zh-CN"/>
        </w:rPr>
        <w:t>二、</w:t>
      </w:r>
      <w:r>
        <w:rPr>
          <w:rFonts w:hint="eastAsia" w:ascii="宋体" w:hAnsi="宋体" w:eastAsia="宋体" w:cs="宋体"/>
          <w:bCs/>
          <w:color w:val="auto"/>
          <w:szCs w:val="21"/>
          <w:lang w:val="zh-CN" w:eastAsia="zh-CN"/>
        </w:rPr>
        <w:t>投标人在参加本次政府采购活动（即递交投标文件截止时间）前三年内，在经营活动中没有重大违法记录。（如投标单位营业执照注册时间不足三年的，从注册之日起至递交投标文件截止时间）</w:t>
      </w:r>
    </w:p>
    <w:p w14:paraId="799FE29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eastAsia="zh-CN"/>
        </w:rPr>
        <w:t>备注：承诺书格式自拟。</w:t>
      </w:r>
    </w:p>
    <w:p w14:paraId="1C3557D7">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lang w:val="zh-CN"/>
        </w:rPr>
      </w:pPr>
      <w:r>
        <w:rPr>
          <w:rFonts w:hint="eastAsia" w:ascii="宋体" w:hAnsi="宋体" w:eastAsia="宋体" w:cs="宋体"/>
          <w:b/>
          <w:color w:val="auto"/>
          <w:sz w:val="24"/>
          <w:lang w:val="en-US" w:eastAsia="zh-CN"/>
        </w:rPr>
        <w:t>（四）财务要求</w:t>
      </w:r>
    </w:p>
    <w:p w14:paraId="0BE62A48">
      <w:pPr>
        <w:pStyle w:val="2"/>
        <w:ind w:left="0" w:leftChars="0" w:firstLine="0" w:firstLineChars="0"/>
        <w:rPr>
          <w:rFonts w:hint="eastAsia"/>
          <w:lang w:val="zh-CN"/>
        </w:rPr>
      </w:pPr>
      <w:r>
        <w:rPr>
          <w:rFonts w:hint="eastAsia"/>
          <w:lang w:val="zh-CN"/>
        </w:rPr>
        <w:t>提供</w:t>
      </w:r>
      <w:r>
        <w:rPr>
          <w:rFonts w:hint="eastAsia"/>
          <w:lang w:val="zh-CN" w:eastAsia="zh-CN"/>
        </w:rPr>
        <w:t>2024年度（2024年1月1日-2024年12月31日）</w:t>
      </w:r>
      <w:r>
        <w:rPr>
          <w:rFonts w:hint="eastAsia"/>
          <w:lang w:val="zh-CN"/>
        </w:rPr>
        <w:t>经第三方审计机构出具的财务审计报告或提供</w:t>
      </w:r>
      <w:r>
        <w:rPr>
          <w:rFonts w:hint="eastAsia"/>
          <w:lang w:val="zh-CN" w:eastAsia="zh-CN"/>
        </w:rPr>
        <w:t>2024年度（2024年1月1日-2024年12月31日）</w:t>
      </w:r>
      <w:r>
        <w:rPr>
          <w:rFonts w:hint="eastAsia"/>
          <w:lang w:val="zh-CN"/>
        </w:rPr>
        <w:t>投标企业编制的财务报表（包括但不限于资产负债表、利润表和现金流量表），</w:t>
      </w:r>
      <w:r>
        <w:rPr>
          <w:rFonts w:hint="eastAsia"/>
          <w:lang w:val="zh-CN" w:eastAsia="zh-CN"/>
        </w:rPr>
        <w:t>2025</w:t>
      </w:r>
      <w:r>
        <w:rPr>
          <w:rFonts w:hint="eastAsia"/>
          <w:lang w:val="zh-CN"/>
        </w:rPr>
        <w:t>年</w:t>
      </w:r>
      <w:r>
        <w:rPr>
          <w:rFonts w:hint="eastAsia"/>
          <w:lang w:val="zh-CN" w:eastAsia="zh-CN"/>
        </w:rPr>
        <w:t>1月1日起</w:t>
      </w:r>
      <w:r>
        <w:rPr>
          <w:rFonts w:hint="eastAsia"/>
          <w:lang w:val="zh-CN"/>
        </w:rPr>
        <w:t>成立的企业可仅提供银行出具的资信良好的证明文件。</w:t>
      </w:r>
    </w:p>
    <w:p w14:paraId="01BC80E6">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（五）</w:t>
      </w:r>
      <w:r>
        <w:rPr>
          <w:rFonts w:hint="eastAsia" w:ascii="宋体" w:hAnsi="宋体" w:eastAsia="宋体" w:cs="宋体"/>
          <w:b/>
          <w:color w:val="auto"/>
          <w:sz w:val="24"/>
          <w:lang w:val="en-US" w:eastAsia="zh-CN"/>
        </w:rPr>
        <w:t>依法缴纳税收和社会保障资金</w:t>
      </w:r>
    </w:p>
    <w:p w14:paraId="3BB69B5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1、投标人须提供近一年内（2024年4月至今）任意一个月的依法缴纳税收的纳税证明(依法免税的投标人可提供相应文件证明其依法免税）。</w:t>
      </w:r>
    </w:p>
    <w:p w14:paraId="3E244B45">
      <w:pPr>
        <w:pageBreakBefore w:val="0"/>
        <w:kinsoku/>
        <w:wordWrap/>
        <w:overflowPunct/>
        <w:topLinePunct w:val="0"/>
        <w:autoSpaceDE w:val="0"/>
        <w:autoSpaceDN w:val="0"/>
        <w:bidi w:val="0"/>
        <w:adjustRightInd w:val="0"/>
        <w:spacing w:line="240" w:lineRule="auto"/>
        <w:outlineLvl w:val="9"/>
        <w:rPr>
          <w:rFonts w:hint="default" w:ascii="宋体" w:hAnsi="宋体" w:eastAsia="宋体" w:cs="宋体"/>
          <w:bCs/>
          <w:color w:val="auto"/>
          <w:szCs w:val="21"/>
          <w:lang w:val="en-US" w:eastAsia="zh-CN"/>
        </w:rPr>
      </w:pPr>
      <w:r>
        <w:rPr>
          <w:rFonts w:hint="eastAsia" w:ascii="宋体" w:hAnsi="宋体" w:eastAsia="宋体" w:cs="宋体"/>
          <w:bCs/>
          <w:color w:val="auto"/>
          <w:szCs w:val="21"/>
          <w:lang w:val="en-US" w:eastAsia="zh-CN"/>
        </w:rPr>
        <w:t>2、投标人须提供近一年内（2024年4月至今）任意一个月的依法缴纳社会保障资金的证明(依法不需要缴纳社会保障资金的投标人可提供相应文件证明其依法不需要缴纳社会保障资金）。</w:t>
      </w:r>
    </w:p>
    <w:p w14:paraId="2E412048">
      <w:pPr>
        <w:rPr>
          <w:rFonts w:hint="eastAsia" w:ascii="宋体" w:hAnsi="宋体" w:eastAsia="宋体" w:cs="宋体"/>
          <w:b/>
          <w:color w:val="auto"/>
          <w:sz w:val="24"/>
          <w:lang w:val="zh-CN"/>
        </w:rPr>
      </w:pPr>
      <w:bookmarkStart w:id="145" w:name="_Toc22598"/>
      <w:bookmarkStart w:id="146" w:name="_Toc125"/>
      <w:r>
        <w:rPr>
          <w:rFonts w:hint="eastAsia" w:ascii="宋体" w:hAnsi="宋体" w:eastAsia="宋体" w:cs="宋体"/>
          <w:b/>
          <w:color w:val="auto"/>
          <w:sz w:val="24"/>
          <w:lang w:val="zh-CN"/>
        </w:rPr>
        <w:br w:type="page"/>
      </w:r>
    </w:p>
    <w:p w14:paraId="63D606A1">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hint="eastAsia" w:ascii="宋体" w:hAnsi="宋体" w:cs="宋体"/>
          <w:color w:val="auto"/>
          <w:sz w:val="21"/>
          <w:szCs w:val="21"/>
          <w:lang w:eastAsia="zh-CN"/>
        </w:rPr>
      </w:pPr>
      <w:bookmarkStart w:id="147" w:name="_Toc32270"/>
      <w:r>
        <w:rPr>
          <w:rFonts w:hint="eastAsia" w:ascii="宋体" w:hAnsi="宋体" w:cs="宋体"/>
          <w:color w:val="auto"/>
          <w:sz w:val="21"/>
          <w:szCs w:val="21"/>
          <w:lang w:eastAsia="zh-CN"/>
        </w:rPr>
        <w:t>附件一：</w:t>
      </w:r>
      <w:bookmarkEnd w:id="147"/>
    </w:p>
    <w:p w14:paraId="5563E880">
      <w:pPr>
        <w:keepNext w:val="0"/>
        <w:keepLines w:val="0"/>
        <w:pageBreakBefore w:val="0"/>
        <w:widowControl w:val="0"/>
        <w:kinsoku/>
        <w:wordWrap w:val="0"/>
        <w:overflowPunct/>
        <w:topLinePunct/>
        <w:autoSpaceDE/>
        <w:autoSpaceDN/>
        <w:bidi w:val="0"/>
        <w:adjustRightInd w:val="0"/>
        <w:snapToGrid/>
        <w:spacing w:line="440" w:lineRule="exact"/>
        <w:jc w:val="center"/>
        <w:textAlignment w:val="auto"/>
        <w:outlineLvl w:val="9"/>
        <w:rPr>
          <w:rFonts w:ascii="宋体" w:hAnsi="宋体" w:cs="宋体"/>
          <w:color w:val="auto"/>
          <w:sz w:val="21"/>
          <w:szCs w:val="21"/>
          <w:lang w:eastAsia="zh-CN"/>
        </w:rPr>
      </w:pPr>
      <w:bookmarkStart w:id="148" w:name="_Toc9626"/>
      <w:bookmarkStart w:id="149" w:name="_Toc13363"/>
      <w:r>
        <w:rPr>
          <w:rStyle w:val="76"/>
          <w:rFonts w:hint="eastAsia" w:ascii="宋体" w:hAnsi="宋体" w:cs="宋体"/>
          <w:b/>
          <w:color w:val="auto"/>
          <w:kern w:val="0"/>
          <w:sz w:val="21"/>
          <w:szCs w:val="21"/>
          <w:lang w:eastAsia="zh-CN"/>
        </w:rPr>
        <w:t>中小企业声明函(货物)</w:t>
      </w:r>
      <w:bookmarkEnd w:id="148"/>
      <w:bookmarkEnd w:id="149"/>
    </w:p>
    <w:p w14:paraId="0416705B">
      <w:pPr>
        <w:pStyle w:val="12"/>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b/>
          <w:color w:val="auto"/>
          <w:sz w:val="21"/>
          <w:szCs w:val="21"/>
          <w:lang w:eastAsia="zh-CN"/>
        </w:rPr>
      </w:pPr>
    </w:p>
    <w:p w14:paraId="026DDD74">
      <w:pPr>
        <w:pStyle w:val="78"/>
        <w:keepNext w:val="0"/>
        <w:keepLines w:val="0"/>
        <w:pageBreakBefore w:val="0"/>
        <w:widowControl w:val="0"/>
        <w:kinsoku/>
        <w:wordWrap w:val="0"/>
        <w:overflowPunct/>
        <w:topLinePunct/>
        <w:autoSpaceDE/>
        <w:autoSpaceDN/>
        <w:bidi w:val="0"/>
        <w:adjustRightInd w:val="0"/>
        <w:snapToGrid/>
        <w:spacing w:line="440" w:lineRule="exact"/>
        <w:ind w:right="157" w:firstLine="642"/>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本公司(联合体)郑重声明，根据《政府采购促进中小企业发展管理办法》(财库﹝2020﹞46号)的规定，本公司(联合体)参加</w:t>
      </w:r>
      <w:r>
        <w:rPr>
          <w:rFonts w:hint="eastAsia" w:ascii="宋体" w:hAnsi="宋体" w:eastAsia="宋体" w:cs="宋体"/>
          <w:color w:val="auto"/>
          <w:sz w:val="21"/>
          <w:szCs w:val="21"/>
          <w:u w:val="single"/>
        </w:rPr>
        <w:t>(单位名称)</w:t>
      </w:r>
      <w:r>
        <w:rPr>
          <w:rFonts w:hint="eastAsia" w:ascii="宋体" w:hAnsi="宋体" w:eastAsia="宋体" w:cs="宋体"/>
          <w:color w:val="auto"/>
          <w:sz w:val="21"/>
          <w:szCs w:val="21"/>
        </w:rPr>
        <w:t>的</w:t>
      </w:r>
      <w:r>
        <w:rPr>
          <w:rFonts w:hint="eastAsia" w:ascii="宋体" w:hAnsi="宋体" w:eastAsia="宋体" w:cs="宋体"/>
          <w:color w:val="auto"/>
          <w:sz w:val="21"/>
          <w:szCs w:val="21"/>
          <w:u w:val="single"/>
        </w:rPr>
        <w:t>(项目名称)</w:t>
      </w:r>
      <w:r>
        <w:rPr>
          <w:rFonts w:hint="eastAsia" w:ascii="宋体" w:hAnsi="宋体" w:eastAsia="宋体" w:cs="宋体"/>
          <w:color w:val="auto"/>
          <w:sz w:val="21"/>
          <w:szCs w:val="21"/>
        </w:rPr>
        <w:t xml:space="preserve">采购活动，提供的货物全部由符合政策要求的中小企业制造。相关企业(含联合体中的中小企业、签订分包意向协议的中小企业)的具体情况如下： </w:t>
      </w:r>
    </w:p>
    <w:p w14:paraId="3706DE3A">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Fonts w:ascii="宋体" w:hAnsi="宋体" w:cs="宋体"/>
          <w:color w:val="auto"/>
          <w:sz w:val="21"/>
          <w:szCs w:val="21"/>
          <w:lang w:eastAsia="zh-CN"/>
        </w:rPr>
      </w:pPr>
      <w:r>
        <w:rPr>
          <w:rFonts w:hint="eastAsia" w:ascii="宋体" w:hAnsi="宋体" w:cs="宋体"/>
          <w:color w:val="auto"/>
          <w:sz w:val="21"/>
          <w:szCs w:val="21"/>
          <w:lang w:eastAsia="zh-CN"/>
        </w:rPr>
        <w:t>1.</w:t>
      </w:r>
      <w:r>
        <w:rPr>
          <w:rFonts w:hint="eastAsia" w:ascii="宋体" w:hAnsi="宋体" w:cs="宋体"/>
          <w:color w:val="auto"/>
          <w:sz w:val="21"/>
          <w:szCs w:val="21"/>
          <w:u w:val="single"/>
          <w:lang w:eastAsia="zh-CN"/>
        </w:rPr>
        <w:t>(标的名称)</w:t>
      </w:r>
      <w:r>
        <w:rPr>
          <w:rFonts w:hint="eastAsia" w:ascii="宋体" w:hAnsi="宋体" w:cs="宋体"/>
          <w:color w:val="auto"/>
          <w:sz w:val="21"/>
          <w:szCs w:val="21"/>
          <w:lang w:eastAsia="zh-CN"/>
        </w:rPr>
        <w:t>，属于</w:t>
      </w:r>
      <w:r>
        <w:rPr>
          <w:rFonts w:hint="eastAsia" w:ascii="宋体" w:hAnsi="宋体" w:cs="宋体"/>
          <w:color w:val="auto"/>
          <w:sz w:val="21"/>
          <w:szCs w:val="21"/>
          <w:u w:val="single"/>
          <w:lang w:eastAsia="zh-CN"/>
        </w:rPr>
        <w:t>(采购文件中明确的所属行业)行业</w:t>
      </w:r>
      <w:r>
        <w:rPr>
          <w:rFonts w:hint="eastAsia" w:ascii="宋体" w:hAnsi="宋体" w:cs="宋体"/>
          <w:color w:val="auto"/>
          <w:sz w:val="21"/>
          <w:szCs w:val="21"/>
          <w:lang w:eastAsia="zh-CN"/>
        </w:rPr>
        <w:t>；制造商为</w:t>
      </w:r>
      <w:r>
        <w:rPr>
          <w:rFonts w:hint="eastAsia" w:ascii="宋体" w:hAnsi="宋体" w:cs="宋体"/>
          <w:color w:val="auto"/>
          <w:sz w:val="21"/>
          <w:szCs w:val="21"/>
          <w:u w:val="single"/>
          <w:lang w:eastAsia="zh-CN"/>
        </w:rPr>
        <w:t>(企业名称)</w:t>
      </w:r>
      <w:r>
        <w:rPr>
          <w:rFonts w:hint="eastAsia" w:ascii="宋体" w:hAnsi="宋体" w:cs="宋体"/>
          <w:color w:val="auto"/>
          <w:sz w:val="21"/>
          <w:szCs w:val="21"/>
          <w:lang w:eastAsia="zh-CN"/>
        </w:rPr>
        <w:t>，从业人员</w:t>
      </w:r>
      <w:r>
        <w:rPr>
          <w:rFonts w:hint="eastAsia" w:ascii="宋体" w:hAnsi="宋体" w:cs="宋体"/>
          <w:color w:val="auto"/>
          <w:sz w:val="21"/>
          <w:szCs w:val="21"/>
          <w:u w:val="single"/>
          <w:lang w:eastAsia="zh-CN"/>
        </w:rPr>
        <w:t xml:space="preserve">   </w:t>
      </w:r>
      <w:r>
        <w:rPr>
          <w:rFonts w:hint="eastAsia" w:ascii="宋体" w:hAnsi="宋体" w:cs="宋体"/>
          <w:color w:val="auto"/>
          <w:sz w:val="21"/>
          <w:szCs w:val="21"/>
          <w:lang w:eastAsia="zh-CN"/>
        </w:rPr>
        <w:t>人，营业收入为</w:t>
      </w:r>
      <w:r>
        <w:rPr>
          <w:rFonts w:hint="eastAsia" w:ascii="宋体" w:hAnsi="宋体" w:cs="宋体"/>
          <w:color w:val="auto"/>
          <w:sz w:val="21"/>
          <w:szCs w:val="21"/>
          <w:u w:val="single"/>
          <w:lang w:eastAsia="zh-CN"/>
        </w:rPr>
        <w:t xml:space="preserve">  </w:t>
      </w:r>
      <w:r>
        <w:rPr>
          <w:rFonts w:hint="eastAsia" w:ascii="宋体" w:hAnsi="宋体" w:cs="宋体"/>
          <w:color w:val="auto"/>
          <w:sz w:val="21"/>
          <w:szCs w:val="21"/>
          <w:lang w:eastAsia="zh-CN"/>
        </w:rPr>
        <w:t>万元，资产总额为</w:t>
      </w:r>
      <w:r>
        <w:rPr>
          <w:rFonts w:hint="eastAsia" w:ascii="宋体" w:hAnsi="宋体" w:cs="宋体"/>
          <w:color w:val="auto"/>
          <w:sz w:val="21"/>
          <w:szCs w:val="21"/>
          <w:u w:val="single"/>
          <w:lang w:eastAsia="zh-CN"/>
        </w:rPr>
        <w:t xml:space="preserve">    </w:t>
      </w:r>
      <w:r>
        <w:rPr>
          <w:rFonts w:hint="eastAsia" w:ascii="宋体" w:hAnsi="宋体" w:cs="宋体"/>
          <w:color w:val="auto"/>
          <w:sz w:val="21"/>
          <w:szCs w:val="21"/>
          <w:lang w:eastAsia="zh-CN"/>
        </w:rPr>
        <w:t>万元</w:t>
      </w:r>
      <w:r>
        <w:rPr>
          <w:rFonts w:hint="eastAsia" w:ascii="宋体" w:hAnsi="宋体" w:cs="宋体"/>
          <w:color w:val="auto"/>
          <w:position w:val="0"/>
          <w:sz w:val="21"/>
          <w:szCs w:val="21"/>
          <w:vertAlign w:val="superscript"/>
          <w:lang w:eastAsia="zh-CN"/>
        </w:rPr>
        <w:t>1</w:t>
      </w:r>
      <w:r>
        <w:rPr>
          <w:rFonts w:hint="eastAsia" w:ascii="宋体" w:hAnsi="宋体" w:cs="宋体"/>
          <w:color w:val="auto"/>
          <w:sz w:val="21"/>
          <w:szCs w:val="21"/>
          <w:lang w:eastAsia="zh-CN"/>
        </w:rPr>
        <w:t>，属于</w:t>
      </w:r>
      <w:r>
        <w:rPr>
          <w:rFonts w:hint="eastAsia" w:ascii="宋体" w:hAnsi="宋体" w:cs="宋体"/>
          <w:color w:val="auto"/>
          <w:sz w:val="21"/>
          <w:szCs w:val="21"/>
          <w:u w:val="single"/>
          <w:lang w:eastAsia="zh-CN"/>
        </w:rPr>
        <w:t>(中型企业、小型企业、微型企业)</w:t>
      </w:r>
      <w:r>
        <w:rPr>
          <w:rFonts w:hint="eastAsia" w:ascii="宋体" w:hAnsi="宋体" w:cs="宋体"/>
          <w:color w:val="auto"/>
          <w:sz w:val="21"/>
          <w:szCs w:val="21"/>
          <w:lang w:eastAsia="zh-CN"/>
        </w:rPr>
        <w:t xml:space="preserve">； </w:t>
      </w:r>
    </w:p>
    <w:p w14:paraId="240C73AE">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Fonts w:ascii="宋体" w:hAnsi="宋体" w:cs="宋体"/>
          <w:color w:val="auto"/>
          <w:sz w:val="21"/>
          <w:szCs w:val="21"/>
          <w:lang w:eastAsia="zh-CN"/>
        </w:rPr>
      </w:pPr>
      <w:r>
        <w:rPr>
          <w:rFonts w:hint="eastAsia" w:ascii="宋体" w:hAnsi="宋体" w:cs="宋体"/>
          <w:color w:val="auto"/>
          <w:sz w:val="21"/>
          <w:szCs w:val="21"/>
          <w:lang w:eastAsia="zh-CN"/>
        </w:rPr>
        <w:t>2.</w:t>
      </w:r>
      <w:r>
        <w:rPr>
          <w:rFonts w:hint="eastAsia" w:ascii="宋体" w:hAnsi="宋体" w:cs="宋体"/>
          <w:color w:val="auto"/>
          <w:sz w:val="21"/>
          <w:szCs w:val="21"/>
          <w:u w:val="single"/>
          <w:lang w:eastAsia="zh-CN"/>
        </w:rPr>
        <w:t>(标的名称)</w:t>
      </w:r>
      <w:r>
        <w:rPr>
          <w:rFonts w:hint="eastAsia" w:ascii="宋体" w:hAnsi="宋体" w:cs="宋体"/>
          <w:color w:val="auto"/>
          <w:sz w:val="21"/>
          <w:szCs w:val="21"/>
          <w:lang w:eastAsia="zh-CN"/>
        </w:rPr>
        <w:t>，属于</w:t>
      </w:r>
      <w:r>
        <w:rPr>
          <w:rFonts w:hint="eastAsia" w:ascii="宋体" w:hAnsi="宋体" w:cs="宋体"/>
          <w:color w:val="auto"/>
          <w:sz w:val="21"/>
          <w:szCs w:val="21"/>
          <w:u w:val="single"/>
          <w:lang w:eastAsia="zh-CN"/>
        </w:rPr>
        <w:t>(采购文件中明确的所属行业)行业</w:t>
      </w:r>
      <w:r>
        <w:rPr>
          <w:rFonts w:hint="eastAsia" w:ascii="宋体" w:hAnsi="宋体" w:cs="宋体"/>
          <w:color w:val="auto"/>
          <w:sz w:val="21"/>
          <w:szCs w:val="21"/>
          <w:lang w:eastAsia="zh-CN"/>
        </w:rPr>
        <w:t>；制造商为</w:t>
      </w:r>
      <w:r>
        <w:rPr>
          <w:rFonts w:hint="eastAsia" w:ascii="宋体" w:hAnsi="宋体" w:cs="宋体"/>
          <w:color w:val="auto"/>
          <w:sz w:val="21"/>
          <w:szCs w:val="21"/>
          <w:u w:val="single"/>
          <w:lang w:eastAsia="zh-CN"/>
        </w:rPr>
        <w:t>(企业名称)</w:t>
      </w:r>
      <w:r>
        <w:rPr>
          <w:rFonts w:hint="eastAsia" w:ascii="宋体" w:hAnsi="宋体" w:cs="宋体"/>
          <w:color w:val="auto"/>
          <w:sz w:val="21"/>
          <w:szCs w:val="21"/>
          <w:lang w:eastAsia="zh-CN"/>
        </w:rPr>
        <w:t>，从业人员</w:t>
      </w:r>
      <w:r>
        <w:rPr>
          <w:rFonts w:hint="eastAsia" w:ascii="宋体" w:hAnsi="宋体" w:cs="宋体"/>
          <w:color w:val="auto"/>
          <w:sz w:val="21"/>
          <w:szCs w:val="21"/>
          <w:u w:val="single"/>
          <w:lang w:eastAsia="zh-CN"/>
        </w:rPr>
        <w:t xml:space="preserve">   </w:t>
      </w:r>
      <w:r>
        <w:rPr>
          <w:rFonts w:hint="eastAsia" w:ascii="宋体" w:hAnsi="宋体" w:cs="宋体"/>
          <w:color w:val="auto"/>
          <w:sz w:val="21"/>
          <w:szCs w:val="21"/>
          <w:lang w:eastAsia="zh-CN"/>
        </w:rPr>
        <w:t>人，营业收入为</w:t>
      </w:r>
      <w:r>
        <w:rPr>
          <w:rFonts w:hint="eastAsia" w:ascii="宋体" w:hAnsi="宋体" w:cs="宋体"/>
          <w:color w:val="auto"/>
          <w:sz w:val="21"/>
          <w:szCs w:val="21"/>
          <w:u w:val="single"/>
          <w:lang w:eastAsia="zh-CN"/>
        </w:rPr>
        <w:t xml:space="preserve">   </w:t>
      </w:r>
      <w:r>
        <w:rPr>
          <w:rFonts w:hint="eastAsia" w:ascii="宋体" w:hAnsi="宋体" w:cs="宋体"/>
          <w:color w:val="auto"/>
          <w:sz w:val="21"/>
          <w:szCs w:val="21"/>
          <w:lang w:eastAsia="zh-CN"/>
        </w:rPr>
        <w:t>万元，资产总额为</w:t>
      </w:r>
      <w:r>
        <w:rPr>
          <w:rFonts w:hint="eastAsia" w:ascii="宋体" w:hAnsi="宋体" w:cs="宋体"/>
          <w:color w:val="auto"/>
          <w:sz w:val="21"/>
          <w:szCs w:val="21"/>
          <w:u w:val="single"/>
          <w:lang w:eastAsia="zh-CN"/>
        </w:rPr>
        <w:t xml:space="preserve">   </w:t>
      </w:r>
      <w:r>
        <w:rPr>
          <w:rFonts w:hint="eastAsia" w:ascii="宋体" w:hAnsi="宋体" w:cs="宋体"/>
          <w:color w:val="auto"/>
          <w:sz w:val="21"/>
          <w:szCs w:val="21"/>
          <w:lang w:eastAsia="zh-CN"/>
        </w:rPr>
        <w:t>万元，属于</w:t>
      </w:r>
      <w:r>
        <w:rPr>
          <w:rFonts w:hint="eastAsia" w:ascii="宋体" w:hAnsi="宋体" w:cs="宋体"/>
          <w:color w:val="auto"/>
          <w:sz w:val="21"/>
          <w:szCs w:val="21"/>
          <w:u w:val="single"/>
          <w:lang w:eastAsia="zh-CN"/>
        </w:rPr>
        <w:t>(中型企业、小型企业、微型企业)</w:t>
      </w:r>
      <w:r>
        <w:rPr>
          <w:rFonts w:hint="eastAsia" w:ascii="宋体" w:hAnsi="宋体" w:cs="宋体"/>
          <w:color w:val="auto"/>
          <w:sz w:val="21"/>
          <w:szCs w:val="21"/>
          <w:lang w:eastAsia="zh-CN"/>
        </w:rPr>
        <w:t xml:space="preserve">； </w:t>
      </w:r>
    </w:p>
    <w:p w14:paraId="7D0289C7">
      <w:pPr>
        <w:pStyle w:val="79"/>
        <w:keepNext w:val="0"/>
        <w:keepLines w:val="0"/>
        <w:pageBreakBefore w:val="0"/>
        <w:widowControl w:val="0"/>
        <w:kinsoku/>
        <w:wordWrap w:val="0"/>
        <w:overflowPunct/>
        <w:topLinePunct/>
        <w:autoSpaceDE/>
        <w:autoSpaceDN/>
        <w:bidi w:val="0"/>
        <w:adjustRightInd w:val="0"/>
        <w:snapToGrid/>
        <w:spacing w:line="440" w:lineRule="exact"/>
        <w:ind w:left="642"/>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w:t>
      </w:r>
    </w:p>
    <w:p w14:paraId="6AFB8A81">
      <w:pPr>
        <w:pStyle w:val="78"/>
        <w:keepNext w:val="0"/>
        <w:keepLines w:val="0"/>
        <w:pageBreakBefore w:val="0"/>
        <w:widowControl w:val="0"/>
        <w:kinsoku/>
        <w:wordWrap w:val="0"/>
        <w:overflowPunct/>
        <w:topLinePunct/>
        <w:autoSpaceDE/>
        <w:autoSpaceDN/>
        <w:bidi w:val="0"/>
        <w:adjustRightInd w:val="0"/>
        <w:snapToGrid/>
        <w:spacing w:line="440" w:lineRule="exact"/>
        <w:ind w:right="157" w:firstLine="642"/>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以上企业，不属于大企业的分支机构，不存在控股股东为大企业的情形，也不存在与大企业的负责人为同一人的情形。</w:t>
      </w:r>
    </w:p>
    <w:p w14:paraId="2F124E59">
      <w:pPr>
        <w:pStyle w:val="79"/>
        <w:keepNext w:val="0"/>
        <w:keepLines w:val="0"/>
        <w:pageBreakBefore w:val="0"/>
        <w:widowControl w:val="0"/>
        <w:kinsoku/>
        <w:wordWrap w:val="0"/>
        <w:overflowPunct/>
        <w:topLinePunct/>
        <w:autoSpaceDE/>
        <w:autoSpaceDN/>
        <w:bidi w:val="0"/>
        <w:adjustRightInd w:val="0"/>
        <w:snapToGrid/>
        <w:spacing w:line="440" w:lineRule="exact"/>
        <w:ind w:left="642"/>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本企业对上述声明内容的真实性负责。如有虚假，将依法承担相应责任。</w:t>
      </w:r>
    </w:p>
    <w:p w14:paraId="7D55CC66">
      <w:pPr>
        <w:pStyle w:val="80"/>
        <w:keepNext w:val="0"/>
        <w:keepLines w:val="0"/>
        <w:pageBreakBefore w:val="0"/>
        <w:widowControl w:val="0"/>
        <w:kinsoku/>
        <w:wordWrap w:val="0"/>
        <w:overflowPunct/>
        <w:topLinePunct/>
        <w:autoSpaceDE/>
        <w:autoSpaceDN/>
        <w:bidi w:val="0"/>
        <w:adjustRightInd w:val="0"/>
        <w:snapToGrid/>
        <w:spacing w:line="440" w:lineRule="exact"/>
        <w:ind w:left="4378" w:leftChars="1960" w:hanging="262" w:hangingChars="125"/>
        <w:textAlignment w:val="auto"/>
        <w:outlineLvl w:val="9"/>
        <w:rPr>
          <w:rFonts w:ascii="宋体" w:hAnsi="宋体" w:eastAsia="宋体" w:cs="宋体"/>
          <w:color w:val="auto"/>
          <w:sz w:val="21"/>
          <w:szCs w:val="21"/>
        </w:rPr>
      </w:pPr>
    </w:p>
    <w:p w14:paraId="4A75C7B2">
      <w:pPr>
        <w:pStyle w:val="39"/>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p>
    <w:p w14:paraId="24AF6787">
      <w:pPr>
        <w:pStyle w:val="80"/>
        <w:keepNext w:val="0"/>
        <w:keepLines w:val="0"/>
        <w:pageBreakBefore w:val="0"/>
        <w:widowControl w:val="0"/>
        <w:kinsoku/>
        <w:wordWrap w:val="0"/>
        <w:overflowPunct/>
        <w:topLinePunct/>
        <w:autoSpaceDE/>
        <w:autoSpaceDN/>
        <w:bidi w:val="0"/>
        <w:adjustRightInd w:val="0"/>
        <w:snapToGrid/>
        <w:spacing w:line="440" w:lineRule="exact"/>
        <w:ind w:left="4378" w:leftChars="1960" w:hanging="262" w:hangingChars="125"/>
        <w:textAlignment w:val="auto"/>
        <w:outlineLvl w:val="9"/>
        <w:rPr>
          <w:rFonts w:ascii="宋体" w:hAnsi="宋体" w:eastAsia="宋体" w:cs="宋体"/>
          <w:color w:val="auto"/>
          <w:sz w:val="21"/>
          <w:szCs w:val="21"/>
        </w:rPr>
      </w:pPr>
    </w:p>
    <w:p w14:paraId="0E26A161">
      <w:pPr>
        <w:pStyle w:val="80"/>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企业名称(盖章)：</w:t>
      </w:r>
    </w:p>
    <w:p w14:paraId="28CCB1A5">
      <w:pPr>
        <w:pStyle w:val="80"/>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rPr>
        <w:t xml:space="preserve">日期： </w:t>
      </w:r>
    </w:p>
    <w:p w14:paraId="2A69EEF8">
      <w:pPr>
        <w:pStyle w:val="39"/>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p>
    <w:p w14:paraId="2220371D">
      <w:pPr>
        <w:pStyle w:val="39"/>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p>
    <w:p w14:paraId="435172BC">
      <w:pPr>
        <w:pStyle w:val="39"/>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p>
    <w:p w14:paraId="044F6477">
      <w:pPr>
        <w:pStyle w:val="39"/>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p>
    <w:p w14:paraId="0BC9EC0B">
      <w:pPr>
        <w:pStyle w:val="39"/>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p>
    <w:p w14:paraId="0383D5A6">
      <w:pPr>
        <w:pStyle w:val="80"/>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vertAlign w:val="superscript"/>
        </w:rPr>
      </w:pPr>
      <w:r>
        <w:rPr>
          <w:rFonts w:hint="eastAsia" w:ascii="宋体" w:hAnsi="宋体" w:eastAsia="宋体" w:cs="宋体"/>
          <w:color w:val="auto"/>
          <w:sz w:val="21"/>
          <w:szCs w:val="21"/>
          <w:vertAlign w:val="superscript"/>
        </w:rPr>
        <w:t xml:space="preserve"> </w:t>
      </w:r>
    </w:p>
    <w:p w14:paraId="5591DFD4">
      <w:pPr>
        <w:pStyle w:val="80"/>
        <w:keepNext w:val="0"/>
        <w:keepLines w:val="0"/>
        <w:pageBreakBefore w:val="0"/>
        <w:widowControl w:val="0"/>
        <w:pBdr>
          <w:top w:val="single" w:color="auto" w:sz="4" w:space="1"/>
        </w:pBdr>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rPr>
      </w:pPr>
      <w:r>
        <w:rPr>
          <w:rFonts w:hint="eastAsia" w:ascii="宋体" w:hAnsi="宋体" w:eastAsia="宋体" w:cs="宋体"/>
          <w:color w:val="auto"/>
          <w:sz w:val="21"/>
          <w:szCs w:val="21"/>
          <w:vertAlign w:val="superscript"/>
        </w:rPr>
        <w:t>1</w:t>
      </w:r>
      <w:r>
        <w:rPr>
          <w:rFonts w:hint="eastAsia" w:ascii="宋体" w:hAnsi="宋体" w:eastAsia="宋体" w:cs="宋体"/>
          <w:color w:val="auto"/>
          <w:sz w:val="21"/>
          <w:szCs w:val="21"/>
        </w:rPr>
        <w:t>从业人员、营业收入、资产总额填报上一年度数据，无上一年度数据的新成立企业可不填报。</w:t>
      </w:r>
    </w:p>
    <w:p w14:paraId="35C560F2">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cs="宋体"/>
          <w:color w:val="auto"/>
          <w:sz w:val="21"/>
          <w:szCs w:val="21"/>
          <w:lang w:eastAsia="zh-CN"/>
        </w:rPr>
      </w:pPr>
    </w:p>
    <w:p w14:paraId="6D1C18BF">
      <w:pPr>
        <w:pStyle w:val="14"/>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eastAsia="宋体" w:cs="宋体"/>
          <w:color w:val="auto"/>
          <w:sz w:val="21"/>
          <w:szCs w:val="21"/>
          <w:lang w:eastAsia="zh-CN"/>
        </w:rPr>
      </w:pPr>
    </w:p>
    <w:p w14:paraId="33E6A330">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cs="宋体"/>
          <w:color w:val="auto"/>
          <w:sz w:val="21"/>
          <w:szCs w:val="21"/>
          <w:lang w:eastAsia="zh-CN"/>
        </w:rPr>
      </w:pPr>
    </w:p>
    <w:p w14:paraId="251D19FD">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cs="宋体"/>
          <w:color w:val="auto"/>
          <w:sz w:val="21"/>
          <w:szCs w:val="21"/>
          <w:lang w:eastAsia="zh-CN"/>
        </w:rPr>
      </w:pPr>
    </w:p>
    <w:p w14:paraId="1F6DBD97">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Cs/>
          <w:color w:val="auto"/>
          <w:kern w:val="0"/>
          <w:sz w:val="21"/>
          <w:szCs w:val="21"/>
        </w:rPr>
      </w:pPr>
      <w:r>
        <w:rPr>
          <w:rStyle w:val="76"/>
          <w:rFonts w:hint="eastAsia" w:ascii="宋体" w:hAnsi="宋体" w:cs="宋体"/>
          <w:color w:val="auto"/>
          <w:kern w:val="0"/>
          <w:sz w:val="21"/>
          <w:szCs w:val="21"/>
        </w:rPr>
        <w:t>附件二：</w:t>
      </w:r>
    </w:p>
    <w:p w14:paraId="2978AECC">
      <w:pPr>
        <w:keepNext w:val="0"/>
        <w:keepLines w:val="0"/>
        <w:pageBreakBefore w:val="0"/>
        <w:widowControl w:val="0"/>
        <w:kinsoku/>
        <w:wordWrap w:val="0"/>
        <w:overflowPunct/>
        <w:topLinePunct/>
        <w:autoSpaceDE/>
        <w:autoSpaceDN/>
        <w:bidi w:val="0"/>
        <w:adjustRightInd w:val="0"/>
        <w:snapToGrid/>
        <w:spacing w:line="440" w:lineRule="exact"/>
        <w:jc w:val="center"/>
        <w:textAlignment w:val="auto"/>
        <w:outlineLvl w:val="9"/>
        <w:rPr>
          <w:rStyle w:val="76"/>
          <w:rFonts w:ascii="宋体" w:hAnsi="宋体" w:cs="宋体"/>
          <w:b/>
          <w:color w:val="auto"/>
          <w:kern w:val="0"/>
          <w:sz w:val="21"/>
          <w:szCs w:val="21"/>
        </w:rPr>
      </w:pPr>
      <w:r>
        <w:rPr>
          <w:rStyle w:val="76"/>
          <w:rFonts w:hint="eastAsia" w:ascii="宋体" w:hAnsi="宋体" w:cs="宋体"/>
          <w:b/>
          <w:color w:val="auto"/>
          <w:kern w:val="0"/>
          <w:sz w:val="21"/>
          <w:szCs w:val="21"/>
        </w:rPr>
        <w:t>残疾人福利性单位声明函</w:t>
      </w:r>
    </w:p>
    <w:p w14:paraId="02DE4D9F">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spacing w:val="0"/>
          <w:kern w:val="0"/>
          <w:sz w:val="21"/>
          <w:szCs w:val="21"/>
        </w:rPr>
      </w:pPr>
    </w:p>
    <w:p w14:paraId="0889AE2D">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Style w:val="76"/>
          <w:rFonts w:ascii="宋体" w:hAnsi="宋体" w:cs="宋体"/>
          <w:color w:val="auto"/>
          <w:spacing w:val="0"/>
          <w:kern w:val="0"/>
          <w:sz w:val="21"/>
          <w:szCs w:val="21"/>
        </w:rPr>
      </w:pPr>
      <w:r>
        <w:rPr>
          <w:rStyle w:val="76"/>
          <w:rFonts w:hint="eastAsia" w:ascii="宋体" w:hAnsi="宋体" w:cs="宋体"/>
          <w:color w:val="auto"/>
          <w:spacing w:val="0"/>
          <w:kern w:val="0"/>
          <w:sz w:val="21"/>
          <w:szCs w:val="21"/>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7EC1617">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Style w:val="76"/>
          <w:rFonts w:ascii="宋体" w:hAnsi="宋体" w:cs="宋体"/>
          <w:color w:val="auto"/>
          <w:spacing w:val="0"/>
          <w:kern w:val="0"/>
          <w:sz w:val="21"/>
          <w:szCs w:val="21"/>
        </w:rPr>
      </w:pPr>
      <w:r>
        <w:rPr>
          <w:rStyle w:val="76"/>
          <w:rFonts w:hint="eastAsia" w:ascii="宋体" w:hAnsi="宋体" w:cs="宋体"/>
          <w:color w:val="auto"/>
          <w:spacing w:val="0"/>
          <w:kern w:val="0"/>
          <w:sz w:val="21"/>
          <w:szCs w:val="21"/>
        </w:rPr>
        <w:t>本单位对上述声明的真实性负责。如有虚假，将依法承担相应责任。</w:t>
      </w:r>
    </w:p>
    <w:p w14:paraId="488A4126">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Style w:val="76"/>
          <w:rFonts w:ascii="宋体" w:hAnsi="宋体" w:cs="宋体"/>
          <w:color w:val="auto"/>
          <w:spacing w:val="0"/>
          <w:kern w:val="0"/>
          <w:sz w:val="21"/>
          <w:szCs w:val="21"/>
        </w:rPr>
      </w:pPr>
    </w:p>
    <w:p w14:paraId="265E7BA8">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Style w:val="76"/>
          <w:rFonts w:ascii="宋体" w:hAnsi="宋体" w:cs="宋体"/>
          <w:color w:val="auto"/>
          <w:spacing w:val="0"/>
          <w:kern w:val="0"/>
          <w:sz w:val="21"/>
          <w:szCs w:val="21"/>
        </w:rPr>
      </w:pPr>
    </w:p>
    <w:p w14:paraId="4041FB4D">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Style w:val="76"/>
          <w:rFonts w:ascii="宋体" w:hAnsi="宋体" w:cs="宋体"/>
          <w:color w:val="auto"/>
          <w:spacing w:val="0"/>
          <w:kern w:val="0"/>
          <w:sz w:val="21"/>
          <w:szCs w:val="21"/>
        </w:rPr>
      </w:pPr>
      <w:r>
        <w:rPr>
          <w:rStyle w:val="76"/>
          <w:rFonts w:hint="eastAsia" w:ascii="宋体" w:hAnsi="宋体" w:cs="宋体"/>
          <w:color w:val="auto"/>
          <w:spacing w:val="0"/>
          <w:kern w:val="0"/>
          <w:sz w:val="21"/>
          <w:szCs w:val="21"/>
        </w:rPr>
        <w:t xml:space="preserve">              </w:t>
      </w:r>
    </w:p>
    <w:p w14:paraId="71E1ECA2">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Style w:val="76"/>
          <w:rFonts w:ascii="宋体" w:hAnsi="宋体" w:cs="宋体"/>
          <w:color w:val="auto"/>
          <w:spacing w:val="0"/>
          <w:kern w:val="0"/>
          <w:sz w:val="21"/>
          <w:szCs w:val="21"/>
        </w:rPr>
      </w:pPr>
    </w:p>
    <w:p w14:paraId="21BFADCC">
      <w:pPr>
        <w:keepNext w:val="0"/>
        <w:keepLines w:val="0"/>
        <w:pageBreakBefore w:val="0"/>
        <w:widowControl w:val="0"/>
        <w:kinsoku/>
        <w:wordWrap w:val="0"/>
        <w:overflowPunct/>
        <w:topLinePunct/>
        <w:autoSpaceDE/>
        <w:autoSpaceDN/>
        <w:bidi w:val="0"/>
        <w:adjustRightInd w:val="0"/>
        <w:snapToGrid/>
        <w:spacing w:line="440" w:lineRule="exact"/>
        <w:ind w:firstLine="420" w:firstLineChars="200"/>
        <w:textAlignment w:val="auto"/>
        <w:outlineLvl w:val="9"/>
        <w:rPr>
          <w:rStyle w:val="76"/>
          <w:rFonts w:ascii="宋体" w:hAnsi="宋体" w:cs="宋体"/>
          <w:color w:val="auto"/>
          <w:spacing w:val="0"/>
          <w:kern w:val="0"/>
          <w:sz w:val="21"/>
          <w:szCs w:val="21"/>
        </w:rPr>
      </w:pPr>
    </w:p>
    <w:p w14:paraId="7B3DFB2A">
      <w:pPr>
        <w:keepNext w:val="0"/>
        <w:keepLines w:val="0"/>
        <w:pageBreakBefore w:val="0"/>
        <w:widowControl w:val="0"/>
        <w:kinsoku/>
        <w:wordWrap w:val="0"/>
        <w:overflowPunct/>
        <w:topLinePunct/>
        <w:autoSpaceDE/>
        <w:autoSpaceDN/>
        <w:bidi w:val="0"/>
        <w:adjustRightInd w:val="0"/>
        <w:snapToGrid/>
        <w:spacing w:line="440" w:lineRule="exact"/>
        <w:ind w:firstLine="420"/>
        <w:textAlignment w:val="auto"/>
        <w:outlineLvl w:val="9"/>
        <w:rPr>
          <w:rStyle w:val="76"/>
          <w:rFonts w:ascii="宋体" w:hAnsi="宋体" w:cs="宋体"/>
          <w:color w:val="auto"/>
          <w:kern w:val="0"/>
          <w:sz w:val="21"/>
          <w:szCs w:val="21"/>
        </w:rPr>
      </w:pPr>
      <w:r>
        <w:rPr>
          <w:rStyle w:val="76"/>
          <w:rFonts w:hint="eastAsia" w:ascii="宋体" w:hAnsi="宋体" w:cs="宋体"/>
          <w:color w:val="auto"/>
          <w:kern w:val="0"/>
          <w:sz w:val="21"/>
          <w:szCs w:val="21"/>
        </w:rPr>
        <w:t>特此声明！</w:t>
      </w:r>
    </w:p>
    <w:p w14:paraId="62A39BDC">
      <w:pPr>
        <w:keepNext w:val="0"/>
        <w:keepLines w:val="0"/>
        <w:pageBreakBefore w:val="0"/>
        <w:widowControl w:val="0"/>
        <w:kinsoku/>
        <w:wordWrap w:val="0"/>
        <w:overflowPunct/>
        <w:topLinePunct/>
        <w:autoSpaceDE/>
        <w:autoSpaceDN/>
        <w:bidi w:val="0"/>
        <w:adjustRightInd w:val="0"/>
        <w:snapToGrid/>
        <w:spacing w:line="440" w:lineRule="exact"/>
        <w:ind w:firstLine="420"/>
        <w:textAlignment w:val="auto"/>
        <w:outlineLvl w:val="9"/>
        <w:rPr>
          <w:rStyle w:val="76"/>
          <w:rFonts w:ascii="宋体" w:hAnsi="宋体" w:cs="宋体"/>
          <w:color w:val="auto"/>
          <w:kern w:val="0"/>
          <w:sz w:val="21"/>
          <w:szCs w:val="21"/>
        </w:rPr>
      </w:pPr>
    </w:p>
    <w:p w14:paraId="27F7150F">
      <w:pPr>
        <w:keepNext w:val="0"/>
        <w:keepLines w:val="0"/>
        <w:pageBreakBefore w:val="0"/>
        <w:widowControl w:val="0"/>
        <w:kinsoku/>
        <w:wordWrap w:val="0"/>
        <w:overflowPunct/>
        <w:topLinePunct/>
        <w:autoSpaceDE/>
        <w:autoSpaceDN/>
        <w:bidi w:val="0"/>
        <w:adjustRightInd w:val="0"/>
        <w:snapToGrid/>
        <w:spacing w:line="440" w:lineRule="exact"/>
        <w:ind w:firstLine="420"/>
        <w:textAlignment w:val="auto"/>
        <w:outlineLvl w:val="9"/>
        <w:rPr>
          <w:rStyle w:val="76"/>
          <w:rFonts w:ascii="宋体" w:hAnsi="宋体" w:cs="宋体"/>
          <w:color w:val="auto"/>
          <w:kern w:val="0"/>
          <w:sz w:val="21"/>
          <w:szCs w:val="21"/>
        </w:rPr>
      </w:pPr>
    </w:p>
    <w:p w14:paraId="259B8FBA">
      <w:pPr>
        <w:keepNext w:val="0"/>
        <w:keepLines w:val="0"/>
        <w:pageBreakBefore w:val="0"/>
        <w:widowControl w:val="0"/>
        <w:kinsoku/>
        <w:wordWrap w:val="0"/>
        <w:overflowPunct/>
        <w:topLinePunct/>
        <w:autoSpaceDE/>
        <w:autoSpaceDN/>
        <w:bidi w:val="0"/>
        <w:adjustRightInd w:val="0"/>
        <w:snapToGrid/>
        <w:spacing w:line="440" w:lineRule="exact"/>
        <w:ind w:firstLine="420"/>
        <w:textAlignment w:val="auto"/>
        <w:outlineLvl w:val="9"/>
        <w:rPr>
          <w:rStyle w:val="76"/>
          <w:rFonts w:ascii="宋体" w:hAnsi="宋体" w:cs="宋体"/>
          <w:color w:val="auto"/>
          <w:kern w:val="0"/>
          <w:sz w:val="21"/>
          <w:szCs w:val="21"/>
        </w:rPr>
      </w:pPr>
      <w:r>
        <w:rPr>
          <w:rStyle w:val="76"/>
          <w:rFonts w:hint="eastAsia" w:ascii="宋体" w:hAnsi="宋体" w:cs="宋体"/>
          <w:color w:val="auto"/>
          <w:kern w:val="0"/>
          <w:sz w:val="21"/>
          <w:szCs w:val="21"/>
        </w:rPr>
        <w:t>单位名称：　　　　　　　　　　　　　　公司（企业）法定代表人签字：</w:t>
      </w:r>
    </w:p>
    <w:p w14:paraId="329192B9">
      <w:pPr>
        <w:keepNext w:val="0"/>
        <w:keepLines w:val="0"/>
        <w:pageBreakBefore w:val="0"/>
        <w:widowControl w:val="0"/>
        <w:kinsoku/>
        <w:wordWrap w:val="0"/>
        <w:overflowPunct/>
        <w:topLinePunct/>
        <w:autoSpaceDE/>
        <w:autoSpaceDN/>
        <w:bidi w:val="0"/>
        <w:adjustRightInd w:val="0"/>
        <w:snapToGrid/>
        <w:spacing w:line="440" w:lineRule="exact"/>
        <w:ind w:firstLine="420"/>
        <w:textAlignment w:val="auto"/>
        <w:outlineLvl w:val="9"/>
        <w:rPr>
          <w:rStyle w:val="76"/>
          <w:rFonts w:ascii="宋体" w:hAnsi="宋体" w:cs="宋体"/>
          <w:color w:val="auto"/>
          <w:kern w:val="0"/>
          <w:sz w:val="21"/>
          <w:szCs w:val="21"/>
        </w:rPr>
      </w:pPr>
      <w:r>
        <w:rPr>
          <w:rStyle w:val="76"/>
          <w:rFonts w:hint="eastAsia" w:ascii="宋体" w:hAnsi="宋体" w:cs="宋体"/>
          <w:color w:val="auto"/>
          <w:kern w:val="0"/>
          <w:sz w:val="21"/>
          <w:szCs w:val="21"/>
        </w:rPr>
        <w:t>单位地址：　　　　　　　　　　　　　　单位公章：</w:t>
      </w:r>
    </w:p>
    <w:p w14:paraId="32E3C476">
      <w:pPr>
        <w:keepNext w:val="0"/>
        <w:keepLines w:val="0"/>
        <w:pageBreakBefore w:val="0"/>
        <w:widowControl w:val="0"/>
        <w:kinsoku/>
        <w:wordWrap w:val="0"/>
        <w:overflowPunct/>
        <w:topLinePunct/>
        <w:autoSpaceDE/>
        <w:autoSpaceDN/>
        <w:bidi w:val="0"/>
        <w:adjustRightInd w:val="0"/>
        <w:snapToGrid/>
        <w:spacing w:line="440" w:lineRule="exact"/>
        <w:ind w:firstLine="420"/>
        <w:textAlignment w:val="auto"/>
        <w:outlineLvl w:val="9"/>
        <w:rPr>
          <w:rStyle w:val="76"/>
          <w:rFonts w:ascii="宋体" w:hAnsi="宋体" w:cs="宋体"/>
          <w:color w:val="auto"/>
          <w:kern w:val="0"/>
          <w:sz w:val="21"/>
          <w:szCs w:val="21"/>
        </w:rPr>
      </w:pPr>
      <w:r>
        <w:rPr>
          <w:rStyle w:val="76"/>
          <w:rFonts w:hint="eastAsia" w:ascii="宋体" w:hAnsi="宋体" w:cs="宋体"/>
          <w:color w:val="auto"/>
          <w:kern w:val="0"/>
          <w:sz w:val="21"/>
          <w:szCs w:val="21"/>
        </w:rPr>
        <w:t>邮政编码：　　　　　　　　　　　　　　日期：</w:t>
      </w:r>
    </w:p>
    <w:p w14:paraId="19C325D1">
      <w:pPr>
        <w:keepNext w:val="0"/>
        <w:keepLines w:val="0"/>
        <w:pageBreakBefore w:val="0"/>
        <w:widowControl w:val="0"/>
        <w:kinsoku/>
        <w:wordWrap w:val="0"/>
        <w:overflowPunct/>
        <w:topLinePunct/>
        <w:autoSpaceDE/>
        <w:autoSpaceDN/>
        <w:bidi w:val="0"/>
        <w:adjustRightInd w:val="0"/>
        <w:snapToGrid/>
        <w:spacing w:line="440" w:lineRule="exact"/>
        <w:ind w:firstLine="367" w:firstLineChars="175"/>
        <w:textAlignment w:val="auto"/>
        <w:outlineLvl w:val="9"/>
        <w:rPr>
          <w:rStyle w:val="76"/>
          <w:rFonts w:ascii="宋体" w:hAnsi="宋体" w:cs="宋体"/>
          <w:b/>
          <w:color w:val="auto"/>
          <w:kern w:val="0"/>
          <w:sz w:val="21"/>
          <w:szCs w:val="21"/>
        </w:rPr>
      </w:pPr>
      <w:r>
        <w:rPr>
          <w:rStyle w:val="76"/>
          <w:rFonts w:hint="eastAsia" w:ascii="宋体" w:hAnsi="宋体" w:cs="宋体"/>
          <w:color w:val="auto"/>
          <w:kern w:val="0"/>
          <w:sz w:val="21"/>
          <w:szCs w:val="21"/>
        </w:rPr>
        <w:t>联系电话：</w:t>
      </w:r>
    </w:p>
    <w:p w14:paraId="3658E6EB">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kern w:val="0"/>
          <w:sz w:val="21"/>
          <w:szCs w:val="21"/>
        </w:rPr>
      </w:pPr>
    </w:p>
    <w:p w14:paraId="51BADFBE">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kern w:val="0"/>
          <w:sz w:val="21"/>
          <w:szCs w:val="21"/>
        </w:rPr>
      </w:pPr>
    </w:p>
    <w:p w14:paraId="39CC1FAE">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kern w:val="0"/>
          <w:sz w:val="21"/>
          <w:szCs w:val="21"/>
        </w:rPr>
      </w:pPr>
    </w:p>
    <w:p w14:paraId="4B37CF89">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kern w:val="0"/>
          <w:sz w:val="21"/>
          <w:szCs w:val="21"/>
          <w:lang w:val="zh-CN"/>
        </w:rPr>
      </w:pPr>
      <w:r>
        <w:rPr>
          <w:rStyle w:val="76"/>
          <w:rFonts w:hint="eastAsia" w:ascii="宋体" w:hAnsi="宋体" w:cs="宋体"/>
          <w:b/>
          <w:color w:val="auto"/>
          <w:kern w:val="0"/>
          <w:sz w:val="21"/>
          <w:szCs w:val="21"/>
          <w:lang w:val="zh-CN"/>
        </w:rPr>
        <w:t>注：如非残疾人福利性单位，本声明函无需填写。</w:t>
      </w:r>
    </w:p>
    <w:p w14:paraId="2C75A77F">
      <w:pPr>
        <w:pStyle w:val="81"/>
        <w:keepNext w:val="0"/>
        <w:keepLines w:val="0"/>
        <w:pageBreakBefore w:val="0"/>
        <w:widowControl w:val="0"/>
        <w:kinsoku/>
        <w:wordWrap w:val="0"/>
        <w:overflowPunct/>
        <w:topLinePunct/>
        <w:autoSpaceDE/>
        <w:autoSpaceDN/>
        <w:bidi w:val="0"/>
        <w:adjustRightInd w:val="0"/>
        <w:snapToGrid/>
        <w:spacing w:after="0" w:line="440" w:lineRule="exact"/>
        <w:textAlignment w:val="auto"/>
        <w:outlineLvl w:val="9"/>
        <w:rPr>
          <w:rStyle w:val="76"/>
          <w:rFonts w:ascii="宋体" w:hAnsi="宋体" w:cs="宋体"/>
          <w:b/>
          <w:color w:val="auto"/>
          <w:kern w:val="0"/>
          <w:sz w:val="21"/>
          <w:szCs w:val="21"/>
          <w:lang w:val="zh-CN"/>
        </w:rPr>
      </w:pPr>
    </w:p>
    <w:p w14:paraId="53BCDFFA">
      <w:pPr>
        <w:pStyle w:val="14"/>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eastAsia="宋体" w:cs="宋体"/>
          <w:b/>
          <w:color w:val="auto"/>
          <w:kern w:val="0"/>
          <w:sz w:val="21"/>
          <w:szCs w:val="21"/>
          <w:lang w:val="zh-CN"/>
        </w:rPr>
      </w:pPr>
    </w:p>
    <w:p w14:paraId="69C293BA">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kern w:val="0"/>
          <w:sz w:val="21"/>
          <w:szCs w:val="21"/>
          <w:lang w:val="zh-CN"/>
        </w:rPr>
      </w:pPr>
    </w:p>
    <w:p w14:paraId="3F338FEF">
      <w:pPr>
        <w:pStyle w:val="14"/>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eastAsia="宋体" w:cs="宋体"/>
          <w:b/>
          <w:color w:val="auto"/>
          <w:kern w:val="0"/>
          <w:sz w:val="21"/>
          <w:szCs w:val="21"/>
          <w:lang w:val="zh-CN"/>
        </w:rPr>
      </w:pPr>
    </w:p>
    <w:p w14:paraId="3DB41B88">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Fonts w:ascii="宋体" w:hAnsi="宋体" w:cs="宋体"/>
          <w:color w:val="auto"/>
          <w:sz w:val="21"/>
          <w:szCs w:val="21"/>
          <w:lang w:val="zh-CN" w:eastAsia="zh-CN"/>
        </w:rPr>
      </w:pPr>
    </w:p>
    <w:p w14:paraId="6E121DA9">
      <w:pPr>
        <w:pStyle w:val="21"/>
        <w:keepNext w:val="0"/>
        <w:keepLines w:val="0"/>
        <w:pageBreakBefore w:val="0"/>
        <w:widowControl w:val="0"/>
        <w:kinsoku/>
        <w:wordWrap w:val="0"/>
        <w:overflowPunct/>
        <w:topLinePunct/>
        <w:autoSpaceDE/>
        <w:autoSpaceDN/>
        <w:bidi w:val="0"/>
        <w:adjustRightInd w:val="0"/>
        <w:snapToGrid/>
        <w:spacing w:line="440" w:lineRule="exact"/>
        <w:ind w:left="2" w:firstLine="201"/>
        <w:textAlignment w:val="auto"/>
        <w:outlineLvl w:val="9"/>
        <w:rPr>
          <w:rFonts w:eastAsia="宋体"/>
          <w:color w:val="auto"/>
          <w:sz w:val="21"/>
          <w:szCs w:val="21"/>
          <w:lang w:val="zh-CN" w:eastAsia="zh-CN"/>
        </w:rPr>
      </w:pPr>
    </w:p>
    <w:p w14:paraId="62B77FF0">
      <w:pPr>
        <w:keepNext w:val="0"/>
        <w:keepLines w:val="0"/>
        <w:pageBreakBefore w:val="0"/>
        <w:widowControl w:val="0"/>
        <w:kinsoku/>
        <w:overflowPunct/>
        <w:autoSpaceDE/>
        <w:autoSpaceDN/>
        <w:bidi w:val="0"/>
        <w:snapToGrid/>
        <w:spacing w:line="440" w:lineRule="exact"/>
        <w:textAlignment w:val="auto"/>
        <w:rPr>
          <w:rStyle w:val="76"/>
          <w:rFonts w:hint="eastAsia" w:ascii="宋体" w:hAnsi="宋体" w:cs="宋体"/>
          <w:color w:val="auto"/>
          <w:kern w:val="0"/>
          <w:sz w:val="21"/>
          <w:szCs w:val="21"/>
        </w:rPr>
      </w:pPr>
      <w:r>
        <w:rPr>
          <w:rStyle w:val="76"/>
          <w:rFonts w:hint="eastAsia" w:ascii="宋体" w:hAnsi="宋体" w:cs="宋体"/>
          <w:color w:val="auto"/>
          <w:kern w:val="0"/>
          <w:sz w:val="21"/>
          <w:szCs w:val="21"/>
        </w:rPr>
        <w:br w:type="page"/>
      </w:r>
    </w:p>
    <w:p w14:paraId="18912166">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color w:val="auto"/>
          <w:kern w:val="0"/>
          <w:sz w:val="21"/>
          <w:szCs w:val="21"/>
        </w:rPr>
      </w:pPr>
      <w:r>
        <w:rPr>
          <w:rStyle w:val="76"/>
          <w:rFonts w:hint="eastAsia" w:ascii="宋体" w:hAnsi="宋体" w:cs="宋体"/>
          <w:color w:val="auto"/>
          <w:kern w:val="0"/>
          <w:sz w:val="21"/>
          <w:szCs w:val="21"/>
        </w:rPr>
        <w:t>附件三：</w:t>
      </w:r>
    </w:p>
    <w:p w14:paraId="62A53F54">
      <w:pPr>
        <w:keepNext w:val="0"/>
        <w:keepLines w:val="0"/>
        <w:pageBreakBefore w:val="0"/>
        <w:widowControl w:val="0"/>
        <w:kinsoku/>
        <w:wordWrap w:val="0"/>
        <w:overflowPunct/>
        <w:topLinePunct/>
        <w:autoSpaceDE/>
        <w:autoSpaceDN/>
        <w:bidi w:val="0"/>
        <w:adjustRightInd w:val="0"/>
        <w:snapToGrid/>
        <w:spacing w:line="440" w:lineRule="exact"/>
        <w:jc w:val="center"/>
        <w:textAlignment w:val="auto"/>
        <w:outlineLvl w:val="9"/>
        <w:rPr>
          <w:rStyle w:val="76"/>
          <w:rFonts w:ascii="宋体" w:hAnsi="宋体" w:cs="宋体"/>
          <w:b/>
          <w:color w:val="auto"/>
          <w:kern w:val="0"/>
          <w:sz w:val="21"/>
          <w:szCs w:val="21"/>
        </w:rPr>
      </w:pPr>
      <w:r>
        <w:rPr>
          <w:rStyle w:val="76"/>
          <w:rFonts w:hint="eastAsia" w:ascii="宋体" w:hAnsi="宋体" w:cs="宋体"/>
          <w:b/>
          <w:color w:val="auto"/>
          <w:kern w:val="0"/>
          <w:sz w:val="21"/>
          <w:szCs w:val="21"/>
        </w:rPr>
        <w:t>监狱企业证明文件</w:t>
      </w:r>
    </w:p>
    <w:p w14:paraId="4D00C9F2">
      <w:pPr>
        <w:keepNext w:val="0"/>
        <w:keepLines w:val="0"/>
        <w:pageBreakBefore w:val="0"/>
        <w:widowControl w:val="0"/>
        <w:kinsoku/>
        <w:wordWrap w:val="0"/>
        <w:overflowPunct/>
        <w:topLinePunct/>
        <w:autoSpaceDE/>
        <w:autoSpaceDN/>
        <w:bidi w:val="0"/>
        <w:adjustRightInd w:val="0"/>
        <w:snapToGrid/>
        <w:spacing w:line="440" w:lineRule="exact"/>
        <w:jc w:val="center"/>
        <w:textAlignment w:val="auto"/>
        <w:outlineLvl w:val="9"/>
        <w:rPr>
          <w:rStyle w:val="76"/>
          <w:rFonts w:ascii="宋体" w:hAnsi="宋体" w:cs="宋体"/>
          <w:color w:val="auto"/>
          <w:kern w:val="0"/>
          <w:sz w:val="21"/>
          <w:szCs w:val="21"/>
        </w:rPr>
      </w:pPr>
    </w:p>
    <w:p w14:paraId="6B27F785">
      <w:pPr>
        <w:keepNext w:val="0"/>
        <w:keepLines w:val="0"/>
        <w:pageBreakBefore w:val="0"/>
        <w:widowControl w:val="0"/>
        <w:kinsoku/>
        <w:wordWrap w:val="0"/>
        <w:overflowPunct/>
        <w:topLinePunct/>
        <w:autoSpaceDE/>
        <w:autoSpaceDN/>
        <w:bidi w:val="0"/>
        <w:adjustRightInd w:val="0"/>
        <w:snapToGrid/>
        <w:spacing w:line="440" w:lineRule="exact"/>
        <w:jc w:val="center"/>
        <w:textAlignment w:val="auto"/>
        <w:outlineLvl w:val="9"/>
        <w:rPr>
          <w:rStyle w:val="76"/>
          <w:rFonts w:ascii="宋体" w:hAnsi="宋体" w:cs="宋体"/>
          <w:color w:val="auto"/>
          <w:kern w:val="0"/>
          <w:sz w:val="21"/>
          <w:szCs w:val="21"/>
        </w:rPr>
      </w:pPr>
      <w:r>
        <w:rPr>
          <w:rStyle w:val="76"/>
          <w:rFonts w:hint="eastAsia" w:ascii="宋体" w:hAnsi="宋体" w:cs="宋体"/>
          <w:bCs/>
          <w:color w:val="auto"/>
          <w:kern w:val="0"/>
          <w:sz w:val="21"/>
          <w:szCs w:val="21"/>
        </w:rPr>
        <w:t xml:space="preserve">  </w:t>
      </w:r>
      <w:r>
        <w:rPr>
          <w:rStyle w:val="76"/>
          <w:rFonts w:hint="eastAsia" w:ascii="宋体" w:hAnsi="宋体" w:cs="宋体"/>
          <w:bCs/>
          <w:color w:val="auto"/>
          <w:kern w:val="0"/>
          <w:sz w:val="21"/>
          <w:szCs w:val="21"/>
          <w:lang w:val="zh-CN"/>
        </w:rPr>
        <w:t>提供由省级以上监狱管理局、戒毒管理局（含新疆生产建设兵团）出具的属于监狱企业的证明文件。</w:t>
      </w:r>
    </w:p>
    <w:p w14:paraId="43BE2A05">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kern w:val="0"/>
          <w:sz w:val="21"/>
          <w:szCs w:val="21"/>
        </w:rPr>
      </w:pPr>
    </w:p>
    <w:p w14:paraId="40C644B2">
      <w:pPr>
        <w:pStyle w:val="14"/>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eastAsia="宋体" w:cs="宋体"/>
          <w:b/>
          <w:color w:val="auto"/>
          <w:kern w:val="0"/>
          <w:sz w:val="21"/>
          <w:szCs w:val="21"/>
        </w:rPr>
      </w:pPr>
      <w:r>
        <w:rPr>
          <w:rStyle w:val="76"/>
          <w:rFonts w:hint="eastAsia" w:ascii="宋体" w:hAnsi="宋体" w:eastAsia="宋体" w:cs="宋体"/>
          <w:b/>
          <w:color w:val="auto"/>
          <w:kern w:val="0"/>
          <w:sz w:val="21"/>
          <w:szCs w:val="21"/>
        </w:rPr>
        <w:t>注：证明文件无固定格式要求，如非监狱企业，本证明文件无需提供。</w:t>
      </w:r>
    </w:p>
    <w:p w14:paraId="055C52AA">
      <w:pPr>
        <w:keepNext w:val="0"/>
        <w:keepLines w:val="0"/>
        <w:pageBreakBefore w:val="0"/>
        <w:widowControl w:val="0"/>
        <w:kinsoku/>
        <w:wordWrap w:val="0"/>
        <w:overflowPunct/>
        <w:topLinePunct/>
        <w:autoSpaceDE/>
        <w:autoSpaceDN/>
        <w:bidi w:val="0"/>
        <w:adjustRightInd w:val="0"/>
        <w:snapToGrid/>
        <w:spacing w:line="440" w:lineRule="exact"/>
        <w:textAlignment w:val="auto"/>
        <w:outlineLvl w:val="9"/>
        <w:rPr>
          <w:rStyle w:val="76"/>
          <w:rFonts w:ascii="宋体" w:hAnsi="宋体" w:cs="宋体"/>
          <w:b/>
          <w:color w:val="auto"/>
          <w:kern w:val="0"/>
          <w:sz w:val="21"/>
          <w:szCs w:val="21"/>
        </w:rPr>
      </w:pPr>
    </w:p>
    <w:p w14:paraId="762A1428">
      <w:pPr>
        <w:pageBreakBefore w:val="0"/>
        <w:overflowPunct/>
        <w:bidi w:val="0"/>
        <w:spacing w:line="240" w:lineRule="auto"/>
        <w:rPr>
          <w:rFonts w:hint="eastAsia" w:ascii="宋体" w:hAnsi="宋体" w:eastAsia="宋体" w:cs="宋体"/>
          <w:b/>
          <w:color w:val="auto"/>
          <w:sz w:val="24"/>
          <w:lang w:val="zh-CN"/>
        </w:rPr>
      </w:pPr>
      <w:r>
        <w:rPr>
          <w:rFonts w:hint="eastAsia" w:ascii="宋体" w:hAnsi="宋体" w:eastAsia="宋体" w:cs="宋体"/>
          <w:b/>
          <w:color w:val="auto"/>
          <w:sz w:val="24"/>
          <w:lang w:val="zh-CN"/>
        </w:rPr>
        <w:br w:type="page"/>
      </w:r>
    </w:p>
    <w:p w14:paraId="1DE8DAD9">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rPr>
      </w:pPr>
      <w:r>
        <w:rPr>
          <w:rFonts w:hint="eastAsia" w:ascii="宋体" w:hAnsi="宋体" w:eastAsia="宋体" w:cs="宋体"/>
          <w:b/>
          <w:color w:val="auto"/>
          <w:sz w:val="24"/>
          <w:lang w:val="zh-CN"/>
        </w:rPr>
        <w:t>格式七</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lang w:val="zh-CN"/>
        </w:rPr>
        <w:t>投标人的资格声明</w:t>
      </w:r>
      <w:bookmarkEnd w:id="145"/>
      <w:bookmarkEnd w:id="146"/>
    </w:p>
    <w:p w14:paraId="33AEF1FF">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rPr>
      </w:pPr>
    </w:p>
    <w:p w14:paraId="5FDB03BC">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szCs w:val="21"/>
        </w:rPr>
      </w:pPr>
      <w:r>
        <w:rPr>
          <w:rFonts w:hint="eastAsia" w:ascii="宋体" w:hAnsi="宋体" w:eastAsia="宋体" w:cs="宋体"/>
          <w:color w:val="auto"/>
          <w:szCs w:val="21"/>
          <w:lang w:val="zh-CN"/>
        </w:rPr>
        <w:t>致</w:t>
      </w:r>
      <w:r>
        <w:rPr>
          <w:rFonts w:hint="eastAsia" w:ascii="宋体" w:hAnsi="宋体" w:eastAsia="宋体" w:cs="宋体"/>
          <w:color w:val="auto"/>
          <w:szCs w:val="21"/>
          <w:u w:val="single"/>
          <w:lang w:val="zh-CN"/>
        </w:rPr>
        <w:t xml:space="preserve">                                （招标人名称）</w:t>
      </w:r>
      <w:r>
        <w:rPr>
          <w:rFonts w:hint="eastAsia" w:ascii="宋体" w:hAnsi="宋体" w:eastAsia="宋体" w:cs="宋体"/>
          <w:color w:val="auto"/>
          <w:szCs w:val="21"/>
          <w:lang w:val="zh-CN"/>
        </w:rPr>
        <w:t xml:space="preserve">  ：</w:t>
      </w:r>
    </w:p>
    <w:p w14:paraId="4FA969D1">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按照《中华人民共和国政府采购法实施条例》你公司发布的《</w:t>
      </w:r>
      <w:r>
        <w:rPr>
          <w:rFonts w:hint="eastAsia" w:ascii="宋体" w:hAnsi="宋体" w:eastAsia="宋体" w:cs="宋体"/>
          <w:color w:val="auto"/>
          <w:szCs w:val="21"/>
          <w:u w:val="single"/>
          <w:lang w:val="zh-CN"/>
        </w:rPr>
        <w:t xml:space="preserve"> 招标单位名称+项目名称</w:t>
      </w:r>
      <w:r>
        <w:rPr>
          <w:rFonts w:hint="eastAsia" w:ascii="宋体" w:hAnsi="宋体" w:eastAsia="宋体" w:cs="宋体"/>
          <w:color w:val="auto"/>
          <w:szCs w:val="21"/>
          <w:u w:val="single"/>
          <w:lang w:val="en-US" w:eastAsia="zh-CN"/>
        </w:rPr>
        <w:t>+标段</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招标文件》的规定，我公司郑重声明如下：</w:t>
      </w:r>
    </w:p>
    <w:p w14:paraId="48951BAC">
      <w:pPr>
        <w:pageBreakBefore w:val="0"/>
        <w:kinsoku/>
        <w:wordWrap/>
        <w:overflowPunct/>
        <w:topLinePunct w:val="0"/>
        <w:autoSpaceDE w:val="0"/>
        <w:autoSpaceDN w:val="0"/>
        <w:bidi w:val="0"/>
        <w:adjustRightInd w:val="0"/>
        <w:spacing w:line="240" w:lineRule="auto"/>
        <w:ind w:firstLine="480"/>
        <w:jc w:val="left"/>
        <w:outlineLvl w:val="9"/>
        <w:rPr>
          <w:rFonts w:hint="eastAsia"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lang w:val="zh-CN"/>
        </w:rPr>
        <w:t>、我公司是按照中华人民共和国法律在工商管理机关登记注册的企业法人或其他组织，注册地点为</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zh-CN"/>
        </w:rPr>
        <w:t>，公司全称为</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zh-CN"/>
        </w:rPr>
        <w:t>，法定代表人为</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zh-CN"/>
        </w:rPr>
        <w:t>，具有独立承担民事责任的能力。</w:t>
      </w:r>
    </w:p>
    <w:p w14:paraId="28CAAD5E">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zh-CN"/>
        </w:rPr>
        <w:t>、我公司具有良好的商业信誉和健全的财务会计制度。</w:t>
      </w:r>
    </w:p>
    <w:p w14:paraId="2552520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3</w:t>
      </w:r>
      <w:r>
        <w:rPr>
          <w:rFonts w:hint="eastAsia" w:ascii="宋体" w:hAnsi="宋体" w:eastAsia="宋体" w:cs="宋体"/>
          <w:color w:val="auto"/>
          <w:szCs w:val="21"/>
          <w:lang w:val="zh-CN"/>
        </w:rPr>
        <w:t>、我公司具有履行本项目招标合同所必需的设备和专业技术能力。</w:t>
      </w:r>
    </w:p>
    <w:p w14:paraId="5904D73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4</w:t>
      </w:r>
      <w:r>
        <w:rPr>
          <w:rFonts w:hint="eastAsia" w:ascii="宋体" w:hAnsi="宋体" w:eastAsia="宋体" w:cs="宋体"/>
          <w:color w:val="auto"/>
          <w:szCs w:val="21"/>
          <w:lang w:val="zh-CN"/>
        </w:rPr>
        <w:t>、我公司具有依法缴纳税收和社会保障资金的良好记录。</w:t>
      </w:r>
    </w:p>
    <w:p w14:paraId="63637BA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5</w:t>
      </w:r>
      <w:r>
        <w:rPr>
          <w:rFonts w:hint="eastAsia" w:ascii="宋体" w:hAnsi="宋体" w:eastAsia="宋体" w:cs="宋体"/>
          <w:color w:val="auto"/>
          <w:szCs w:val="21"/>
          <w:lang w:val="zh-CN"/>
        </w:rPr>
        <w:t>、我公司在参与本次政府招标活动之前三年内，在经营活动中无重大违法记录。</w:t>
      </w:r>
    </w:p>
    <w:p w14:paraId="531855B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6</w:t>
      </w:r>
      <w:r>
        <w:rPr>
          <w:rFonts w:hint="eastAsia" w:ascii="宋体" w:hAnsi="宋体" w:eastAsia="宋体" w:cs="宋体"/>
          <w:color w:val="auto"/>
          <w:szCs w:val="21"/>
          <w:lang w:val="zh-CN"/>
        </w:rPr>
        <w:t>、我公司在参与本次政府招标活动时未受到任何地方政府招标部门作出的暂停参加政府招标活动的处罚。</w:t>
      </w:r>
    </w:p>
    <w:p w14:paraId="61A3C2F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我公司保证上述声明的事项都是真实的，如有虚假，我公司承担相应的法律责任，并承担因此给你中心以及本项目招标人所造成的损失。</w:t>
      </w:r>
    </w:p>
    <w:p w14:paraId="77FAADC8">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我公司已经按照你公司招标文件的要求提交了所要求提交的能够证明上述声明事项真实性的全部文件材料，并保证随时按照你公司的要求提供能够证明上述声明事项真实性的任何有效文件。</w:t>
      </w:r>
    </w:p>
    <w:p w14:paraId="16384049">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p>
    <w:p w14:paraId="229DD3C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投标人名称全称：</w:t>
      </w:r>
    </w:p>
    <w:p w14:paraId="4E78ACB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投标人单位公章：</w:t>
      </w:r>
    </w:p>
    <w:p w14:paraId="1EBEEA8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法定代表人或授权代理人签字：</w:t>
      </w:r>
    </w:p>
    <w:p w14:paraId="53589C4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时间：二○二</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w:t>
      </w:r>
    </w:p>
    <w:p w14:paraId="7F46A09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 w:val="24"/>
        </w:rPr>
      </w:pPr>
    </w:p>
    <w:p w14:paraId="35FBC85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2663F5DA">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4CD5B98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001DDFB3">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0FDF7D69">
      <w:pPr>
        <w:rPr>
          <w:rFonts w:hint="eastAsia" w:ascii="宋体" w:hAnsi="宋体" w:eastAsia="宋体" w:cs="宋体"/>
          <w:b/>
          <w:color w:val="auto"/>
          <w:sz w:val="24"/>
          <w:lang w:val="zh-CN"/>
        </w:rPr>
      </w:pPr>
      <w:bookmarkStart w:id="150" w:name="_Toc13845"/>
      <w:bookmarkStart w:id="151" w:name="_Toc237236997"/>
      <w:bookmarkStart w:id="152" w:name="_Toc357609772"/>
      <w:bookmarkStart w:id="153" w:name="_Toc24378"/>
      <w:bookmarkStart w:id="154" w:name="_Toc3711"/>
      <w:bookmarkStart w:id="155" w:name="_Toc238185767"/>
      <w:bookmarkStart w:id="156" w:name="_Toc3569"/>
      <w:bookmarkStart w:id="157" w:name="_Toc237329052"/>
      <w:bookmarkStart w:id="158" w:name="_Toc237200085"/>
      <w:bookmarkStart w:id="159" w:name="_Toc237199966"/>
      <w:bookmarkStart w:id="160" w:name="_Toc237328730"/>
      <w:bookmarkStart w:id="161" w:name="_Toc237200209"/>
      <w:bookmarkStart w:id="162" w:name="_Toc423024745"/>
      <w:bookmarkStart w:id="163" w:name="_Toc24445"/>
      <w:r>
        <w:rPr>
          <w:rFonts w:hint="eastAsia" w:ascii="宋体" w:hAnsi="宋体" w:eastAsia="宋体" w:cs="宋体"/>
          <w:b/>
          <w:color w:val="auto"/>
          <w:sz w:val="24"/>
          <w:lang w:val="zh-CN"/>
        </w:rPr>
        <w:br w:type="page"/>
      </w:r>
    </w:p>
    <w:p w14:paraId="4FEEF3FD">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格式八</w:t>
      </w:r>
      <w:r>
        <w:rPr>
          <w:rFonts w:hint="eastAsia" w:ascii="宋体" w:hAnsi="宋体" w:eastAsia="宋体" w:cs="宋体"/>
          <w:b/>
          <w:color w:val="auto"/>
          <w:sz w:val="24"/>
          <w:lang w:val="en-US" w:eastAsia="zh-CN"/>
        </w:rPr>
        <w:t xml:space="preserve"> </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Pr>
          <w:rFonts w:hint="eastAsia" w:ascii="宋体" w:hAnsi="宋体" w:eastAsia="宋体" w:cs="宋体"/>
          <w:b/>
          <w:color w:val="auto"/>
          <w:sz w:val="24"/>
          <w:lang w:val="en-US" w:eastAsia="zh-CN"/>
        </w:rPr>
        <w:t>类似业绩</w:t>
      </w:r>
    </w:p>
    <w:p w14:paraId="22780D84">
      <w:pPr>
        <w:pageBreakBefore w:val="0"/>
        <w:widowControl w:val="0"/>
        <w:kinsoku/>
        <w:wordWrap w:val="0"/>
        <w:overflowPunct/>
        <w:topLinePunct/>
        <w:autoSpaceDE/>
        <w:autoSpaceDN/>
        <w:bidi w:val="0"/>
        <w:adjustRightInd w:val="0"/>
        <w:jc w:val="center"/>
        <w:outlineLvl w:val="9"/>
        <w:rPr>
          <w:rFonts w:ascii="宋体" w:hAnsi="宋体" w:cs="宋体"/>
          <w:b w:val="0"/>
          <w:bCs/>
          <w:color w:val="auto"/>
          <w:sz w:val="21"/>
          <w:szCs w:val="21"/>
          <w:lang w:eastAsia="zh-CN"/>
        </w:rPr>
      </w:pPr>
      <w:r>
        <w:rPr>
          <w:rFonts w:hint="eastAsia" w:ascii="宋体" w:hAnsi="宋体" w:cs="宋体"/>
          <w:b w:val="0"/>
          <w:bCs/>
          <w:color w:val="auto"/>
          <w:sz w:val="21"/>
          <w:szCs w:val="21"/>
          <w:lang w:val="zh-CN" w:eastAsia="zh-CN"/>
        </w:rPr>
        <w:t>近三年（2022年1月1日起至今）</w:t>
      </w:r>
      <w:r>
        <w:rPr>
          <w:rFonts w:hint="eastAsia" w:ascii="宋体" w:hAnsi="宋体" w:cs="宋体"/>
          <w:b w:val="0"/>
          <w:bCs/>
          <w:color w:val="auto"/>
          <w:sz w:val="21"/>
          <w:szCs w:val="21"/>
          <w:lang w:eastAsia="zh-CN"/>
        </w:rPr>
        <w:t>完成项目一览表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1361"/>
        <w:gridCol w:w="1615"/>
        <w:gridCol w:w="1615"/>
        <w:gridCol w:w="1425"/>
        <w:gridCol w:w="1341"/>
        <w:gridCol w:w="1256"/>
      </w:tblGrid>
      <w:tr w14:paraId="69AD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7C68B9A7">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序号</w:t>
            </w:r>
          </w:p>
        </w:tc>
        <w:tc>
          <w:tcPr>
            <w:tcW w:w="1361" w:type="dxa"/>
            <w:tcBorders>
              <w:top w:val="single" w:color="auto" w:sz="4" w:space="0"/>
              <w:left w:val="single" w:color="auto" w:sz="4" w:space="0"/>
              <w:bottom w:val="single" w:color="auto" w:sz="4" w:space="0"/>
              <w:right w:val="single" w:color="auto" w:sz="4" w:space="0"/>
            </w:tcBorders>
            <w:vAlign w:val="center"/>
          </w:tcPr>
          <w:p w14:paraId="478B71BD">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业主名称</w:t>
            </w:r>
          </w:p>
        </w:tc>
        <w:tc>
          <w:tcPr>
            <w:tcW w:w="1615" w:type="dxa"/>
            <w:tcBorders>
              <w:top w:val="single" w:color="auto" w:sz="4" w:space="0"/>
              <w:left w:val="single" w:color="auto" w:sz="4" w:space="0"/>
              <w:bottom w:val="single" w:color="auto" w:sz="4" w:space="0"/>
              <w:right w:val="single" w:color="auto" w:sz="4" w:space="0"/>
            </w:tcBorders>
            <w:vAlign w:val="center"/>
          </w:tcPr>
          <w:p w14:paraId="67CF83E5">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项目名称</w:t>
            </w:r>
          </w:p>
        </w:tc>
        <w:tc>
          <w:tcPr>
            <w:tcW w:w="1615" w:type="dxa"/>
            <w:tcBorders>
              <w:top w:val="single" w:color="auto" w:sz="4" w:space="0"/>
              <w:left w:val="single" w:color="auto" w:sz="4" w:space="0"/>
              <w:bottom w:val="single" w:color="auto" w:sz="4" w:space="0"/>
              <w:right w:val="single" w:color="auto" w:sz="4" w:space="0"/>
            </w:tcBorders>
            <w:vAlign w:val="center"/>
          </w:tcPr>
          <w:p w14:paraId="6B82F202">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内容概述</w:t>
            </w:r>
          </w:p>
        </w:tc>
        <w:tc>
          <w:tcPr>
            <w:tcW w:w="1425" w:type="dxa"/>
            <w:tcBorders>
              <w:top w:val="single" w:color="auto" w:sz="4" w:space="0"/>
              <w:left w:val="single" w:color="auto" w:sz="4" w:space="0"/>
              <w:bottom w:val="single" w:color="auto" w:sz="4" w:space="0"/>
              <w:right w:val="single" w:color="auto" w:sz="4" w:space="0"/>
            </w:tcBorders>
            <w:vAlign w:val="center"/>
          </w:tcPr>
          <w:p w14:paraId="2C9B677B">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合同总价</w:t>
            </w:r>
          </w:p>
        </w:tc>
        <w:tc>
          <w:tcPr>
            <w:tcW w:w="1341" w:type="dxa"/>
            <w:tcBorders>
              <w:top w:val="single" w:color="auto" w:sz="4" w:space="0"/>
              <w:left w:val="single" w:color="auto" w:sz="4" w:space="0"/>
              <w:bottom w:val="single" w:color="auto" w:sz="4" w:space="0"/>
              <w:right w:val="single" w:color="auto" w:sz="4" w:space="0"/>
            </w:tcBorders>
            <w:vAlign w:val="center"/>
          </w:tcPr>
          <w:p w14:paraId="2EFC9D43">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供货期</w:t>
            </w:r>
          </w:p>
        </w:tc>
        <w:tc>
          <w:tcPr>
            <w:tcW w:w="1256" w:type="dxa"/>
            <w:tcBorders>
              <w:top w:val="single" w:color="auto" w:sz="4" w:space="0"/>
              <w:left w:val="single" w:color="auto" w:sz="4" w:space="0"/>
              <w:bottom w:val="single" w:color="auto" w:sz="4" w:space="0"/>
              <w:right w:val="single" w:color="auto" w:sz="4" w:space="0"/>
            </w:tcBorders>
            <w:vAlign w:val="center"/>
          </w:tcPr>
          <w:p w14:paraId="71E67E12">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业主单位联系电话</w:t>
            </w:r>
          </w:p>
        </w:tc>
      </w:tr>
      <w:tr w14:paraId="4D26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4D3293DA">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0A80DE50">
            <w:pPr>
              <w:pStyle w:val="14"/>
              <w:pageBreakBefore w:val="0"/>
              <w:widowControl w:val="0"/>
              <w:kinsoku/>
              <w:wordWrap w:val="0"/>
              <w:overflowPunct/>
              <w:topLinePunct/>
              <w:autoSpaceDE/>
              <w:autoSpaceDN/>
              <w:bidi w:val="0"/>
              <w:adjustRightInd w:val="0"/>
              <w:spacing w:line="360" w:lineRule="auto"/>
              <w:ind w:left="8000"/>
              <w:outlineLvl w:val="9"/>
              <w:rPr>
                <w:rFonts w:ascii="宋体" w:hAnsi="宋体" w:eastAsia="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691F00D0">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10D6F00A">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1CEEAD3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3BD7197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4E2782ED">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67D8B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59F5E286">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1B813BB0">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6B6ABE4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BBF52C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2FA20D56">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2D2F9E41">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261EEB6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11E92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47B319E4">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166C5F67">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90F81E0">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5967B18">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676D0099">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743CCE57">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1357D363">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2489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2DCEDBD6">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6FC71A3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479B4FA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0E94EEFA">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02DCE5A3">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5501EA6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01972487">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44DCC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5B2A8C9E">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0785CB6C">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7E3740B">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0F18E64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7747DF21">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1B3C92A2">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623BA349">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40B04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488C8C83">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612917CC">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63C6CAC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0852D3C3">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799BCE6F">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203F8C8D">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4453EA36">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bl>
    <w:p w14:paraId="4B13D15B">
      <w:pPr>
        <w:keepNext w:val="0"/>
        <w:keepLines w:val="0"/>
        <w:pageBreakBefore w:val="0"/>
        <w:widowControl w:val="0"/>
        <w:kinsoku/>
        <w:wordWrap w:val="0"/>
        <w:overflowPunct/>
        <w:topLinePunct/>
        <w:autoSpaceDE/>
        <w:autoSpaceDN/>
        <w:bidi w:val="0"/>
        <w:adjustRightInd w:val="0"/>
        <w:snapToGrid/>
        <w:spacing w:line="240" w:lineRule="auto"/>
        <w:textAlignment w:val="auto"/>
        <w:outlineLvl w:val="9"/>
        <w:rPr>
          <w:rFonts w:ascii="宋体" w:hAnsi="宋体" w:cs="宋体"/>
          <w:b w:val="0"/>
          <w:bCs/>
          <w:color w:val="auto"/>
          <w:sz w:val="21"/>
          <w:szCs w:val="21"/>
          <w:lang w:eastAsia="zh-CN"/>
        </w:rPr>
      </w:pPr>
      <w:r>
        <w:rPr>
          <w:rFonts w:hint="eastAsia" w:ascii="宋体" w:hAnsi="宋体" w:cs="宋体"/>
          <w:b w:val="0"/>
          <w:bCs/>
          <w:color w:val="auto"/>
          <w:sz w:val="21"/>
          <w:szCs w:val="21"/>
          <w:lang w:eastAsia="zh-CN"/>
        </w:rPr>
        <w:t>注：1、请提供上述项目的</w:t>
      </w:r>
      <w:r>
        <w:rPr>
          <w:rFonts w:hint="eastAsia" w:ascii="宋体" w:hAnsi="宋体" w:cs="宋体"/>
          <w:b w:val="0"/>
          <w:bCs/>
          <w:color w:val="auto"/>
          <w:sz w:val="21"/>
          <w:szCs w:val="21"/>
          <w:lang w:val="zh-CN" w:eastAsia="zh-CN"/>
        </w:rPr>
        <w:t>中标通知书或合同协议书</w:t>
      </w:r>
      <w:r>
        <w:rPr>
          <w:rFonts w:hint="eastAsia" w:ascii="宋体" w:hAnsi="宋体" w:cs="宋体"/>
          <w:b w:val="0"/>
          <w:bCs/>
          <w:color w:val="auto"/>
          <w:sz w:val="21"/>
          <w:szCs w:val="21"/>
          <w:lang w:eastAsia="zh-CN"/>
        </w:rPr>
        <w:t>，否则该项业绩视为无效。</w:t>
      </w:r>
    </w:p>
    <w:p w14:paraId="5C4AD62F">
      <w:pPr>
        <w:keepNext w:val="0"/>
        <w:keepLines w:val="0"/>
        <w:pageBreakBefore w:val="0"/>
        <w:widowControl w:val="0"/>
        <w:kinsoku/>
        <w:wordWrap w:val="0"/>
        <w:overflowPunct/>
        <w:topLinePunct/>
        <w:autoSpaceDE/>
        <w:autoSpaceDN/>
        <w:bidi w:val="0"/>
        <w:adjustRightInd w:val="0"/>
        <w:snapToGrid/>
        <w:spacing w:line="240" w:lineRule="auto"/>
        <w:ind w:firstLine="480"/>
        <w:textAlignment w:val="auto"/>
        <w:outlineLvl w:val="9"/>
        <w:rPr>
          <w:rFonts w:ascii="宋体" w:hAnsi="宋体" w:cs="宋体"/>
          <w:b w:val="0"/>
          <w:bCs/>
          <w:color w:val="auto"/>
          <w:sz w:val="21"/>
          <w:szCs w:val="21"/>
          <w:lang w:eastAsia="zh-CN"/>
        </w:rPr>
      </w:pPr>
      <w:r>
        <w:rPr>
          <w:rFonts w:hint="eastAsia" w:ascii="宋体" w:hAnsi="宋体" w:cs="宋体"/>
          <w:b w:val="0"/>
          <w:bCs/>
          <w:color w:val="auto"/>
          <w:sz w:val="21"/>
          <w:szCs w:val="21"/>
          <w:lang w:eastAsia="zh-CN"/>
        </w:rPr>
        <w:t>2、此表可根据投标人的实际情况自行删减。</w:t>
      </w:r>
    </w:p>
    <w:p w14:paraId="66927076">
      <w:pPr>
        <w:keepNext w:val="0"/>
        <w:keepLines w:val="0"/>
        <w:pageBreakBefore w:val="0"/>
        <w:widowControl w:val="0"/>
        <w:kinsoku/>
        <w:wordWrap w:val="0"/>
        <w:overflowPunct/>
        <w:topLinePunct/>
        <w:autoSpaceDE/>
        <w:autoSpaceDN/>
        <w:bidi w:val="0"/>
        <w:adjustRightInd w:val="0"/>
        <w:snapToGrid/>
        <w:spacing w:line="240" w:lineRule="auto"/>
        <w:ind w:left="478" w:leftChars="200" w:right="-514" w:rightChars="-245" w:hanging="58" w:hangingChars="28"/>
        <w:textAlignment w:val="auto"/>
        <w:outlineLvl w:val="9"/>
        <w:rPr>
          <w:rFonts w:ascii="宋体" w:hAnsi="宋体" w:cs="宋体"/>
          <w:b w:val="0"/>
          <w:bCs/>
          <w:color w:val="auto"/>
          <w:sz w:val="21"/>
          <w:szCs w:val="21"/>
          <w:lang w:eastAsia="zh-CN"/>
        </w:rPr>
      </w:pPr>
    </w:p>
    <w:p w14:paraId="210100B6">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lang w:eastAsia="zh-CN"/>
        </w:rPr>
      </w:pPr>
    </w:p>
    <w:p w14:paraId="35C538D2">
      <w:pPr>
        <w:rPr>
          <w:rFonts w:hint="eastAsia" w:ascii="宋体" w:hAnsi="宋体" w:eastAsia="宋体" w:cs="宋体"/>
          <w:b/>
          <w:color w:val="auto"/>
          <w:sz w:val="24"/>
          <w:lang w:val="zh-CN"/>
        </w:rPr>
      </w:pPr>
      <w:r>
        <w:rPr>
          <w:rFonts w:hint="eastAsia" w:ascii="宋体" w:hAnsi="宋体" w:eastAsia="宋体" w:cs="宋体"/>
          <w:b/>
          <w:color w:val="auto"/>
          <w:sz w:val="24"/>
          <w:lang w:val="zh-CN"/>
        </w:rPr>
        <w:br w:type="page"/>
      </w:r>
    </w:p>
    <w:p w14:paraId="77189ABB">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格式九</w:t>
      </w:r>
      <w:r>
        <w:rPr>
          <w:rFonts w:hint="eastAsia" w:ascii="宋体" w:hAnsi="宋体" w:eastAsia="宋体" w:cs="宋体"/>
          <w:b/>
          <w:color w:val="auto"/>
          <w:sz w:val="24"/>
          <w:lang w:val="en-US" w:eastAsia="zh-CN"/>
        </w:rPr>
        <w:t xml:space="preserve">  技术人员情况</w:t>
      </w:r>
    </w:p>
    <w:p w14:paraId="7F57453A">
      <w:pPr>
        <w:spacing w:line="360" w:lineRule="auto"/>
        <w:jc w:val="center"/>
        <w:rPr>
          <w:rFonts w:hint="eastAsia" w:ascii="宋体" w:hAnsi="宋体" w:cs="宋体"/>
          <w:b w:val="0"/>
          <w:bCs/>
          <w:sz w:val="21"/>
          <w:szCs w:val="21"/>
          <w:highlight w:val="none"/>
          <w:lang w:val="en-US" w:eastAsia="zh-CN"/>
        </w:rPr>
      </w:pPr>
      <w:r>
        <w:rPr>
          <w:rFonts w:hint="eastAsia" w:ascii="宋体" w:hAnsi="宋体" w:cs="宋体"/>
          <w:b w:val="0"/>
          <w:bCs/>
          <w:sz w:val="21"/>
          <w:szCs w:val="21"/>
          <w:highlight w:val="none"/>
          <w:lang w:val="en-US" w:eastAsia="zh-CN"/>
        </w:rPr>
        <w:t>技术人员情况表</w:t>
      </w:r>
    </w:p>
    <w:tbl>
      <w:tblPr>
        <w:tblStyle w:val="2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996"/>
        <w:gridCol w:w="1367"/>
        <w:gridCol w:w="1409"/>
        <w:gridCol w:w="1409"/>
        <w:gridCol w:w="1409"/>
        <w:gridCol w:w="1088"/>
      </w:tblGrid>
      <w:tr w14:paraId="3C1D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center"/>
          </w:tcPr>
          <w:p w14:paraId="73EDA0F2">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序号</w:t>
            </w:r>
          </w:p>
        </w:tc>
        <w:tc>
          <w:tcPr>
            <w:tcW w:w="1045" w:type="pct"/>
            <w:noWrap w:val="0"/>
            <w:vAlign w:val="center"/>
          </w:tcPr>
          <w:p w14:paraId="6960967C">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姓名</w:t>
            </w:r>
          </w:p>
        </w:tc>
        <w:tc>
          <w:tcPr>
            <w:tcW w:w="716" w:type="pct"/>
            <w:noWrap w:val="0"/>
            <w:vAlign w:val="center"/>
          </w:tcPr>
          <w:p w14:paraId="2FEA9119">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职务</w:t>
            </w:r>
          </w:p>
        </w:tc>
        <w:tc>
          <w:tcPr>
            <w:tcW w:w="738" w:type="pct"/>
            <w:noWrap w:val="0"/>
            <w:vAlign w:val="center"/>
          </w:tcPr>
          <w:p w14:paraId="08107FDF">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学历</w:t>
            </w:r>
          </w:p>
        </w:tc>
        <w:tc>
          <w:tcPr>
            <w:tcW w:w="738" w:type="pct"/>
            <w:noWrap w:val="0"/>
            <w:vAlign w:val="center"/>
          </w:tcPr>
          <w:p w14:paraId="04D04456">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职称</w:t>
            </w:r>
          </w:p>
        </w:tc>
        <w:tc>
          <w:tcPr>
            <w:tcW w:w="738" w:type="pct"/>
            <w:noWrap w:val="0"/>
            <w:vAlign w:val="center"/>
          </w:tcPr>
          <w:p w14:paraId="1A5B47FC">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专业</w:t>
            </w:r>
          </w:p>
        </w:tc>
        <w:tc>
          <w:tcPr>
            <w:tcW w:w="569" w:type="pct"/>
            <w:noWrap w:val="0"/>
            <w:vAlign w:val="center"/>
          </w:tcPr>
          <w:p w14:paraId="2BB34497">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备注</w:t>
            </w:r>
          </w:p>
        </w:tc>
      </w:tr>
      <w:tr w14:paraId="3859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325E2F38">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175117E0">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61C97F5A">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29083D60">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322092DB">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546F2F51">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12C9894E">
            <w:pPr>
              <w:spacing w:line="240" w:lineRule="auto"/>
              <w:jc w:val="center"/>
              <w:rPr>
                <w:rFonts w:hint="eastAsia" w:ascii="宋体" w:hAnsi="宋体" w:cs="宋体"/>
                <w:b w:val="0"/>
                <w:bCs/>
                <w:sz w:val="21"/>
                <w:szCs w:val="21"/>
                <w:highlight w:val="none"/>
                <w:vertAlign w:val="baseline"/>
                <w:lang w:eastAsia="zh-CN"/>
              </w:rPr>
            </w:pPr>
          </w:p>
        </w:tc>
      </w:tr>
      <w:tr w14:paraId="6E930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1C400D9F">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580546E6">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4F4C0DF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3D79E28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73AB14DA">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265EB197">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7696350A">
            <w:pPr>
              <w:spacing w:line="240" w:lineRule="auto"/>
              <w:jc w:val="center"/>
              <w:rPr>
                <w:rFonts w:hint="eastAsia" w:ascii="宋体" w:hAnsi="宋体" w:cs="宋体"/>
                <w:b w:val="0"/>
                <w:bCs/>
                <w:sz w:val="21"/>
                <w:szCs w:val="21"/>
                <w:highlight w:val="none"/>
                <w:vertAlign w:val="baseline"/>
                <w:lang w:eastAsia="zh-CN"/>
              </w:rPr>
            </w:pPr>
          </w:p>
        </w:tc>
      </w:tr>
      <w:tr w14:paraId="7B7F8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0A6B9214">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78E7363A">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2528A708">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13AB72C2">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06A6EC03">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70FB7843">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69D279D6">
            <w:pPr>
              <w:spacing w:line="240" w:lineRule="auto"/>
              <w:jc w:val="center"/>
              <w:rPr>
                <w:rFonts w:hint="eastAsia" w:ascii="宋体" w:hAnsi="宋体" w:cs="宋体"/>
                <w:b w:val="0"/>
                <w:bCs/>
                <w:sz w:val="21"/>
                <w:szCs w:val="21"/>
                <w:highlight w:val="none"/>
                <w:vertAlign w:val="baseline"/>
                <w:lang w:eastAsia="zh-CN"/>
              </w:rPr>
            </w:pPr>
          </w:p>
        </w:tc>
      </w:tr>
      <w:tr w14:paraId="3AC0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665A882C">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618D5C68">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04A2C916">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21B8F20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040FBFCA">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13252AB2">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10A88622">
            <w:pPr>
              <w:spacing w:line="240" w:lineRule="auto"/>
              <w:jc w:val="center"/>
              <w:rPr>
                <w:rFonts w:hint="eastAsia" w:ascii="宋体" w:hAnsi="宋体" w:cs="宋体"/>
                <w:b w:val="0"/>
                <w:bCs/>
                <w:sz w:val="21"/>
                <w:szCs w:val="21"/>
                <w:highlight w:val="none"/>
                <w:vertAlign w:val="baseline"/>
                <w:lang w:eastAsia="zh-CN"/>
              </w:rPr>
            </w:pPr>
          </w:p>
        </w:tc>
      </w:tr>
      <w:tr w14:paraId="53F78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452" w:type="pct"/>
            <w:noWrap w:val="0"/>
            <w:vAlign w:val="top"/>
          </w:tcPr>
          <w:p w14:paraId="7240E045">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1DB39A45">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74A679C7">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4365C4D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1DB36003">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6B4F05C3">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6701CDAE">
            <w:pPr>
              <w:spacing w:line="240" w:lineRule="auto"/>
              <w:jc w:val="center"/>
              <w:rPr>
                <w:rFonts w:hint="eastAsia" w:ascii="宋体" w:hAnsi="宋体" w:cs="宋体"/>
                <w:b w:val="0"/>
                <w:bCs/>
                <w:sz w:val="21"/>
                <w:szCs w:val="21"/>
                <w:highlight w:val="none"/>
                <w:vertAlign w:val="baseline"/>
                <w:lang w:eastAsia="zh-CN"/>
              </w:rPr>
            </w:pPr>
          </w:p>
        </w:tc>
      </w:tr>
    </w:tbl>
    <w:p w14:paraId="52C6FEE3">
      <w:pPr>
        <w:pStyle w:val="18"/>
        <w:pageBreakBefore w:val="0"/>
        <w:kinsoku/>
        <w:wordWrap/>
        <w:overflowPunct/>
        <w:topLinePunct w:val="0"/>
        <w:bidi w:val="0"/>
        <w:spacing w:line="240" w:lineRule="auto"/>
        <w:rPr>
          <w:rFonts w:hint="eastAsia" w:ascii="宋体" w:hAnsi="宋体" w:eastAsia="宋体" w:cs="宋体"/>
          <w:b w:val="0"/>
          <w:bCs/>
          <w:color w:val="auto"/>
          <w:sz w:val="21"/>
          <w:szCs w:val="21"/>
          <w:lang w:eastAsia="zh-CN"/>
        </w:rPr>
      </w:pPr>
      <w:r>
        <w:rPr>
          <w:rFonts w:hint="eastAsia" w:ascii="宋体" w:hAnsi="宋体" w:cs="宋体"/>
          <w:b w:val="0"/>
          <w:bCs/>
          <w:sz w:val="21"/>
          <w:szCs w:val="21"/>
          <w:highlight w:val="none"/>
          <w:lang w:eastAsia="zh-CN"/>
        </w:rPr>
        <w:t>注：本表须后</w:t>
      </w:r>
      <w:r>
        <w:rPr>
          <w:rFonts w:hint="eastAsia" w:ascii="宋体" w:hAnsi="宋体" w:cs="宋体"/>
          <w:b w:val="0"/>
          <w:bCs/>
          <w:sz w:val="21"/>
          <w:szCs w:val="21"/>
          <w:highlight w:val="none"/>
          <w:lang w:val="zh-CN" w:eastAsia="zh-CN"/>
        </w:rPr>
        <w:t>附技术人员劳动合同、身份证及人力资源相关部门或技术资格认定相关部门核发的服装类中级及以上职业资格证书。</w:t>
      </w:r>
    </w:p>
    <w:p w14:paraId="7145E728">
      <w:pPr>
        <w:pStyle w:val="2"/>
        <w:ind w:left="0" w:leftChars="0" w:firstLine="0" w:firstLineChars="0"/>
        <w:rPr>
          <w:rFonts w:hint="eastAsia"/>
          <w:lang w:val="zh-CN"/>
        </w:rPr>
      </w:pPr>
    </w:p>
    <w:p w14:paraId="42C36FD9">
      <w:pPr>
        <w:rPr>
          <w:rFonts w:hint="eastAsia"/>
          <w:lang w:val="zh-CN"/>
        </w:rPr>
      </w:pPr>
      <w:r>
        <w:rPr>
          <w:rFonts w:hint="eastAsia"/>
          <w:lang w:val="zh-CN"/>
        </w:rPr>
        <w:br w:type="page"/>
      </w:r>
    </w:p>
    <w:p w14:paraId="78A8DFB0">
      <w:pPr>
        <w:pageBreakBefore w:val="0"/>
        <w:kinsoku/>
        <w:wordWrap/>
        <w:overflowPunct/>
        <w:topLinePunct w:val="0"/>
        <w:bidi w:val="0"/>
        <w:spacing w:line="240" w:lineRule="auto"/>
        <w:jc w:val="left"/>
        <w:outlineLvl w:val="1"/>
        <w:rPr>
          <w:rFonts w:hint="eastAsia" w:ascii="宋体" w:hAnsi="宋体" w:eastAsia="宋体" w:cs="宋体"/>
          <w:b/>
          <w:color w:val="auto"/>
          <w:sz w:val="24"/>
          <w:szCs w:val="24"/>
        </w:rPr>
        <w:sectPr>
          <w:headerReference r:id="rId14" w:type="first"/>
          <w:footerReference r:id="rId16" w:type="first"/>
          <w:headerReference r:id="rId13" w:type="default"/>
          <w:footerReference r:id="rId15" w:type="default"/>
          <w:type w:val="continuous"/>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bookmarkStart w:id="164" w:name="_Toc22747"/>
      <w:bookmarkStart w:id="165" w:name="_Toc28520"/>
    </w:p>
    <w:p w14:paraId="7C69540A">
      <w:pPr>
        <w:pageBreakBefore w:val="0"/>
        <w:kinsoku/>
        <w:wordWrap/>
        <w:overflowPunct/>
        <w:topLinePunct w:val="0"/>
        <w:bidi w:val="0"/>
        <w:spacing w:line="240" w:lineRule="auto"/>
        <w:jc w:val="left"/>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格式十</w:t>
      </w:r>
      <w:r>
        <w:rPr>
          <w:rFonts w:hint="eastAsia" w:ascii="宋体" w:hAnsi="宋体" w:eastAsia="宋体" w:cs="宋体"/>
          <w:b/>
          <w:color w:val="auto"/>
          <w:sz w:val="24"/>
          <w:szCs w:val="24"/>
          <w:lang w:val="en-US" w:eastAsia="zh-CN"/>
        </w:rPr>
        <w:t xml:space="preserve"> </w:t>
      </w:r>
      <w:bookmarkEnd w:id="164"/>
      <w:bookmarkEnd w:id="165"/>
      <w:r>
        <w:rPr>
          <w:rFonts w:hint="eastAsia" w:ascii="宋体" w:hAnsi="宋体" w:eastAsia="宋体" w:cs="宋体"/>
          <w:b/>
          <w:color w:val="auto"/>
          <w:sz w:val="24"/>
          <w:szCs w:val="24"/>
        </w:rPr>
        <w:t>技术偏离表</w:t>
      </w:r>
    </w:p>
    <w:p w14:paraId="2FA04CF5">
      <w:pPr>
        <w:pageBreakBefore w:val="0"/>
        <w:kinsoku/>
        <w:wordWrap/>
        <w:overflowPunct/>
        <w:topLinePunct w:val="0"/>
        <w:bidi w:val="0"/>
        <w:spacing w:line="240" w:lineRule="auto"/>
        <w:jc w:val="center"/>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技术偏离表（格式）</w:t>
      </w:r>
    </w:p>
    <w:p w14:paraId="62179529">
      <w:pPr>
        <w:pageBreakBefore w:val="0"/>
        <w:kinsoku/>
        <w:wordWrap/>
        <w:overflowPunct/>
        <w:topLinePunct w:val="0"/>
        <w:bidi w:val="0"/>
        <w:spacing w:line="240" w:lineRule="auto"/>
        <w:outlineLvl w:val="9"/>
        <w:rPr>
          <w:rFonts w:hint="eastAsia" w:ascii="宋体" w:hAnsi="宋体" w:eastAsia="宋体" w:cs="宋体"/>
          <w:color w:val="auto"/>
          <w:sz w:val="21"/>
          <w:szCs w:val="21"/>
        </w:rPr>
      </w:pPr>
    </w:p>
    <w:p w14:paraId="6F1B18FA">
      <w:pPr>
        <w:pStyle w:val="13"/>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项目名称：</w:t>
      </w:r>
    </w:p>
    <w:p w14:paraId="153C14F6">
      <w:pPr>
        <w:pStyle w:val="13"/>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lang w:eastAsia="zh-CN"/>
        </w:rPr>
      </w:pPr>
      <w:r>
        <w:rPr>
          <w:rFonts w:hint="eastAsia" w:hAnsi="宋体" w:eastAsia="宋体" w:cs="宋体"/>
          <w:b/>
          <w:color w:val="auto"/>
          <w:sz w:val="21"/>
          <w:szCs w:val="21"/>
          <w:lang w:eastAsia="zh-CN"/>
        </w:rPr>
        <w:t>标段：</w:t>
      </w:r>
    </w:p>
    <w:p w14:paraId="6C869FD5">
      <w:pPr>
        <w:pStyle w:val="13"/>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招标编号</w:t>
      </w:r>
      <w:r>
        <w:rPr>
          <w:rFonts w:hint="eastAsia" w:ascii="宋体" w:hAnsi="宋体" w:eastAsia="宋体" w:cs="宋体"/>
          <w:b/>
          <w:color w:val="auto"/>
          <w:sz w:val="21"/>
          <w:szCs w:val="21"/>
        </w:rPr>
        <w:t>：</w:t>
      </w:r>
    </w:p>
    <w:tbl>
      <w:tblPr>
        <w:tblStyle w:val="22"/>
        <w:tblW w:w="0" w:type="auto"/>
        <w:tblInd w:w="-3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450"/>
        <w:gridCol w:w="2989"/>
        <w:gridCol w:w="2841"/>
        <w:gridCol w:w="888"/>
        <w:gridCol w:w="748"/>
      </w:tblGrid>
      <w:tr w14:paraId="4B349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center"/>
          </w:tcPr>
          <w:p w14:paraId="6B59587B">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450" w:type="dxa"/>
            <w:noWrap w:val="0"/>
            <w:vAlign w:val="center"/>
          </w:tcPr>
          <w:p w14:paraId="380EE8F2">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货物名称</w:t>
            </w:r>
          </w:p>
        </w:tc>
        <w:tc>
          <w:tcPr>
            <w:tcW w:w="2989" w:type="dxa"/>
            <w:noWrap w:val="0"/>
            <w:vAlign w:val="center"/>
          </w:tcPr>
          <w:p w14:paraId="39176D8E">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招标文件规定的</w:t>
            </w:r>
            <w:r>
              <w:rPr>
                <w:rFonts w:hint="eastAsia" w:ascii="宋体" w:hAnsi="宋体" w:eastAsia="宋体" w:cs="宋体"/>
                <w:color w:val="auto"/>
                <w:sz w:val="21"/>
                <w:szCs w:val="21"/>
                <w:lang w:eastAsia="zh-CN"/>
              </w:rPr>
              <w:t>技术</w:t>
            </w:r>
            <w:r>
              <w:rPr>
                <w:rFonts w:hint="eastAsia" w:ascii="宋体" w:hAnsi="宋体" w:eastAsia="宋体" w:cs="宋体"/>
                <w:color w:val="auto"/>
                <w:sz w:val="21"/>
                <w:szCs w:val="21"/>
              </w:rPr>
              <w:t>需求</w:t>
            </w:r>
          </w:p>
        </w:tc>
        <w:tc>
          <w:tcPr>
            <w:tcW w:w="2841" w:type="dxa"/>
            <w:noWrap w:val="0"/>
            <w:vAlign w:val="center"/>
          </w:tcPr>
          <w:p w14:paraId="6520C27C">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投标文件对应的</w:t>
            </w:r>
            <w:r>
              <w:rPr>
                <w:rFonts w:hint="eastAsia" w:ascii="宋体" w:hAnsi="宋体" w:eastAsia="宋体" w:cs="宋体"/>
                <w:color w:val="auto"/>
                <w:sz w:val="21"/>
                <w:szCs w:val="21"/>
                <w:lang w:eastAsia="zh-CN"/>
              </w:rPr>
              <w:t>技术</w:t>
            </w:r>
            <w:r>
              <w:rPr>
                <w:rFonts w:hint="eastAsia" w:ascii="宋体" w:hAnsi="宋体" w:eastAsia="宋体" w:cs="宋体"/>
                <w:color w:val="auto"/>
                <w:sz w:val="21"/>
                <w:szCs w:val="21"/>
              </w:rPr>
              <w:t>情况</w:t>
            </w:r>
          </w:p>
        </w:tc>
        <w:tc>
          <w:tcPr>
            <w:tcW w:w="888" w:type="dxa"/>
            <w:noWrap w:val="0"/>
            <w:vAlign w:val="center"/>
          </w:tcPr>
          <w:p w14:paraId="5F379F9D">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是否偏离</w:t>
            </w:r>
          </w:p>
        </w:tc>
        <w:tc>
          <w:tcPr>
            <w:tcW w:w="748" w:type="dxa"/>
            <w:noWrap w:val="0"/>
            <w:vAlign w:val="center"/>
          </w:tcPr>
          <w:p w14:paraId="5E1F5C36">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41766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top"/>
          </w:tcPr>
          <w:p w14:paraId="37670E6B">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1450" w:type="dxa"/>
            <w:noWrap w:val="0"/>
            <w:vAlign w:val="top"/>
          </w:tcPr>
          <w:p w14:paraId="4C50EAD5">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989" w:type="dxa"/>
            <w:noWrap w:val="0"/>
            <w:vAlign w:val="top"/>
          </w:tcPr>
          <w:p w14:paraId="634FED63">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841" w:type="dxa"/>
            <w:noWrap w:val="0"/>
            <w:vAlign w:val="top"/>
          </w:tcPr>
          <w:p w14:paraId="38F3A1FC">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888" w:type="dxa"/>
            <w:noWrap w:val="0"/>
            <w:vAlign w:val="top"/>
          </w:tcPr>
          <w:p w14:paraId="13974EF1">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748" w:type="dxa"/>
            <w:noWrap w:val="0"/>
            <w:vAlign w:val="top"/>
          </w:tcPr>
          <w:p w14:paraId="0E1FBCE7">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r>
      <w:tr w14:paraId="2C138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top"/>
          </w:tcPr>
          <w:p w14:paraId="5449844C">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1450" w:type="dxa"/>
            <w:noWrap w:val="0"/>
            <w:vAlign w:val="top"/>
          </w:tcPr>
          <w:p w14:paraId="2C37ECBE">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989" w:type="dxa"/>
            <w:noWrap w:val="0"/>
            <w:vAlign w:val="top"/>
          </w:tcPr>
          <w:p w14:paraId="0CDB2579">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841" w:type="dxa"/>
            <w:noWrap w:val="0"/>
            <w:vAlign w:val="top"/>
          </w:tcPr>
          <w:p w14:paraId="583AB6A0">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888" w:type="dxa"/>
            <w:noWrap w:val="0"/>
            <w:vAlign w:val="top"/>
          </w:tcPr>
          <w:p w14:paraId="5F64350B">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748" w:type="dxa"/>
            <w:noWrap w:val="0"/>
            <w:vAlign w:val="top"/>
          </w:tcPr>
          <w:p w14:paraId="08DEE757">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r>
      <w:tr w14:paraId="441F8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top"/>
          </w:tcPr>
          <w:p w14:paraId="54773A4D">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1450" w:type="dxa"/>
            <w:noWrap w:val="0"/>
            <w:vAlign w:val="top"/>
          </w:tcPr>
          <w:p w14:paraId="65DCE39C">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989" w:type="dxa"/>
            <w:noWrap w:val="0"/>
            <w:vAlign w:val="top"/>
          </w:tcPr>
          <w:p w14:paraId="20FC2910">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841" w:type="dxa"/>
            <w:noWrap w:val="0"/>
            <w:vAlign w:val="top"/>
          </w:tcPr>
          <w:p w14:paraId="337EB734">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888" w:type="dxa"/>
            <w:noWrap w:val="0"/>
            <w:vAlign w:val="top"/>
          </w:tcPr>
          <w:p w14:paraId="335A1F50">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748" w:type="dxa"/>
            <w:noWrap w:val="0"/>
            <w:vAlign w:val="top"/>
          </w:tcPr>
          <w:p w14:paraId="17938625">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r>
    </w:tbl>
    <w:p w14:paraId="341A79D6">
      <w:pPr>
        <w:pageBreakBefore w:val="0"/>
        <w:kinsoku/>
        <w:wordWrap/>
        <w:overflowPunct/>
        <w:topLinePunct w:val="0"/>
        <w:bidi w:val="0"/>
        <w:adjustRightInd w:val="0"/>
        <w:snapToGrid w:val="0"/>
        <w:spacing w:line="240" w:lineRule="auto"/>
        <w:outlineLvl w:val="9"/>
        <w:rPr>
          <w:rFonts w:hint="eastAsia" w:ascii="宋体" w:hAnsi="宋体" w:eastAsia="宋体" w:cs="宋体"/>
          <w:color w:val="auto"/>
          <w:sz w:val="21"/>
          <w:szCs w:val="21"/>
        </w:rPr>
      </w:pPr>
    </w:p>
    <w:p w14:paraId="1C795B18">
      <w:pPr>
        <w:pageBreakBefore w:val="0"/>
        <w:kinsoku/>
        <w:wordWrap/>
        <w:overflowPunct/>
        <w:topLinePunct w:val="0"/>
        <w:bidi w:val="0"/>
        <w:adjustRightInd w:val="0"/>
        <w:snapToGrid w:val="0"/>
        <w:spacing w:line="240" w:lineRule="auto"/>
        <w:outlineLvl w:val="9"/>
        <w:rPr>
          <w:rFonts w:hint="eastAsia" w:ascii="宋体" w:hAnsi="宋体" w:eastAsia="宋体" w:cs="宋体"/>
          <w:color w:val="auto"/>
          <w:sz w:val="21"/>
          <w:szCs w:val="21"/>
        </w:rPr>
      </w:pPr>
    </w:p>
    <w:p w14:paraId="33D1103E">
      <w:pPr>
        <w:pStyle w:val="11"/>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1.技术条款均应根据投标文件对招标文件的偏离情况相对应地填列。</w:t>
      </w:r>
    </w:p>
    <w:p w14:paraId="029FCEA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2.表内如果填列不全，可另外附页说明并按规定签字和加盖公章。             </w:t>
      </w:r>
    </w:p>
    <w:p w14:paraId="57396CB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要求投标人认真填写本表。</w:t>
      </w:r>
    </w:p>
    <w:p w14:paraId="1FFD735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4.此表可根据需要自行拉长加宽。</w:t>
      </w:r>
    </w:p>
    <w:p w14:paraId="0D1F498D">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p>
    <w:p w14:paraId="02529439">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Cs w:val="21"/>
          <w:lang w:val="zh-CN"/>
        </w:rPr>
        <w:t>投标人</w:t>
      </w:r>
      <w:r>
        <w:rPr>
          <w:rFonts w:hint="eastAsia" w:ascii="宋体" w:hAnsi="宋体" w:eastAsia="宋体" w:cs="宋体"/>
          <w:color w:val="auto"/>
          <w:sz w:val="21"/>
          <w:szCs w:val="21"/>
        </w:rPr>
        <w:t>全称（公章）：</w:t>
      </w:r>
    </w:p>
    <w:p w14:paraId="7B5DFBC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法定代表人</w:t>
      </w:r>
      <w:r>
        <w:rPr>
          <w:rFonts w:hint="eastAsia" w:ascii="宋体" w:hAnsi="宋体" w:eastAsia="宋体" w:cs="宋体"/>
          <w:color w:val="auto"/>
          <w:sz w:val="21"/>
          <w:szCs w:val="21"/>
        </w:rPr>
        <w:t>或授权代理人（签字）：</w:t>
      </w:r>
    </w:p>
    <w:p w14:paraId="2B91485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时间：     年  月  日</w:t>
      </w:r>
    </w:p>
    <w:p w14:paraId="321E81A6">
      <w:pPr>
        <w:pageBreakBefore w:val="0"/>
        <w:kinsoku/>
        <w:wordWrap/>
        <w:overflowPunct/>
        <w:topLinePunct w:val="0"/>
        <w:bidi w:val="0"/>
        <w:spacing w:line="240" w:lineRule="auto"/>
        <w:jc w:val="center"/>
        <w:outlineLvl w:val="9"/>
        <w:rPr>
          <w:rFonts w:hint="eastAsia" w:ascii="宋体" w:hAnsi="宋体" w:eastAsia="宋体" w:cs="宋体"/>
          <w:b/>
          <w:color w:val="auto"/>
          <w:sz w:val="21"/>
          <w:szCs w:val="21"/>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3BE1289">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格式十一</w:t>
      </w:r>
      <w:r>
        <w:rPr>
          <w:rFonts w:hint="eastAsia" w:ascii="宋体" w:hAnsi="宋体" w:eastAsia="宋体" w:cs="宋体"/>
          <w:b/>
          <w:color w:val="auto"/>
          <w:sz w:val="24"/>
          <w:lang w:val="en-US" w:eastAsia="zh-CN"/>
        </w:rPr>
        <w:t xml:space="preserve">  企业认证证书</w:t>
      </w:r>
    </w:p>
    <w:p w14:paraId="7ECB88B9">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val="0"/>
          <w:bCs/>
          <w:color w:val="auto"/>
          <w:sz w:val="24"/>
          <w:lang w:val="zh-CN"/>
        </w:rPr>
      </w:pPr>
    </w:p>
    <w:p w14:paraId="62901B55">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p>
    <w:p w14:paraId="188A6330">
      <w:pPr>
        <w:rPr>
          <w:rFonts w:hint="eastAsia" w:ascii="宋体" w:hAnsi="宋体" w:eastAsia="宋体" w:cs="宋体"/>
          <w:b/>
          <w:color w:val="auto"/>
          <w:sz w:val="24"/>
          <w:lang w:val="zh-CN"/>
        </w:rPr>
      </w:pPr>
      <w:r>
        <w:rPr>
          <w:rFonts w:hint="eastAsia" w:ascii="宋体" w:hAnsi="宋体" w:eastAsia="宋体" w:cs="宋体"/>
          <w:b/>
          <w:color w:val="auto"/>
          <w:sz w:val="24"/>
          <w:lang w:val="zh-CN"/>
        </w:rPr>
        <w:br w:type="page"/>
      </w:r>
    </w:p>
    <w:p w14:paraId="260115C7">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格式十二</w:t>
      </w:r>
      <w:r>
        <w:rPr>
          <w:rFonts w:hint="eastAsia" w:ascii="宋体" w:hAnsi="宋体" w:eastAsia="宋体" w:cs="宋体"/>
          <w:b/>
          <w:color w:val="auto"/>
          <w:sz w:val="24"/>
          <w:lang w:val="en-US" w:eastAsia="zh-CN"/>
        </w:rPr>
        <w:t xml:space="preserve">  技术方案</w:t>
      </w:r>
    </w:p>
    <w:p w14:paraId="04F6B187">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（格式自拟）</w:t>
      </w:r>
    </w:p>
    <w:p w14:paraId="285239EA">
      <w:pPr>
        <w:rPr>
          <w:rFonts w:hint="eastAsia"/>
          <w:lang w:val="zh-CN"/>
        </w:rPr>
      </w:pPr>
      <w:r>
        <w:rPr>
          <w:rFonts w:hint="eastAsia"/>
          <w:lang w:val="zh-CN"/>
        </w:rPr>
        <w:br w:type="page"/>
      </w:r>
    </w:p>
    <w:p w14:paraId="061A1CD7">
      <w:pPr>
        <w:pageBreakBefore w:val="0"/>
        <w:kinsoku/>
        <w:wordWrap/>
        <w:overflowPunct/>
        <w:topLinePunct w:val="0"/>
        <w:bidi w:val="0"/>
        <w:adjustRightInd w:val="0"/>
        <w:snapToGrid w:val="0"/>
        <w:spacing w:before="36" w:beforeLines="15" w:line="240" w:lineRule="auto"/>
        <w:outlineLvl w:val="1"/>
        <w:rPr>
          <w:rFonts w:hint="eastAsia" w:ascii="宋体" w:hAnsi="宋体" w:eastAsia="宋体" w:cs="宋体"/>
          <w:b/>
          <w:color w:val="auto"/>
          <w:sz w:val="24"/>
          <w:szCs w:val="24"/>
          <w:lang w:val="zh-CN"/>
        </w:rPr>
      </w:pPr>
      <w:bookmarkStart w:id="166" w:name="_Toc27822"/>
      <w:bookmarkStart w:id="167" w:name="_Toc4381"/>
      <w:r>
        <w:rPr>
          <w:rFonts w:hint="eastAsia" w:ascii="宋体" w:hAnsi="宋体" w:eastAsia="宋体" w:cs="宋体"/>
          <w:b/>
          <w:color w:val="auto"/>
          <w:sz w:val="24"/>
          <w:szCs w:val="24"/>
          <w:lang w:val="zh-CN"/>
        </w:rPr>
        <w:t>格式十三</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lang w:val="zh-CN"/>
        </w:rPr>
        <w:t>“节能产品”、“环境标志产品”等证明材料</w:t>
      </w:r>
      <w:bookmarkEnd w:id="166"/>
      <w:bookmarkEnd w:id="167"/>
    </w:p>
    <w:p w14:paraId="1C30E815">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8E47E9F">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3DEDF323">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BD3C2B0">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12A37C49">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96FD5E6">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EF65FAD">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6D1BD00E">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6F18806A">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42709B95">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2EE2B389">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46F7615C">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0B580A5A">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229172E1">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009596D">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E0F385E">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ED23B37">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04F6BBD">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0E0B5506">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30FEF9F0">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1B939FC">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5350098">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6FF17094">
      <w:pPr>
        <w:pStyle w:val="19"/>
        <w:pageBreakBefore w:val="0"/>
        <w:kinsoku/>
        <w:wordWrap/>
        <w:overflowPunct/>
        <w:topLinePunct w:val="0"/>
        <w:bidi w:val="0"/>
        <w:spacing w:line="240" w:lineRule="auto"/>
        <w:outlineLvl w:val="9"/>
        <w:rPr>
          <w:rFonts w:hint="eastAsia" w:ascii="宋体" w:hAnsi="宋体" w:eastAsia="宋体" w:cs="宋体"/>
          <w:color w:val="auto"/>
          <w:kern w:val="2"/>
          <w:szCs w:val="24"/>
        </w:rPr>
        <w:sectPr>
          <w:headerReference r:id="rId17"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71588D19">
      <w:pPr>
        <w:pageBreakBefore w:val="0"/>
        <w:kinsoku/>
        <w:wordWrap/>
        <w:overflowPunct/>
        <w:topLinePunct w:val="0"/>
        <w:bidi w:val="0"/>
        <w:spacing w:line="240" w:lineRule="auto"/>
        <w:outlineLvl w:val="1"/>
        <w:rPr>
          <w:rFonts w:hint="eastAsia" w:ascii="宋体" w:hAnsi="宋体" w:eastAsia="宋体" w:cs="宋体"/>
          <w:b/>
          <w:bCs/>
          <w:color w:val="auto"/>
          <w:sz w:val="24"/>
          <w:szCs w:val="24"/>
        </w:rPr>
      </w:pPr>
      <w:bookmarkStart w:id="168" w:name="_Toc29968"/>
      <w:bookmarkStart w:id="169" w:name="_Toc23524"/>
      <w:r>
        <w:rPr>
          <w:rFonts w:hint="eastAsia" w:ascii="宋体" w:hAnsi="宋体" w:eastAsia="宋体" w:cs="宋体"/>
          <w:b/>
          <w:bCs/>
          <w:color w:val="auto"/>
          <w:sz w:val="24"/>
          <w:szCs w:val="24"/>
        </w:rPr>
        <w:t>格式十</w:t>
      </w:r>
      <w:r>
        <w:rPr>
          <w:rFonts w:hint="eastAsia" w:ascii="宋体" w:hAnsi="宋体" w:eastAsia="宋体" w:cs="宋体"/>
          <w:b/>
          <w:bCs/>
          <w:color w:val="auto"/>
          <w:sz w:val="24"/>
          <w:szCs w:val="24"/>
          <w:lang w:eastAsia="zh-CN"/>
        </w:rPr>
        <w:t>四</w:t>
      </w:r>
      <w:r>
        <w:rPr>
          <w:rFonts w:hint="eastAsia" w:ascii="宋体" w:hAnsi="宋体" w:eastAsia="宋体" w:cs="宋体"/>
          <w:b/>
          <w:bCs/>
          <w:color w:val="auto"/>
          <w:sz w:val="24"/>
          <w:szCs w:val="24"/>
        </w:rPr>
        <w:t xml:space="preserve">  投标人认为有必要提交的其他材料</w:t>
      </w:r>
      <w:bookmarkEnd w:id="168"/>
      <w:bookmarkEnd w:id="169"/>
    </w:p>
    <w:p w14:paraId="272DCC84">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rPr>
      </w:pPr>
    </w:p>
    <w:p w14:paraId="74EAB860">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（格式自拟）</w:t>
      </w:r>
    </w:p>
    <w:p w14:paraId="6AC461AD">
      <w:pPr>
        <w:pageBreakBefore w:val="0"/>
        <w:overflowPunct/>
        <w:bidi w:val="0"/>
        <w:spacing w:line="240" w:lineRule="auto"/>
        <w:rPr>
          <w:rFonts w:hint="eastAsia" w:ascii="宋体" w:hAnsi="宋体" w:eastAsia="宋体" w:cs="宋体"/>
          <w:b w:val="0"/>
          <w:bCs w:val="0"/>
          <w:color w:val="auto"/>
          <w:sz w:val="24"/>
          <w:szCs w:val="24"/>
          <w:lang w:eastAsia="zh-CN"/>
        </w:rPr>
      </w:pPr>
    </w:p>
    <w:p w14:paraId="210EA127">
      <w:pPr>
        <w:pStyle w:val="39"/>
        <w:pageBreakBefore w:val="0"/>
        <w:kinsoku/>
        <w:wordWrap/>
        <w:overflowPunct/>
        <w:topLinePunct w:val="0"/>
        <w:bidi w:val="0"/>
        <w:spacing w:line="240" w:lineRule="auto"/>
        <w:rPr>
          <w:rFonts w:hint="eastAsia" w:ascii="宋体" w:hAnsi="宋体" w:eastAsia="宋体" w:cs="宋体"/>
          <w:color w:val="auto"/>
        </w:rPr>
      </w:pPr>
    </w:p>
    <w:sectPr>
      <w:headerReference r:id="rId18" w:type="default"/>
      <w:footerReference r:id="rId19"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6A69F">
    <w:pPr>
      <w:pStyle w:val="16"/>
      <w:framePr w:wrap="around" w:vAnchor="text" w:hAnchor="margin" w:xAlign="center" w:y="1"/>
      <w:rPr>
        <w:rStyle w:val="26"/>
      </w:rPr>
    </w:pPr>
    <w:r>
      <w:fldChar w:fldCharType="begin"/>
    </w:r>
    <w:r>
      <w:rPr>
        <w:rStyle w:val="26"/>
      </w:rPr>
      <w:instrText xml:space="preserve">PAGE  </w:instrText>
    </w:r>
    <w:r>
      <w:fldChar w:fldCharType="end"/>
    </w:r>
  </w:p>
  <w:p w14:paraId="4249BB35">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427D8">
    <w:pPr>
      <w:pStyle w:val="1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20D4A5">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A20D4A5">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7CF81">
    <w:pPr>
      <w:pStyle w:val="1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C50376">
                          <w:pPr>
                            <w:pStyle w:val="16"/>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DC50376">
                    <w:pPr>
                      <w:pStyle w:val="16"/>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58973">
    <w:pPr>
      <w:pStyle w:val="16"/>
      <w:ind w:right="360"/>
      <w:jc w:val="both"/>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44E512">
                          <w:pPr>
                            <w:pStyle w:val="16"/>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C44E512">
                    <w:pPr>
                      <w:pStyle w:val="16"/>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6584A">
    <w:pPr>
      <w:pStyle w:val="16"/>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45FBB0">
                          <w:pPr>
                            <w:pStyle w:val="16"/>
                          </w:pPr>
                          <w:r>
                            <w:fldChar w:fldCharType="begin"/>
                          </w:r>
                          <w:r>
                            <w:instrText xml:space="preserve"> PAGE  \* MERGEFORMAT </w:instrText>
                          </w:r>
                          <w:r>
                            <w:fldChar w:fldCharType="separate"/>
                          </w:r>
                          <w:r>
                            <w:t>115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345FBB0">
                    <w:pPr>
                      <w:pStyle w:val="16"/>
                    </w:pPr>
                    <w:r>
                      <w:fldChar w:fldCharType="begin"/>
                    </w:r>
                    <w:r>
                      <w:instrText xml:space="preserve"> PAGE  \* MERGEFORMAT </w:instrText>
                    </w:r>
                    <w:r>
                      <w:fldChar w:fldCharType="separate"/>
                    </w:r>
                    <w:r>
                      <w:t>115</w:t>
                    </w:r>
                    <w:r>
                      <w:fldChar w:fldCharType="end"/>
                    </w:r>
                  </w:p>
                </w:txbxContent>
              </v:textbox>
            </v:shape>
          </w:pict>
        </mc:Fallback>
      </mc:AlternateContent>
    </w:r>
    <w:r>
      <w:rPr>
        <w:kern w:val="0"/>
      </w:rPr>
      <w:t>-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A6971">
    <w:pP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C0E3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81C0E3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71</w:t>
                    </w:r>
                    <w:r>
                      <w:rPr>
                        <w:rFonts w:hint="eastAsia"/>
                        <w:sz w:val="1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6E18D">
    <w:pPr>
      <w:pStyle w:val="12"/>
      <w:spacing w:line="14" w:lineRule="auto"/>
      <w:rPr>
        <w:sz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11A18D">
                          <w:pPr>
                            <w:pStyle w:val="16"/>
                          </w:pPr>
                          <w:r>
                            <w:fldChar w:fldCharType="begin"/>
                          </w:r>
                          <w:r>
                            <w:instrText xml:space="preserve"> PAGE  \* MERGEFORMAT </w:instrText>
                          </w:r>
                          <w:r>
                            <w:fldChar w:fldCharType="separate"/>
                          </w:r>
                          <w:r>
                            <w:t>117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E11A18D">
                    <w:pPr>
                      <w:pStyle w:val="16"/>
                    </w:pPr>
                    <w:r>
                      <w:fldChar w:fldCharType="begin"/>
                    </w:r>
                    <w:r>
                      <w:instrText xml:space="preserve"> PAGE  \* MERGEFORMAT </w:instrText>
                    </w:r>
                    <w:r>
                      <w:fldChar w:fldCharType="separate"/>
                    </w:r>
                    <w:r>
                      <w:t>117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63B0D">
    <w:pPr>
      <w:pStyle w:val="17"/>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1B686">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E4930">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18941">
    <w:pPr>
      <w:pBdr>
        <w:bottom w:val="none" w:color="auto" w:sz="0" w:space="0"/>
      </w:pBdr>
      <w:spacing w:before="0" w:after="0" w:line="200" w:lineRule="exact"/>
      <w:jc w:val="left"/>
      <w:rPr>
        <w:rFonts w:hint="eastAsia" w:ascii="宋体" w:hAnsi="宋体" w:eastAsia="宋体" w:cs="宋体"/>
        <w:b/>
        <w:bCs/>
        <w:sz w:val="20"/>
        <w:szCs w:val="20"/>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A44FA">
    <w:pPr>
      <w:pStyle w:val="1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2755E">
    <w:pPr>
      <w:pStyle w:val="17"/>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18712">
    <w:pPr>
      <w:rPr>
        <w:rFonts w:hint="eastAsi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C0937">
    <w:pPr>
      <w:rPr>
        <w:rFonts w:hint="eastAsi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B3157">
    <w:pPr>
      <w:pStyle w:val="17"/>
      <w:pBdr>
        <w:bottom w:val="none" w:color="auto" w:sz="0" w:space="1"/>
      </w:pBdr>
      <w:rPr>
        <w:rFonts w:hint="eastAsi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DAE7D">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1BE428"/>
    <w:multiLevelType w:val="singleLevel"/>
    <w:tmpl w:val="8C1BE428"/>
    <w:lvl w:ilvl="0" w:tentative="0">
      <w:start w:val="1"/>
      <w:numFmt w:val="decimal"/>
      <w:suff w:val="nothing"/>
      <w:lvlText w:val="%1、"/>
      <w:lvlJc w:val="left"/>
    </w:lvl>
  </w:abstractNum>
  <w:abstractNum w:abstractNumId="1">
    <w:nsid w:val="B0177554"/>
    <w:multiLevelType w:val="singleLevel"/>
    <w:tmpl w:val="B0177554"/>
    <w:lvl w:ilvl="0" w:tentative="0">
      <w:start w:val="2"/>
      <w:numFmt w:val="decimal"/>
      <w:suff w:val="nothing"/>
      <w:lvlText w:val="（%1）"/>
      <w:lvlJc w:val="left"/>
    </w:lvl>
  </w:abstractNum>
  <w:abstractNum w:abstractNumId="2">
    <w:nsid w:val="BF6BC116"/>
    <w:multiLevelType w:val="singleLevel"/>
    <w:tmpl w:val="BF6BC116"/>
    <w:lvl w:ilvl="0" w:tentative="0">
      <w:start w:val="16"/>
      <w:numFmt w:val="decimal"/>
      <w:suff w:val="space"/>
      <w:lvlText w:val="%1."/>
      <w:lvlJc w:val="left"/>
    </w:lvl>
  </w:abstractNum>
  <w:abstractNum w:abstractNumId="3">
    <w:nsid w:val="CFE7C3F8"/>
    <w:multiLevelType w:val="singleLevel"/>
    <w:tmpl w:val="CFE7C3F8"/>
    <w:lvl w:ilvl="0" w:tentative="0">
      <w:start w:val="1"/>
      <w:numFmt w:val="decimal"/>
      <w:suff w:val="nothing"/>
      <w:lvlText w:val="（%1）"/>
      <w:lvlJc w:val="left"/>
    </w:lvl>
  </w:abstractNum>
  <w:abstractNum w:abstractNumId="4">
    <w:nsid w:val="DABF8DC7"/>
    <w:multiLevelType w:val="singleLevel"/>
    <w:tmpl w:val="DABF8DC7"/>
    <w:lvl w:ilvl="0" w:tentative="0">
      <w:start w:val="1"/>
      <w:numFmt w:val="decimal"/>
      <w:suff w:val="nothing"/>
      <w:lvlText w:val="%1、"/>
      <w:lvlJc w:val="left"/>
    </w:lvl>
  </w:abstractNum>
  <w:abstractNum w:abstractNumId="5">
    <w:nsid w:val="DDECD3BC"/>
    <w:multiLevelType w:val="singleLevel"/>
    <w:tmpl w:val="DDECD3BC"/>
    <w:lvl w:ilvl="0" w:tentative="0">
      <w:start w:val="6"/>
      <w:numFmt w:val="decimal"/>
      <w:suff w:val="space"/>
      <w:lvlText w:val="%1."/>
      <w:lvlJc w:val="left"/>
    </w:lvl>
  </w:abstractNum>
  <w:abstractNum w:abstractNumId="6">
    <w:nsid w:val="DE759F4B"/>
    <w:multiLevelType w:val="singleLevel"/>
    <w:tmpl w:val="DE759F4B"/>
    <w:lvl w:ilvl="0" w:tentative="0">
      <w:start w:val="2"/>
      <w:numFmt w:val="decimal"/>
      <w:suff w:val="space"/>
      <w:lvlText w:val="%1."/>
      <w:lvlJc w:val="left"/>
    </w:lvl>
  </w:abstractNum>
  <w:abstractNum w:abstractNumId="7">
    <w:nsid w:val="DEABE1DB"/>
    <w:multiLevelType w:val="singleLevel"/>
    <w:tmpl w:val="DEABE1DB"/>
    <w:lvl w:ilvl="0" w:tentative="0">
      <w:start w:val="23"/>
      <w:numFmt w:val="decimal"/>
      <w:suff w:val="space"/>
      <w:lvlText w:val="%1."/>
      <w:lvlJc w:val="left"/>
    </w:lvl>
  </w:abstractNum>
  <w:abstractNum w:abstractNumId="8">
    <w:nsid w:val="FFEFC674"/>
    <w:multiLevelType w:val="singleLevel"/>
    <w:tmpl w:val="FFEFC674"/>
    <w:lvl w:ilvl="0" w:tentative="0">
      <w:start w:val="1"/>
      <w:numFmt w:val="decimal"/>
      <w:suff w:val="nothing"/>
      <w:lvlText w:val="（%1）"/>
      <w:lvlJc w:val="left"/>
    </w:lvl>
  </w:abstractNum>
  <w:abstractNum w:abstractNumId="9">
    <w:nsid w:val="00000004"/>
    <w:multiLevelType w:val="multilevel"/>
    <w:tmpl w:val="00000004"/>
    <w:lvl w:ilvl="0" w:tentative="0">
      <w:start w:val="1"/>
      <w:numFmt w:val="bullet"/>
      <w:pStyle w:val="77"/>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10">
    <w:nsid w:val="0000000C"/>
    <w:multiLevelType w:val="multilevel"/>
    <w:tmpl w:val="0000000C"/>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19AF17E5"/>
    <w:multiLevelType w:val="singleLevel"/>
    <w:tmpl w:val="19AF17E5"/>
    <w:lvl w:ilvl="0" w:tentative="0">
      <w:start w:val="1"/>
      <w:numFmt w:val="decimal"/>
      <w:suff w:val="nothing"/>
      <w:lvlText w:val="%1、"/>
      <w:lvlJc w:val="left"/>
    </w:lvl>
  </w:abstractNum>
  <w:abstractNum w:abstractNumId="12">
    <w:nsid w:val="46773B9C"/>
    <w:multiLevelType w:val="singleLevel"/>
    <w:tmpl w:val="46773B9C"/>
    <w:lvl w:ilvl="0" w:tentative="0">
      <w:start w:val="1"/>
      <w:numFmt w:val="decimal"/>
      <w:suff w:val="nothing"/>
      <w:lvlText w:val="%1、"/>
      <w:lvlJc w:val="left"/>
    </w:lvl>
  </w:abstractNum>
  <w:abstractNum w:abstractNumId="13">
    <w:nsid w:val="7A0F6431"/>
    <w:multiLevelType w:val="singleLevel"/>
    <w:tmpl w:val="7A0F6431"/>
    <w:lvl w:ilvl="0" w:tentative="0">
      <w:start w:val="1"/>
      <w:numFmt w:val="decimal"/>
      <w:suff w:val="space"/>
      <w:lvlText w:val="%1."/>
      <w:lvlJc w:val="left"/>
    </w:lvl>
  </w:abstractNum>
  <w:num w:numId="1">
    <w:abstractNumId w:val="9"/>
  </w:num>
  <w:num w:numId="2">
    <w:abstractNumId w:val="0"/>
  </w:num>
  <w:num w:numId="3">
    <w:abstractNumId w:val="12"/>
  </w:num>
  <w:num w:numId="4">
    <w:abstractNumId w:val="1"/>
  </w:num>
  <w:num w:numId="5">
    <w:abstractNumId w:val="4"/>
  </w:num>
  <w:num w:numId="6">
    <w:abstractNumId w:val="11"/>
  </w:num>
  <w:num w:numId="7">
    <w:abstractNumId w:val="13"/>
  </w:num>
  <w:num w:numId="8">
    <w:abstractNumId w:val="3"/>
  </w:num>
  <w:num w:numId="9">
    <w:abstractNumId w:val="8"/>
  </w:num>
  <w:num w:numId="10">
    <w:abstractNumId w:val="6"/>
  </w:num>
  <w:num w:numId="11">
    <w:abstractNumId w:val="5"/>
  </w:num>
  <w:num w:numId="12">
    <w:abstractNumId w:val="2"/>
  </w:num>
  <w:num w:numId="13">
    <w:abstractNumId w:val="7"/>
  </w:num>
  <w:num w:numId="1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24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6F0D08"/>
    <w:rsid w:val="00395B58"/>
    <w:rsid w:val="00D81B6C"/>
    <w:rsid w:val="00DD3B71"/>
    <w:rsid w:val="00E83921"/>
    <w:rsid w:val="00EC47B0"/>
    <w:rsid w:val="00F97C2F"/>
    <w:rsid w:val="00FC5547"/>
    <w:rsid w:val="010035A1"/>
    <w:rsid w:val="01154EDD"/>
    <w:rsid w:val="012A5D20"/>
    <w:rsid w:val="01742708"/>
    <w:rsid w:val="01E14491"/>
    <w:rsid w:val="01F0269B"/>
    <w:rsid w:val="01F42148"/>
    <w:rsid w:val="01F42BFC"/>
    <w:rsid w:val="020350EF"/>
    <w:rsid w:val="02044C7F"/>
    <w:rsid w:val="020734F9"/>
    <w:rsid w:val="022475A8"/>
    <w:rsid w:val="025F77FD"/>
    <w:rsid w:val="02690772"/>
    <w:rsid w:val="02875423"/>
    <w:rsid w:val="029C1FD4"/>
    <w:rsid w:val="02F55107"/>
    <w:rsid w:val="034C646D"/>
    <w:rsid w:val="03747EDC"/>
    <w:rsid w:val="03C436E0"/>
    <w:rsid w:val="04072D96"/>
    <w:rsid w:val="04BD154B"/>
    <w:rsid w:val="04F14911"/>
    <w:rsid w:val="052D7D6B"/>
    <w:rsid w:val="059F4E6E"/>
    <w:rsid w:val="05A22CCB"/>
    <w:rsid w:val="05B252A0"/>
    <w:rsid w:val="060143F0"/>
    <w:rsid w:val="064B76E6"/>
    <w:rsid w:val="066A2DA8"/>
    <w:rsid w:val="06A65148"/>
    <w:rsid w:val="06D06953"/>
    <w:rsid w:val="06DD2419"/>
    <w:rsid w:val="06E05BC6"/>
    <w:rsid w:val="074849E3"/>
    <w:rsid w:val="07896E78"/>
    <w:rsid w:val="07A8248E"/>
    <w:rsid w:val="08026C2E"/>
    <w:rsid w:val="081E7539"/>
    <w:rsid w:val="081F2D98"/>
    <w:rsid w:val="083F2C94"/>
    <w:rsid w:val="08610435"/>
    <w:rsid w:val="08646B4D"/>
    <w:rsid w:val="089A4974"/>
    <w:rsid w:val="08F37AB0"/>
    <w:rsid w:val="09186AB6"/>
    <w:rsid w:val="09772BD9"/>
    <w:rsid w:val="09B173FC"/>
    <w:rsid w:val="09C7116E"/>
    <w:rsid w:val="09F26260"/>
    <w:rsid w:val="09F6286C"/>
    <w:rsid w:val="0A0838DE"/>
    <w:rsid w:val="0A8B3D7B"/>
    <w:rsid w:val="0AA76087"/>
    <w:rsid w:val="0AB9026D"/>
    <w:rsid w:val="0AE84A44"/>
    <w:rsid w:val="0B11587B"/>
    <w:rsid w:val="0B1672F1"/>
    <w:rsid w:val="0B503A5B"/>
    <w:rsid w:val="0B8D6906"/>
    <w:rsid w:val="0B8E171D"/>
    <w:rsid w:val="0BFC0893"/>
    <w:rsid w:val="0C012E0F"/>
    <w:rsid w:val="0C863025"/>
    <w:rsid w:val="0CA31B45"/>
    <w:rsid w:val="0D734853"/>
    <w:rsid w:val="0D7611DC"/>
    <w:rsid w:val="0D8B17F4"/>
    <w:rsid w:val="0DA871EA"/>
    <w:rsid w:val="0DD47709"/>
    <w:rsid w:val="0DF265EC"/>
    <w:rsid w:val="0E212E81"/>
    <w:rsid w:val="0E851C91"/>
    <w:rsid w:val="0E874A3E"/>
    <w:rsid w:val="0E885D3D"/>
    <w:rsid w:val="0EA97EFE"/>
    <w:rsid w:val="0EAB3E74"/>
    <w:rsid w:val="0EB275BE"/>
    <w:rsid w:val="0FAB1C03"/>
    <w:rsid w:val="0FCA203F"/>
    <w:rsid w:val="0FE17F26"/>
    <w:rsid w:val="102A2EC9"/>
    <w:rsid w:val="1063075B"/>
    <w:rsid w:val="108252DB"/>
    <w:rsid w:val="10A15C1D"/>
    <w:rsid w:val="10D61C5D"/>
    <w:rsid w:val="11251C17"/>
    <w:rsid w:val="11757A4A"/>
    <w:rsid w:val="11EA2FBC"/>
    <w:rsid w:val="11EF5A27"/>
    <w:rsid w:val="12645DB1"/>
    <w:rsid w:val="126F0D08"/>
    <w:rsid w:val="134428A7"/>
    <w:rsid w:val="13D206E6"/>
    <w:rsid w:val="14072F84"/>
    <w:rsid w:val="14196B13"/>
    <w:rsid w:val="14273644"/>
    <w:rsid w:val="142D1AF7"/>
    <w:rsid w:val="14522BCA"/>
    <w:rsid w:val="14A561B7"/>
    <w:rsid w:val="14CF29F4"/>
    <w:rsid w:val="153A2726"/>
    <w:rsid w:val="156F0F1F"/>
    <w:rsid w:val="157E6F22"/>
    <w:rsid w:val="15D33839"/>
    <w:rsid w:val="15F56E3F"/>
    <w:rsid w:val="15FF68A6"/>
    <w:rsid w:val="16154ABF"/>
    <w:rsid w:val="16165263"/>
    <w:rsid w:val="163B30E6"/>
    <w:rsid w:val="163D12AD"/>
    <w:rsid w:val="168A0709"/>
    <w:rsid w:val="169D32AE"/>
    <w:rsid w:val="16B51B96"/>
    <w:rsid w:val="16BC5E4C"/>
    <w:rsid w:val="16C719FD"/>
    <w:rsid w:val="172C6984"/>
    <w:rsid w:val="172E6DA9"/>
    <w:rsid w:val="174865E4"/>
    <w:rsid w:val="175C184B"/>
    <w:rsid w:val="17A10B0C"/>
    <w:rsid w:val="17CB1B67"/>
    <w:rsid w:val="17E5658D"/>
    <w:rsid w:val="1858031E"/>
    <w:rsid w:val="18620079"/>
    <w:rsid w:val="1871499D"/>
    <w:rsid w:val="18842D36"/>
    <w:rsid w:val="1914521E"/>
    <w:rsid w:val="195F248B"/>
    <w:rsid w:val="197F36B8"/>
    <w:rsid w:val="19CD04FD"/>
    <w:rsid w:val="1A295829"/>
    <w:rsid w:val="1A5634EF"/>
    <w:rsid w:val="1AB63DC9"/>
    <w:rsid w:val="1B364F75"/>
    <w:rsid w:val="1B366A39"/>
    <w:rsid w:val="1B82273A"/>
    <w:rsid w:val="1B9E5610"/>
    <w:rsid w:val="1BAF319C"/>
    <w:rsid w:val="1BB77E36"/>
    <w:rsid w:val="1BE175E3"/>
    <w:rsid w:val="1C2A13ED"/>
    <w:rsid w:val="1C500D77"/>
    <w:rsid w:val="1CA2245A"/>
    <w:rsid w:val="1CB32466"/>
    <w:rsid w:val="1CFE69C3"/>
    <w:rsid w:val="1D0C7170"/>
    <w:rsid w:val="1D33787D"/>
    <w:rsid w:val="1D392A66"/>
    <w:rsid w:val="1D3B4320"/>
    <w:rsid w:val="1D496450"/>
    <w:rsid w:val="1D7D31BA"/>
    <w:rsid w:val="1D8B7418"/>
    <w:rsid w:val="1DE95CF3"/>
    <w:rsid w:val="1E133295"/>
    <w:rsid w:val="1E1A02B2"/>
    <w:rsid w:val="1E725431"/>
    <w:rsid w:val="1E89515C"/>
    <w:rsid w:val="1EE862BF"/>
    <w:rsid w:val="1EF42956"/>
    <w:rsid w:val="1F0D66C1"/>
    <w:rsid w:val="1FE31339"/>
    <w:rsid w:val="209E49A9"/>
    <w:rsid w:val="20C54185"/>
    <w:rsid w:val="20E20AB0"/>
    <w:rsid w:val="20EB5FEB"/>
    <w:rsid w:val="20EE1865"/>
    <w:rsid w:val="210822A7"/>
    <w:rsid w:val="21603C14"/>
    <w:rsid w:val="220B11B4"/>
    <w:rsid w:val="2237112D"/>
    <w:rsid w:val="224D187D"/>
    <w:rsid w:val="22534A89"/>
    <w:rsid w:val="2302081B"/>
    <w:rsid w:val="23333575"/>
    <w:rsid w:val="2383091E"/>
    <w:rsid w:val="23863DFB"/>
    <w:rsid w:val="23AE1C91"/>
    <w:rsid w:val="23F65690"/>
    <w:rsid w:val="23F8612F"/>
    <w:rsid w:val="24AA264F"/>
    <w:rsid w:val="24D87EB8"/>
    <w:rsid w:val="24E8656E"/>
    <w:rsid w:val="25225191"/>
    <w:rsid w:val="254054E9"/>
    <w:rsid w:val="25AE1D42"/>
    <w:rsid w:val="25D03AAA"/>
    <w:rsid w:val="262E2F26"/>
    <w:rsid w:val="26581C46"/>
    <w:rsid w:val="2666119D"/>
    <w:rsid w:val="266677F1"/>
    <w:rsid w:val="26B15CA8"/>
    <w:rsid w:val="26C1041E"/>
    <w:rsid w:val="270B2B20"/>
    <w:rsid w:val="270C34DE"/>
    <w:rsid w:val="27243FAE"/>
    <w:rsid w:val="27261217"/>
    <w:rsid w:val="2728195E"/>
    <w:rsid w:val="27382EDD"/>
    <w:rsid w:val="2786142B"/>
    <w:rsid w:val="2795385E"/>
    <w:rsid w:val="279F4A40"/>
    <w:rsid w:val="27A77AAD"/>
    <w:rsid w:val="27ED7253"/>
    <w:rsid w:val="288E128F"/>
    <w:rsid w:val="289B4722"/>
    <w:rsid w:val="28A101CD"/>
    <w:rsid w:val="28BE1833"/>
    <w:rsid w:val="28D0114A"/>
    <w:rsid w:val="28FE2B76"/>
    <w:rsid w:val="290651DC"/>
    <w:rsid w:val="2908618E"/>
    <w:rsid w:val="2A0718D0"/>
    <w:rsid w:val="2A0B5713"/>
    <w:rsid w:val="2A486221"/>
    <w:rsid w:val="2AA85397"/>
    <w:rsid w:val="2AA947AB"/>
    <w:rsid w:val="2ABB3F65"/>
    <w:rsid w:val="2AE30886"/>
    <w:rsid w:val="2AF90E15"/>
    <w:rsid w:val="2BF912D2"/>
    <w:rsid w:val="2C372033"/>
    <w:rsid w:val="2C505BF9"/>
    <w:rsid w:val="2CDD6F7D"/>
    <w:rsid w:val="2D085F4B"/>
    <w:rsid w:val="2D4358F8"/>
    <w:rsid w:val="2D8B14A3"/>
    <w:rsid w:val="2D933BBB"/>
    <w:rsid w:val="2DBE4F31"/>
    <w:rsid w:val="2E762E50"/>
    <w:rsid w:val="2ECE62A1"/>
    <w:rsid w:val="2EDB48DD"/>
    <w:rsid w:val="2EED2804"/>
    <w:rsid w:val="2EF17758"/>
    <w:rsid w:val="2F0D23F0"/>
    <w:rsid w:val="2F1553C8"/>
    <w:rsid w:val="2FA115F7"/>
    <w:rsid w:val="2FC76824"/>
    <w:rsid w:val="2FCA68E6"/>
    <w:rsid w:val="2FD76C30"/>
    <w:rsid w:val="2FF03DBF"/>
    <w:rsid w:val="30604C50"/>
    <w:rsid w:val="30C85734"/>
    <w:rsid w:val="30F97BB0"/>
    <w:rsid w:val="31045E10"/>
    <w:rsid w:val="318647B8"/>
    <w:rsid w:val="32023E0A"/>
    <w:rsid w:val="3358706C"/>
    <w:rsid w:val="337E0A1E"/>
    <w:rsid w:val="33A46D62"/>
    <w:rsid w:val="33E66022"/>
    <w:rsid w:val="342D5A84"/>
    <w:rsid w:val="34372892"/>
    <w:rsid w:val="344633A1"/>
    <w:rsid w:val="34E64673"/>
    <w:rsid w:val="35C93368"/>
    <w:rsid w:val="361A55C6"/>
    <w:rsid w:val="36490F24"/>
    <w:rsid w:val="36546EC1"/>
    <w:rsid w:val="36734407"/>
    <w:rsid w:val="36AC3B15"/>
    <w:rsid w:val="36CE2325"/>
    <w:rsid w:val="370D6A0A"/>
    <w:rsid w:val="373A5EAF"/>
    <w:rsid w:val="37B13A18"/>
    <w:rsid w:val="37CA0F32"/>
    <w:rsid w:val="37F22186"/>
    <w:rsid w:val="38736649"/>
    <w:rsid w:val="388116E1"/>
    <w:rsid w:val="38934E7C"/>
    <w:rsid w:val="389925DE"/>
    <w:rsid w:val="38EF3C8A"/>
    <w:rsid w:val="38FC2956"/>
    <w:rsid w:val="393157D1"/>
    <w:rsid w:val="393424EE"/>
    <w:rsid w:val="39611066"/>
    <w:rsid w:val="397A398F"/>
    <w:rsid w:val="398E0A89"/>
    <w:rsid w:val="399B1E8F"/>
    <w:rsid w:val="3A652DFC"/>
    <w:rsid w:val="3A8B4A80"/>
    <w:rsid w:val="3AA71851"/>
    <w:rsid w:val="3ABD3C51"/>
    <w:rsid w:val="3B245F49"/>
    <w:rsid w:val="3B2742FF"/>
    <w:rsid w:val="3B875531"/>
    <w:rsid w:val="3BA754B1"/>
    <w:rsid w:val="3C896CAE"/>
    <w:rsid w:val="3C8C6288"/>
    <w:rsid w:val="3C8F32A2"/>
    <w:rsid w:val="3CC659DD"/>
    <w:rsid w:val="3DC05588"/>
    <w:rsid w:val="3E08054B"/>
    <w:rsid w:val="3EE56777"/>
    <w:rsid w:val="3EEA143A"/>
    <w:rsid w:val="3EEE4839"/>
    <w:rsid w:val="3EF55F3D"/>
    <w:rsid w:val="3F60728F"/>
    <w:rsid w:val="3F6B2967"/>
    <w:rsid w:val="3FDB1DC5"/>
    <w:rsid w:val="3FEF530B"/>
    <w:rsid w:val="40175DF6"/>
    <w:rsid w:val="40545931"/>
    <w:rsid w:val="40852EA8"/>
    <w:rsid w:val="40872753"/>
    <w:rsid w:val="40B057B7"/>
    <w:rsid w:val="40BB61AC"/>
    <w:rsid w:val="40CD665F"/>
    <w:rsid w:val="412E2AAC"/>
    <w:rsid w:val="413F59B5"/>
    <w:rsid w:val="415E01D2"/>
    <w:rsid w:val="415E6718"/>
    <w:rsid w:val="41845E3E"/>
    <w:rsid w:val="41FD518C"/>
    <w:rsid w:val="421B6F49"/>
    <w:rsid w:val="42383125"/>
    <w:rsid w:val="43311331"/>
    <w:rsid w:val="435F733A"/>
    <w:rsid w:val="43634B06"/>
    <w:rsid w:val="438549CD"/>
    <w:rsid w:val="438F42E8"/>
    <w:rsid w:val="43B2251C"/>
    <w:rsid w:val="451B3EB1"/>
    <w:rsid w:val="45285F65"/>
    <w:rsid w:val="45323CD8"/>
    <w:rsid w:val="463E4A03"/>
    <w:rsid w:val="46DE4D6B"/>
    <w:rsid w:val="471447CE"/>
    <w:rsid w:val="47254704"/>
    <w:rsid w:val="474651F6"/>
    <w:rsid w:val="47BA0074"/>
    <w:rsid w:val="4815139A"/>
    <w:rsid w:val="483C3D23"/>
    <w:rsid w:val="486539C9"/>
    <w:rsid w:val="48A04BD6"/>
    <w:rsid w:val="48AB3B84"/>
    <w:rsid w:val="490F0EA3"/>
    <w:rsid w:val="492E2242"/>
    <w:rsid w:val="4A093F3D"/>
    <w:rsid w:val="4A3C47C9"/>
    <w:rsid w:val="4A800876"/>
    <w:rsid w:val="4ABB2DCE"/>
    <w:rsid w:val="4ACE02BF"/>
    <w:rsid w:val="4AD20CF4"/>
    <w:rsid w:val="4B1056B8"/>
    <w:rsid w:val="4B1E7AFA"/>
    <w:rsid w:val="4B9C3D69"/>
    <w:rsid w:val="4BBC3943"/>
    <w:rsid w:val="4BCC42C1"/>
    <w:rsid w:val="4BF13566"/>
    <w:rsid w:val="4C2E2A8A"/>
    <w:rsid w:val="4C5C733A"/>
    <w:rsid w:val="4C742085"/>
    <w:rsid w:val="4CD615D7"/>
    <w:rsid w:val="4D324E0A"/>
    <w:rsid w:val="4DA56B30"/>
    <w:rsid w:val="4E047438"/>
    <w:rsid w:val="4E7C5765"/>
    <w:rsid w:val="4E915497"/>
    <w:rsid w:val="4E9C63DE"/>
    <w:rsid w:val="4F005FFC"/>
    <w:rsid w:val="4F037FE2"/>
    <w:rsid w:val="4F4137F2"/>
    <w:rsid w:val="4F5006D0"/>
    <w:rsid w:val="4F5379AB"/>
    <w:rsid w:val="4F887E26"/>
    <w:rsid w:val="4F9449AD"/>
    <w:rsid w:val="50C60FDE"/>
    <w:rsid w:val="513D73A2"/>
    <w:rsid w:val="519571F7"/>
    <w:rsid w:val="520F032D"/>
    <w:rsid w:val="52CE708B"/>
    <w:rsid w:val="52F8157B"/>
    <w:rsid w:val="535D333D"/>
    <w:rsid w:val="53662106"/>
    <w:rsid w:val="542B43C7"/>
    <w:rsid w:val="546222EE"/>
    <w:rsid w:val="54BD5028"/>
    <w:rsid w:val="554E0F89"/>
    <w:rsid w:val="555F6B30"/>
    <w:rsid w:val="558029E9"/>
    <w:rsid w:val="559719A1"/>
    <w:rsid w:val="559770ED"/>
    <w:rsid w:val="55C91DC1"/>
    <w:rsid w:val="560921BB"/>
    <w:rsid w:val="5633235B"/>
    <w:rsid w:val="56607BC9"/>
    <w:rsid w:val="567B3B76"/>
    <w:rsid w:val="569B54F7"/>
    <w:rsid w:val="570F34A5"/>
    <w:rsid w:val="57E767DB"/>
    <w:rsid w:val="58CF1304"/>
    <w:rsid w:val="58E978B0"/>
    <w:rsid w:val="59567DC7"/>
    <w:rsid w:val="59612C7F"/>
    <w:rsid w:val="597B2CA5"/>
    <w:rsid w:val="599C071E"/>
    <w:rsid w:val="59BB183D"/>
    <w:rsid w:val="59CB4CED"/>
    <w:rsid w:val="59E9140D"/>
    <w:rsid w:val="5A5172EE"/>
    <w:rsid w:val="5AAC50E0"/>
    <w:rsid w:val="5AB9795B"/>
    <w:rsid w:val="5B174C4F"/>
    <w:rsid w:val="5B2902CB"/>
    <w:rsid w:val="5B4841F9"/>
    <w:rsid w:val="5B5B5E65"/>
    <w:rsid w:val="5B7D2AB2"/>
    <w:rsid w:val="5B941CAD"/>
    <w:rsid w:val="5BCE6C66"/>
    <w:rsid w:val="5BCF2503"/>
    <w:rsid w:val="5C3A3FF3"/>
    <w:rsid w:val="5C69739A"/>
    <w:rsid w:val="5D1A6C78"/>
    <w:rsid w:val="5D1A7FE4"/>
    <w:rsid w:val="5D1B45A3"/>
    <w:rsid w:val="5D4305E5"/>
    <w:rsid w:val="5D853F18"/>
    <w:rsid w:val="5D9C533F"/>
    <w:rsid w:val="5DB045FF"/>
    <w:rsid w:val="5DDA06E5"/>
    <w:rsid w:val="5E87679A"/>
    <w:rsid w:val="5EC71B65"/>
    <w:rsid w:val="5F0C7335"/>
    <w:rsid w:val="5F3156D7"/>
    <w:rsid w:val="5FAD7D88"/>
    <w:rsid w:val="5FC80ED8"/>
    <w:rsid w:val="5FCB7E0D"/>
    <w:rsid w:val="5FE308D8"/>
    <w:rsid w:val="60010F2F"/>
    <w:rsid w:val="600B5602"/>
    <w:rsid w:val="600C35A2"/>
    <w:rsid w:val="60AC2CF1"/>
    <w:rsid w:val="60C8325D"/>
    <w:rsid w:val="60E857B6"/>
    <w:rsid w:val="60E86B97"/>
    <w:rsid w:val="60FA737C"/>
    <w:rsid w:val="60FE4AB5"/>
    <w:rsid w:val="614F5763"/>
    <w:rsid w:val="61930DA7"/>
    <w:rsid w:val="61B068EB"/>
    <w:rsid w:val="61ED6709"/>
    <w:rsid w:val="625630E9"/>
    <w:rsid w:val="62C3136F"/>
    <w:rsid w:val="62D7717A"/>
    <w:rsid w:val="63507954"/>
    <w:rsid w:val="636F1C55"/>
    <w:rsid w:val="6397392D"/>
    <w:rsid w:val="644F0316"/>
    <w:rsid w:val="645F3C33"/>
    <w:rsid w:val="647F48D1"/>
    <w:rsid w:val="64CF3CF1"/>
    <w:rsid w:val="6573771B"/>
    <w:rsid w:val="65AC0081"/>
    <w:rsid w:val="65B361BF"/>
    <w:rsid w:val="65CA3DFC"/>
    <w:rsid w:val="65CB1F90"/>
    <w:rsid w:val="662629C3"/>
    <w:rsid w:val="662D049F"/>
    <w:rsid w:val="668F398C"/>
    <w:rsid w:val="669D227B"/>
    <w:rsid w:val="66F53154"/>
    <w:rsid w:val="67346A2B"/>
    <w:rsid w:val="673F0CCA"/>
    <w:rsid w:val="6761487F"/>
    <w:rsid w:val="67E1286C"/>
    <w:rsid w:val="681F5AE6"/>
    <w:rsid w:val="68376BD9"/>
    <w:rsid w:val="6867167A"/>
    <w:rsid w:val="689870AC"/>
    <w:rsid w:val="68CA0CAE"/>
    <w:rsid w:val="68FC334A"/>
    <w:rsid w:val="6A0E0C43"/>
    <w:rsid w:val="6A46685B"/>
    <w:rsid w:val="6A600491"/>
    <w:rsid w:val="6A7B092A"/>
    <w:rsid w:val="6B03194B"/>
    <w:rsid w:val="6B0D5269"/>
    <w:rsid w:val="6B785C6A"/>
    <w:rsid w:val="6B7F16AF"/>
    <w:rsid w:val="6BE859EB"/>
    <w:rsid w:val="6C12513D"/>
    <w:rsid w:val="6CA210BB"/>
    <w:rsid w:val="6CD06CF5"/>
    <w:rsid w:val="6CE83CC8"/>
    <w:rsid w:val="6D252EE9"/>
    <w:rsid w:val="6D8B550C"/>
    <w:rsid w:val="6D9949ED"/>
    <w:rsid w:val="6DBD3434"/>
    <w:rsid w:val="6E3000E1"/>
    <w:rsid w:val="6E7104A8"/>
    <w:rsid w:val="6E922D4C"/>
    <w:rsid w:val="6EAE1AAA"/>
    <w:rsid w:val="6EDC761D"/>
    <w:rsid w:val="6EE46F12"/>
    <w:rsid w:val="6F044E3E"/>
    <w:rsid w:val="6F281617"/>
    <w:rsid w:val="6F3C3AA0"/>
    <w:rsid w:val="6F5B769C"/>
    <w:rsid w:val="6F783750"/>
    <w:rsid w:val="6F9014D6"/>
    <w:rsid w:val="6FE4132D"/>
    <w:rsid w:val="6FF87AD9"/>
    <w:rsid w:val="7016626E"/>
    <w:rsid w:val="706051B4"/>
    <w:rsid w:val="707822DA"/>
    <w:rsid w:val="70A05028"/>
    <w:rsid w:val="710739B3"/>
    <w:rsid w:val="71A21572"/>
    <w:rsid w:val="71C26195"/>
    <w:rsid w:val="71C72529"/>
    <w:rsid w:val="71FF1D4C"/>
    <w:rsid w:val="72194BB5"/>
    <w:rsid w:val="726C0120"/>
    <w:rsid w:val="72BB39CB"/>
    <w:rsid w:val="72D930E7"/>
    <w:rsid w:val="72F705A8"/>
    <w:rsid w:val="730302F8"/>
    <w:rsid w:val="7331397E"/>
    <w:rsid w:val="733D3D42"/>
    <w:rsid w:val="737F4531"/>
    <w:rsid w:val="73BB6A80"/>
    <w:rsid w:val="73DC48A4"/>
    <w:rsid w:val="7423258A"/>
    <w:rsid w:val="74543118"/>
    <w:rsid w:val="74617C76"/>
    <w:rsid w:val="7466495B"/>
    <w:rsid w:val="747F7B17"/>
    <w:rsid w:val="74E44ACA"/>
    <w:rsid w:val="75065DE4"/>
    <w:rsid w:val="752124FA"/>
    <w:rsid w:val="75272800"/>
    <w:rsid w:val="758C6B50"/>
    <w:rsid w:val="758E2CD2"/>
    <w:rsid w:val="75A57E58"/>
    <w:rsid w:val="75CE5976"/>
    <w:rsid w:val="75FE5451"/>
    <w:rsid w:val="76354A40"/>
    <w:rsid w:val="763F1CCE"/>
    <w:rsid w:val="763F535A"/>
    <w:rsid w:val="76A61C59"/>
    <w:rsid w:val="76FE6510"/>
    <w:rsid w:val="77351533"/>
    <w:rsid w:val="77630534"/>
    <w:rsid w:val="77B24736"/>
    <w:rsid w:val="77E03EC1"/>
    <w:rsid w:val="77F7671B"/>
    <w:rsid w:val="78000B40"/>
    <w:rsid w:val="78DC79F9"/>
    <w:rsid w:val="78F91935"/>
    <w:rsid w:val="795025F4"/>
    <w:rsid w:val="799E56AB"/>
    <w:rsid w:val="79A50EDE"/>
    <w:rsid w:val="79BE3388"/>
    <w:rsid w:val="79CB21FB"/>
    <w:rsid w:val="7A0E482A"/>
    <w:rsid w:val="7A9A3A3A"/>
    <w:rsid w:val="7AB665A5"/>
    <w:rsid w:val="7B0D351A"/>
    <w:rsid w:val="7B1B73FE"/>
    <w:rsid w:val="7BBB6C2C"/>
    <w:rsid w:val="7BCE4D30"/>
    <w:rsid w:val="7BDD7288"/>
    <w:rsid w:val="7BF726C8"/>
    <w:rsid w:val="7C605FFE"/>
    <w:rsid w:val="7CFD3E8B"/>
    <w:rsid w:val="7D0A4830"/>
    <w:rsid w:val="7D9A40AD"/>
    <w:rsid w:val="7E0E07CF"/>
    <w:rsid w:val="7E277154"/>
    <w:rsid w:val="7E27775F"/>
    <w:rsid w:val="7E550A2F"/>
    <w:rsid w:val="7EA87B5E"/>
    <w:rsid w:val="7EAF27D5"/>
    <w:rsid w:val="7EFC0FC9"/>
    <w:rsid w:val="7F1B454B"/>
    <w:rsid w:val="7F39685D"/>
    <w:rsid w:val="7F72234E"/>
    <w:rsid w:val="7F8B138A"/>
    <w:rsid w:val="7F9F075F"/>
    <w:rsid w:val="7FB47434"/>
    <w:rsid w:val="7FB92CE4"/>
    <w:rsid w:val="7FE02F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63"/>
    <w:qFormat/>
    <w:uiPriority w:val="0"/>
    <w:pPr>
      <w:keepNext/>
      <w:keepLines/>
      <w:spacing w:before="340" w:after="330" w:line="576" w:lineRule="auto"/>
      <w:outlineLvl w:val="0"/>
    </w:pPr>
    <w:rPr>
      <w:b/>
      <w:bCs/>
      <w:kern w:val="44"/>
      <w:sz w:val="44"/>
      <w:szCs w:val="44"/>
    </w:rPr>
  </w:style>
  <w:style w:type="paragraph" w:styleId="6">
    <w:name w:val="heading 2"/>
    <w:basedOn w:val="1"/>
    <w:next w:val="1"/>
    <w:unhideWhenUsed/>
    <w:qFormat/>
    <w:uiPriority w:val="0"/>
    <w:pPr>
      <w:keepNext/>
      <w:keepLines/>
      <w:spacing w:before="260" w:after="260" w:line="415" w:lineRule="auto"/>
      <w:outlineLvl w:val="1"/>
    </w:pPr>
    <w:rPr>
      <w:rFonts w:ascii="Arial" w:hAnsi="Arial" w:eastAsia="黑体"/>
      <w:b/>
      <w:bCs/>
      <w:sz w:val="32"/>
      <w:szCs w:val="32"/>
    </w:rPr>
  </w:style>
  <w:style w:type="paragraph" w:styleId="7">
    <w:name w:val="heading 3"/>
    <w:basedOn w:val="1"/>
    <w:next w:val="1"/>
    <w:unhideWhenUsed/>
    <w:qFormat/>
    <w:uiPriority w:val="0"/>
    <w:pPr>
      <w:keepNext/>
      <w:keepLines/>
      <w:spacing w:before="260" w:after="260" w:line="415" w:lineRule="auto"/>
      <w:outlineLvl w:val="2"/>
    </w:pPr>
    <w:rPr>
      <w:b/>
      <w:bCs/>
      <w:sz w:val="32"/>
      <w:szCs w:val="32"/>
    </w:rPr>
  </w:style>
  <w:style w:type="character" w:default="1" w:styleId="24">
    <w:name w:val="Default Paragraph Font"/>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rFonts w:ascii="Times New Roman"/>
      <w:sz w:val="21"/>
    </w:rPr>
  </w:style>
  <w:style w:type="paragraph" w:styleId="3">
    <w:name w:val="Body Text Indent"/>
    <w:basedOn w:val="1"/>
    <w:next w:val="4"/>
    <w:qFormat/>
    <w:uiPriority w:val="0"/>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qFormat/>
    <w:uiPriority w:val="0"/>
    <w:pPr>
      <w:ind w:firstLine="420" w:firstLineChars="200"/>
    </w:pPr>
  </w:style>
  <w:style w:type="paragraph" w:styleId="9">
    <w:name w:val="toa heading"/>
    <w:basedOn w:val="1"/>
    <w:next w:val="1"/>
    <w:unhideWhenUsed/>
    <w:qFormat/>
    <w:uiPriority w:val="99"/>
    <w:pPr>
      <w:spacing w:before="120"/>
    </w:pPr>
    <w:rPr>
      <w:rFonts w:ascii="Cambria" w:hAnsi="Cambria" w:eastAsia="宋体" w:cs="Times New Roman"/>
      <w:sz w:val="24"/>
      <w:szCs w:val="24"/>
    </w:rPr>
  </w:style>
  <w:style w:type="paragraph" w:styleId="10">
    <w:name w:val="annotation text"/>
    <w:basedOn w:val="1"/>
    <w:qFormat/>
    <w:uiPriority w:val="0"/>
    <w:pPr>
      <w:jc w:val="left"/>
    </w:pPr>
  </w:style>
  <w:style w:type="paragraph" w:styleId="11">
    <w:name w:val="Body Text 3"/>
    <w:basedOn w:val="1"/>
    <w:qFormat/>
    <w:uiPriority w:val="0"/>
    <w:rPr>
      <w:rFonts w:ascii="宋体"/>
      <w:sz w:val="24"/>
      <w:szCs w:val="20"/>
    </w:rPr>
  </w:style>
  <w:style w:type="paragraph" w:styleId="12">
    <w:name w:val="Body Text"/>
    <w:basedOn w:val="1"/>
    <w:qFormat/>
    <w:uiPriority w:val="0"/>
    <w:pPr>
      <w:spacing w:line="0" w:lineRule="atLeast"/>
    </w:pPr>
    <w:rPr>
      <w:b/>
      <w:sz w:val="30"/>
      <w:szCs w:val="20"/>
    </w:rPr>
  </w:style>
  <w:style w:type="paragraph" w:styleId="13">
    <w:name w:val="Plain Text"/>
    <w:basedOn w:val="1"/>
    <w:qFormat/>
    <w:uiPriority w:val="0"/>
    <w:rPr>
      <w:rFonts w:ascii="宋体" w:hAnsi="Courier New"/>
    </w:rPr>
  </w:style>
  <w:style w:type="paragraph" w:styleId="14">
    <w:name w:val="Date"/>
    <w:basedOn w:val="1"/>
    <w:next w:val="1"/>
    <w:qFormat/>
    <w:uiPriority w:val="0"/>
    <w:rPr>
      <w:sz w:val="24"/>
      <w:szCs w:val="20"/>
    </w:rPr>
  </w:style>
  <w:style w:type="paragraph" w:styleId="15">
    <w:name w:val="Body Text Indent 2"/>
    <w:basedOn w:val="1"/>
    <w:qFormat/>
    <w:uiPriority w:val="0"/>
    <w:pPr>
      <w:spacing w:after="120" w:line="480" w:lineRule="auto"/>
      <w:ind w:left="420" w:leftChars="200"/>
    </w:pPr>
  </w:style>
  <w:style w:type="paragraph" w:styleId="16">
    <w:name w:val="footer"/>
    <w:basedOn w:val="1"/>
    <w:qFormat/>
    <w:uiPriority w:val="0"/>
    <w:pPr>
      <w:tabs>
        <w:tab w:val="center" w:pos="4153"/>
        <w:tab w:val="right" w:pos="8306"/>
      </w:tabs>
      <w:snapToGrid w:val="0"/>
      <w:jc w:val="left"/>
    </w:pPr>
    <w:rPr>
      <w:sz w:val="18"/>
      <w:szCs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qFormat/>
    <w:uiPriority w:val="0"/>
    <w:pPr>
      <w:spacing w:before="120" w:after="120"/>
      <w:jc w:val="left"/>
    </w:pPr>
    <w:rPr>
      <w:rFonts w:asciiTheme="minorAscii" w:hAnsiTheme="minorAscii"/>
      <w:b/>
      <w:bCs/>
      <w:caps/>
      <w:sz w:val="28"/>
      <w:szCs w:val="20"/>
    </w:rPr>
  </w:style>
  <w:style w:type="paragraph" w:styleId="19">
    <w:name w:val="Normal (Web)"/>
    <w:basedOn w:val="1"/>
    <w:next w:val="1"/>
    <w:qFormat/>
    <w:uiPriority w:val="0"/>
    <w:pPr>
      <w:jc w:val="left"/>
    </w:pPr>
    <w:rPr>
      <w:rFonts w:cs="Times New Roman"/>
      <w:kern w:val="0"/>
      <w:sz w:val="24"/>
    </w:rPr>
  </w:style>
  <w:style w:type="paragraph" w:styleId="20">
    <w:name w:val="Title"/>
    <w:basedOn w:val="1"/>
    <w:qFormat/>
    <w:uiPriority w:val="0"/>
    <w:pPr>
      <w:widowControl/>
      <w:spacing w:before="240" w:beforeLines="0" w:after="60" w:afterLines="0"/>
      <w:jc w:val="center"/>
      <w:outlineLvl w:val="0"/>
    </w:pPr>
    <w:rPr>
      <w:rFonts w:ascii="Arial" w:hAnsi="Arial" w:cs="Arial"/>
      <w:b/>
      <w:bCs/>
      <w:kern w:val="0"/>
      <w:sz w:val="44"/>
      <w:szCs w:val="32"/>
    </w:rPr>
  </w:style>
  <w:style w:type="paragraph" w:styleId="21">
    <w:name w:val="Body Text First Indent"/>
    <w:basedOn w:val="12"/>
    <w:qFormat/>
    <w:uiPriority w:val="0"/>
    <w:pPr>
      <w:spacing w:line="360" w:lineRule="auto"/>
      <w:ind w:left="289" w:leftChars="1" w:firstLine="420" w:firstLineChars="100"/>
    </w:pPr>
    <w:rPr>
      <w:rFonts w:ascii="宋体" w:hAnsi="宋体" w:cs="宋体"/>
      <w:bCs/>
      <w:sz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style>
  <w:style w:type="character" w:styleId="26">
    <w:name w:val="page number"/>
    <w:basedOn w:val="24"/>
    <w:qFormat/>
    <w:uiPriority w:val="0"/>
  </w:style>
  <w:style w:type="character" w:styleId="27">
    <w:name w:val="FollowedHyperlink"/>
    <w:basedOn w:val="24"/>
    <w:qFormat/>
    <w:uiPriority w:val="0"/>
    <w:rPr>
      <w:color w:val="800080"/>
      <w:u w:val="none"/>
    </w:rPr>
  </w:style>
  <w:style w:type="character" w:styleId="28">
    <w:name w:val="Emphasis"/>
    <w:basedOn w:val="24"/>
    <w:qFormat/>
    <w:uiPriority w:val="0"/>
  </w:style>
  <w:style w:type="character" w:styleId="29">
    <w:name w:val="HTML Definition"/>
    <w:basedOn w:val="24"/>
    <w:qFormat/>
    <w:uiPriority w:val="0"/>
  </w:style>
  <w:style w:type="character" w:styleId="30">
    <w:name w:val="HTML Typewriter"/>
    <w:basedOn w:val="24"/>
    <w:qFormat/>
    <w:uiPriority w:val="0"/>
    <w:rPr>
      <w:rFonts w:hint="default" w:ascii="monospace" w:hAnsi="monospace" w:eastAsia="monospace" w:cs="monospace"/>
      <w:sz w:val="20"/>
    </w:rPr>
  </w:style>
  <w:style w:type="character" w:styleId="31">
    <w:name w:val="HTML Acronym"/>
    <w:basedOn w:val="24"/>
    <w:qFormat/>
    <w:uiPriority w:val="0"/>
  </w:style>
  <w:style w:type="character" w:styleId="32">
    <w:name w:val="HTML Variable"/>
    <w:basedOn w:val="24"/>
    <w:qFormat/>
    <w:uiPriority w:val="0"/>
  </w:style>
  <w:style w:type="character" w:styleId="33">
    <w:name w:val="Hyperlink"/>
    <w:basedOn w:val="24"/>
    <w:qFormat/>
    <w:uiPriority w:val="0"/>
    <w:rPr>
      <w:color w:val="0000FF"/>
      <w:u w:val="none"/>
    </w:rPr>
  </w:style>
  <w:style w:type="character" w:styleId="34">
    <w:name w:val="HTML Code"/>
    <w:basedOn w:val="24"/>
    <w:qFormat/>
    <w:uiPriority w:val="0"/>
    <w:rPr>
      <w:rFonts w:hint="default" w:ascii="monospace" w:hAnsi="monospace" w:eastAsia="monospace" w:cs="monospace"/>
      <w:sz w:val="20"/>
    </w:rPr>
  </w:style>
  <w:style w:type="character" w:styleId="35">
    <w:name w:val="HTML Cite"/>
    <w:basedOn w:val="24"/>
    <w:qFormat/>
    <w:uiPriority w:val="0"/>
  </w:style>
  <w:style w:type="character" w:styleId="36">
    <w:name w:val="HTML Keyboard"/>
    <w:basedOn w:val="24"/>
    <w:qFormat/>
    <w:uiPriority w:val="0"/>
    <w:rPr>
      <w:rFonts w:ascii="monospace" w:hAnsi="monospace" w:eastAsia="monospace" w:cs="monospace"/>
      <w:sz w:val="20"/>
    </w:rPr>
  </w:style>
  <w:style w:type="character" w:styleId="37">
    <w:name w:val="HTML Sample"/>
    <w:basedOn w:val="24"/>
    <w:qFormat/>
    <w:uiPriority w:val="0"/>
    <w:rPr>
      <w:rFonts w:hint="default" w:ascii="monospace" w:hAnsi="monospace" w:eastAsia="monospace" w:cs="monospace"/>
    </w:rPr>
  </w:style>
  <w:style w:type="paragraph" w:customStyle="1" w:styleId="38">
    <w:name w:val="正文格式"/>
    <w:basedOn w:val="1"/>
    <w:qFormat/>
    <w:uiPriority w:val="0"/>
    <w:pPr>
      <w:adjustRightInd w:val="0"/>
      <w:snapToGrid w:val="0"/>
      <w:spacing w:line="360" w:lineRule="auto"/>
      <w:ind w:firstLine="200" w:firstLineChars="200"/>
      <w:textAlignment w:val="baseline"/>
    </w:pPr>
    <w:rPr>
      <w:rFonts w:ascii="Times New Roman" w:hAnsi="Times New Roman"/>
      <w:kern w:val="0"/>
      <w:sz w:val="24"/>
      <w:szCs w:val="20"/>
    </w:rPr>
  </w:style>
  <w:style w:type="paragraph" w:customStyle="1" w:styleId="39">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0">
    <w:name w:val="Char Char Char"/>
    <w:basedOn w:val="1"/>
    <w:qFormat/>
    <w:uiPriority w:val="0"/>
    <w:rPr>
      <w:szCs w:val="20"/>
    </w:rPr>
  </w:style>
  <w:style w:type="character" w:customStyle="1" w:styleId="41">
    <w:name w:val="font01"/>
    <w:basedOn w:val="24"/>
    <w:qFormat/>
    <w:uiPriority w:val="0"/>
    <w:rPr>
      <w:rFonts w:hint="eastAsia" w:ascii="宋体" w:hAnsi="宋体" w:eastAsia="宋体" w:cs="宋体"/>
      <w:color w:val="000000"/>
      <w:sz w:val="28"/>
      <w:szCs w:val="28"/>
      <w:u w:val="none"/>
    </w:rPr>
  </w:style>
  <w:style w:type="paragraph" w:customStyle="1" w:styleId="42">
    <w:name w:val="目录"/>
    <w:basedOn w:val="1"/>
    <w:qFormat/>
    <w:uiPriority w:val="0"/>
    <w:pPr>
      <w:jc w:val="center"/>
    </w:pPr>
    <w:rPr>
      <w:rFonts w:ascii="宋体" w:hAnsi="Times New Roman" w:eastAsia="宋体" w:cs="Times New Roman"/>
      <w:sz w:val="36"/>
    </w:rPr>
  </w:style>
  <w:style w:type="character" w:customStyle="1" w:styleId="43">
    <w:name w:val="font51"/>
    <w:basedOn w:val="24"/>
    <w:qFormat/>
    <w:uiPriority w:val="0"/>
    <w:rPr>
      <w:rFonts w:hint="eastAsia" w:ascii="宋体" w:hAnsi="宋体" w:eastAsia="宋体" w:cs="宋体"/>
      <w:color w:val="000000"/>
      <w:sz w:val="28"/>
      <w:szCs w:val="28"/>
      <w:u w:val="none"/>
    </w:rPr>
  </w:style>
  <w:style w:type="character" w:customStyle="1" w:styleId="44">
    <w:name w:val="font21"/>
    <w:basedOn w:val="24"/>
    <w:qFormat/>
    <w:uiPriority w:val="0"/>
    <w:rPr>
      <w:rFonts w:ascii="Arial" w:hAnsi="Arial" w:cs="Arial"/>
      <w:color w:val="000000"/>
      <w:sz w:val="28"/>
      <w:szCs w:val="28"/>
      <w:u w:val="none"/>
    </w:rPr>
  </w:style>
  <w:style w:type="character" w:customStyle="1" w:styleId="45">
    <w:name w:val="font61"/>
    <w:basedOn w:val="24"/>
    <w:qFormat/>
    <w:uiPriority w:val="0"/>
    <w:rPr>
      <w:rFonts w:hint="eastAsia" w:ascii="宋体" w:hAnsi="宋体" w:eastAsia="宋体" w:cs="宋体"/>
      <w:color w:val="000000"/>
      <w:sz w:val="20"/>
      <w:szCs w:val="20"/>
      <w:u w:val="none"/>
    </w:rPr>
  </w:style>
  <w:style w:type="character" w:customStyle="1" w:styleId="46">
    <w:name w:val="font11"/>
    <w:basedOn w:val="24"/>
    <w:qFormat/>
    <w:uiPriority w:val="0"/>
    <w:rPr>
      <w:rFonts w:hint="eastAsia" w:ascii="宋体" w:hAnsi="宋体" w:eastAsia="宋体" w:cs="宋体"/>
      <w:color w:val="FF0000"/>
      <w:sz w:val="20"/>
      <w:szCs w:val="20"/>
      <w:u w:val="none"/>
    </w:rPr>
  </w:style>
  <w:style w:type="character" w:customStyle="1" w:styleId="47">
    <w:name w:val="font31"/>
    <w:basedOn w:val="24"/>
    <w:qFormat/>
    <w:uiPriority w:val="0"/>
    <w:rPr>
      <w:rFonts w:hint="default" w:ascii="Times New Roman" w:hAnsi="Times New Roman" w:cs="Times New Roman"/>
      <w:color w:val="FF0000"/>
      <w:sz w:val="21"/>
      <w:szCs w:val="21"/>
      <w:u w:val="none"/>
    </w:rPr>
  </w:style>
  <w:style w:type="character" w:customStyle="1" w:styleId="48">
    <w:name w:val="font41"/>
    <w:basedOn w:val="24"/>
    <w:qFormat/>
    <w:uiPriority w:val="0"/>
    <w:rPr>
      <w:rFonts w:hint="eastAsia" w:ascii="宋体" w:hAnsi="宋体" w:eastAsia="宋体" w:cs="宋体"/>
      <w:color w:val="FF0000"/>
      <w:sz w:val="21"/>
      <w:szCs w:val="21"/>
      <w:u w:val="none"/>
    </w:rPr>
  </w:style>
  <w:style w:type="paragraph" w:customStyle="1" w:styleId="49">
    <w:name w:val="_Style 2"/>
    <w:basedOn w:val="1"/>
    <w:qFormat/>
    <w:uiPriority w:val="34"/>
    <w:pPr>
      <w:widowControl/>
      <w:ind w:firstLine="420" w:firstLineChars="200"/>
      <w:jc w:val="left"/>
    </w:pPr>
    <w:rPr>
      <w:rFonts w:ascii="宋体" w:hAnsi="宋体" w:cs="宋体"/>
      <w:kern w:val="0"/>
      <w:sz w:val="24"/>
    </w:rPr>
  </w:style>
  <w:style w:type="character" w:customStyle="1" w:styleId="50">
    <w:name w:val="font71"/>
    <w:basedOn w:val="24"/>
    <w:qFormat/>
    <w:uiPriority w:val="0"/>
    <w:rPr>
      <w:rFonts w:hint="eastAsia" w:ascii="宋体" w:hAnsi="宋体" w:eastAsia="宋体" w:cs="宋体"/>
      <w:color w:val="000000"/>
      <w:sz w:val="28"/>
      <w:szCs w:val="28"/>
      <w:u w:val="none"/>
    </w:rPr>
  </w:style>
  <w:style w:type="paragraph" w:customStyle="1" w:styleId="51">
    <w:name w:val="方案正文"/>
    <w:basedOn w:val="1"/>
    <w:qFormat/>
    <w:uiPriority w:val="0"/>
    <w:pPr>
      <w:spacing w:before="156" w:line="360" w:lineRule="auto"/>
      <w:ind w:firstLine="359" w:firstLineChars="171"/>
      <w:jc w:val="left"/>
    </w:pPr>
    <w:rPr>
      <w:sz w:val="24"/>
    </w:rPr>
  </w:style>
  <w:style w:type="paragraph" w:customStyle="1" w:styleId="52">
    <w:name w:val="GF报告一级标题"/>
    <w:basedOn w:val="1"/>
    <w:qFormat/>
    <w:uiPriority w:val="0"/>
    <w:pPr>
      <w:widowControl/>
      <w:adjustRightInd w:val="0"/>
      <w:spacing w:before="360" w:after="360" w:line="360" w:lineRule="auto"/>
      <w:jc w:val="left"/>
      <w:textAlignment w:val="baseline"/>
    </w:pPr>
    <w:rPr>
      <w:rFonts w:ascii="黑体" w:hAnsi="Times New Roman" w:eastAsia="黑体" w:cs="Times New Roman"/>
      <w:kern w:val="0"/>
      <w:szCs w:val="20"/>
    </w:rPr>
  </w:style>
  <w:style w:type="paragraph" w:customStyle="1" w:styleId="53">
    <w:name w:val="GF报告正文"/>
    <w:basedOn w:val="1"/>
    <w:qFormat/>
    <w:uiPriority w:val="0"/>
    <w:pPr>
      <w:widowControl/>
      <w:adjustRightInd w:val="0"/>
      <w:spacing w:line="360" w:lineRule="atLeast"/>
      <w:ind w:firstLine="431"/>
      <w:jc w:val="left"/>
      <w:textAlignment w:val="baseline"/>
    </w:pPr>
    <w:rPr>
      <w:rFonts w:ascii="黑体"/>
      <w:kern w:val="0"/>
      <w:szCs w:val="20"/>
    </w:rPr>
  </w:style>
  <w:style w:type="paragraph" w:customStyle="1" w:styleId="54">
    <w:name w:val="GF报告二级标题"/>
    <w:basedOn w:val="1"/>
    <w:qFormat/>
    <w:uiPriority w:val="0"/>
    <w:pPr>
      <w:widowControl/>
      <w:adjustRightInd w:val="0"/>
      <w:spacing w:line="360" w:lineRule="atLeast"/>
      <w:jc w:val="left"/>
      <w:textAlignment w:val="baseline"/>
    </w:pPr>
    <w:rPr>
      <w:rFonts w:ascii="黑体" w:hAnsi="Times New Roman" w:eastAsia="黑体" w:cs="Times New Roman"/>
      <w:kern w:val="0"/>
      <w:szCs w:val="20"/>
    </w:rPr>
  </w:style>
  <w:style w:type="paragraph" w:customStyle="1" w:styleId="55">
    <w:name w:val="无间隔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6">
    <w:name w:val="redfilenumber"/>
    <w:basedOn w:val="24"/>
    <w:qFormat/>
    <w:uiPriority w:val="0"/>
    <w:rPr>
      <w:color w:val="BA2636"/>
      <w:sz w:val="18"/>
      <w:szCs w:val="18"/>
    </w:rPr>
  </w:style>
  <w:style w:type="character" w:customStyle="1" w:styleId="57">
    <w:name w:val="gjfg"/>
    <w:basedOn w:val="24"/>
    <w:qFormat/>
    <w:uiPriority w:val="0"/>
  </w:style>
  <w:style w:type="character" w:customStyle="1" w:styleId="58">
    <w:name w:val="qxdate"/>
    <w:basedOn w:val="24"/>
    <w:qFormat/>
    <w:uiPriority w:val="0"/>
    <w:rPr>
      <w:color w:val="333333"/>
      <w:sz w:val="18"/>
      <w:szCs w:val="18"/>
    </w:rPr>
  </w:style>
  <w:style w:type="character" w:customStyle="1" w:styleId="59">
    <w:name w:val="redfilefwwh"/>
    <w:basedOn w:val="24"/>
    <w:qFormat/>
    <w:uiPriority w:val="0"/>
    <w:rPr>
      <w:color w:val="BA2636"/>
      <w:sz w:val="18"/>
      <w:szCs w:val="18"/>
    </w:rPr>
  </w:style>
  <w:style w:type="character" w:customStyle="1" w:styleId="60">
    <w:name w:val="cfdate"/>
    <w:basedOn w:val="24"/>
    <w:qFormat/>
    <w:uiPriority w:val="0"/>
    <w:rPr>
      <w:color w:val="333333"/>
      <w:sz w:val="18"/>
      <w:szCs w:val="18"/>
    </w:rPr>
  </w:style>
  <w:style w:type="character" w:customStyle="1" w:styleId="61">
    <w:name w:val="displayarti"/>
    <w:basedOn w:val="24"/>
    <w:qFormat/>
    <w:uiPriority w:val="0"/>
    <w:rPr>
      <w:color w:val="FFFFFF"/>
      <w:shd w:val="clear" w:color="auto" w:fill="A00000"/>
    </w:rPr>
  </w:style>
  <w:style w:type="paragraph" w:styleId="62">
    <w:name w:val="List Paragraph"/>
    <w:basedOn w:val="1"/>
    <w:qFormat/>
    <w:uiPriority w:val="34"/>
    <w:pPr>
      <w:ind w:left="720"/>
      <w:contextualSpacing/>
    </w:pPr>
  </w:style>
  <w:style w:type="character" w:customStyle="1" w:styleId="63">
    <w:name w:val="标题 1 Char"/>
    <w:link w:val="5"/>
    <w:qFormat/>
    <w:uiPriority w:val="0"/>
    <w:rPr>
      <w:b/>
      <w:bCs/>
      <w:kern w:val="44"/>
      <w:sz w:val="44"/>
      <w:szCs w:val="44"/>
    </w:rPr>
  </w:style>
  <w:style w:type="character" w:customStyle="1" w:styleId="64">
    <w:name w:val="hover5"/>
    <w:basedOn w:val="24"/>
    <w:qFormat/>
    <w:uiPriority w:val="0"/>
    <w:rPr>
      <w:color w:val="0063BA"/>
    </w:rPr>
  </w:style>
  <w:style w:type="character" w:customStyle="1" w:styleId="65">
    <w:name w:val="before"/>
    <w:basedOn w:val="24"/>
    <w:qFormat/>
    <w:uiPriority w:val="0"/>
    <w:rPr>
      <w:shd w:val="clear" w:fill="E22323"/>
    </w:rPr>
  </w:style>
  <w:style w:type="paragraph" w:customStyle="1" w:styleId="66">
    <w:name w:val="Table Paragraph"/>
    <w:basedOn w:val="1"/>
    <w:qFormat/>
    <w:uiPriority w:val="1"/>
    <w:rPr>
      <w:rFonts w:ascii="宋体" w:hAnsi="宋体" w:eastAsia="宋体" w:cs="宋体"/>
      <w:lang w:val="zh-CN" w:eastAsia="zh-CN" w:bidi="zh-CN"/>
    </w:rPr>
  </w:style>
  <w:style w:type="paragraph" w:customStyle="1" w:styleId="67">
    <w:name w:val="_Style 3"/>
    <w:qFormat/>
    <w:uiPriority w:val="1"/>
    <w:pPr>
      <w:widowControl w:val="0"/>
      <w:jc w:val="both"/>
    </w:pPr>
    <w:rPr>
      <w:rFonts w:ascii="Calibri" w:hAnsi="Calibri" w:eastAsia="宋体" w:cs="Times New Roman"/>
      <w:kern w:val="2"/>
      <w:sz w:val="21"/>
      <w:szCs w:val="22"/>
      <w:lang w:val="en-US" w:eastAsia="zh-CN" w:bidi="ar-SA"/>
    </w:rPr>
  </w:style>
  <w:style w:type="character" w:customStyle="1" w:styleId="68">
    <w:name w:val="prev"/>
    <w:basedOn w:val="24"/>
    <w:qFormat/>
    <w:uiPriority w:val="0"/>
    <w:rPr>
      <w:rFonts w:ascii="微软雅黑" w:hAnsi="微软雅黑" w:eastAsia="微软雅黑" w:cs="微软雅黑"/>
      <w:sz w:val="21"/>
      <w:szCs w:val="21"/>
    </w:rPr>
  </w:style>
  <w:style w:type="character" w:customStyle="1" w:styleId="69">
    <w:name w:val="prev1"/>
    <w:basedOn w:val="24"/>
    <w:qFormat/>
    <w:uiPriority w:val="0"/>
    <w:rPr>
      <w:color w:val="888888"/>
    </w:rPr>
  </w:style>
  <w:style w:type="character" w:customStyle="1" w:styleId="70">
    <w:name w:val="next"/>
    <w:basedOn w:val="24"/>
    <w:qFormat/>
    <w:uiPriority w:val="0"/>
    <w:rPr>
      <w:rFonts w:hint="eastAsia" w:ascii="微软雅黑" w:hAnsi="微软雅黑" w:eastAsia="微软雅黑" w:cs="微软雅黑"/>
      <w:sz w:val="21"/>
      <w:szCs w:val="21"/>
    </w:rPr>
  </w:style>
  <w:style w:type="character" w:customStyle="1" w:styleId="71">
    <w:name w:val="next1"/>
    <w:basedOn w:val="24"/>
    <w:qFormat/>
    <w:uiPriority w:val="0"/>
    <w:rPr>
      <w:color w:val="888888"/>
    </w:rPr>
  </w:style>
  <w:style w:type="paragraph" w:customStyle="1" w:styleId="72">
    <w:name w:val="Table Text"/>
    <w:basedOn w:val="1"/>
    <w:autoRedefine/>
    <w:qFormat/>
    <w:uiPriority w:val="0"/>
    <w:rPr>
      <w:rFonts w:ascii="宋体" w:hAnsi="宋体" w:cs="宋体"/>
      <w:sz w:val="20"/>
      <w:szCs w:val="20"/>
    </w:rPr>
  </w:style>
  <w:style w:type="paragraph" w:customStyle="1" w:styleId="7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74">
    <w:name w:val="列出段落1"/>
    <w:basedOn w:val="1"/>
    <w:qFormat/>
    <w:uiPriority w:val="0"/>
    <w:pPr>
      <w:ind w:firstLine="420" w:firstLineChars="200"/>
    </w:pPr>
    <w:rPr>
      <w:szCs w:val="21"/>
    </w:rPr>
  </w:style>
  <w:style w:type="paragraph" w:customStyle="1" w:styleId="75">
    <w:name w:val="HtmlNormal"/>
    <w:basedOn w:val="1"/>
    <w:autoRedefine/>
    <w:qFormat/>
    <w:uiPriority w:val="0"/>
    <w:pPr>
      <w:spacing w:before="100" w:beforeAutospacing="1" w:after="100" w:afterAutospacing="1"/>
    </w:pPr>
    <w:rPr>
      <w:rFonts w:ascii="宋体" w:hAnsi="宋体"/>
      <w:sz w:val="24"/>
      <w:szCs w:val="24"/>
      <w:lang w:eastAsia="zh-CN"/>
    </w:rPr>
  </w:style>
  <w:style w:type="character" w:customStyle="1" w:styleId="76">
    <w:name w:val="NormalCharacter"/>
    <w:autoRedefine/>
    <w:qFormat/>
    <w:uiPriority w:val="0"/>
    <w:rPr>
      <w:rFonts w:ascii="Times New Roman" w:hAnsi="Times New Roman"/>
      <w:kern w:val="2"/>
      <w:sz w:val="21"/>
      <w:lang w:val="en-US" w:eastAsia="zh-CN" w:bidi="ar-SA"/>
    </w:rPr>
  </w:style>
  <w:style w:type="paragraph" w:customStyle="1" w:styleId="77">
    <w:name w:val="首行缩进"/>
    <w:basedOn w:val="1"/>
    <w:autoRedefine/>
    <w:qFormat/>
    <w:uiPriority w:val="0"/>
    <w:pPr>
      <w:numPr>
        <w:ilvl w:val="0"/>
        <w:numId w:val="1"/>
      </w:numPr>
      <w:spacing w:line="360" w:lineRule="auto"/>
    </w:pPr>
    <w:rPr>
      <w:rFonts w:eastAsia="仿宋_GB2312"/>
    </w:rPr>
  </w:style>
  <w:style w:type="paragraph" w:customStyle="1" w:styleId="78">
    <w:name w:val="CM11"/>
    <w:basedOn w:val="39"/>
    <w:next w:val="39"/>
    <w:autoRedefine/>
    <w:qFormat/>
    <w:uiPriority w:val="0"/>
    <w:pPr>
      <w:spacing w:line="520" w:lineRule="atLeast"/>
    </w:pPr>
  </w:style>
  <w:style w:type="paragraph" w:customStyle="1" w:styleId="79">
    <w:name w:val="CM13"/>
    <w:basedOn w:val="39"/>
    <w:next w:val="39"/>
    <w:autoRedefine/>
    <w:qFormat/>
    <w:uiPriority w:val="0"/>
    <w:pPr>
      <w:spacing w:line="520" w:lineRule="atLeast"/>
    </w:pPr>
  </w:style>
  <w:style w:type="paragraph" w:customStyle="1" w:styleId="80">
    <w:name w:val="CM14"/>
    <w:basedOn w:val="39"/>
    <w:next w:val="39"/>
    <w:autoRedefine/>
    <w:qFormat/>
    <w:uiPriority w:val="0"/>
    <w:pPr>
      <w:spacing w:line="546" w:lineRule="atLeast"/>
    </w:pPr>
  </w:style>
  <w:style w:type="paragraph" w:customStyle="1" w:styleId="81">
    <w:name w:val="BodyText"/>
    <w:basedOn w:val="1"/>
    <w:next w:val="14"/>
    <w:autoRedefine/>
    <w:qFormat/>
    <w:uiPriority w:val="0"/>
    <w:pPr>
      <w:spacing w:after="120"/>
      <w:jc w:val="both"/>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109</Pages>
  <Words>16539</Words>
  <Characters>17614</Characters>
  <Lines>215</Lines>
  <Paragraphs>60</Paragraphs>
  <TotalTime>3</TotalTime>
  <ScaleCrop>false</ScaleCrop>
  <LinksUpToDate>false</LinksUpToDate>
  <CharactersWithSpaces>17871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2017-07-20T02:31:00Z</dcterms:created>
  <dc:creator>Administrator</dc:creator>
  <cp:lastModifiedBy>Administrator</cp:lastModifiedBy>
  <cp:lastPrinted>2020-12-07T01:09:00Z</cp:lastPrinted>
  <dcterms:modified xsi:type="dcterms:W3CDTF">2025-04-21T07:03:56Z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eyJoZGlkIjoiNTg3MWVkNzUwOTA0MGE3NjU3YTEzN2VhNmZhMTE1ZjAiLCJ1c2VySWQiOiI0ODU1NDk1MTkifQ==</vt:lpwstr>
  </property>
  <property fmtid="{D5CDD505-2E9C-101B-9397-08002B2CF9AE}" pid="4" name="ICV">
    <vt:lpwstr>14649CF3CDD743F4B9ADA93300CC086E_12</vt:lpwstr>
  </property>
</Properties>
</file>