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C00465">
      <w:pPr>
        <w:overflowPunct/>
        <w:bidi w:val="0"/>
        <w:jc w:val="center"/>
        <w:outlineLvl w:val="9"/>
        <w:rPr>
          <w:rFonts w:ascii="黑体" w:eastAsia="黑体"/>
          <w:b/>
          <w:bCs/>
          <w:color w:val="000000" w:themeColor="text1"/>
          <w:sz w:val="100"/>
          <w:szCs w:val="100"/>
          <w:highlight w:val="none"/>
          <w14:textFill>
            <w14:solidFill>
              <w14:schemeClr w14:val="tx1"/>
            </w14:solidFill>
          </w14:textFill>
        </w:rPr>
      </w:pPr>
      <w:r>
        <w:rPr>
          <w:rFonts w:hint="eastAsia" w:ascii="微软雅黑" w:hAnsi="微软雅黑" w:eastAsia="微软雅黑" w:cs="微软雅黑"/>
          <w:b w:val="0"/>
          <w:bCs/>
          <w:color w:val="000000" w:themeColor="text1"/>
          <w:spacing w:val="-6"/>
          <w:sz w:val="60"/>
          <w:szCs w:val="60"/>
          <w:highlight w:val="none"/>
          <w:lang w:eastAsia="zh-CN"/>
          <w14:textFill>
            <w14:solidFill>
              <w14:schemeClr w14:val="tx1"/>
            </w14:solidFill>
          </w14:textFill>
        </w:rPr>
        <w:t>2025年食品抽检项目</w:t>
      </w:r>
    </w:p>
    <w:p w14:paraId="6359D3A8">
      <w:pPr>
        <w:overflowPunct/>
        <w:bidi w:val="0"/>
        <w:jc w:val="center"/>
        <w:outlineLvl w:val="9"/>
        <w:rPr>
          <w:rFonts w:ascii="黑体" w:eastAsia="黑体"/>
          <w:b/>
          <w:bCs/>
          <w:color w:val="000000" w:themeColor="text1"/>
          <w:sz w:val="100"/>
          <w:szCs w:val="100"/>
          <w:highlight w:val="none"/>
          <w14:textFill>
            <w14:solidFill>
              <w14:schemeClr w14:val="tx1"/>
            </w14:solidFill>
          </w14:textFill>
        </w:rPr>
      </w:pPr>
    </w:p>
    <w:p w14:paraId="298C79B9">
      <w:pPr>
        <w:overflowPunct/>
        <w:bidi w:val="0"/>
        <w:jc w:val="center"/>
        <w:outlineLvl w:val="9"/>
        <w:rPr>
          <w:rFonts w:ascii="黑体" w:eastAsia="黑体"/>
          <w:b/>
          <w:bCs/>
          <w:color w:val="000000" w:themeColor="text1"/>
          <w:sz w:val="100"/>
          <w:szCs w:val="100"/>
          <w:highlight w:val="none"/>
          <w14:textFill>
            <w14:solidFill>
              <w14:schemeClr w14:val="tx1"/>
            </w14:solidFill>
          </w14:textFill>
        </w:rPr>
      </w:pPr>
    </w:p>
    <w:p w14:paraId="2FB6FE23">
      <w:pPr>
        <w:overflowPunct/>
        <w:bidi w:val="0"/>
        <w:jc w:val="center"/>
        <w:outlineLvl w:val="9"/>
        <w:rPr>
          <w:rFonts w:ascii="黑体" w:eastAsia="黑体"/>
          <w:b/>
          <w:bCs/>
          <w:color w:val="000000" w:themeColor="text1"/>
          <w:sz w:val="72"/>
          <w:szCs w:val="72"/>
          <w:highlight w:val="none"/>
          <w14:textFill>
            <w14:solidFill>
              <w14:schemeClr w14:val="tx1"/>
            </w14:solidFill>
          </w14:textFill>
        </w:rPr>
      </w:pPr>
      <w:bookmarkStart w:id="0" w:name="_Toc10358"/>
      <w:r>
        <w:rPr>
          <w:rFonts w:hint="eastAsia" w:ascii="微软雅黑" w:hAnsi="微软雅黑" w:eastAsia="微软雅黑" w:cs="微软雅黑"/>
          <w:b w:val="0"/>
          <w:bCs w:val="0"/>
          <w:color w:val="000000" w:themeColor="text1"/>
          <w:sz w:val="96"/>
          <w:szCs w:val="96"/>
          <w:highlight w:val="none"/>
          <w14:textFill>
            <w14:solidFill>
              <w14:schemeClr w14:val="tx1"/>
            </w14:solidFill>
          </w14:textFill>
        </w:rPr>
        <w:t>竞争性磋商文件</w:t>
      </w:r>
      <w:bookmarkEnd w:id="0"/>
    </w:p>
    <w:p w14:paraId="0A0FC067">
      <w:pPr>
        <w:overflowPunct/>
        <w:bidi w:val="0"/>
        <w:adjustRightInd w:val="0"/>
        <w:spacing w:line="360" w:lineRule="auto"/>
        <w:jc w:val="center"/>
        <w:outlineLvl w:val="9"/>
        <w:rPr>
          <w:rFonts w:ascii="黑体" w:hAnsi="宋体" w:eastAsia="黑体" w:cs="宋体"/>
          <w:b/>
          <w:color w:val="000000" w:themeColor="text1"/>
          <w:sz w:val="32"/>
          <w:szCs w:val="32"/>
          <w:highlight w:val="none"/>
          <w14:textFill>
            <w14:solidFill>
              <w14:schemeClr w14:val="tx1"/>
            </w14:solidFill>
          </w14:textFill>
        </w:rPr>
      </w:pPr>
    </w:p>
    <w:p w14:paraId="6E66CBF0">
      <w:pPr>
        <w:overflowPunct/>
        <w:bidi w:val="0"/>
        <w:spacing w:afterLines="100" w:line="480" w:lineRule="auto"/>
        <w:jc w:val="center"/>
        <w:outlineLvl w:val="9"/>
        <w:rPr>
          <w:rFonts w:hint="default" w:ascii="黑体" w:hAnsi="宋体" w:eastAsia="黑体"/>
          <w:b/>
          <w:color w:val="000000" w:themeColor="text1"/>
          <w:sz w:val="32"/>
          <w:szCs w:val="32"/>
          <w:highlight w:val="none"/>
          <w:lang w:val="en-US" w:eastAsia="zh-CN"/>
          <w14:textFill>
            <w14:solidFill>
              <w14:schemeClr w14:val="tx1"/>
            </w14:solidFill>
          </w14:textFill>
        </w:rPr>
      </w:pPr>
      <w:bookmarkStart w:id="1" w:name="_Toc19276"/>
      <w:r>
        <w:rPr>
          <w:rFonts w:hint="eastAsia" w:ascii="黑体" w:hAnsi="宋体" w:eastAsia="黑体"/>
          <w:b/>
          <w:color w:val="000000" w:themeColor="text1"/>
          <w:sz w:val="32"/>
          <w:szCs w:val="32"/>
          <w:highlight w:val="none"/>
          <w:lang w:val="zh-CN" w:eastAsia="zh-CN"/>
          <w14:textFill>
            <w14:solidFill>
              <w14:schemeClr w14:val="tx1"/>
            </w14:solidFill>
          </w14:textFill>
        </w:rPr>
        <w:t>项目编号：</w:t>
      </w:r>
      <w:bookmarkEnd w:id="1"/>
      <w:r>
        <w:rPr>
          <w:rFonts w:hint="eastAsia" w:ascii="黑体" w:hAnsi="宋体" w:eastAsia="黑体"/>
          <w:b/>
          <w:color w:val="000000" w:themeColor="text1"/>
          <w:sz w:val="32"/>
          <w:szCs w:val="32"/>
          <w:highlight w:val="none"/>
          <w:lang w:val="zh-CN" w:eastAsia="zh-CN"/>
          <w14:textFill>
            <w14:solidFill>
              <w14:schemeClr w14:val="tx1"/>
            </w14:solidFill>
          </w14:textFill>
        </w:rPr>
        <w:t>JLBSYJ-2025010</w:t>
      </w:r>
    </w:p>
    <w:p w14:paraId="09409490">
      <w:pPr>
        <w:overflowPunct/>
        <w:bidi w:val="0"/>
        <w:adjustRightInd w:val="0"/>
        <w:spacing w:line="360" w:lineRule="auto"/>
        <w:jc w:val="center"/>
        <w:outlineLvl w:val="9"/>
        <w:rPr>
          <w:rFonts w:hint="default" w:ascii="黑体" w:hAnsi="宋体" w:eastAsia="黑体" w:cs="宋体"/>
          <w:b/>
          <w:color w:val="000000" w:themeColor="text1"/>
          <w:sz w:val="32"/>
          <w:szCs w:val="32"/>
          <w:highlight w:val="none"/>
          <w:lang w:val="en-US" w:eastAsia="zh-CN"/>
          <w14:textFill>
            <w14:solidFill>
              <w14:schemeClr w14:val="tx1"/>
            </w14:solidFill>
          </w14:textFill>
        </w:rPr>
      </w:pPr>
    </w:p>
    <w:p w14:paraId="4E32F4E8">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17478B01">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2FFD77E0">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21D7ABA8">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08F2F4DC">
      <w:pPr>
        <w:overflowPunct/>
        <w:bidi w:val="0"/>
        <w:adjustRightInd w:val="0"/>
        <w:spacing w:line="360" w:lineRule="auto"/>
        <w:outlineLvl w:val="9"/>
        <w:rPr>
          <w:rFonts w:ascii="黑体" w:hAnsi="宋体" w:eastAsia="黑体" w:cs="宋体"/>
          <w:b/>
          <w:color w:val="000000" w:themeColor="text1"/>
          <w:sz w:val="24"/>
          <w:highlight w:val="none"/>
          <w:lang w:val="zh-CN"/>
          <w14:textFill>
            <w14:solidFill>
              <w14:schemeClr w14:val="tx1"/>
            </w14:solidFill>
          </w14:textFill>
        </w:rPr>
      </w:pPr>
    </w:p>
    <w:p w14:paraId="63FA3210">
      <w:pPr>
        <w:overflowPunct/>
        <w:bidi w:val="0"/>
        <w:spacing w:afterLines="100" w:line="480" w:lineRule="auto"/>
        <w:jc w:val="center"/>
        <w:outlineLvl w:val="9"/>
        <w:rPr>
          <w:rFonts w:hint="default" w:ascii="黑体" w:hAnsi="宋体" w:eastAsia="黑体"/>
          <w:b/>
          <w:color w:val="000000" w:themeColor="text1"/>
          <w:sz w:val="32"/>
          <w:szCs w:val="32"/>
          <w:highlight w:val="none"/>
          <w:lang w:val="en-US" w:eastAsia="zh-CN"/>
          <w14:textFill>
            <w14:solidFill>
              <w14:schemeClr w14:val="tx1"/>
            </w14:solidFill>
          </w14:textFill>
        </w:rPr>
      </w:pPr>
      <w:bookmarkStart w:id="2" w:name="_Toc29332"/>
      <w:r>
        <w:rPr>
          <w:rFonts w:hint="eastAsia" w:ascii="黑体" w:hAnsi="宋体" w:eastAsia="黑体"/>
          <w:b/>
          <w:color w:val="000000" w:themeColor="text1"/>
          <w:sz w:val="32"/>
          <w:szCs w:val="32"/>
          <w:highlight w:val="none"/>
          <w14:textFill>
            <w14:solidFill>
              <w14:schemeClr w14:val="tx1"/>
            </w14:solidFill>
          </w14:textFill>
        </w:rPr>
        <w:t>采   购   人</w:t>
      </w:r>
      <w:r>
        <w:rPr>
          <w:rFonts w:hint="eastAsia" w:ascii="黑体" w:hAnsi="宋体" w:eastAsia="黑体"/>
          <w:b/>
          <w:color w:val="000000" w:themeColor="text1"/>
          <w:sz w:val="32"/>
          <w:szCs w:val="32"/>
          <w:highlight w:val="none"/>
          <w:lang w:eastAsia="zh-CN"/>
          <w14:textFill>
            <w14:solidFill>
              <w14:schemeClr w14:val="tx1"/>
            </w14:solidFill>
          </w14:textFill>
        </w:rPr>
        <w:t>：</w:t>
      </w:r>
      <w:bookmarkEnd w:id="2"/>
      <w:r>
        <w:rPr>
          <w:rFonts w:hint="eastAsia" w:ascii="黑体" w:hAnsi="宋体" w:eastAsia="黑体"/>
          <w:b/>
          <w:color w:val="000000" w:themeColor="text1"/>
          <w:sz w:val="32"/>
          <w:szCs w:val="32"/>
          <w:highlight w:val="none"/>
          <w:lang w:val="en-US" w:eastAsia="zh-CN"/>
          <w14:textFill>
            <w14:solidFill>
              <w14:schemeClr w14:val="tx1"/>
            </w14:solidFill>
          </w14:textFill>
        </w:rPr>
        <w:t>延吉市市场监督管理局</w:t>
      </w:r>
    </w:p>
    <w:p w14:paraId="4FB07E3E">
      <w:pPr>
        <w:overflowPunct/>
        <w:bidi w:val="0"/>
        <w:spacing w:afterLines="100" w:line="480" w:lineRule="auto"/>
        <w:jc w:val="center"/>
        <w:outlineLvl w:val="9"/>
        <w:rPr>
          <w:rFonts w:hint="default" w:ascii="黑体" w:hAnsi="宋体" w:eastAsia="黑体"/>
          <w:b/>
          <w:color w:val="000000" w:themeColor="text1"/>
          <w:sz w:val="32"/>
          <w:szCs w:val="32"/>
          <w:highlight w:val="none"/>
          <w:lang w:val="en-US" w:eastAsia="zh-CN"/>
          <w14:textFill>
            <w14:solidFill>
              <w14:schemeClr w14:val="tx1"/>
            </w14:solidFill>
          </w14:textFill>
        </w:rPr>
      </w:pPr>
      <w:bookmarkStart w:id="3" w:name="_Toc10641"/>
      <w:r>
        <w:rPr>
          <w:rFonts w:hint="eastAsia" w:ascii="黑体" w:hAnsi="宋体" w:eastAsia="黑体"/>
          <w:b/>
          <w:color w:val="000000" w:themeColor="text1"/>
          <w:sz w:val="32"/>
          <w:szCs w:val="32"/>
          <w:highlight w:val="none"/>
          <w:lang w:val="en-US" w:eastAsia="zh-CN"/>
          <w14:textFill>
            <w14:solidFill>
              <w14:schemeClr w14:val="tx1"/>
            </w14:solidFill>
          </w14:textFill>
        </w:rPr>
        <w:t>采购代理机构：</w:t>
      </w:r>
      <w:bookmarkEnd w:id="3"/>
      <w:r>
        <w:rPr>
          <w:rFonts w:hint="eastAsia" w:ascii="黑体" w:hAnsi="宋体" w:eastAsia="黑体"/>
          <w:b/>
          <w:color w:val="000000" w:themeColor="text1"/>
          <w:sz w:val="32"/>
          <w:szCs w:val="32"/>
          <w:highlight w:val="none"/>
          <w:lang w:val="en-US" w:eastAsia="zh-CN"/>
          <w14:textFill>
            <w14:solidFill>
              <w14:schemeClr w14:val="tx1"/>
            </w14:solidFill>
          </w14:textFill>
        </w:rPr>
        <w:t>吉林省百顺工程管理有限公司</w:t>
      </w:r>
    </w:p>
    <w:p w14:paraId="5EE89CCD">
      <w:pPr>
        <w:overflowPunct/>
        <w:bidi w:val="0"/>
        <w:spacing w:afterLines="100" w:line="480" w:lineRule="auto"/>
        <w:jc w:val="center"/>
        <w:outlineLvl w:val="9"/>
        <w:rPr>
          <w:rFonts w:hint="eastAsia" w:ascii="黑体" w:hAnsi="宋体" w:eastAsia="黑体"/>
          <w:b/>
          <w:color w:val="000000" w:themeColor="text1"/>
          <w:sz w:val="32"/>
          <w:szCs w:val="32"/>
          <w:highlight w:val="none"/>
          <w:lang w:val="en-US" w:eastAsia="zh-CN"/>
          <w14:textFill>
            <w14:solidFill>
              <w14:schemeClr w14:val="tx1"/>
            </w14:solidFill>
          </w14:textFill>
        </w:rPr>
      </w:pPr>
      <w:bookmarkStart w:id="4" w:name="_Toc10637"/>
      <w:r>
        <w:rPr>
          <w:rFonts w:hint="eastAsia" w:ascii="黑体" w:hAnsi="宋体" w:eastAsia="黑体"/>
          <w:b/>
          <w:color w:val="000000" w:themeColor="text1"/>
          <w:sz w:val="32"/>
          <w:szCs w:val="32"/>
          <w:highlight w:val="none"/>
          <w:lang w:val="en-US" w:eastAsia="zh-CN"/>
          <w14:textFill>
            <w14:solidFill>
              <w14:schemeClr w14:val="tx1"/>
            </w14:solidFill>
          </w14:textFill>
        </w:rPr>
        <w:t>日期：</w:t>
      </w:r>
      <w:r>
        <w:rPr>
          <w:rFonts w:hint="eastAsia" w:ascii="黑体" w:hAnsi="宋体" w:eastAsia="黑体"/>
          <w:b/>
          <w:bCs/>
          <w:color w:val="000000" w:themeColor="text1"/>
          <w:sz w:val="32"/>
          <w:szCs w:val="32"/>
          <w:highlight w:val="none"/>
          <w14:textFill>
            <w14:solidFill>
              <w14:schemeClr w14:val="tx1"/>
            </w14:solidFill>
          </w14:textFill>
        </w:rPr>
        <w:t>二</w:t>
      </w:r>
      <w:r>
        <w:rPr>
          <w:rFonts w:hint="eastAsia" w:ascii="黑体" w:hAnsi="黑体" w:eastAsia="黑体" w:cs="黑体"/>
          <w:b/>
          <w:bCs/>
          <w:color w:val="000000" w:themeColor="text1"/>
          <w:sz w:val="32"/>
          <w:szCs w:val="32"/>
          <w:highlight w:val="none"/>
          <w14:textFill>
            <w14:solidFill>
              <w14:schemeClr w14:val="tx1"/>
            </w14:solidFill>
          </w14:textFill>
        </w:rPr>
        <w:t>〇</w:t>
      </w:r>
      <w:r>
        <w:rPr>
          <w:rFonts w:hint="eastAsia" w:ascii="黑体" w:hAnsi="宋体" w:eastAsia="黑体"/>
          <w:b/>
          <w:bCs/>
          <w:color w:val="000000" w:themeColor="text1"/>
          <w:sz w:val="32"/>
          <w:szCs w:val="32"/>
          <w:highlight w:val="none"/>
          <w14:textFill>
            <w14:solidFill>
              <w14:schemeClr w14:val="tx1"/>
            </w14:solidFill>
          </w14:textFill>
        </w:rPr>
        <w:t>二</w:t>
      </w:r>
      <w:r>
        <w:rPr>
          <w:rFonts w:hint="eastAsia" w:ascii="黑体" w:hAnsi="宋体" w:eastAsia="黑体"/>
          <w:b/>
          <w:bCs/>
          <w:color w:val="000000" w:themeColor="text1"/>
          <w:sz w:val="32"/>
          <w:szCs w:val="32"/>
          <w:highlight w:val="none"/>
          <w:lang w:eastAsia="zh-CN"/>
          <w14:textFill>
            <w14:solidFill>
              <w14:schemeClr w14:val="tx1"/>
            </w14:solidFill>
          </w14:textFill>
        </w:rPr>
        <w:t>五</w:t>
      </w:r>
      <w:r>
        <w:rPr>
          <w:rFonts w:hint="eastAsia" w:ascii="黑体" w:hAnsi="宋体" w:eastAsia="黑体"/>
          <w:b/>
          <w:bCs/>
          <w:color w:val="000000" w:themeColor="text1"/>
          <w:sz w:val="32"/>
          <w:szCs w:val="32"/>
          <w:highlight w:val="none"/>
          <w14:textFill>
            <w14:solidFill>
              <w14:schemeClr w14:val="tx1"/>
            </w14:solidFill>
          </w14:textFill>
        </w:rPr>
        <w:t>年</w:t>
      </w:r>
      <w:r>
        <w:rPr>
          <w:rFonts w:hint="eastAsia" w:ascii="黑体" w:hAnsi="宋体" w:eastAsia="黑体"/>
          <w:b/>
          <w:bCs/>
          <w:color w:val="000000" w:themeColor="text1"/>
          <w:sz w:val="32"/>
          <w:szCs w:val="32"/>
          <w:highlight w:val="none"/>
          <w:lang w:val="en-US" w:eastAsia="zh-CN"/>
          <w14:textFill>
            <w14:solidFill>
              <w14:schemeClr w14:val="tx1"/>
            </w14:solidFill>
          </w14:textFill>
        </w:rPr>
        <w:t>四</w:t>
      </w:r>
      <w:r>
        <w:rPr>
          <w:rFonts w:hint="eastAsia" w:ascii="黑体" w:hAnsi="宋体" w:eastAsia="黑体"/>
          <w:b/>
          <w:bCs/>
          <w:color w:val="000000" w:themeColor="text1"/>
          <w:sz w:val="32"/>
          <w:szCs w:val="32"/>
          <w:highlight w:val="none"/>
          <w14:textFill>
            <w14:solidFill>
              <w14:schemeClr w14:val="tx1"/>
            </w14:solidFill>
          </w14:textFill>
        </w:rPr>
        <w:t>月</w:t>
      </w:r>
      <w:bookmarkEnd w:id="4"/>
    </w:p>
    <w:p w14:paraId="32987204">
      <w:pPr>
        <w:overflowPunct/>
        <w:bidi w:val="0"/>
        <w:spacing w:afterLines="100" w:line="480" w:lineRule="auto"/>
        <w:jc w:val="center"/>
        <w:outlineLvl w:val="9"/>
        <w:rPr>
          <w:rFonts w:hint="eastAsia" w:ascii="黑体" w:hAnsi="宋体" w:eastAsia="黑体"/>
          <w:b/>
          <w:color w:val="000000" w:themeColor="text1"/>
          <w:sz w:val="24"/>
          <w:szCs w:val="24"/>
          <w:highlight w:val="none"/>
          <w:lang w:val="en-US" w:eastAsia="zh-CN"/>
          <w14:textFill>
            <w14:solidFill>
              <w14:schemeClr w14:val="tx1"/>
            </w14:solidFill>
          </w14:textFill>
        </w:rPr>
        <w:sectPr>
          <w:headerReference r:id="rId5" w:type="first"/>
          <w:footerReference r:id="rId7" w:type="first"/>
          <w:headerReference r:id="rId3" w:type="default"/>
          <w:headerReference r:id="rId4" w:type="even"/>
          <w:footerReference r:id="rId6" w:type="even"/>
          <w:pgSz w:w="11906" w:h="16838"/>
          <w:pgMar w:top="1191" w:right="1191" w:bottom="1191" w:left="1191" w:header="851" w:footer="992" w:gutter="0"/>
          <w:pgBorders>
            <w:top w:val="none" w:sz="0" w:space="0"/>
            <w:left w:val="none" w:sz="0" w:space="0"/>
            <w:bottom w:val="none" w:sz="0" w:space="0"/>
            <w:right w:val="none" w:sz="0" w:space="0"/>
          </w:pgBorders>
          <w:pgNumType w:start="0"/>
          <w:cols w:space="720" w:num="1"/>
          <w:titlePg/>
          <w:docGrid w:linePitch="312" w:charSpace="0"/>
        </w:sectPr>
      </w:pPr>
    </w:p>
    <w:p w14:paraId="6F1E5E38">
      <w:pPr>
        <w:overflowPunct/>
        <w:bidi w:val="0"/>
        <w:jc w:val="center"/>
        <w:outlineLvl w:val="9"/>
        <w:rPr>
          <w:rFonts w:hint="eastAsia"/>
          <w:b/>
          <w:bCs/>
          <w:color w:val="000000" w:themeColor="text1"/>
          <w:sz w:val="36"/>
          <w:szCs w:val="44"/>
          <w:highlight w:val="none"/>
          <w:lang w:eastAsia="zh-CN"/>
          <w14:textFill>
            <w14:solidFill>
              <w14:schemeClr w14:val="tx1"/>
            </w14:solidFill>
          </w14:textFill>
        </w:rPr>
      </w:pPr>
      <w:r>
        <w:rPr>
          <w:rFonts w:hint="eastAsia"/>
          <w:b/>
          <w:bCs/>
          <w:color w:val="000000" w:themeColor="text1"/>
          <w:sz w:val="36"/>
          <w:szCs w:val="44"/>
          <w:highlight w:val="none"/>
          <w:lang w:eastAsia="zh-CN"/>
          <w14:textFill>
            <w14:solidFill>
              <w14:schemeClr w14:val="tx1"/>
            </w14:solidFill>
          </w14:textFill>
        </w:rPr>
        <w:t>目</w:t>
      </w:r>
      <w:r>
        <w:rPr>
          <w:rFonts w:hint="eastAsia"/>
          <w:b/>
          <w:bCs/>
          <w:color w:val="000000" w:themeColor="text1"/>
          <w:sz w:val="36"/>
          <w:szCs w:val="44"/>
          <w:highlight w:val="none"/>
          <w:lang w:val="en-US" w:eastAsia="zh-CN"/>
          <w14:textFill>
            <w14:solidFill>
              <w14:schemeClr w14:val="tx1"/>
            </w14:solidFill>
          </w14:textFill>
        </w:rPr>
        <w:t xml:space="preserve">  </w:t>
      </w:r>
      <w:r>
        <w:rPr>
          <w:rFonts w:hint="eastAsia"/>
          <w:b/>
          <w:bCs/>
          <w:color w:val="000000" w:themeColor="text1"/>
          <w:sz w:val="36"/>
          <w:szCs w:val="44"/>
          <w:highlight w:val="none"/>
          <w:lang w:eastAsia="zh-CN"/>
          <w14:textFill>
            <w14:solidFill>
              <w14:schemeClr w14:val="tx1"/>
            </w14:solidFill>
          </w14:textFill>
        </w:rPr>
        <w:t>录</w:t>
      </w:r>
    </w:p>
    <w:p w14:paraId="09C724D9">
      <w:pPr>
        <w:overflowPunct/>
        <w:bidi w:val="0"/>
        <w:jc w:val="center"/>
        <w:outlineLvl w:val="9"/>
        <w:rPr>
          <w:rFonts w:hint="eastAsia"/>
          <w:b/>
          <w:bCs/>
          <w:color w:val="000000" w:themeColor="text1"/>
          <w:sz w:val="36"/>
          <w:szCs w:val="44"/>
          <w:highlight w:val="none"/>
          <w:lang w:eastAsia="zh-CN"/>
          <w14:textFill>
            <w14:solidFill>
              <w14:schemeClr w14:val="tx1"/>
            </w14:solidFill>
          </w14:textFill>
        </w:rPr>
      </w:pPr>
    </w:p>
    <w:p w14:paraId="0822E30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 w:val="48"/>
          <w:szCs w:val="48"/>
          <w:highlight w:val="none"/>
          <w14:textFill>
            <w14:solidFill>
              <w14:schemeClr w14:val="tx1"/>
            </w14:solidFill>
          </w14:textFill>
        </w:rPr>
        <w:fldChar w:fldCharType="begin"/>
      </w:r>
      <w:r>
        <w:rPr>
          <w:rFonts w:hint="eastAsia" w:ascii="宋体" w:hAnsi="宋体" w:eastAsia="宋体" w:cs="宋体"/>
          <w:color w:val="000000" w:themeColor="text1"/>
          <w:sz w:val="48"/>
          <w:szCs w:val="48"/>
          <w:highlight w:val="none"/>
          <w14:textFill>
            <w14:solidFill>
              <w14:schemeClr w14:val="tx1"/>
            </w14:solidFill>
          </w14:textFill>
        </w:rPr>
        <w:instrText xml:space="preserve">TOC \o "1-1" \h \u </w:instrText>
      </w:r>
      <w:r>
        <w:rPr>
          <w:rFonts w:hint="eastAsia" w:ascii="宋体" w:hAnsi="宋体" w:eastAsia="宋体" w:cs="宋体"/>
          <w:color w:val="000000" w:themeColor="text1"/>
          <w:sz w:val="48"/>
          <w:szCs w:val="48"/>
          <w:highlight w:val="none"/>
          <w14:textFill>
            <w14:solidFill>
              <w14:schemeClr w14:val="tx1"/>
            </w14:solidFill>
          </w14:textFill>
        </w:rPr>
        <w:fldChar w:fldCharType="separate"/>
      </w: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_Toc17280 </w:instrText>
      </w:r>
      <w:r>
        <w:rPr>
          <w:rFonts w:hint="eastAsia" w:ascii="宋体" w:hAnsi="宋体" w:eastAsia="宋体" w:cs="宋体"/>
          <w:szCs w:val="48"/>
          <w:highlight w:val="none"/>
        </w:rPr>
        <w:fldChar w:fldCharType="separate"/>
      </w:r>
      <w:r>
        <w:rPr>
          <w:rFonts w:hint="eastAsia" w:ascii="宋体" w:hAnsi="宋体" w:eastAsia="宋体" w:cs="宋体"/>
          <w:bCs/>
          <w:szCs w:val="40"/>
          <w:highlight w:val="none"/>
          <w:lang w:eastAsia="zh-CN"/>
        </w:rPr>
        <w:t>竞争性磋商</w:t>
      </w:r>
      <w:r>
        <w:rPr>
          <w:rFonts w:hint="eastAsia" w:ascii="宋体" w:hAnsi="宋体" w:eastAsia="宋体" w:cs="宋体"/>
          <w:bCs/>
          <w:szCs w:val="40"/>
          <w:highlight w:val="none"/>
        </w:rPr>
        <w:t>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_Toc17280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3CD2EA19">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_Toc18381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第一章 供应商须知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_Toc18381 \h </w:instrText>
      </w:r>
      <w:r>
        <w:rPr>
          <w:rFonts w:hint="eastAsia" w:ascii="宋体" w:hAnsi="宋体" w:eastAsia="宋体" w:cs="宋体"/>
        </w:rPr>
        <w:fldChar w:fldCharType="separate"/>
      </w:r>
      <w:r>
        <w:rPr>
          <w:rFonts w:hint="eastAsia" w:ascii="宋体" w:hAnsi="宋体" w:eastAsia="宋体" w:cs="宋体"/>
        </w:rPr>
        <w:t>5</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4A696B2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_Toc7816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eastAsia="zh-CN"/>
        </w:rPr>
        <w:t>第二章</w:t>
      </w:r>
      <w:r>
        <w:rPr>
          <w:rFonts w:hint="eastAsia" w:ascii="宋体" w:hAnsi="宋体" w:eastAsia="宋体" w:cs="宋体"/>
          <w:bCs/>
          <w:szCs w:val="36"/>
          <w:highlight w:val="none"/>
          <w:lang w:val="en-US" w:eastAsia="zh-CN"/>
        </w:rPr>
        <w:t xml:space="preserve"> 评审办法（综合评分法）</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_Toc7816 \h </w:instrText>
      </w:r>
      <w:r>
        <w:rPr>
          <w:rFonts w:hint="eastAsia" w:ascii="宋体" w:hAnsi="宋体" w:eastAsia="宋体" w:cs="宋体"/>
        </w:rPr>
        <w:fldChar w:fldCharType="separate"/>
      </w:r>
      <w:r>
        <w:rPr>
          <w:rFonts w:hint="eastAsia" w:ascii="宋体" w:hAnsi="宋体" w:eastAsia="宋体" w:cs="宋体"/>
        </w:rPr>
        <w:t>22</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23CB7F15">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_Toc25189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第三章 合同条款及格式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_Toc25189 \h </w:instrText>
      </w:r>
      <w:r>
        <w:rPr>
          <w:rFonts w:hint="eastAsia" w:ascii="宋体" w:hAnsi="宋体" w:eastAsia="宋体" w:cs="宋体"/>
        </w:rPr>
        <w:fldChar w:fldCharType="separate"/>
      </w:r>
      <w:r>
        <w:rPr>
          <w:rFonts w:hint="eastAsia" w:ascii="宋体" w:hAnsi="宋体" w:eastAsia="宋体" w:cs="宋体"/>
        </w:rPr>
        <w:t>29</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0E02A988">
      <w:pPr>
        <w:pStyle w:val="27"/>
        <w:tabs>
          <w:tab w:val="right" w:leader="dot" w:pos="9638"/>
          <w:tab w:val="clear" w:pos="8296"/>
        </w:tabs>
        <w:spacing w:line="480" w:lineRule="auto"/>
        <w:rPr>
          <w:rFonts w:hint="eastAsia" w:ascii="宋体" w:hAnsi="宋体" w:eastAsia="宋体" w:cs="宋体"/>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_Toc9679 </w:instrText>
      </w:r>
      <w:r>
        <w:rPr>
          <w:rFonts w:hint="eastAsia" w:ascii="宋体" w:hAnsi="宋体" w:eastAsia="宋体" w:cs="宋体"/>
          <w:szCs w:val="48"/>
          <w:highlight w:val="none"/>
        </w:rPr>
        <w:fldChar w:fldCharType="separate"/>
      </w:r>
      <w:r>
        <w:rPr>
          <w:rFonts w:hint="eastAsia" w:ascii="宋体" w:hAnsi="宋体" w:eastAsia="宋体" w:cs="宋体"/>
          <w:bCs/>
          <w:szCs w:val="36"/>
          <w:highlight w:val="none"/>
          <w:lang w:val="en-US" w:eastAsia="zh-CN"/>
        </w:rPr>
        <w:t>第四章 采购需求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_Toc9679 \h </w:instrText>
      </w:r>
      <w:r>
        <w:rPr>
          <w:rFonts w:hint="eastAsia" w:ascii="宋体" w:hAnsi="宋体" w:eastAsia="宋体" w:cs="宋体"/>
        </w:rPr>
        <w:fldChar w:fldCharType="separate"/>
      </w:r>
      <w:r>
        <w:rPr>
          <w:rFonts w:hint="eastAsia" w:ascii="宋体" w:hAnsi="宋体" w:eastAsia="宋体" w:cs="宋体"/>
        </w:rPr>
        <w:t>34</w:t>
      </w:r>
      <w:r>
        <w:rPr>
          <w:rFonts w:hint="eastAsia" w:ascii="宋体" w:hAnsi="宋体" w:eastAsia="宋体" w:cs="宋体"/>
        </w:rPr>
        <w:fldChar w:fldCharType="end"/>
      </w:r>
      <w:r>
        <w:rPr>
          <w:rFonts w:hint="eastAsia" w:ascii="宋体" w:hAnsi="宋体" w:eastAsia="宋体" w:cs="宋体"/>
          <w:color w:val="000000" w:themeColor="text1"/>
          <w:szCs w:val="48"/>
          <w:highlight w:val="none"/>
          <w14:textFill>
            <w14:solidFill>
              <w14:schemeClr w14:val="tx1"/>
            </w14:solidFill>
          </w14:textFill>
        </w:rPr>
        <w:fldChar w:fldCharType="end"/>
      </w:r>
    </w:p>
    <w:p w14:paraId="0C77F5D4">
      <w:pPr>
        <w:pStyle w:val="27"/>
        <w:tabs>
          <w:tab w:val="right" w:leader="dot" w:pos="9638"/>
          <w:tab w:val="clear" w:pos="8296"/>
        </w:tabs>
        <w:spacing w:line="480" w:lineRule="auto"/>
        <w:rPr>
          <w:rFonts w:hint="eastAsia" w:ascii="宋体" w:hAnsi="宋体" w:eastAsia="宋体" w:cs="宋体"/>
          <w:lang w:val="en-US" w:eastAsia="zh-CN"/>
        </w:rPr>
      </w:pPr>
      <w:r>
        <w:rPr>
          <w:rFonts w:hint="eastAsia" w:ascii="宋体" w:hAnsi="宋体" w:eastAsia="宋体" w:cs="宋体"/>
          <w:color w:val="000000" w:themeColor="text1"/>
          <w:szCs w:val="48"/>
          <w:highlight w:val="none"/>
          <w14:textFill>
            <w14:solidFill>
              <w14:schemeClr w14:val="tx1"/>
            </w14:solidFill>
          </w14:textFill>
        </w:rPr>
        <w:fldChar w:fldCharType="begin"/>
      </w:r>
      <w:r>
        <w:rPr>
          <w:rFonts w:hint="eastAsia" w:ascii="宋体" w:hAnsi="宋体" w:eastAsia="宋体" w:cs="宋体"/>
          <w:szCs w:val="48"/>
          <w:highlight w:val="none"/>
        </w:rPr>
        <w:instrText xml:space="preserve"> HYPERLINK \l _Toc14594 </w:instrText>
      </w:r>
      <w:r>
        <w:rPr>
          <w:rFonts w:hint="eastAsia" w:ascii="宋体" w:hAnsi="宋体" w:eastAsia="宋体" w:cs="宋体"/>
          <w:szCs w:val="48"/>
          <w:highlight w:val="none"/>
        </w:rPr>
        <w:fldChar w:fldCharType="separate"/>
      </w:r>
      <w:r>
        <w:rPr>
          <w:rFonts w:hint="eastAsia" w:ascii="宋体" w:hAnsi="宋体" w:eastAsia="宋体" w:cs="宋体"/>
          <w:bCs/>
          <w:szCs w:val="40"/>
          <w:highlight w:val="none"/>
          <w:lang w:eastAsia="zh-CN"/>
        </w:rPr>
        <w:t>第五章</w:t>
      </w:r>
      <w:r>
        <w:rPr>
          <w:rFonts w:hint="eastAsia" w:ascii="宋体" w:hAnsi="宋体" w:eastAsia="宋体" w:cs="宋体"/>
          <w:bCs/>
          <w:szCs w:val="40"/>
          <w:highlight w:val="none"/>
          <w:lang w:val="en-US" w:eastAsia="zh-CN"/>
        </w:rPr>
        <w:t xml:space="preserve"> </w:t>
      </w:r>
      <w:r>
        <w:rPr>
          <w:rFonts w:hint="eastAsia" w:ascii="宋体" w:hAnsi="宋体" w:eastAsia="宋体" w:cs="宋体"/>
          <w:bCs/>
          <w:szCs w:val="40"/>
          <w:highlight w:val="none"/>
        </w:rPr>
        <w:t>响应文件格式</w:t>
      </w:r>
      <w:r>
        <w:rPr>
          <w:rFonts w:hint="eastAsia" w:ascii="宋体" w:hAnsi="宋体" w:eastAsia="宋体" w:cs="宋体"/>
        </w:rPr>
        <w:tab/>
      </w:r>
      <w:r>
        <w:rPr>
          <w:rFonts w:hint="eastAsia" w:hAnsi="宋体" w:eastAsia="宋体" w:cs="宋体"/>
          <w:lang w:val="en-US" w:eastAsia="zh-CN"/>
        </w:rPr>
        <w:t>4</w:t>
      </w:r>
      <w:r>
        <w:rPr>
          <w:rFonts w:hint="eastAsia" w:ascii="宋体" w:hAnsi="宋体" w:eastAsia="宋体" w:cs="宋体"/>
          <w:color w:val="000000" w:themeColor="text1"/>
          <w:szCs w:val="48"/>
          <w:highlight w:val="none"/>
          <w14:textFill>
            <w14:solidFill>
              <w14:schemeClr w14:val="tx1"/>
            </w14:solidFill>
          </w14:textFill>
        </w:rPr>
        <w:fldChar w:fldCharType="end"/>
      </w:r>
      <w:r>
        <w:rPr>
          <w:rFonts w:hint="eastAsia" w:hAnsi="宋体" w:eastAsia="宋体" w:cs="宋体"/>
          <w:color w:val="000000" w:themeColor="text1"/>
          <w:szCs w:val="48"/>
          <w:highlight w:val="none"/>
          <w:lang w:val="en-US" w:eastAsia="zh-CN"/>
          <w14:textFill>
            <w14:solidFill>
              <w14:schemeClr w14:val="tx1"/>
            </w14:solidFill>
          </w14:textFill>
        </w:rPr>
        <w:t>9</w:t>
      </w:r>
    </w:p>
    <w:p w14:paraId="68BCB2D3">
      <w:pPr>
        <w:overflowPunct/>
        <w:bidi w:val="0"/>
        <w:spacing w:line="480" w:lineRule="auto"/>
        <w:jc w:val="center"/>
        <w:outlineLvl w:val="9"/>
        <w:rPr>
          <w:rFonts w:ascii="宋体" w:hAnsi="宋体"/>
          <w:color w:val="000000" w:themeColor="text1"/>
          <w:sz w:val="48"/>
          <w:szCs w:val="48"/>
          <w:highlight w:val="none"/>
          <w14:textFill>
            <w14:solidFill>
              <w14:schemeClr w14:val="tx1"/>
            </w14:solidFill>
          </w14:textFill>
        </w:rPr>
      </w:pPr>
      <w:r>
        <w:rPr>
          <w:rFonts w:hint="eastAsia" w:ascii="宋体" w:hAnsi="宋体" w:eastAsia="宋体" w:cs="宋体"/>
          <w:color w:val="000000" w:themeColor="text1"/>
          <w:szCs w:val="48"/>
          <w:highlight w:val="none"/>
          <w14:textFill>
            <w14:solidFill>
              <w14:schemeClr w14:val="tx1"/>
            </w14:solidFill>
          </w14:textFill>
        </w:rPr>
        <w:fldChar w:fldCharType="end"/>
      </w:r>
    </w:p>
    <w:p w14:paraId="260E454D">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7C5333A0">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3DD55898">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11909DE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62D7FD9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5A013923">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065E16DD">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4C0887F">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2567865">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247E4E8E">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4B12AC96">
      <w:pPr>
        <w:overflowPunct/>
        <w:bidi w:val="0"/>
        <w:jc w:val="center"/>
        <w:outlineLvl w:val="9"/>
        <w:rPr>
          <w:rFonts w:ascii="宋体" w:hAnsi="宋体"/>
          <w:color w:val="000000" w:themeColor="text1"/>
          <w:sz w:val="48"/>
          <w:szCs w:val="48"/>
          <w:highlight w:val="none"/>
          <w14:textFill>
            <w14:solidFill>
              <w14:schemeClr w14:val="tx1"/>
            </w14:solidFill>
          </w14:textFill>
        </w:rPr>
      </w:pPr>
    </w:p>
    <w:p w14:paraId="0F04717A">
      <w:pPr>
        <w:overflowPunct/>
        <w:bidi w:val="0"/>
        <w:spacing w:line="400" w:lineRule="exact"/>
        <w:jc w:val="center"/>
        <w:outlineLvl w:val="9"/>
        <w:rPr>
          <w:rFonts w:hint="eastAsia" w:ascii="宋体" w:hAnsi="宋体" w:eastAsia="宋体" w:cs="宋体"/>
          <w:b/>
          <w:bCs/>
          <w:color w:val="000000" w:themeColor="text1"/>
          <w:sz w:val="36"/>
          <w:szCs w:val="36"/>
          <w:highlight w:val="none"/>
          <w:lang w:val="en-US" w:eastAsia="zh-CN"/>
          <w14:textFill>
            <w14:solidFill>
              <w14:schemeClr w14:val="tx1"/>
            </w14:solidFill>
          </w14:textFill>
        </w:rPr>
        <w:sectPr>
          <w:footerReference r:id="rId8" w:type="default"/>
          <w:pgSz w:w="11906" w:h="16838"/>
          <w:pgMar w:top="1134" w:right="1134" w:bottom="1134" w:left="1134" w:header="851" w:footer="851" w:gutter="0"/>
          <w:pgBorders>
            <w:top w:val="none" w:sz="0" w:space="0"/>
            <w:left w:val="none" w:sz="0" w:space="0"/>
            <w:bottom w:val="none" w:sz="0" w:space="0"/>
            <w:right w:val="none" w:sz="0" w:space="0"/>
          </w:pgBorders>
          <w:pgNumType w:fmt="decimal" w:start="1"/>
          <w:cols w:space="720" w:num="1"/>
          <w:docGrid w:linePitch="312" w:charSpace="0"/>
        </w:sectPr>
      </w:pPr>
      <w:bookmarkStart w:id="5" w:name="_Toc15493"/>
    </w:p>
    <w:p w14:paraId="2929422C">
      <w:pPr>
        <w:pStyle w:val="48"/>
        <w:overflowPunct/>
        <w:bidi w:val="0"/>
        <w:outlineLvl w:val="9"/>
        <w:rPr>
          <w:rFonts w:hint="eastAsia"/>
          <w:color w:val="000000" w:themeColor="text1"/>
          <w:highlight w:val="none"/>
          <w:lang w:val="en-US" w:eastAsia="zh-CN"/>
          <w14:textFill>
            <w14:solidFill>
              <w14:schemeClr w14:val="tx1"/>
            </w14:solidFill>
          </w14:textFill>
        </w:rPr>
      </w:pPr>
    </w:p>
    <w:bookmarkEnd w:id="5"/>
    <w:p w14:paraId="2977867F">
      <w:pPr>
        <w:numPr>
          <w:ilvl w:val="0"/>
          <w:numId w:val="0"/>
        </w:numPr>
        <w:overflowPunct/>
        <w:bidi w:val="0"/>
        <w:ind w:left="402" w:leftChars="0"/>
        <w:jc w:val="center"/>
        <w:outlineLvl w:val="9"/>
        <w:rPr>
          <w:rFonts w:hint="eastAsia"/>
          <w:b/>
          <w:bCs/>
          <w:color w:val="000000" w:themeColor="text1"/>
          <w:sz w:val="32"/>
          <w:szCs w:val="40"/>
          <w:highlight w:val="none"/>
          <w:lang w:val="en-US" w:eastAsia="zh-CN"/>
          <w14:textFill>
            <w14:solidFill>
              <w14:schemeClr w14:val="tx1"/>
            </w14:solidFill>
          </w14:textFill>
        </w:rPr>
      </w:pPr>
      <w:bookmarkStart w:id="6" w:name="_Toc30832"/>
      <w:r>
        <w:rPr>
          <w:rFonts w:hint="eastAsia"/>
          <w:b/>
          <w:bCs/>
          <w:color w:val="000000" w:themeColor="text1"/>
          <w:sz w:val="32"/>
          <w:szCs w:val="40"/>
          <w:highlight w:val="none"/>
          <w:lang w:val="en-US" w:eastAsia="zh-CN"/>
          <w14:textFill>
            <w14:solidFill>
              <w14:schemeClr w14:val="tx1"/>
            </w14:solidFill>
          </w14:textFill>
        </w:rPr>
        <w:t>2025年食品抽检项目</w:t>
      </w:r>
    </w:p>
    <w:p w14:paraId="2B984EE1">
      <w:pPr>
        <w:keepNext w:val="0"/>
        <w:keepLines w:val="0"/>
        <w:pageBreakBefore w:val="0"/>
        <w:widowControl w:val="0"/>
        <w:numPr>
          <w:ilvl w:val="0"/>
          <w:numId w:val="0"/>
        </w:numPr>
        <w:kinsoku/>
        <w:wordWrap/>
        <w:overflowPunct/>
        <w:topLinePunct w:val="0"/>
        <w:autoSpaceDE/>
        <w:autoSpaceDN/>
        <w:bidi w:val="0"/>
        <w:adjustRightInd/>
        <w:snapToGrid/>
        <w:ind w:left="403" w:leftChars="0"/>
        <w:jc w:val="center"/>
        <w:textAlignment w:val="auto"/>
        <w:outlineLvl w:val="0"/>
        <w:rPr>
          <w:rFonts w:hint="eastAsia"/>
          <w:b/>
          <w:bCs/>
          <w:color w:val="000000" w:themeColor="text1"/>
          <w:sz w:val="32"/>
          <w:szCs w:val="40"/>
          <w:highlight w:val="none"/>
          <w14:textFill>
            <w14:solidFill>
              <w14:schemeClr w14:val="tx1"/>
            </w14:solidFill>
          </w14:textFill>
        </w:rPr>
      </w:pPr>
      <w:bookmarkStart w:id="7" w:name="_Toc17280"/>
      <w:r>
        <w:rPr>
          <w:rFonts w:hint="eastAsia"/>
          <w:b/>
          <w:bCs/>
          <w:color w:val="000000" w:themeColor="text1"/>
          <w:sz w:val="32"/>
          <w:szCs w:val="40"/>
          <w:highlight w:val="none"/>
          <w:lang w:eastAsia="zh-CN"/>
          <w14:textFill>
            <w14:solidFill>
              <w14:schemeClr w14:val="tx1"/>
            </w14:solidFill>
          </w14:textFill>
        </w:rPr>
        <w:t>竞争性磋商</w:t>
      </w:r>
      <w:r>
        <w:rPr>
          <w:rFonts w:hint="eastAsia"/>
          <w:b/>
          <w:bCs/>
          <w:color w:val="000000" w:themeColor="text1"/>
          <w:sz w:val="32"/>
          <w:szCs w:val="40"/>
          <w:highlight w:val="none"/>
          <w14:textFill>
            <w14:solidFill>
              <w14:schemeClr w14:val="tx1"/>
            </w14:solidFill>
          </w14:textFill>
        </w:rPr>
        <w:t>公告</w:t>
      </w:r>
      <w:bookmarkEnd w:id="6"/>
      <w:bookmarkEnd w:id="7"/>
    </w:p>
    <w:p w14:paraId="54FA870D">
      <w:pPr>
        <w:pStyle w:val="16"/>
        <w:overflowPunct/>
        <w:bidi w:val="0"/>
        <w:jc w:val="center"/>
        <w:outlineLvl w:val="9"/>
        <w:rPr>
          <w:rFonts w:hint="eastAsia" w:ascii="宋体" w:hAnsi="宋体" w:eastAsia="宋体" w:cs="宋体"/>
          <w:b/>
          <w:bCs w:val="0"/>
          <w:color w:val="000000" w:themeColor="text1"/>
          <w:sz w:val="28"/>
          <w:szCs w:val="28"/>
          <w:highlight w:val="none"/>
          <w:lang w:val="zh-CN"/>
          <w14:textFill>
            <w14:solidFill>
              <w14:schemeClr w14:val="tx1"/>
            </w14:solidFill>
          </w14:textFill>
        </w:rPr>
      </w:pPr>
    </w:p>
    <w:p w14:paraId="712923E9">
      <w:pPr>
        <w:widowControl w:val="0"/>
        <w:pBdr>
          <w:top w:val="single" w:color="auto" w:sz="4" w:space="1"/>
          <w:left w:val="single" w:color="auto" w:sz="4" w:space="4"/>
          <w:bottom w:val="single" w:color="auto" w:sz="4" w:space="1"/>
          <w:right w:val="single" w:color="auto" w:sz="4" w:space="4"/>
        </w:pBdr>
        <w:overflowPunct/>
        <w:bidi w:val="0"/>
        <w:spacing w:line="460" w:lineRule="exact"/>
        <w:ind w:firstLine="480" w:firstLineChars="200"/>
        <w:outlineLvl w:val="9"/>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项目概况</w:t>
      </w:r>
    </w:p>
    <w:p w14:paraId="21C3A95C">
      <w:pPr>
        <w:widowControl w:val="0"/>
        <w:pBdr>
          <w:top w:val="single" w:color="auto" w:sz="4" w:space="1"/>
          <w:left w:val="single" w:color="auto" w:sz="4" w:space="4"/>
          <w:bottom w:val="single" w:color="auto" w:sz="4" w:space="1"/>
          <w:right w:val="single" w:color="auto" w:sz="4" w:space="4"/>
        </w:pBdr>
        <w:wordWrap w:val="0"/>
        <w:overflowPunct/>
        <w:bidi w:val="0"/>
        <w:spacing w:line="360" w:lineRule="exact"/>
        <w:ind w:firstLine="480" w:firstLineChars="200"/>
        <w:outlineLvl w:val="9"/>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lang w:val="en-US" w:eastAsia="zh-CN"/>
          <w14:textFill>
            <w14:solidFill>
              <w14:schemeClr w14:val="tx1"/>
            </w14:solidFill>
          </w14:textFill>
        </w:rPr>
        <w:t>2025年食品抽检项目</w:t>
      </w:r>
      <w:r>
        <w:rPr>
          <w:rFonts w:hint="eastAsia" w:ascii="宋体" w:hAnsi="宋体" w:eastAsia="宋体" w:cs="宋体"/>
          <w:color w:val="000000" w:themeColor="text1"/>
          <w:sz w:val="24"/>
          <w:highlight w:val="none"/>
          <w14:textFill>
            <w14:solidFill>
              <w14:schemeClr w14:val="tx1"/>
            </w14:solidFill>
          </w14:textFill>
        </w:rPr>
        <w:t>的潜在供应商应在</w:t>
      </w:r>
      <w:r>
        <w:rPr>
          <w:rFonts w:hint="eastAsia" w:ascii="宋体" w:hAnsi="宋体" w:eastAsia="宋体" w:cs="宋体"/>
          <w:color w:val="000000" w:themeColor="text1"/>
          <w:sz w:val="24"/>
          <w:highlight w:val="none"/>
          <w:u w:val="single"/>
          <w:lang w:val="zh-CN" w:eastAsia="zh-CN"/>
          <w14:textFill>
            <w14:solidFill>
              <w14:schemeClr w14:val="tx1"/>
            </w14:solidFill>
          </w14:textFill>
        </w:rPr>
        <w:t>政府采购云平台（网址：http:// www.zcygov.cn）</w:t>
      </w:r>
      <w:r>
        <w:rPr>
          <w:rFonts w:hint="eastAsia" w:ascii="宋体" w:hAnsi="宋体" w:eastAsia="宋体" w:cs="宋体"/>
          <w:color w:val="000000" w:themeColor="text1"/>
          <w:sz w:val="24"/>
          <w:highlight w:val="none"/>
          <w14:textFill>
            <w14:solidFill>
              <w14:schemeClr w14:val="tx1"/>
            </w14:solidFill>
          </w14:textFill>
        </w:rPr>
        <w:t>获取采购文件，并于</w:t>
      </w:r>
      <w:r>
        <w:rPr>
          <w:rFonts w:hint="eastAsia" w:ascii="宋体" w:hAnsi="宋体" w:cs="宋体"/>
          <w:color w:val="000000" w:themeColor="text1"/>
          <w:sz w:val="24"/>
          <w:highlight w:val="none"/>
          <w:u w:val="single"/>
          <w:lang w:val="en-US" w:eastAsia="zh-CN"/>
          <w14:textFill>
            <w14:solidFill>
              <w14:schemeClr w14:val="tx1"/>
            </w14:solidFill>
          </w14:textFill>
        </w:rPr>
        <w:t>2025年4月29日13时30分</w:t>
      </w:r>
      <w:r>
        <w:rPr>
          <w:rFonts w:hint="eastAsia" w:ascii="宋体" w:hAnsi="宋体" w:eastAsia="宋体" w:cs="宋体"/>
          <w:color w:val="000000" w:themeColor="text1"/>
          <w:sz w:val="24"/>
          <w:highlight w:val="none"/>
          <w:u w:val="single"/>
          <w:lang w:val="zh-CN"/>
          <w14:textFill>
            <w14:solidFill>
              <w14:schemeClr w14:val="tx1"/>
            </w14:solidFill>
          </w14:textFill>
        </w:rPr>
        <w:t>（北</w:t>
      </w:r>
      <w:r>
        <w:rPr>
          <w:rFonts w:hint="eastAsia" w:ascii="宋体" w:hAnsi="宋体" w:eastAsia="宋体" w:cs="宋体"/>
          <w:color w:val="000000" w:themeColor="text1"/>
          <w:sz w:val="24"/>
          <w:highlight w:val="none"/>
          <w:u w:val="single"/>
          <w14:textFill>
            <w14:solidFill>
              <w14:schemeClr w14:val="tx1"/>
            </w14:solidFill>
          </w14:textFill>
        </w:rPr>
        <w:t>京时间）前递交响应文件</w:t>
      </w:r>
    </w:p>
    <w:p w14:paraId="2D584520">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一、项目基本情况</w:t>
      </w:r>
    </w:p>
    <w:p w14:paraId="078D8A21">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项目编号：</w:t>
      </w:r>
      <w:r>
        <w:rPr>
          <w:rFonts w:hint="eastAsia" w:ascii="宋体" w:hAnsi="宋体" w:cs="宋体"/>
          <w:bCs/>
          <w:color w:val="000000" w:themeColor="text1"/>
          <w:sz w:val="24"/>
          <w:highlight w:val="none"/>
          <w:lang w:val="en-US" w:eastAsia="zh-CN"/>
          <w14:textFill>
            <w14:solidFill>
              <w14:schemeClr w14:val="tx1"/>
            </w14:solidFill>
          </w14:textFill>
        </w:rPr>
        <w:t>JLBSYJ-2025010</w:t>
      </w:r>
      <w:r>
        <w:rPr>
          <w:rFonts w:hint="eastAsia" w:ascii="宋体" w:hAnsi="宋体" w:eastAsia="宋体" w:cs="宋体"/>
          <w:bCs/>
          <w:color w:val="000000" w:themeColor="text1"/>
          <w:sz w:val="24"/>
          <w:highlight w:val="none"/>
          <w:lang w:val="zh-CN" w:eastAsia="zh-CN"/>
          <w14:textFill>
            <w14:solidFill>
              <w14:schemeClr w14:val="tx1"/>
            </w14:solidFill>
          </w14:textFill>
        </w:rPr>
        <w:t>；</w:t>
      </w:r>
      <w:r>
        <w:rPr>
          <w:rFonts w:hint="eastAsia" w:ascii="宋体" w:hAnsi="宋体" w:cs="宋体"/>
          <w:bCs/>
          <w:color w:val="000000" w:themeColor="text1"/>
          <w:sz w:val="24"/>
          <w:highlight w:val="none"/>
          <w:lang w:val="zh-CN" w:eastAsia="zh-CN"/>
          <w14:textFill>
            <w14:solidFill>
              <w14:schemeClr w14:val="tx1"/>
            </w14:solidFill>
          </w14:textFill>
        </w:rPr>
        <w:t>采购计划编号：采购计划</w:t>
      </w:r>
      <w:r>
        <w:rPr>
          <w:rFonts w:hint="eastAsia" w:ascii="宋体" w:hAnsi="宋体" w:cs="宋体"/>
          <w:bCs/>
          <w:color w:val="000000" w:themeColor="text1"/>
          <w:sz w:val="24"/>
          <w:highlight w:val="none"/>
          <w:lang w:val="en-US" w:eastAsia="zh-CN"/>
          <w14:textFill>
            <w14:solidFill>
              <w14:schemeClr w14:val="tx1"/>
            </w14:solidFill>
          </w14:textFill>
        </w:rPr>
        <w:t>-[2025]-00078号；</w:t>
      </w:r>
    </w:p>
    <w:p w14:paraId="66128951">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项目名称：</w:t>
      </w:r>
      <w:r>
        <w:rPr>
          <w:rFonts w:hint="eastAsia" w:ascii="宋体" w:hAnsi="宋体" w:cs="宋体"/>
          <w:bCs/>
          <w:color w:val="000000" w:themeColor="text1"/>
          <w:sz w:val="24"/>
          <w:highlight w:val="none"/>
          <w:lang w:val="en-US" w:eastAsia="zh-CN"/>
          <w14:textFill>
            <w14:solidFill>
              <w14:schemeClr w14:val="tx1"/>
            </w14:solidFill>
          </w14:textFill>
        </w:rPr>
        <w:t>2025年食品抽检项目</w:t>
      </w:r>
      <w:r>
        <w:rPr>
          <w:rFonts w:hint="eastAsia" w:ascii="宋体" w:hAnsi="宋体" w:eastAsia="宋体" w:cs="宋体"/>
          <w:bCs/>
          <w:color w:val="000000" w:themeColor="text1"/>
          <w:sz w:val="24"/>
          <w:highlight w:val="none"/>
          <w:lang w:val="en-US" w:eastAsia="zh-CN"/>
          <w14:textFill>
            <w14:solidFill>
              <w14:schemeClr w14:val="tx1"/>
            </w14:solidFill>
          </w14:textFill>
        </w:rPr>
        <w:t>；</w:t>
      </w:r>
    </w:p>
    <w:p w14:paraId="6EB1B17F">
      <w:pPr>
        <w:widowControl w:val="0"/>
        <w:overflowPunct/>
        <w:autoSpaceDE w:val="0"/>
        <w:autoSpaceDN w:val="0"/>
        <w:bidi w:val="0"/>
        <w:adjustRightInd w:val="0"/>
        <w:spacing w:line="460" w:lineRule="exact"/>
        <w:ind w:firstLine="480" w:firstLineChars="200"/>
        <w:outlineLvl w:val="9"/>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zh-CN"/>
          <w14:textFill>
            <w14:solidFill>
              <w14:schemeClr w14:val="tx1"/>
            </w14:solidFill>
          </w14:textFill>
        </w:rPr>
        <w:t>采购方式：竞争性磋商；</w:t>
      </w:r>
    </w:p>
    <w:p w14:paraId="664C4D3D">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预算金额</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14:textFill>
            <w14:solidFill>
              <w14:schemeClr w14:val="tx1"/>
            </w14:solidFill>
          </w14:textFill>
        </w:rPr>
        <w:t>最高限价</w:t>
      </w: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一标段食用农产品检测：530000.00元</w:t>
      </w:r>
    </w:p>
    <w:p w14:paraId="50EF63BF">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en-US" w:eastAsia="zh-CN"/>
          <w14:textFill>
            <w14:solidFill>
              <w14:schemeClr w14:val="tx1"/>
            </w14:solidFill>
          </w14:textFill>
        </w:rPr>
        <w:t>二标段普通食品抽检：450000.00元</w:t>
      </w:r>
    </w:p>
    <w:p w14:paraId="08C08417">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14:textFill>
            <w14:solidFill>
              <w14:schemeClr w14:val="tx1"/>
            </w14:solidFill>
          </w14:textFill>
        </w:rPr>
      </w:pPr>
      <w:r>
        <w:rPr>
          <w:rFonts w:hint="eastAsia" w:ascii="宋体" w:hAnsi="宋体" w:eastAsia="宋体" w:cs="宋体"/>
          <w:bCs/>
          <w:color w:val="000000" w:themeColor="text1"/>
          <w:sz w:val="24"/>
          <w:highlight w:val="none"/>
          <w:lang w:val="zh-CN"/>
          <w14:textFill>
            <w14:solidFill>
              <w14:schemeClr w14:val="tx1"/>
            </w14:solidFill>
          </w14:textFill>
        </w:rPr>
        <w:t>采购需求：</w:t>
      </w:r>
    </w:p>
    <w:tbl>
      <w:tblPr>
        <w:tblStyle w:val="39"/>
        <w:tblpPr w:leftFromText="180" w:rightFromText="180" w:vertAnchor="text" w:horzAnchor="page" w:tblpX="1079" w:tblpY="168"/>
        <w:tblOverlap w:val="never"/>
        <w:tblW w:w="101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0"/>
        <w:gridCol w:w="2205"/>
        <w:gridCol w:w="1635"/>
        <w:gridCol w:w="4230"/>
      </w:tblGrid>
      <w:tr w14:paraId="266C9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2040" w:type="dxa"/>
            <w:noWrap w:val="0"/>
            <w:vAlign w:val="center"/>
          </w:tcPr>
          <w:p w14:paraId="43DAF301">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项目名称</w:t>
            </w:r>
          </w:p>
        </w:tc>
        <w:tc>
          <w:tcPr>
            <w:tcW w:w="2205" w:type="dxa"/>
            <w:noWrap w:val="0"/>
            <w:vAlign w:val="center"/>
          </w:tcPr>
          <w:p w14:paraId="2EBBDE99">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标段编号</w:t>
            </w:r>
          </w:p>
        </w:tc>
        <w:tc>
          <w:tcPr>
            <w:tcW w:w="1635" w:type="dxa"/>
            <w:noWrap w:val="0"/>
            <w:vAlign w:val="center"/>
          </w:tcPr>
          <w:p w14:paraId="6FB09B45">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预算金额</w:t>
            </w:r>
          </w:p>
        </w:tc>
        <w:tc>
          <w:tcPr>
            <w:tcW w:w="4230" w:type="dxa"/>
            <w:noWrap w:val="0"/>
            <w:vAlign w:val="center"/>
          </w:tcPr>
          <w:p w14:paraId="0084855A">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服务范围</w:t>
            </w:r>
          </w:p>
        </w:tc>
      </w:tr>
      <w:tr w14:paraId="1B0A7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2040" w:type="dxa"/>
            <w:noWrap w:val="0"/>
            <w:vAlign w:val="center"/>
          </w:tcPr>
          <w:p w14:paraId="5A5FE72F">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2025年食品抽检项目（一标段）</w:t>
            </w:r>
          </w:p>
        </w:tc>
        <w:tc>
          <w:tcPr>
            <w:tcW w:w="2205" w:type="dxa"/>
            <w:noWrap w:val="0"/>
            <w:vAlign w:val="center"/>
          </w:tcPr>
          <w:p w14:paraId="5ECAA1DF">
            <w:pPr>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JLBSYJ-2025010-1</w:t>
            </w:r>
          </w:p>
        </w:tc>
        <w:tc>
          <w:tcPr>
            <w:tcW w:w="1635" w:type="dxa"/>
            <w:noWrap w:val="0"/>
            <w:vAlign w:val="center"/>
          </w:tcPr>
          <w:p w14:paraId="12C4F87E">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530000.00元</w:t>
            </w:r>
          </w:p>
        </w:tc>
        <w:tc>
          <w:tcPr>
            <w:tcW w:w="4230" w:type="dxa"/>
            <w:noWrap w:val="0"/>
            <w:vAlign w:val="center"/>
          </w:tcPr>
          <w:p w14:paraId="37B49D77">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1标段：选取1家合格的食品检验检测机构承担合同期内食用农产品检验检测工作（具体详见磋商文件内容）。</w:t>
            </w:r>
          </w:p>
        </w:tc>
      </w:tr>
      <w:tr w14:paraId="0028E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2040" w:type="dxa"/>
            <w:noWrap w:val="0"/>
            <w:vAlign w:val="center"/>
          </w:tcPr>
          <w:p w14:paraId="401A8D81">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2025年食品抽检项目（二标段）</w:t>
            </w:r>
          </w:p>
        </w:tc>
        <w:tc>
          <w:tcPr>
            <w:tcW w:w="2205" w:type="dxa"/>
            <w:noWrap w:val="0"/>
            <w:vAlign w:val="center"/>
          </w:tcPr>
          <w:p w14:paraId="688F6FD6">
            <w:pPr>
              <w:jc w:val="center"/>
              <w:rPr>
                <w:rFonts w:hint="default" w:ascii="宋体" w:hAnsi="宋体" w:eastAsia="宋体" w:cs="宋体"/>
                <w:sz w:val="24"/>
                <w:szCs w:val="24"/>
                <w:highlight w:val="none"/>
                <w:vertAlign w:val="baseline"/>
                <w:lang w:val="en-US"/>
              </w:rPr>
            </w:pPr>
            <w:r>
              <w:rPr>
                <w:rFonts w:hint="eastAsia" w:ascii="宋体" w:hAnsi="宋体" w:eastAsia="宋体" w:cs="宋体"/>
                <w:sz w:val="24"/>
                <w:szCs w:val="24"/>
                <w:highlight w:val="none"/>
                <w:lang w:val="en-US" w:eastAsia="zh-CN"/>
              </w:rPr>
              <w:t>JLBSYJ-2025010-2</w:t>
            </w:r>
          </w:p>
        </w:tc>
        <w:tc>
          <w:tcPr>
            <w:tcW w:w="1635" w:type="dxa"/>
            <w:noWrap w:val="0"/>
            <w:vAlign w:val="center"/>
          </w:tcPr>
          <w:p w14:paraId="42D5BEDD">
            <w:pPr>
              <w:pStyle w:val="16"/>
              <w:ind w:left="0" w:leftChars="0" w:firstLine="0" w:firstLineChars="0"/>
              <w:jc w:val="center"/>
              <w:rPr>
                <w:rFonts w:hint="eastAsia" w:ascii="宋体" w:hAnsi="宋体" w:eastAsia="宋体" w:cs="宋体"/>
                <w:sz w:val="24"/>
                <w:szCs w:val="24"/>
                <w:highlight w:val="none"/>
                <w:vertAlign w:val="baseline"/>
              </w:rPr>
            </w:pPr>
            <w:r>
              <w:rPr>
                <w:rFonts w:hint="eastAsia" w:ascii="宋体" w:hAnsi="宋体" w:eastAsia="宋体" w:cs="宋体"/>
                <w:b w:val="0"/>
                <w:bCs w:val="0"/>
                <w:spacing w:val="0"/>
                <w:sz w:val="24"/>
                <w:szCs w:val="24"/>
                <w:highlight w:val="none"/>
                <w:lang w:val="en-US" w:eastAsia="zh-CN" w:bidi="ar-SA"/>
              </w:rPr>
              <w:t>450000.00元</w:t>
            </w:r>
          </w:p>
        </w:tc>
        <w:tc>
          <w:tcPr>
            <w:tcW w:w="4230" w:type="dxa"/>
            <w:noWrap w:val="0"/>
            <w:vAlign w:val="center"/>
          </w:tcPr>
          <w:p w14:paraId="386C6528">
            <w:pPr>
              <w:jc w:val="center"/>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2标段：选取1家合格的食品检验检测机构承担合同期内普通食品检验检测工作（具体详见磋商文件内容）。</w:t>
            </w:r>
          </w:p>
        </w:tc>
      </w:tr>
    </w:tbl>
    <w:p w14:paraId="522C31A2">
      <w:pPr>
        <w:widowControl w:val="0"/>
        <w:overflowPunct/>
        <w:autoSpaceDE w:val="0"/>
        <w:autoSpaceDN w:val="0"/>
        <w:bidi w:val="0"/>
        <w:adjustRightInd w:val="0"/>
        <w:spacing w:line="460" w:lineRule="exact"/>
        <w:outlineLvl w:val="9"/>
        <w:rPr>
          <w:rFonts w:hint="eastAsia" w:ascii="宋体" w:hAnsi="宋体" w:eastAsia="宋体" w:cs="宋体"/>
          <w:bCs/>
          <w:color w:val="000000" w:themeColor="text1"/>
          <w:sz w:val="24"/>
          <w:highlight w:val="none"/>
          <w14:textFill>
            <w14:solidFill>
              <w14:schemeClr w14:val="tx1"/>
            </w14:solidFill>
          </w14:textFill>
        </w:rPr>
      </w:pPr>
    </w:p>
    <w:p w14:paraId="796BF51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（1）标的名称：</w:t>
      </w:r>
      <w:r>
        <w:rPr>
          <w:rFonts w:hint="eastAsia" w:ascii="宋体" w:hAnsi="宋体" w:cs="宋体"/>
          <w:bCs/>
          <w:color w:val="000000" w:themeColor="text1"/>
          <w:sz w:val="24"/>
          <w:highlight w:val="none"/>
          <w:lang w:val="en-US" w:eastAsia="zh-CN"/>
          <w14:textFill>
            <w14:solidFill>
              <w14:schemeClr w14:val="tx1"/>
            </w14:solidFill>
          </w14:textFill>
        </w:rPr>
        <w:t>2025年食品抽检项目</w:t>
      </w:r>
      <w:r>
        <w:rPr>
          <w:rFonts w:hint="eastAsia" w:ascii="宋体" w:hAnsi="宋体" w:eastAsia="宋体" w:cs="宋体"/>
          <w:bCs/>
          <w:color w:val="000000" w:themeColor="text1"/>
          <w:sz w:val="24"/>
          <w:highlight w:val="none"/>
          <w14:textFill>
            <w14:solidFill>
              <w14:schemeClr w14:val="tx1"/>
            </w14:solidFill>
          </w14:textFill>
        </w:rPr>
        <w:t>；</w:t>
      </w:r>
    </w:p>
    <w:p w14:paraId="2CEEB597">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bCs/>
          <w:color w:val="000000" w:themeColor="text1"/>
          <w:sz w:val="24"/>
          <w:highlight w:val="none"/>
          <w14:textFill>
            <w14:solidFill>
              <w14:schemeClr w14:val="tx1"/>
            </w14:solidFill>
          </w14:textFill>
        </w:rPr>
        <w:t>）</w:t>
      </w:r>
      <w:r>
        <w:rPr>
          <w:rFonts w:hint="eastAsia" w:ascii="宋体" w:hAnsi="宋体" w:eastAsia="宋体" w:cs="宋体"/>
          <w:bCs/>
          <w:color w:val="000000" w:themeColor="text1"/>
          <w:sz w:val="24"/>
          <w:highlight w:val="none"/>
          <w:lang w:eastAsia="zh-CN"/>
          <w14:textFill>
            <w14:solidFill>
              <w14:schemeClr w14:val="tx1"/>
            </w14:solidFill>
          </w14:textFill>
        </w:rPr>
        <w:t>服务地点：</w:t>
      </w:r>
      <w:r>
        <w:rPr>
          <w:rFonts w:hint="eastAsia" w:ascii="宋体" w:hAnsi="宋体" w:eastAsia="宋体" w:cs="宋体"/>
          <w:bCs/>
          <w:color w:val="000000" w:themeColor="text1"/>
          <w:sz w:val="24"/>
          <w:highlight w:val="none"/>
          <w:lang w:val="en-US" w:eastAsia="zh-CN"/>
          <w14:textFill>
            <w14:solidFill>
              <w14:schemeClr w14:val="tx1"/>
            </w14:solidFill>
          </w14:textFill>
        </w:rPr>
        <w:t>延吉市市场监督管理局</w:t>
      </w:r>
      <w:r>
        <w:rPr>
          <w:rFonts w:hint="eastAsia" w:ascii="宋体" w:hAnsi="宋体" w:cs="宋体"/>
          <w:bCs/>
          <w:color w:val="000000" w:themeColor="text1"/>
          <w:sz w:val="24"/>
          <w:highlight w:val="none"/>
          <w:lang w:val="en-US" w:eastAsia="zh-CN"/>
          <w14:textFill>
            <w14:solidFill>
              <w14:schemeClr w14:val="tx1"/>
            </w14:solidFill>
          </w14:textFill>
        </w:rPr>
        <w:t>（</w:t>
      </w:r>
      <w:r>
        <w:rPr>
          <w:rFonts w:hint="eastAsia" w:ascii="宋体" w:hAnsi="宋体" w:eastAsia="宋体" w:cs="宋体"/>
          <w:sz w:val="24"/>
          <w:szCs w:val="24"/>
          <w:highlight w:val="none"/>
          <w:lang w:val="en-US" w:eastAsia="zh-CN"/>
        </w:rPr>
        <w:t>采购人指定地点</w:t>
      </w:r>
      <w:r>
        <w:rPr>
          <w:rFonts w:hint="eastAsia" w:ascii="宋体" w:hAnsi="宋体" w:cs="宋体"/>
          <w:bCs/>
          <w:color w:val="000000" w:themeColor="text1"/>
          <w:sz w:val="24"/>
          <w:highlight w:val="none"/>
          <w:lang w:val="en-US" w:eastAsia="zh-CN"/>
          <w14:textFill>
            <w14:solidFill>
              <w14:schemeClr w14:val="tx1"/>
            </w14:solidFill>
          </w14:textFill>
        </w:rPr>
        <w:t>）</w:t>
      </w:r>
      <w:r>
        <w:rPr>
          <w:rFonts w:hint="eastAsia" w:ascii="宋体" w:hAnsi="宋体" w:eastAsia="宋体" w:cs="宋体"/>
          <w:bCs/>
          <w:color w:val="000000" w:themeColor="text1"/>
          <w:sz w:val="24"/>
          <w:highlight w:val="none"/>
          <w14:textFill>
            <w14:solidFill>
              <w14:schemeClr w14:val="tx1"/>
            </w14:solidFill>
          </w14:textFill>
        </w:rPr>
        <w:t>；</w:t>
      </w:r>
    </w:p>
    <w:p w14:paraId="755E9248">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服务</w:t>
      </w:r>
      <w:r>
        <w:rPr>
          <w:rFonts w:hint="eastAsia" w:ascii="宋体" w:hAnsi="宋体" w:eastAsia="宋体" w:cs="宋体"/>
          <w:bCs/>
          <w:color w:val="000000" w:themeColor="text1"/>
          <w:sz w:val="24"/>
          <w:highlight w:val="none"/>
          <w14:textFill>
            <w14:solidFill>
              <w14:schemeClr w14:val="tx1"/>
            </w14:solidFill>
          </w14:textFill>
        </w:rPr>
        <w:t>标准：</w:t>
      </w:r>
      <w:r>
        <w:rPr>
          <w:rFonts w:hint="eastAsia" w:ascii="宋体" w:hAnsi="宋体" w:eastAsia="宋体" w:cs="宋体"/>
          <w:bCs/>
          <w:color w:val="000000" w:themeColor="text1"/>
          <w:sz w:val="24"/>
          <w:highlight w:val="none"/>
          <w:lang w:eastAsia="zh-CN"/>
          <w14:textFill>
            <w14:solidFill>
              <w14:schemeClr w14:val="tx1"/>
            </w14:solidFill>
          </w14:textFill>
        </w:rPr>
        <w:t>符合国家及行业现行相关标准及采购人服务要求</w:t>
      </w:r>
      <w:r>
        <w:rPr>
          <w:rFonts w:hint="eastAsia" w:ascii="宋体" w:hAnsi="宋体" w:eastAsia="宋体" w:cs="宋体"/>
          <w:bCs/>
          <w:color w:val="000000" w:themeColor="text1"/>
          <w:sz w:val="24"/>
          <w:highlight w:val="none"/>
          <w14:textFill>
            <w14:solidFill>
              <w14:schemeClr w14:val="tx1"/>
            </w14:solidFill>
          </w14:textFill>
        </w:rPr>
        <w:t>；</w:t>
      </w:r>
    </w:p>
    <w:p w14:paraId="32807DA4">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14:textFill>
            <w14:solidFill>
              <w14:schemeClr w14:val="tx1"/>
            </w14:solidFill>
          </w14:textFill>
        </w:rPr>
      </w:pP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14:textFill>
            <w14:solidFill>
              <w14:schemeClr w14:val="tx1"/>
            </w14:solidFill>
          </w14:textFill>
        </w:rPr>
        <w:t>合同履行期限：</w:t>
      </w:r>
      <w:r>
        <w:rPr>
          <w:rFonts w:hint="eastAsia" w:ascii="宋体" w:hAnsi="宋体" w:cs="宋体"/>
          <w:bCs/>
          <w:color w:val="000000" w:themeColor="text1"/>
          <w:sz w:val="24"/>
          <w:highlight w:val="none"/>
          <w:lang w:eastAsia="zh-CN"/>
          <w14:textFill>
            <w14:solidFill>
              <w14:schemeClr w14:val="tx1"/>
            </w14:solidFill>
          </w14:textFill>
        </w:rPr>
        <w:t>自合同签订之日起</w:t>
      </w:r>
      <w:r>
        <w:rPr>
          <w:rFonts w:hint="eastAsia" w:ascii="宋体" w:hAnsi="宋体" w:cs="宋体"/>
          <w:bCs/>
          <w:color w:val="000000" w:themeColor="text1"/>
          <w:sz w:val="24"/>
          <w:highlight w:val="none"/>
          <w:lang w:val="en-US" w:eastAsia="zh-CN"/>
          <w14:textFill>
            <w14:solidFill>
              <w14:schemeClr w14:val="tx1"/>
            </w14:solidFill>
          </w14:textFill>
        </w:rPr>
        <w:t>一年</w:t>
      </w:r>
      <w:r>
        <w:rPr>
          <w:rFonts w:hint="eastAsia" w:ascii="宋体" w:hAnsi="宋体" w:cs="宋体"/>
          <w:bCs/>
          <w:color w:val="000000" w:themeColor="text1"/>
          <w:sz w:val="24"/>
          <w:highlight w:val="none"/>
          <w14:textFill>
            <w14:solidFill>
              <w14:schemeClr w14:val="tx1"/>
            </w14:solidFill>
          </w14:textFill>
        </w:rPr>
        <w:t>；</w:t>
      </w:r>
    </w:p>
    <w:p w14:paraId="69F00AC8">
      <w:pPr>
        <w:widowControl w:val="0"/>
        <w:overflowPunct/>
        <w:autoSpaceDE w:val="0"/>
        <w:autoSpaceDN w:val="0"/>
        <w:bidi w:val="0"/>
        <w:adjustRightInd w:val="0"/>
        <w:spacing w:line="460" w:lineRule="exact"/>
        <w:ind w:firstLine="720" w:firstLineChars="3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本项目不接受联合体投标。</w:t>
      </w:r>
    </w:p>
    <w:p w14:paraId="32135016">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二、</w:t>
      </w:r>
      <w:r>
        <w:rPr>
          <w:rFonts w:hint="eastAsia" w:ascii="宋体" w:hAnsi="宋体" w:eastAsia="宋体" w:cs="宋体"/>
          <w:b/>
          <w:color w:val="000000" w:themeColor="text1"/>
          <w:sz w:val="24"/>
          <w:highlight w:val="none"/>
          <w:lang w:val="en-US" w:eastAsia="zh-CN"/>
          <w14:textFill>
            <w14:solidFill>
              <w14:schemeClr w14:val="tx1"/>
            </w14:solidFill>
          </w14:textFill>
        </w:rPr>
        <w:t>申请人的资格要求：</w:t>
      </w:r>
    </w:p>
    <w:p w14:paraId="2673B8EC">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 满足《中华人民共和国政府采购法》第二十二条规定；</w:t>
      </w:r>
    </w:p>
    <w:p w14:paraId="2655D52D">
      <w:pPr>
        <w:spacing w:line="400" w:lineRule="exact"/>
        <w:ind w:firstLine="480" w:firstLineChars="200"/>
        <w:jc w:val="left"/>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 落实政府采购政策需满足的资格：本项目专门面向中小企业采购</w:t>
      </w:r>
      <w:r>
        <w:rPr>
          <w:rFonts w:hint="eastAsia" w:ascii="宋体" w:hAnsi="宋体" w:eastAsia="宋体" w:cs="宋体"/>
          <w:bCs/>
          <w:color w:val="000000" w:themeColor="text1"/>
          <w:sz w:val="24"/>
          <w:highlight w:val="none"/>
          <w:lang w:val="en-US" w:eastAsia="zh-CN"/>
          <w14:textFill>
            <w14:solidFill>
              <w14:schemeClr w14:val="tx1"/>
            </w14:solidFill>
          </w14:textFill>
        </w:rPr>
        <w:t>，供应商须提供《中小企业声明函》。本项目对应的中小企业划分标准所属行业为“商务服务业”。</w:t>
      </w:r>
    </w:p>
    <w:p w14:paraId="106364FB">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 本项目的特定资格要求：</w:t>
      </w:r>
    </w:p>
    <w:p w14:paraId="5099479E">
      <w:pPr>
        <w:overflowPunct/>
        <w:bidi w:val="0"/>
        <w:spacing w:line="440" w:lineRule="exact"/>
        <w:ind w:firstLine="480" w:firstLineChars="200"/>
        <w:jc w:val="left"/>
        <w:outlineLvl w:val="9"/>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3.1供应商须是在中华人民共和国境内注册具有独立承担民事责任能力法人、其他组织或者自然人；</w:t>
      </w:r>
    </w:p>
    <w:p w14:paraId="17CEA292">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3.2供应商参加采购活动应当提交反映其财务状况、依法缴纳税收和社保保障资金情况的资格条件承诺函。</w:t>
      </w:r>
    </w:p>
    <w:p w14:paraId="07018DA3">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3.3信誉要求：</w:t>
      </w:r>
    </w:p>
    <w:p w14:paraId="541D99A3">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（1）供应商参加政府采购活动近3年内（2022年至今）在经营活动中没有重大违法记录。</w:t>
      </w:r>
    </w:p>
    <w:p w14:paraId="1A3FB724">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（2）拒绝列入政府取消投标资格记录期间的企业或个人投标。</w:t>
      </w:r>
    </w:p>
    <w:p w14:paraId="6C1CB2F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（3）未被列入“信用中国”网站(www.creditchina.gov.cn)、失信被执行人、企业经营异常名录、重大税收违法失信主体；</w:t>
      </w:r>
    </w:p>
    <w:p w14:paraId="643CFBF5">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（4）未被工商行政管理机关在全国企业信用信息公示系统中列入严重违法失信企业名单；</w:t>
      </w:r>
    </w:p>
    <w:p w14:paraId="3AD58987">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（5）未被列入“中国政府采购网”(www.ccgp.gov.cn)政府采购严重违法失信行为记录名单的供应商；</w:t>
      </w:r>
    </w:p>
    <w:p w14:paraId="766F025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（6）“中国裁判文书网”（wenshu.court.gov.cn/）查询企业及法定代表人无行贿犯罪记录证明。</w:t>
      </w:r>
    </w:p>
    <w:p w14:paraId="6D4B73FA">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3.4采购人存在利害关系可能影响招标公正性的法人、其他组织或者个人，不得参加投标；具有投资参股关系的关联企业，或具有直接管理和被管理关系的母子公司，或同一母子公司的子公司，或法定代表人为同一人的两个及两个以上法人不得同时对同一标段投标；单位负责人同一人或者存在控股、管理关系的不同单位，不得参加同一合同项下的政府采购活动。除单一来源采购项目外，为采购项目提供整体设计、规范预算编制的供应商，不得再参加该采购项目的其他采购活动；</w:t>
      </w:r>
    </w:p>
    <w:p w14:paraId="399C8B20">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3.5各供应商均可就本采购项目中的每个标段投标，但最多允许中标1个标段（依据项目标段顺序确认中标标段）。</w:t>
      </w:r>
    </w:p>
    <w:p w14:paraId="1FF9AE9E">
      <w:pPr>
        <w:widowControl w:val="0"/>
        <w:overflowPunct/>
        <w:autoSpaceDE w:val="0"/>
        <w:autoSpaceDN w:val="0"/>
        <w:bidi w:val="0"/>
        <w:adjustRightInd w:val="0"/>
        <w:spacing w:line="460" w:lineRule="exact"/>
        <w:outlineLvl w:val="9"/>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三、获取</w:t>
      </w:r>
      <w:r>
        <w:rPr>
          <w:rFonts w:hint="eastAsia" w:ascii="宋体" w:hAnsi="宋体" w:eastAsia="宋体" w:cs="宋体"/>
          <w:b/>
          <w:color w:val="000000" w:themeColor="text1"/>
          <w:sz w:val="24"/>
          <w:highlight w:val="none"/>
          <w:lang w:val="en-US" w:eastAsia="zh-CN"/>
          <w14:textFill>
            <w14:solidFill>
              <w14:schemeClr w14:val="tx1"/>
            </w14:solidFill>
          </w14:textFill>
        </w:rPr>
        <w:t>磋商</w:t>
      </w:r>
      <w:r>
        <w:rPr>
          <w:rFonts w:hint="eastAsia" w:ascii="宋体" w:hAnsi="宋体" w:eastAsia="宋体" w:cs="宋体"/>
          <w:b/>
          <w:color w:val="000000" w:themeColor="text1"/>
          <w:sz w:val="24"/>
          <w:highlight w:val="none"/>
          <w14:textFill>
            <w14:solidFill>
              <w14:schemeClr w14:val="tx1"/>
            </w14:solidFill>
          </w14:textFill>
        </w:rPr>
        <w:t>文件</w:t>
      </w:r>
    </w:p>
    <w:p w14:paraId="2713F11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时间：</w:t>
      </w:r>
      <w:r>
        <w:rPr>
          <w:rFonts w:hint="eastAsia" w:ascii="宋体" w:hAnsi="宋体" w:cs="宋体"/>
          <w:bCs/>
          <w:color w:val="000000" w:themeColor="text1"/>
          <w:sz w:val="24"/>
          <w:highlight w:val="none"/>
          <w:lang w:val="en-US" w:eastAsia="zh-CN"/>
          <w14:textFill>
            <w14:solidFill>
              <w14:schemeClr w14:val="tx1"/>
            </w14:solidFill>
          </w14:textFill>
        </w:rPr>
        <w:t>2025</w:t>
      </w:r>
      <w:r>
        <w:rPr>
          <w:rFonts w:hint="eastAsia" w:ascii="宋体" w:hAnsi="宋体" w:eastAsia="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17</w:t>
      </w:r>
      <w:r>
        <w:rPr>
          <w:rFonts w:hint="eastAsia" w:ascii="宋体" w:hAnsi="宋体" w:eastAsia="宋体" w:cs="宋体"/>
          <w:bCs/>
          <w:color w:val="000000" w:themeColor="text1"/>
          <w:sz w:val="24"/>
          <w:highlight w:val="none"/>
          <w14:textFill>
            <w14:solidFill>
              <w14:schemeClr w14:val="tx1"/>
            </w14:solidFill>
          </w14:textFill>
        </w:rPr>
        <w:t>日上午0</w:t>
      </w:r>
      <w:r>
        <w:rPr>
          <w:rFonts w:hint="eastAsia" w:ascii="宋体" w:hAnsi="宋体" w:cs="宋体"/>
          <w:bCs/>
          <w:color w:val="000000" w:themeColor="text1"/>
          <w:sz w:val="24"/>
          <w:highlight w:val="none"/>
          <w:lang w:val="en-US" w:eastAsia="zh-CN"/>
          <w14:textFill>
            <w14:solidFill>
              <w14:schemeClr w14:val="tx1"/>
            </w14:solidFill>
          </w14:textFill>
        </w:rPr>
        <w:t>8</w:t>
      </w:r>
      <w:r>
        <w:rPr>
          <w:rFonts w:hint="eastAsia" w:ascii="宋体" w:hAnsi="宋体" w:eastAsia="宋体" w:cs="宋体"/>
          <w:bCs/>
          <w:color w:val="000000" w:themeColor="text1"/>
          <w:sz w:val="24"/>
          <w:highlight w:val="none"/>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14:textFill>
            <w14:solidFill>
              <w14:schemeClr w14:val="tx1"/>
            </w14:solidFill>
          </w14:textFill>
        </w:rPr>
        <w:t>0分至</w:t>
      </w:r>
      <w:r>
        <w:rPr>
          <w:rFonts w:hint="eastAsia" w:ascii="宋体" w:hAnsi="宋体" w:cs="宋体"/>
          <w:bCs/>
          <w:color w:val="000000" w:themeColor="text1"/>
          <w:sz w:val="24"/>
          <w:highlight w:val="none"/>
          <w:lang w:val="en-US" w:eastAsia="zh-CN"/>
          <w14:textFill>
            <w14:solidFill>
              <w14:schemeClr w14:val="tx1"/>
            </w14:solidFill>
          </w14:textFill>
        </w:rPr>
        <w:t>2025</w:t>
      </w:r>
      <w:r>
        <w:rPr>
          <w:rFonts w:hint="eastAsia" w:ascii="宋体" w:hAnsi="宋体" w:eastAsia="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23</w:t>
      </w:r>
      <w:r>
        <w:rPr>
          <w:rFonts w:hint="eastAsia" w:ascii="宋体" w:hAnsi="宋体" w:eastAsia="宋体" w:cs="宋体"/>
          <w:bCs/>
          <w:color w:val="000000" w:themeColor="text1"/>
          <w:sz w:val="24"/>
          <w:highlight w:val="none"/>
          <w14:textFill>
            <w14:solidFill>
              <w14:schemeClr w14:val="tx1"/>
            </w14:solidFill>
          </w14:textFill>
        </w:rPr>
        <w:t>日下午16时</w:t>
      </w:r>
      <w:r>
        <w:rPr>
          <w:rFonts w:hint="eastAsia" w:ascii="宋体" w:hAnsi="宋体" w:cs="宋体"/>
          <w:bCs/>
          <w:color w:val="000000" w:themeColor="text1"/>
          <w:sz w:val="24"/>
          <w:highlight w:val="none"/>
          <w:lang w:val="en-US" w:eastAsia="zh-CN"/>
          <w14:textFill>
            <w14:solidFill>
              <w14:schemeClr w14:val="tx1"/>
            </w14:solidFill>
          </w14:textFill>
        </w:rPr>
        <w:t>30分</w:t>
      </w:r>
      <w:r>
        <w:rPr>
          <w:rFonts w:hint="eastAsia" w:ascii="宋体" w:hAnsi="宋体" w:eastAsia="宋体" w:cs="宋体"/>
          <w:bCs/>
          <w:color w:val="000000" w:themeColor="text1"/>
          <w:sz w:val="24"/>
          <w:highlight w:val="none"/>
          <w14:textFill>
            <w14:solidFill>
              <w14:schemeClr w14:val="tx1"/>
            </w14:solidFill>
          </w14:textFill>
        </w:rPr>
        <w:t>（北京时间，法定节假日除外）</w:t>
      </w:r>
      <w:r>
        <w:rPr>
          <w:rFonts w:hint="eastAsia" w:ascii="宋体" w:hAnsi="宋体" w:eastAsia="宋体" w:cs="宋体"/>
          <w:bCs/>
          <w:color w:val="000000" w:themeColor="text1"/>
          <w:sz w:val="24"/>
          <w:highlight w:val="none"/>
          <w:lang w:eastAsia="zh-CN"/>
          <w14:textFill>
            <w14:solidFill>
              <w14:schemeClr w14:val="tx1"/>
            </w14:solidFill>
          </w14:textFill>
        </w:rPr>
        <w:t>；</w:t>
      </w:r>
    </w:p>
    <w:p w14:paraId="3AFAB6DE">
      <w:pPr>
        <w:pStyle w:val="110"/>
        <w:keepNext w:val="0"/>
        <w:keepLines w:val="0"/>
        <w:pageBreakBefore w:val="0"/>
        <w:kinsoku/>
        <w:wordWrap w:val="0"/>
        <w:overflowPunct/>
        <w:topLinePunct w:val="0"/>
        <w:bidi w:val="0"/>
        <w:snapToGrid/>
        <w:spacing w:line="400" w:lineRule="exact"/>
        <w:ind w:firstLine="480" w:firstLineChars="200"/>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地点：政府采购云平台（网址：http:// www.zcygov.cn）；</w:t>
      </w:r>
    </w:p>
    <w:p w14:paraId="191F6A22">
      <w:pPr>
        <w:keepNext w:val="0"/>
        <w:keepLines w:val="0"/>
        <w:pageBreakBefore w:val="0"/>
        <w:kinsoku/>
        <w:overflowPunct/>
        <w:topLinePunct w:val="0"/>
        <w:bidi w:val="0"/>
        <w:snapToGrid/>
        <w:spacing w:line="400" w:lineRule="exact"/>
        <w:ind w:firstLine="480" w:firstLineChars="200"/>
        <w:jc w:val="left"/>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方式：潜在供应商可自行在“政采云”平台（网址：http：//www.zcygov.cn）下载磋商文件（操作路径：登录“政采云”平台-项目采购-获取采购文件-找到本项目-点击“申请获取采购文件”），其他途径获取的采购文件开标时一律按无效投标处理。申请获取采购文件时需提交以下资料并加盖公章（以下资料须在“政采云”平台“申请获取采购文件”时的附件处提交）：</w:t>
      </w:r>
    </w:p>
    <w:p w14:paraId="4E9EAF91">
      <w:pPr>
        <w:keepNext w:val="0"/>
        <w:keepLines w:val="0"/>
        <w:pageBreakBefore w:val="0"/>
        <w:numPr>
          <w:ilvl w:val="0"/>
          <w:numId w:val="3"/>
        </w:numPr>
        <w:kinsoku/>
        <w:overflowPunct/>
        <w:topLinePunct w:val="0"/>
        <w:bidi w:val="0"/>
        <w:snapToGrid/>
        <w:spacing w:line="400" w:lineRule="exact"/>
        <w:ind w:firstLine="420"/>
        <w:jc w:val="left"/>
        <w:textAlignment w:val="auto"/>
        <w:outlineLvl w:val="9"/>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t>有效营业执照；</w:t>
      </w:r>
    </w:p>
    <w:p w14:paraId="0C4A23C4">
      <w:pPr>
        <w:keepNext w:val="0"/>
        <w:keepLines w:val="0"/>
        <w:pageBreakBefore w:val="0"/>
        <w:numPr>
          <w:ilvl w:val="0"/>
          <w:numId w:val="3"/>
        </w:numPr>
        <w:kinsoku/>
        <w:overflowPunct/>
        <w:topLinePunct w:val="0"/>
        <w:bidi w:val="0"/>
        <w:snapToGrid/>
        <w:spacing w:line="400" w:lineRule="exact"/>
        <w:ind w:firstLine="420"/>
        <w:jc w:val="left"/>
        <w:textAlignment w:val="auto"/>
        <w:outlineLvl w:val="9"/>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zh-CN" w:eastAsia="zh-CN" w:bidi="ar-SA"/>
          <w14:textFill>
            <w14:solidFill>
              <w14:schemeClr w14:val="tx1"/>
            </w14:solidFill>
          </w14:textFill>
        </w:rPr>
        <w:t>被授权人身份证、法人授权委托书的材料复印件。</w:t>
      </w:r>
    </w:p>
    <w:p w14:paraId="3CEDE89A">
      <w:pPr>
        <w:pStyle w:val="110"/>
        <w:keepNext w:val="0"/>
        <w:keepLines w:val="0"/>
        <w:pageBreakBefore w:val="0"/>
        <w:kinsoku/>
        <w:wordWrap w:val="0"/>
        <w:overflowPunct/>
        <w:topLinePunct w:val="0"/>
        <w:bidi w:val="0"/>
        <w:snapToGrid/>
        <w:spacing w:line="400" w:lineRule="exact"/>
        <w:ind w:firstLine="480" w:firstLineChars="200"/>
        <w:textAlignment w:val="auto"/>
        <w:outlineLvl w:val="9"/>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未进行网上注册并办理CA认证的供应商将无法参与本次招标活动。</w:t>
      </w:r>
    </w:p>
    <w:p w14:paraId="05360205">
      <w:pPr>
        <w:keepNext w:val="0"/>
        <w:keepLines w:val="0"/>
        <w:pageBreakBefore w:val="0"/>
        <w:widowControl w:val="0"/>
        <w:kinsoku/>
        <w:overflowPunct/>
        <w:topLinePunct w:val="0"/>
        <w:autoSpaceDE w:val="0"/>
        <w:autoSpaceDN w:val="0"/>
        <w:bidi w:val="0"/>
        <w:adjustRightInd w:val="0"/>
        <w:snapToGrid/>
        <w:spacing w:line="400" w:lineRule="exact"/>
        <w:ind w:firstLine="480" w:firstLineChars="200"/>
        <w:textAlignment w:val="auto"/>
        <w:outlineLvl w:val="9"/>
        <w:rPr>
          <w:rFonts w:hint="default"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t>售价：0元。</w:t>
      </w:r>
    </w:p>
    <w:p w14:paraId="670F3E57">
      <w:pPr>
        <w:widowControl w:val="0"/>
        <w:overflowPunct/>
        <w:autoSpaceDE w:val="0"/>
        <w:autoSpaceDN w:val="0"/>
        <w:bidi w:val="0"/>
        <w:adjustRightInd w:val="0"/>
        <w:spacing w:line="3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四、</w:t>
      </w:r>
      <w:r>
        <w:rPr>
          <w:rFonts w:hint="eastAsia" w:ascii="宋体" w:hAnsi="宋体" w:eastAsia="宋体" w:cs="宋体"/>
          <w:b/>
          <w:color w:val="000000" w:themeColor="text1"/>
          <w:sz w:val="24"/>
          <w:highlight w:val="none"/>
          <w:lang w:eastAsia="zh-CN"/>
          <w14:textFill>
            <w14:solidFill>
              <w14:schemeClr w14:val="tx1"/>
            </w14:solidFill>
          </w14:textFill>
        </w:rPr>
        <w:t>响应</w:t>
      </w:r>
      <w:r>
        <w:rPr>
          <w:rFonts w:hint="eastAsia" w:ascii="宋体" w:hAnsi="宋体" w:eastAsia="宋体" w:cs="宋体"/>
          <w:b/>
          <w:color w:val="000000" w:themeColor="text1"/>
          <w:sz w:val="24"/>
          <w:highlight w:val="none"/>
          <w14:textFill>
            <w14:solidFill>
              <w14:schemeClr w14:val="tx1"/>
            </w14:solidFill>
          </w14:textFill>
        </w:rPr>
        <w:t>文件提交</w:t>
      </w:r>
    </w:p>
    <w:p w14:paraId="224AD89D">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截止时间：</w:t>
      </w:r>
      <w:r>
        <w:rPr>
          <w:rFonts w:hint="eastAsia" w:ascii="宋体" w:hAnsi="宋体" w:eastAsia="宋体" w:cs="宋体"/>
          <w:bCs/>
          <w:color w:val="000000" w:themeColor="text1"/>
          <w:sz w:val="24"/>
          <w:highlight w:val="none"/>
          <w:lang w:val="en-US" w:eastAsia="zh-CN"/>
          <w14:textFill>
            <w14:solidFill>
              <w14:schemeClr w14:val="tx1"/>
            </w14:solidFill>
          </w14:textFill>
        </w:rPr>
        <w:t>2025年4月29日1</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en-US" w:eastAsia="zh-CN"/>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en-US" w:eastAsia="zh-CN"/>
          <w14:textFill>
            <w14:solidFill>
              <w14:schemeClr w14:val="tx1"/>
            </w14:solidFill>
          </w14:textFill>
        </w:rPr>
        <w:t>0分</w:t>
      </w:r>
      <w:r>
        <w:rPr>
          <w:rFonts w:hint="eastAsia" w:ascii="宋体" w:hAnsi="宋体" w:eastAsia="宋体" w:cs="宋体"/>
          <w:bCs/>
          <w:color w:val="000000" w:themeColor="text1"/>
          <w:sz w:val="24"/>
          <w:highlight w:val="none"/>
          <w14:textFill>
            <w14:solidFill>
              <w14:schemeClr w14:val="tx1"/>
            </w14:solidFill>
          </w14:textFill>
        </w:rPr>
        <w:t>（北京时间）；</w:t>
      </w:r>
    </w:p>
    <w:p w14:paraId="79EBE670">
      <w:pPr>
        <w:widowControl w:val="0"/>
        <w:autoSpaceDE w:val="0"/>
        <w:autoSpaceDN w:val="0"/>
        <w:adjustRightInd w:val="0"/>
        <w:spacing w:line="360" w:lineRule="exact"/>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地点：</w:t>
      </w:r>
      <w:r>
        <w:rPr>
          <w:rFonts w:hint="eastAsia" w:ascii="宋体" w:hAnsi="宋体" w:cs="宋体"/>
          <w:bCs/>
          <w:color w:val="000000" w:themeColor="text1"/>
          <w:sz w:val="24"/>
          <w:highlight w:val="none"/>
          <w:lang w:val="zh-CN"/>
          <w14:textFill>
            <w14:solidFill>
              <w14:schemeClr w14:val="tx1"/>
            </w14:solidFill>
          </w14:textFill>
        </w:rPr>
        <w:t>延吉市公共资源交易中心(延吉市政务大厅6楼)，地址：延吉市光华路166－1号</w:t>
      </w:r>
      <w:r>
        <w:rPr>
          <w:rFonts w:hint="eastAsia" w:ascii="宋体" w:hAnsi="宋体" w:eastAsia="宋体" w:cs="宋体"/>
          <w:bCs/>
          <w:color w:val="000000" w:themeColor="text1"/>
          <w:sz w:val="24"/>
          <w:highlight w:val="none"/>
          <w14:textFill>
            <w14:solidFill>
              <w14:schemeClr w14:val="tx1"/>
            </w14:solidFill>
          </w14:textFill>
        </w:rPr>
        <w:t>。</w:t>
      </w:r>
    </w:p>
    <w:p w14:paraId="250054F8">
      <w:pPr>
        <w:widowControl w:val="0"/>
        <w:overflowPunct/>
        <w:autoSpaceDE w:val="0"/>
        <w:autoSpaceDN w:val="0"/>
        <w:bidi w:val="0"/>
        <w:adjustRightInd w:val="0"/>
        <w:spacing w:line="3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五、开启</w:t>
      </w:r>
    </w:p>
    <w:p w14:paraId="3B888E3B">
      <w:pPr>
        <w:widowControl w:val="0"/>
        <w:overflowPunct/>
        <w:autoSpaceDE w:val="0"/>
        <w:autoSpaceDN w:val="0"/>
        <w:bidi w:val="0"/>
        <w:adjustRightInd w:val="0"/>
        <w:spacing w:line="360" w:lineRule="exact"/>
        <w:ind w:firstLine="480" w:firstLineChars="200"/>
        <w:outlineLvl w:val="9"/>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时间：</w:t>
      </w:r>
      <w:r>
        <w:rPr>
          <w:rFonts w:hint="eastAsia" w:ascii="宋体" w:hAnsi="宋体" w:eastAsia="宋体" w:cs="宋体"/>
          <w:bCs/>
          <w:color w:val="000000" w:themeColor="text1"/>
          <w:sz w:val="24"/>
          <w:highlight w:val="none"/>
          <w:lang w:val="en-US" w:eastAsia="zh-CN"/>
          <w14:textFill>
            <w14:solidFill>
              <w14:schemeClr w14:val="tx1"/>
            </w14:solidFill>
          </w14:textFill>
        </w:rPr>
        <w:t>2025年4月29日1</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en-US" w:eastAsia="zh-CN"/>
          <w14:textFill>
            <w14:solidFill>
              <w14:schemeClr w14:val="tx1"/>
            </w14:solidFill>
          </w14:textFill>
        </w:rPr>
        <w:t>时</w:t>
      </w:r>
      <w:r>
        <w:rPr>
          <w:rFonts w:hint="eastAsia" w:ascii="宋体" w:hAnsi="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en-US" w:eastAsia="zh-CN"/>
          <w14:textFill>
            <w14:solidFill>
              <w14:schemeClr w14:val="tx1"/>
            </w14:solidFill>
          </w14:textFill>
        </w:rPr>
        <w:t>0分</w:t>
      </w:r>
      <w:r>
        <w:rPr>
          <w:rFonts w:hint="eastAsia" w:ascii="宋体" w:hAnsi="宋体" w:eastAsia="宋体" w:cs="宋体"/>
          <w:bCs/>
          <w:color w:val="000000" w:themeColor="text1"/>
          <w:sz w:val="24"/>
          <w:highlight w:val="none"/>
          <w14:textFill>
            <w14:solidFill>
              <w14:schemeClr w14:val="tx1"/>
            </w14:solidFill>
          </w14:textFill>
        </w:rPr>
        <w:t>（北京时间）</w:t>
      </w:r>
    </w:p>
    <w:p w14:paraId="215E5929">
      <w:pPr>
        <w:widowControl w:val="0"/>
        <w:autoSpaceDE w:val="0"/>
        <w:autoSpaceDN w:val="0"/>
        <w:adjustRightInd w:val="0"/>
        <w:spacing w:line="360" w:lineRule="exact"/>
        <w:ind w:firstLine="480" w:firstLineChars="200"/>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地点：</w:t>
      </w:r>
      <w:r>
        <w:rPr>
          <w:rFonts w:hint="eastAsia" w:ascii="宋体" w:hAnsi="宋体" w:cs="宋体"/>
          <w:bCs/>
          <w:color w:val="000000" w:themeColor="text1"/>
          <w:sz w:val="24"/>
          <w:highlight w:val="none"/>
          <w:lang w:val="zh-CN"/>
          <w14:textFill>
            <w14:solidFill>
              <w14:schemeClr w14:val="tx1"/>
            </w14:solidFill>
          </w14:textFill>
        </w:rPr>
        <w:t>延吉市公共资源交易中心(延吉市政务大厅6楼)，地址：延吉市光华路166－1号</w:t>
      </w:r>
      <w:r>
        <w:rPr>
          <w:rFonts w:hint="eastAsia" w:ascii="宋体" w:hAnsi="宋体" w:eastAsia="宋体" w:cs="宋体"/>
          <w:bCs/>
          <w:color w:val="000000" w:themeColor="text1"/>
          <w:sz w:val="24"/>
          <w:highlight w:val="none"/>
          <w14:textFill>
            <w14:solidFill>
              <w14:schemeClr w14:val="tx1"/>
            </w14:solidFill>
          </w14:textFill>
        </w:rPr>
        <w:t>。</w:t>
      </w:r>
    </w:p>
    <w:p w14:paraId="37F9E12E">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六、公告期限</w:t>
      </w:r>
    </w:p>
    <w:p w14:paraId="5A1BD4BB">
      <w:pPr>
        <w:widowControl w:val="0"/>
        <w:overflowPunct/>
        <w:autoSpaceDE w:val="0"/>
        <w:autoSpaceDN w:val="0"/>
        <w:bidi w:val="0"/>
        <w:adjustRightInd w:val="0"/>
        <w:spacing w:line="460" w:lineRule="exact"/>
        <w:ind w:firstLine="480" w:firstLineChars="200"/>
        <w:outlineLvl w:val="9"/>
        <w:rPr>
          <w:rStyle w:val="114"/>
          <w:rFonts w:ascii="宋体" w:hAnsi="宋体" w:cs="宋体"/>
          <w:bCs/>
          <w:color w:val="000000" w:themeColor="text1"/>
          <w:sz w:val="24"/>
          <w:szCs w:val="24"/>
          <w:highlight w:val="none"/>
          <w14:textFill>
            <w14:solidFill>
              <w14:schemeClr w14:val="tx1"/>
            </w14:solidFill>
          </w14:textFill>
        </w:rPr>
      </w:pPr>
      <w:r>
        <w:rPr>
          <w:rStyle w:val="114"/>
          <w:rFonts w:hint="eastAsia" w:ascii="宋体" w:hAnsi="宋体" w:cs="宋体"/>
          <w:bCs/>
          <w:color w:val="000000" w:themeColor="text1"/>
          <w:sz w:val="24"/>
          <w:szCs w:val="24"/>
          <w:highlight w:val="none"/>
          <w14:textFill>
            <w14:solidFill>
              <w14:schemeClr w14:val="tx1"/>
            </w14:solidFill>
          </w14:textFill>
        </w:rPr>
        <w:t>自本公告发布之日起</w:t>
      </w:r>
      <w:r>
        <w:rPr>
          <w:rStyle w:val="114"/>
          <w:rFonts w:hint="eastAsia" w:ascii="宋体" w:hAnsi="宋体" w:cs="宋体"/>
          <w:bCs/>
          <w:color w:val="000000" w:themeColor="text1"/>
          <w:sz w:val="24"/>
          <w:szCs w:val="24"/>
          <w:highlight w:val="none"/>
          <w:lang w:val="en-US"/>
          <w14:textFill>
            <w14:solidFill>
              <w14:schemeClr w14:val="tx1"/>
            </w14:solidFill>
          </w14:textFill>
        </w:rPr>
        <w:t>5</w:t>
      </w:r>
      <w:r>
        <w:rPr>
          <w:rStyle w:val="114"/>
          <w:rFonts w:hint="eastAsia" w:ascii="宋体" w:hAnsi="宋体" w:cs="宋体"/>
          <w:bCs/>
          <w:color w:val="000000" w:themeColor="text1"/>
          <w:sz w:val="24"/>
          <w:szCs w:val="24"/>
          <w:highlight w:val="none"/>
          <w14:textFill>
            <w14:solidFill>
              <w14:schemeClr w14:val="tx1"/>
            </w14:solidFill>
          </w14:textFill>
        </w:rPr>
        <w:t>个工作日。</w:t>
      </w:r>
    </w:p>
    <w:p w14:paraId="59FFEB49">
      <w:pPr>
        <w:keepNext w:val="0"/>
        <w:keepLines w:val="0"/>
        <w:pageBreakBefore w:val="0"/>
        <w:widowControl w:val="0"/>
        <w:numPr>
          <w:ilvl w:val="0"/>
          <w:numId w:val="4"/>
        </w:numPr>
        <w:kinsoku/>
        <w:overflowPunct/>
        <w:topLinePunct w:val="0"/>
        <w:autoSpaceDE w:val="0"/>
        <w:autoSpaceDN w:val="0"/>
        <w:bidi w:val="0"/>
        <w:adjustRightInd w:val="0"/>
        <w:snapToGrid w:val="0"/>
        <w:spacing w:line="360" w:lineRule="auto"/>
        <w:textAlignment w:val="auto"/>
        <w:outlineLvl w:val="9"/>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highlight w:val="none"/>
          <w:lang w:eastAsia="zh-CN"/>
          <w14:textFill>
            <w14:solidFill>
              <w14:schemeClr w14:val="tx1"/>
            </w14:solidFill>
          </w14:textFill>
        </w:rPr>
        <w:t>其他补充事宜</w:t>
      </w:r>
    </w:p>
    <w:p w14:paraId="2F1F2AB0">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1、逾期送达的或者未送达指定地点的响应文件，采购人、采购代理机构不予受理。</w:t>
      </w:r>
    </w:p>
    <w:p w14:paraId="3C4C1507">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bCs/>
          <w:color w:val="000000" w:themeColor="text1"/>
          <w:sz w:val="24"/>
          <w:highlight w:val="none"/>
          <w:lang w:val="zh-CN" w:eastAsia="zh-CN"/>
          <w14:textFill>
            <w14:solidFill>
              <w14:schemeClr w14:val="tx1"/>
            </w14:solidFill>
          </w14:textFill>
        </w:rPr>
        <w:t>本项目采用全流程电子化招投标，开标方式为远程开标，供应商须在提交响应文件截止时间前通过政府采购云平台（网址：http://www.zcygov.cn）递交电子响应文件，并按照现场工作人员通知使用CA锁进行响应文件远程解密。</w:t>
      </w:r>
    </w:p>
    <w:p w14:paraId="4A5A76F3">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3、</w:t>
      </w:r>
      <w:r>
        <w:rPr>
          <w:rFonts w:hint="eastAsia" w:ascii="宋体" w:hAnsi="宋体" w:eastAsia="宋体" w:cs="宋体"/>
          <w:bCs/>
          <w:color w:val="000000" w:themeColor="text1"/>
          <w:sz w:val="24"/>
          <w:highlight w:val="none"/>
          <w:lang w:val="zh-CN" w:eastAsia="zh-CN"/>
          <w14:textFill>
            <w14:solidFill>
              <w14:schemeClr w14:val="tx1"/>
            </w14:solidFill>
          </w14:textFill>
        </w:rPr>
        <w:t>投标操作流程：供应商在政府采购云平台网注册入库成为正式供应商后，在平台上按《政府采购项目电子交易管理操作指南-供应商》进行投标操作。</w:t>
      </w:r>
    </w:p>
    <w:p w14:paraId="6AE7225E">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zh-CN"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lang w:val="zh-CN" w:eastAsia="zh-CN"/>
          <w14:textFill>
            <w14:solidFill>
              <w14:schemeClr w14:val="tx1"/>
            </w14:solidFill>
          </w14:textFill>
        </w:rPr>
        <w:t>数字证书办理及投标技术咨询：</w:t>
      </w:r>
      <w:r>
        <w:rPr>
          <w:rFonts w:hint="eastAsia" w:ascii="宋体" w:hAnsi="宋体" w:eastAsia="宋体" w:cs="宋体"/>
          <w:bCs/>
          <w:color w:val="000000" w:themeColor="text1"/>
          <w:sz w:val="24"/>
          <w:highlight w:val="none"/>
          <w:lang w:val="en-US" w:eastAsia="zh-CN"/>
          <w14:textFill>
            <w14:solidFill>
              <w14:schemeClr w14:val="tx1"/>
            </w14:solidFill>
          </w14:textFill>
        </w:rPr>
        <w:t>供应商</w:t>
      </w:r>
      <w:r>
        <w:rPr>
          <w:rFonts w:hint="eastAsia" w:ascii="宋体" w:hAnsi="宋体" w:eastAsia="宋体" w:cs="宋体"/>
          <w:bCs/>
          <w:color w:val="000000" w:themeColor="text1"/>
          <w:sz w:val="24"/>
          <w:highlight w:val="none"/>
          <w:lang w:val="zh-CN" w:eastAsia="zh-CN"/>
          <w14:textFill>
            <w14:solidFill>
              <w14:schemeClr w14:val="tx1"/>
            </w14:solidFill>
          </w14:textFill>
        </w:rPr>
        <w:t>须办理数字证书方可参加投标。供应商须自行考虑数字证书办理时限，由于供应商自身原因在开标前无法完成办理，后果自负。</w:t>
      </w:r>
    </w:p>
    <w:p w14:paraId="3CA52F9A">
      <w:pPr>
        <w:keepNext w:val="0"/>
        <w:keepLines w:val="0"/>
        <w:pageBreakBefore w:val="0"/>
        <w:widowControl w:val="0"/>
        <w:kinsoku/>
        <w:wordWrap w:val="0"/>
        <w:overflowPunct/>
        <w:topLinePunct w:val="0"/>
        <w:autoSpaceDE w:val="0"/>
        <w:autoSpaceDN w:val="0"/>
        <w:bidi w:val="0"/>
        <w:adjustRightInd w:val="0"/>
        <w:snapToGrid/>
        <w:spacing w:line="460" w:lineRule="exact"/>
        <w:ind w:firstLine="480" w:firstLineChars="200"/>
        <w:textAlignment w:val="auto"/>
        <w:outlineLvl w:val="9"/>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5、</w:t>
      </w:r>
      <w:r>
        <w:rPr>
          <w:rFonts w:hint="eastAsia" w:ascii="宋体" w:hAnsi="宋体" w:eastAsia="宋体" w:cs="宋体"/>
          <w:bCs/>
          <w:color w:val="000000" w:themeColor="text1"/>
          <w:sz w:val="24"/>
          <w:highlight w:val="none"/>
          <w:lang w:eastAsia="zh-CN"/>
          <w14:textFill>
            <w14:solidFill>
              <w14:schemeClr w14:val="tx1"/>
            </w14:solidFill>
          </w14:textFill>
        </w:rPr>
        <w:t>若对项目采购电子交易系统操作有疑问，可登录“政采云”平台（https://www.zcygov.cn/）点击右侧咨询小采，获取采小蜜智能服务管家帮助，或拨打政采云服务热线95763获取热线服务帮助。</w:t>
      </w:r>
    </w:p>
    <w:p w14:paraId="2EEE51D6">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6、因企业CA锁原因未能进行解密的，其投标无效。</w:t>
      </w:r>
    </w:p>
    <w:p w14:paraId="7CA4764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7、采购项目需要落实的政府采购政策:《政府采购促进中小企业发展管理办法》（财库〔2020〕46号）</w:t>
      </w:r>
      <w:r>
        <w:rPr>
          <w:rFonts w:hint="eastAsia" w:ascii="宋体" w:hAnsi="宋体" w:cs="宋体"/>
          <w:bCs/>
          <w:color w:val="000000" w:themeColor="text1"/>
          <w:sz w:val="24"/>
          <w:highlight w:val="none"/>
          <w:lang w:val="en-US" w:eastAsia="zh-CN"/>
          <w14:textFill>
            <w14:solidFill>
              <w14:schemeClr w14:val="tx1"/>
            </w14:solidFill>
          </w14:textFill>
        </w:rPr>
        <w:t>及《关于进一步加大政府采购支持中小企业力度的通知》(财库〔2022〕19号)</w:t>
      </w:r>
      <w:r>
        <w:rPr>
          <w:rFonts w:hint="eastAsia" w:ascii="宋体" w:hAnsi="宋体" w:eastAsia="宋体" w:cs="宋体"/>
          <w:bCs/>
          <w:color w:val="000000" w:themeColor="text1"/>
          <w:sz w:val="24"/>
          <w:highlight w:val="none"/>
          <w:lang w:val="en-US" w:eastAsia="zh-CN"/>
          <w14:textFill>
            <w14:solidFill>
              <w14:schemeClr w14:val="tx1"/>
            </w14:solidFill>
          </w14:textFill>
        </w:rPr>
        <w:t>、《关于促进残疾人就业政府采购政策的通知》（财库〔2017〕141号）、《关于政府采购支持监狱企业发展有关问题的通知》(财库〔2014〕68号)、《国务院办公厅关于建立政府强制采购节能产品制度的通知》（国办发〔2007〕51号）、《关于调整优化节能产品、环境标志产品政府采购执行机制的通知》（财库〔2019〕9号）等国家最新政策。</w:t>
      </w:r>
    </w:p>
    <w:p w14:paraId="2C3A90D8">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8、</w:t>
      </w:r>
      <w:r>
        <w:rPr>
          <w:rFonts w:hint="eastAsia" w:ascii="宋体" w:hAnsi="宋体" w:cs="宋体"/>
          <w:bCs/>
          <w:color w:val="000000" w:themeColor="text1"/>
          <w:sz w:val="24"/>
          <w:highlight w:val="none"/>
          <w:lang w:val="en-US" w:eastAsia="zh-CN"/>
          <w14:textFill>
            <w14:solidFill>
              <w14:schemeClr w14:val="tx1"/>
            </w14:solidFill>
          </w14:textFill>
        </w:rPr>
        <w:t>本次公告</w:t>
      </w:r>
      <w:r>
        <w:rPr>
          <w:rFonts w:hint="eastAsia" w:ascii="宋体" w:hAnsi="宋体" w:eastAsia="宋体" w:cs="宋体"/>
          <w:bCs/>
          <w:color w:val="000000" w:themeColor="text1"/>
          <w:sz w:val="24"/>
          <w:highlight w:val="none"/>
          <w:lang w:val="en-US" w:eastAsia="zh-CN"/>
          <w14:textFill>
            <w14:solidFill>
              <w14:schemeClr w14:val="tx1"/>
            </w14:solidFill>
          </w14:textFill>
        </w:rPr>
        <w:t>在“政采云”平台（http:// www.zcygov.cn），同步推送到吉林省政府采购网（http://www.ccgp-jilin.gov.cn/），并同时在中国政府采购网上发布。</w:t>
      </w:r>
    </w:p>
    <w:p w14:paraId="1A5ACC7F">
      <w:pPr>
        <w:widowControl w:val="0"/>
        <w:overflowPunct/>
        <w:autoSpaceDE w:val="0"/>
        <w:autoSpaceDN w:val="0"/>
        <w:bidi w:val="0"/>
        <w:adjustRightInd w:val="0"/>
        <w:spacing w:line="460" w:lineRule="exact"/>
        <w:outlineLvl w:val="9"/>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九、对本次</w:t>
      </w:r>
      <w:r>
        <w:rPr>
          <w:rFonts w:hint="eastAsia" w:ascii="宋体" w:hAnsi="宋体" w:eastAsia="宋体" w:cs="宋体"/>
          <w:b/>
          <w:color w:val="000000" w:themeColor="text1"/>
          <w:sz w:val="24"/>
          <w:highlight w:val="none"/>
          <w:lang w:eastAsia="zh-CN"/>
          <w14:textFill>
            <w14:solidFill>
              <w14:schemeClr w14:val="tx1"/>
            </w14:solidFill>
          </w14:textFill>
        </w:rPr>
        <w:t>磋商</w:t>
      </w:r>
      <w:r>
        <w:rPr>
          <w:rFonts w:hint="eastAsia" w:ascii="宋体" w:hAnsi="宋体" w:eastAsia="宋体" w:cs="宋体"/>
          <w:b/>
          <w:color w:val="000000" w:themeColor="text1"/>
          <w:sz w:val="24"/>
          <w:highlight w:val="none"/>
          <w14:textFill>
            <w14:solidFill>
              <w14:schemeClr w14:val="tx1"/>
            </w14:solidFill>
          </w14:textFill>
        </w:rPr>
        <w:t>提出询问，请按以下方式联系。</w:t>
      </w:r>
    </w:p>
    <w:p w14:paraId="3B1DBA61">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8" w:name="_Toc28359096"/>
      <w:bookmarkStart w:id="9" w:name="_Toc35393637"/>
      <w:bookmarkStart w:id="10" w:name="_Toc28359019"/>
      <w:bookmarkStart w:id="11" w:name="_Toc35393806"/>
      <w:r>
        <w:rPr>
          <w:rFonts w:hint="eastAsia" w:ascii="宋体" w:hAnsi="宋体" w:eastAsia="宋体" w:cs="宋体"/>
          <w:bCs/>
          <w:color w:val="000000" w:themeColor="text1"/>
          <w:sz w:val="24"/>
          <w:highlight w:val="none"/>
          <w:lang w:val="en-US" w:eastAsia="zh-CN"/>
          <w14:textFill>
            <w14:solidFill>
              <w14:schemeClr w14:val="tx1"/>
            </w14:solidFill>
          </w14:textFill>
        </w:rPr>
        <w:t>1.采购人信息</w:t>
      </w:r>
      <w:bookmarkEnd w:id="8"/>
      <w:bookmarkEnd w:id="9"/>
      <w:bookmarkEnd w:id="10"/>
      <w:bookmarkEnd w:id="11"/>
    </w:p>
    <w:p w14:paraId="04A23BA2">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名    称：</w:t>
      </w:r>
      <w:r>
        <w:rPr>
          <w:rFonts w:hint="eastAsia" w:ascii="宋体" w:hAnsi="宋体" w:cs="宋体"/>
          <w:bCs/>
          <w:color w:val="000000" w:themeColor="text1"/>
          <w:sz w:val="24"/>
          <w:highlight w:val="none"/>
          <w:lang w:val="en-US" w:eastAsia="zh-CN"/>
          <w14:textFill>
            <w14:solidFill>
              <w14:schemeClr w14:val="tx1"/>
            </w14:solidFill>
          </w14:textFill>
        </w:rPr>
        <w:t>延吉市市场监督管理局</w:t>
      </w:r>
    </w:p>
    <w:p w14:paraId="3CFF5320">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地    址：</w:t>
      </w:r>
      <w:r>
        <w:rPr>
          <w:rFonts w:hint="eastAsia" w:ascii="宋体" w:hAnsi="宋体" w:cs="宋体"/>
          <w:bCs/>
          <w:color w:val="000000" w:themeColor="text1"/>
          <w:sz w:val="24"/>
          <w:highlight w:val="none"/>
          <w:lang w:val="en-US" w:eastAsia="zh-CN"/>
          <w14:textFill>
            <w14:solidFill>
              <w14:schemeClr w14:val="tx1"/>
            </w14:solidFill>
          </w14:textFill>
        </w:rPr>
        <w:t>延吉市公园路325号</w:t>
      </w:r>
    </w:p>
    <w:p w14:paraId="1FA44299">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联系方式：王守伟 156622594</w:t>
      </w:r>
      <w:r>
        <w:rPr>
          <w:rFonts w:hint="eastAsia" w:ascii="宋体" w:hAnsi="宋体" w:cs="宋体"/>
          <w:bCs/>
          <w:color w:val="000000" w:themeColor="text1"/>
          <w:sz w:val="24"/>
          <w:highlight w:val="none"/>
          <w:lang w:val="en-US" w:eastAsia="zh-CN"/>
          <w14:textFill>
            <w14:solidFill>
              <w14:schemeClr w14:val="tx1"/>
            </w14:solidFill>
          </w14:textFill>
        </w:rPr>
        <w:t>44</w:t>
      </w:r>
    </w:p>
    <w:p w14:paraId="2200B1CD">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12" w:name="_Toc35393807"/>
      <w:bookmarkStart w:id="13" w:name="_Toc28359097"/>
      <w:bookmarkStart w:id="14" w:name="_Toc35393638"/>
      <w:bookmarkStart w:id="15" w:name="_Toc28359020"/>
      <w:r>
        <w:rPr>
          <w:rFonts w:hint="eastAsia" w:ascii="宋体" w:hAnsi="宋体" w:eastAsia="宋体" w:cs="宋体"/>
          <w:bCs/>
          <w:color w:val="000000" w:themeColor="text1"/>
          <w:sz w:val="24"/>
          <w:highlight w:val="none"/>
          <w:lang w:val="en-US" w:eastAsia="zh-CN"/>
          <w14:textFill>
            <w14:solidFill>
              <w14:schemeClr w14:val="tx1"/>
            </w14:solidFill>
          </w14:textFill>
        </w:rPr>
        <w:t>2.采购代理机构信息</w:t>
      </w:r>
      <w:bookmarkEnd w:id="12"/>
      <w:bookmarkEnd w:id="13"/>
      <w:bookmarkEnd w:id="14"/>
      <w:bookmarkEnd w:id="15"/>
    </w:p>
    <w:p w14:paraId="622A4BEC">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名    称：</w:t>
      </w:r>
      <w:r>
        <w:rPr>
          <w:rFonts w:hint="eastAsia" w:ascii="宋体" w:hAnsi="宋体" w:cs="宋体"/>
          <w:bCs/>
          <w:color w:val="000000" w:themeColor="text1"/>
          <w:sz w:val="24"/>
          <w:highlight w:val="none"/>
          <w:lang w:val="en-US" w:eastAsia="zh-CN"/>
          <w14:textFill>
            <w14:solidFill>
              <w14:schemeClr w14:val="tx1"/>
            </w14:solidFill>
          </w14:textFill>
        </w:rPr>
        <w:t>吉林省百顺工程管理有限公司</w:t>
      </w:r>
    </w:p>
    <w:p w14:paraId="406589A5">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地    址：</w:t>
      </w:r>
      <w:r>
        <w:rPr>
          <w:rFonts w:hint="eastAsia" w:ascii="宋体" w:hAnsi="宋体" w:cs="宋体"/>
          <w:bCs/>
          <w:color w:val="000000" w:themeColor="text1"/>
          <w:sz w:val="24"/>
          <w:highlight w:val="none"/>
          <w:lang w:val="en-US" w:eastAsia="zh-CN"/>
          <w14:textFill>
            <w14:solidFill>
              <w14:schemeClr w14:val="tx1"/>
            </w14:solidFill>
          </w14:textFill>
        </w:rPr>
        <w:t>长春市朝阳区西安大路58号（24）层2002号房</w:t>
      </w:r>
    </w:p>
    <w:p w14:paraId="2903BC15">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联系方式：</w:t>
      </w:r>
      <w:r>
        <w:rPr>
          <w:rFonts w:hint="eastAsia" w:ascii="宋体" w:hAnsi="宋体" w:cs="宋体"/>
          <w:bCs/>
          <w:color w:val="000000" w:themeColor="text1"/>
          <w:sz w:val="24"/>
          <w:highlight w:val="none"/>
          <w:lang w:val="en-US" w:eastAsia="zh-CN"/>
          <w14:textFill>
            <w14:solidFill>
              <w14:schemeClr w14:val="tx1"/>
            </w14:solidFill>
          </w14:textFill>
        </w:rPr>
        <w:t>孙安娜18186817770</w:t>
      </w:r>
    </w:p>
    <w:p w14:paraId="1CCCEA34">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bookmarkStart w:id="16" w:name="_Toc28359098"/>
      <w:bookmarkStart w:id="17" w:name="_Toc35393639"/>
      <w:bookmarkStart w:id="18" w:name="_Toc28359021"/>
      <w:bookmarkStart w:id="19" w:name="_Toc35393808"/>
      <w:r>
        <w:rPr>
          <w:rFonts w:hint="eastAsia" w:ascii="宋体" w:hAnsi="宋体" w:eastAsia="宋体" w:cs="宋体"/>
          <w:bCs/>
          <w:color w:val="000000" w:themeColor="text1"/>
          <w:sz w:val="24"/>
          <w:highlight w:val="none"/>
          <w:lang w:val="en-US" w:eastAsia="zh-CN"/>
          <w14:textFill>
            <w14:solidFill>
              <w14:schemeClr w14:val="tx1"/>
            </w14:solidFill>
          </w14:textFill>
        </w:rPr>
        <w:t>3.项目联系方式</w:t>
      </w:r>
      <w:bookmarkEnd w:id="16"/>
      <w:bookmarkEnd w:id="17"/>
      <w:bookmarkEnd w:id="18"/>
      <w:bookmarkEnd w:id="19"/>
    </w:p>
    <w:p w14:paraId="78A9AC8D">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项目联系人：</w:t>
      </w:r>
      <w:r>
        <w:rPr>
          <w:rFonts w:hint="eastAsia" w:ascii="宋体" w:hAnsi="宋体" w:cs="宋体"/>
          <w:bCs/>
          <w:color w:val="000000" w:themeColor="text1"/>
          <w:sz w:val="24"/>
          <w:highlight w:val="none"/>
          <w:lang w:val="en-US" w:eastAsia="zh-CN"/>
          <w14:textFill>
            <w14:solidFill>
              <w14:schemeClr w14:val="tx1"/>
            </w14:solidFill>
          </w14:textFill>
        </w:rPr>
        <w:t>孙安娜</w:t>
      </w:r>
    </w:p>
    <w:p w14:paraId="16336296">
      <w:pPr>
        <w:widowControl w:val="0"/>
        <w:overflowPunct/>
        <w:autoSpaceDE w:val="0"/>
        <w:autoSpaceDN w:val="0"/>
        <w:bidi w:val="0"/>
        <w:adjustRightInd w:val="0"/>
        <w:spacing w:line="460" w:lineRule="exact"/>
        <w:ind w:firstLine="480" w:firstLineChars="200"/>
        <w:outlineLvl w:val="9"/>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电</w:t>
      </w:r>
      <w:r>
        <w:rPr>
          <w:rFonts w:hint="eastAsia" w:ascii="宋体" w:hAnsi="宋体" w:cs="宋体"/>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highlight w:val="none"/>
          <w:lang w:val="en-US" w:eastAsia="zh-CN"/>
          <w14:textFill>
            <w14:solidFill>
              <w14:schemeClr w14:val="tx1"/>
            </w14:solidFill>
          </w14:textFill>
        </w:rPr>
        <w:t>话：</w:t>
      </w:r>
      <w:r>
        <w:rPr>
          <w:rFonts w:hint="eastAsia" w:ascii="宋体" w:hAnsi="宋体" w:cs="宋体"/>
          <w:bCs/>
          <w:color w:val="000000" w:themeColor="text1"/>
          <w:sz w:val="24"/>
          <w:highlight w:val="none"/>
          <w:lang w:val="en-US" w:eastAsia="zh-CN"/>
          <w14:textFill>
            <w14:solidFill>
              <w14:schemeClr w14:val="tx1"/>
            </w14:solidFill>
          </w14:textFill>
        </w:rPr>
        <w:t>18186817770</w:t>
      </w:r>
    </w:p>
    <w:p w14:paraId="0AF7E95D">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pPr>
    </w:p>
    <w:p w14:paraId="0549F099">
      <w:pPr>
        <w:widowControl w:val="0"/>
        <w:overflowPunct/>
        <w:autoSpaceDE w:val="0"/>
        <w:autoSpaceDN w:val="0"/>
        <w:bidi w:val="0"/>
        <w:adjustRightInd w:val="0"/>
        <w:spacing w:line="460" w:lineRule="exact"/>
        <w:ind w:firstLine="480" w:firstLineChars="200"/>
        <w:outlineLvl w:val="9"/>
        <w:rPr>
          <w:rFonts w:hint="default" w:ascii="宋体" w:hAnsi="宋体" w:eastAsia="宋体" w:cs="宋体"/>
          <w:bCs/>
          <w:color w:val="000000" w:themeColor="text1"/>
          <w:sz w:val="24"/>
          <w:highlight w:val="none"/>
          <w:lang w:val="en-US" w:eastAsia="zh-CN"/>
          <w14:textFill>
            <w14:solidFill>
              <w14:schemeClr w14:val="tx1"/>
            </w14:solidFill>
          </w14:textFill>
        </w:rPr>
        <w:sectPr>
          <w:footerReference r:id="rId9" w:type="default"/>
          <w:pgSz w:w="11906" w:h="16838"/>
          <w:pgMar w:top="1134" w:right="1134" w:bottom="1134" w:left="1134" w:header="851" w:footer="851"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宋体" w:hAnsi="宋体" w:eastAsia="宋体" w:cs="宋体"/>
          <w:bCs/>
          <w:color w:val="000000" w:themeColor="text1"/>
          <w:sz w:val="24"/>
          <w:highlight w:val="none"/>
          <w:lang w:val="en-US" w:eastAsia="zh-CN"/>
          <w14:textFill>
            <w14:solidFill>
              <w14:schemeClr w14:val="tx1"/>
            </w14:solidFill>
          </w14:textFill>
        </w:rPr>
        <w:t>4.监督机构：</w:t>
      </w:r>
      <w:r>
        <w:rPr>
          <w:rFonts w:hint="eastAsia" w:ascii="宋体" w:hAnsi="宋体" w:cs="宋体"/>
          <w:bCs/>
          <w:color w:val="000000" w:themeColor="text1"/>
          <w:sz w:val="24"/>
          <w:highlight w:val="none"/>
          <w:lang w:val="en-US" w:eastAsia="zh-CN"/>
          <w14:textFill>
            <w14:solidFill>
              <w14:schemeClr w14:val="tx1"/>
            </w14:solidFill>
          </w14:textFill>
        </w:rPr>
        <w:t>延吉市财政局政府采购管理工作办公室</w:t>
      </w:r>
    </w:p>
    <w:p w14:paraId="363183AD">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pPr>
      <w:bookmarkStart w:id="20" w:name="_Toc9784"/>
      <w:bookmarkStart w:id="21" w:name="_Toc18381"/>
      <w:bookmarkStart w:id="22" w:name="_Toc383794598"/>
      <w:bookmarkStart w:id="23" w:name="_Toc325358490"/>
      <w:bookmarkStart w:id="24" w:name="_Toc291782331"/>
      <w:bookmarkStart w:id="25" w:name="_Toc184635071"/>
      <w:r>
        <w:rPr>
          <w:rFonts w:hint="eastAsia"/>
          <w:b/>
          <w:bCs/>
          <w:color w:val="000000" w:themeColor="text1"/>
          <w:sz w:val="36"/>
          <w:szCs w:val="36"/>
          <w:highlight w:val="none"/>
          <w:lang w:val="en-US" w:eastAsia="zh-CN"/>
          <w14:textFill>
            <w14:solidFill>
              <w14:schemeClr w14:val="tx1"/>
            </w14:solidFill>
          </w14:textFill>
        </w:rPr>
        <w:t xml:space="preserve">第一章 </w:t>
      </w:r>
      <w:r>
        <w:rPr>
          <w:rFonts w:hint="eastAsia" w:eastAsia="宋体"/>
          <w:b/>
          <w:bCs/>
          <w:color w:val="000000" w:themeColor="text1"/>
          <w:sz w:val="36"/>
          <w:szCs w:val="36"/>
          <w:highlight w:val="none"/>
          <w:lang w:val="en-US" w:eastAsia="zh-CN"/>
          <w14:textFill>
            <w14:solidFill>
              <w14:schemeClr w14:val="tx1"/>
            </w14:solidFill>
          </w14:textFill>
        </w:rPr>
        <w:t>供应商须知</w:t>
      </w:r>
      <w:bookmarkEnd w:id="20"/>
      <w:bookmarkEnd w:id="21"/>
      <w:bookmarkEnd w:id="22"/>
    </w:p>
    <w:p w14:paraId="044D1794">
      <w:pPr>
        <w:keepNext/>
        <w:keepLines/>
        <w:pageBreakBefore w:val="0"/>
        <w:widowControl w:val="0"/>
        <w:kinsoku/>
        <w:wordWrap/>
        <w:overflowPunct/>
        <w:topLinePunct w:val="0"/>
        <w:autoSpaceDE/>
        <w:autoSpaceDN/>
        <w:bidi w:val="0"/>
        <w:adjustRightInd/>
        <w:snapToGrid/>
        <w:spacing w:before="0" w:after="0" w:line="416" w:lineRule="auto"/>
        <w:jc w:val="center"/>
        <w:textAlignment w:val="auto"/>
        <w:outlineLvl w:val="9"/>
        <w:rPr>
          <w:color w:val="000000" w:themeColor="text1"/>
          <w:sz w:val="30"/>
          <w:szCs w:val="30"/>
          <w:highlight w:val="none"/>
          <w14:textFill>
            <w14:solidFill>
              <w14:schemeClr w14:val="tx1"/>
            </w14:solidFill>
          </w14:textFill>
        </w:rPr>
      </w:pPr>
      <w:bookmarkStart w:id="26" w:name="_Toc383794599"/>
      <w:r>
        <w:rPr>
          <w:rFonts w:hint="eastAsia"/>
          <w:color w:val="000000" w:themeColor="text1"/>
          <w:sz w:val="30"/>
          <w:szCs w:val="30"/>
          <w:highlight w:val="none"/>
          <w:lang w:eastAsia="zh-CN"/>
          <w14:textFill>
            <w14:solidFill>
              <w14:schemeClr w14:val="tx1"/>
            </w14:solidFill>
          </w14:textFill>
        </w:rPr>
        <w:t>供应商</w:t>
      </w:r>
      <w:r>
        <w:rPr>
          <w:rFonts w:hint="eastAsia"/>
          <w:color w:val="000000" w:themeColor="text1"/>
          <w:sz w:val="30"/>
          <w:szCs w:val="30"/>
          <w:highlight w:val="none"/>
          <w14:textFill>
            <w14:solidFill>
              <w14:schemeClr w14:val="tx1"/>
            </w14:solidFill>
          </w14:textFill>
        </w:rPr>
        <w:t>须知前附表</w:t>
      </w:r>
      <w:bookmarkEnd w:id="26"/>
    </w:p>
    <w:tbl>
      <w:tblPr>
        <w:tblStyle w:val="38"/>
        <w:tblW w:w="9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095"/>
        <w:gridCol w:w="6675"/>
      </w:tblGrid>
      <w:tr w14:paraId="22161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995" w:type="dxa"/>
            <w:vAlign w:val="center"/>
          </w:tcPr>
          <w:p w14:paraId="4305070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条款号</w:t>
            </w:r>
          </w:p>
        </w:tc>
        <w:tc>
          <w:tcPr>
            <w:tcW w:w="2095" w:type="dxa"/>
            <w:vAlign w:val="center"/>
          </w:tcPr>
          <w:p w14:paraId="4D41D6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条款名称</w:t>
            </w:r>
          </w:p>
        </w:tc>
        <w:tc>
          <w:tcPr>
            <w:tcW w:w="6675" w:type="dxa"/>
            <w:vAlign w:val="center"/>
          </w:tcPr>
          <w:p w14:paraId="37043E4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编列内容</w:t>
            </w:r>
          </w:p>
        </w:tc>
      </w:tr>
      <w:tr w14:paraId="7343A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995" w:type="dxa"/>
            <w:vAlign w:val="center"/>
          </w:tcPr>
          <w:p w14:paraId="2BD5414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1.1.2</w:t>
            </w:r>
          </w:p>
        </w:tc>
        <w:tc>
          <w:tcPr>
            <w:tcW w:w="2095" w:type="dxa"/>
            <w:vAlign w:val="center"/>
          </w:tcPr>
          <w:p w14:paraId="55F93CB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采购人</w:t>
            </w:r>
          </w:p>
        </w:tc>
        <w:tc>
          <w:tcPr>
            <w:tcW w:w="6675" w:type="dxa"/>
            <w:vAlign w:val="center"/>
          </w:tcPr>
          <w:p w14:paraId="38691AC0">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名  称：</w:t>
            </w:r>
            <w:r>
              <w:rPr>
                <w:rFonts w:hint="eastAsia" w:ascii="宋体" w:hAnsi="宋体" w:eastAsia="宋体" w:cs="微软雅黑"/>
                <w:color w:val="000000" w:themeColor="text1"/>
                <w:szCs w:val="21"/>
                <w:highlight w:val="none"/>
                <w:lang w:val="en-US" w:eastAsia="zh-CN"/>
                <w14:textFill>
                  <w14:solidFill>
                    <w14:schemeClr w14:val="tx1"/>
                  </w14:solidFill>
                </w14:textFill>
              </w:rPr>
              <w:t>延吉市市场监督管理局</w:t>
            </w:r>
          </w:p>
          <w:p w14:paraId="2E917F87">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地  址：</w:t>
            </w:r>
            <w:r>
              <w:rPr>
                <w:rFonts w:hint="eastAsia" w:ascii="宋体" w:hAnsi="宋体" w:eastAsia="宋体" w:cs="微软雅黑"/>
                <w:color w:val="000000" w:themeColor="text1"/>
                <w:szCs w:val="21"/>
                <w:highlight w:val="none"/>
                <w:lang w:val="en-US" w:eastAsia="zh-CN"/>
                <w14:textFill>
                  <w14:solidFill>
                    <w14:schemeClr w14:val="tx1"/>
                  </w14:solidFill>
                </w14:textFill>
              </w:rPr>
              <w:t>延吉市公园路325号</w:t>
            </w:r>
          </w:p>
          <w:p w14:paraId="611D87BF">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联系人：</w:t>
            </w:r>
            <w:r>
              <w:rPr>
                <w:rFonts w:hint="eastAsia" w:ascii="宋体" w:hAnsi="宋体" w:eastAsia="宋体" w:cs="微软雅黑"/>
                <w:color w:val="000000" w:themeColor="text1"/>
                <w:szCs w:val="21"/>
                <w:highlight w:val="none"/>
                <w:lang w:val="en-US" w:eastAsia="zh-CN"/>
                <w14:textFill>
                  <w14:solidFill>
                    <w14:schemeClr w14:val="tx1"/>
                  </w14:solidFill>
                </w14:textFill>
              </w:rPr>
              <w:t>王守伟</w:t>
            </w:r>
          </w:p>
          <w:p w14:paraId="0607D835">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电  话：</w:t>
            </w:r>
            <w:r>
              <w:rPr>
                <w:rFonts w:hint="eastAsia" w:ascii="宋体" w:hAnsi="宋体" w:eastAsia="宋体" w:cs="微软雅黑"/>
                <w:color w:val="000000" w:themeColor="text1"/>
                <w:szCs w:val="21"/>
                <w:highlight w:val="none"/>
                <w:lang w:val="en-US" w:eastAsia="zh-CN"/>
                <w14:textFill>
                  <w14:solidFill>
                    <w14:schemeClr w14:val="tx1"/>
                  </w14:solidFill>
                </w14:textFill>
              </w:rPr>
              <w:t>15662259444</w:t>
            </w:r>
          </w:p>
        </w:tc>
      </w:tr>
      <w:tr w14:paraId="03621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1B9DA88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1.1.3</w:t>
            </w:r>
          </w:p>
        </w:tc>
        <w:tc>
          <w:tcPr>
            <w:tcW w:w="2095" w:type="dxa"/>
            <w:vAlign w:val="center"/>
          </w:tcPr>
          <w:p w14:paraId="75737AA0">
            <w:pPr>
              <w:overflowPunct/>
              <w:bidi w:val="0"/>
              <w:spacing w:line="400" w:lineRule="exact"/>
              <w:jc w:val="center"/>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eastAsia="宋体" w:cs="微软雅黑"/>
                <w:color w:val="000000" w:themeColor="text1"/>
                <w:szCs w:val="21"/>
                <w:highlight w:val="none"/>
                <w:lang w:eastAsia="zh-CN"/>
                <w14:textFill>
                  <w14:solidFill>
                    <w14:schemeClr w14:val="tx1"/>
                  </w14:solidFill>
                </w14:textFill>
              </w:rPr>
              <w:t>采购代理机构</w:t>
            </w:r>
          </w:p>
        </w:tc>
        <w:tc>
          <w:tcPr>
            <w:tcW w:w="6675" w:type="dxa"/>
            <w:vAlign w:val="center"/>
          </w:tcPr>
          <w:p w14:paraId="18452181">
            <w:pPr>
              <w:keepNext w:val="0"/>
              <w:keepLines w:val="0"/>
              <w:pageBreakBefore w:val="0"/>
              <w:widowControl w:val="0"/>
              <w:kinsoku/>
              <w:overflowPunct/>
              <w:topLinePunct w:val="0"/>
              <w:bidi w:val="0"/>
              <w:snapToGrid/>
              <w:spacing w:line="360" w:lineRule="atLeast"/>
              <w:textAlignment w:val="auto"/>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名    称：</w:t>
            </w:r>
            <w:r>
              <w:rPr>
                <w:rFonts w:hint="eastAsia" w:ascii="宋体" w:hAnsi="宋体" w:cs="微软雅黑"/>
                <w:color w:val="000000" w:themeColor="text1"/>
                <w:szCs w:val="21"/>
                <w:highlight w:val="none"/>
                <w:lang w:val="zh-CN" w:eastAsia="zh-CN"/>
                <w14:textFill>
                  <w14:solidFill>
                    <w14:schemeClr w14:val="tx1"/>
                  </w14:solidFill>
                </w14:textFill>
              </w:rPr>
              <w:t>吉林省百顺工程管理有限公司</w:t>
            </w:r>
          </w:p>
          <w:p w14:paraId="13B63639">
            <w:pPr>
              <w:keepNext w:val="0"/>
              <w:keepLines w:val="0"/>
              <w:pageBreakBefore w:val="0"/>
              <w:widowControl w:val="0"/>
              <w:kinsoku/>
              <w:overflowPunct/>
              <w:topLinePunct w:val="0"/>
              <w:bidi w:val="0"/>
              <w:snapToGrid/>
              <w:spacing w:line="360" w:lineRule="atLeast"/>
              <w:textAlignment w:val="auto"/>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地    址：</w:t>
            </w:r>
            <w:r>
              <w:rPr>
                <w:rFonts w:hint="eastAsia" w:ascii="宋体" w:hAnsi="宋体" w:cs="微软雅黑"/>
                <w:color w:val="000000" w:themeColor="text1"/>
                <w:szCs w:val="21"/>
                <w:highlight w:val="none"/>
                <w:lang w:val="en-US" w:eastAsia="zh-CN"/>
                <w14:textFill>
                  <w14:solidFill>
                    <w14:schemeClr w14:val="tx1"/>
                  </w14:solidFill>
                </w14:textFill>
              </w:rPr>
              <w:t>长春市朝阳区西安大路58号（24）层2002号房</w:t>
            </w:r>
            <w:r>
              <w:rPr>
                <w:rFonts w:hint="eastAsia" w:ascii="宋体" w:hAnsi="宋体" w:eastAsia="宋体" w:cs="微软雅黑"/>
                <w:color w:val="000000" w:themeColor="text1"/>
                <w:szCs w:val="21"/>
                <w:highlight w:val="none"/>
                <w:lang w:val="en-US" w:eastAsia="zh-CN"/>
                <w14:textFill>
                  <w14:solidFill>
                    <w14:schemeClr w14:val="tx1"/>
                  </w14:solidFill>
                </w14:textFill>
              </w:rPr>
              <w:t xml:space="preserve">      </w:t>
            </w:r>
          </w:p>
          <w:p w14:paraId="0A6CBACA">
            <w:pPr>
              <w:keepNext w:val="0"/>
              <w:keepLines w:val="0"/>
              <w:pageBreakBefore w:val="0"/>
              <w:widowControl w:val="0"/>
              <w:kinsoku/>
              <w:overflowPunct/>
              <w:topLinePunct w:val="0"/>
              <w:bidi w:val="0"/>
              <w:snapToGrid/>
              <w:spacing w:line="360" w:lineRule="atLeast"/>
              <w:textAlignment w:val="auto"/>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联系人：</w:t>
            </w:r>
            <w:r>
              <w:rPr>
                <w:rFonts w:hint="eastAsia" w:ascii="宋体" w:hAnsi="宋体" w:cs="微软雅黑"/>
                <w:color w:val="000000" w:themeColor="text1"/>
                <w:szCs w:val="21"/>
                <w:highlight w:val="none"/>
                <w:lang w:val="en-US" w:eastAsia="zh-CN"/>
                <w14:textFill>
                  <w14:solidFill>
                    <w14:schemeClr w14:val="tx1"/>
                  </w14:solidFill>
                </w14:textFill>
              </w:rPr>
              <w:t>孙安娜</w:t>
            </w:r>
            <w:r>
              <w:rPr>
                <w:rFonts w:hint="eastAsia" w:ascii="宋体" w:hAnsi="宋体" w:eastAsia="宋体" w:cs="微软雅黑"/>
                <w:color w:val="000000" w:themeColor="text1"/>
                <w:szCs w:val="21"/>
                <w:highlight w:val="none"/>
                <w:lang w:val="en-US" w:eastAsia="zh-CN"/>
                <w14:textFill>
                  <w14:solidFill>
                    <w14:schemeClr w14:val="tx1"/>
                  </w14:solidFill>
                </w14:textFill>
              </w:rPr>
              <w:t xml:space="preserve">     </w:t>
            </w:r>
          </w:p>
          <w:p w14:paraId="5F7E68FA">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联系方式：</w:t>
            </w:r>
            <w:r>
              <w:rPr>
                <w:rFonts w:hint="eastAsia" w:ascii="宋体" w:hAnsi="宋体" w:cs="微软雅黑"/>
                <w:color w:val="000000" w:themeColor="text1"/>
                <w:szCs w:val="21"/>
                <w:highlight w:val="none"/>
                <w:lang w:val="en-US" w:eastAsia="zh-CN"/>
                <w14:textFill>
                  <w14:solidFill>
                    <w14:schemeClr w14:val="tx1"/>
                  </w14:solidFill>
                </w14:textFill>
              </w:rPr>
              <w:t>18186817770</w:t>
            </w:r>
          </w:p>
        </w:tc>
      </w:tr>
      <w:tr w14:paraId="14B37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5C6E90B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1.1.4</w:t>
            </w:r>
          </w:p>
        </w:tc>
        <w:tc>
          <w:tcPr>
            <w:tcW w:w="2095" w:type="dxa"/>
            <w:vAlign w:val="center"/>
          </w:tcPr>
          <w:p w14:paraId="26A52C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项目名称</w:t>
            </w:r>
          </w:p>
        </w:tc>
        <w:tc>
          <w:tcPr>
            <w:tcW w:w="6675" w:type="dxa"/>
            <w:vAlign w:val="center"/>
          </w:tcPr>
          <w:p w14:paraId="2D906B46">
            <w:pPr>
              <w:keepNext w:val="0"/>
              <w:keepLines w:val="0"/>
              <w:pageBreakBefore w:val="0"/>
              <w:widowControl w:val="0"/>
              <w:kinsoku/>
              <w:overflowPunct/>
              <w:topLinePunct w:val="0"/>
              <w:bidi w:val="0"/>
              <w:snapToGrid/>
              <w:spacing w:line="360" w:lineRule="atLeast"/>
              <w:textAlignment w:val="auto"/>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2025年食品抽检项目</w:t>
            </w:r>
          </w:p>
        </w:tc>
      </w:tr>
      <w:tr w14:paraId="4ADEB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17E4F13F">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1.1.5</w:t>
            </w:r>
          </w:p>
        </w:tc>
        <w:tc>
          <w:tcPr>
            <w:tcW w:w="2095" w:type="dxa"/>
            <w:vAlign w:val="center"/>
          </w:tcPr>
          <w:p w14:paraId="4B0AB0CE">
            <w:pPr>
              <w:overflowPunct/>
              <w:bidi w:val="0"/>
              <w:spacing w:line="400" w:lineRule="exact"/>
              <w:jc w:val="center"/>
              <w:outlineLvl w:val="9"/>
              <w:rPr>
                <w:rFonts w:hint="eastAsia" w:ascii="Times New Roman" w:hAnsi="Times New Roman" w:eastAsia="宋体" w:cs="Times New Roman"/>
                <w:color w:val="000000" w:themeColor="text1"/>
                <w:highlight w:val="none"/>
                <w14:textFill>
                  <w14:solidFill>
                    <w14:schemeClr w14:val="tx1"/>
                  </w14:solidFill>
                </w14:textFill>
              </w:rPr>
            </w:pPr>
            <w:r>
              <w:rPr>
                <w:rFonts w:hint="eastAsia" w:ascii="Times New Roman" w:hAnsi="Times New Roman" w:eastAsia="宋体" w:cs="Times New Roman"/>
                <w:color w:val="000000" w:themeColor="text1"/>
                <w:highlight w:val="none"/>
                <w14:textFill>
                  <w14:solidFill>
                    <w14:schemeClr w14:val="tx1"/>
                  </w14:solidFill>
                </w14:textFill>
              </w:rPr>
              <w:t>采购预算</w:t>
            </w:r>
          </w:p>
        </w:tc>
        <w:tc>
          <w:tcPr>
            <w:tcW w:w="6675" w:type="dxa"/>
            <w:vAlign w:val="center"/>
          </w:tcPr>
          <w:p w14:paraId="34F48CB9">
            <w:pPr>
              <w:keepNext w:val="0"/>
              <w:keepLines w:val="0"/>
              <w:pageBreakBefore w:val="0"/>
              <w:widowControl w:val="0"/>
              <w:kinsoku/>
              <w:overflowPunct/>
              <w:topLinePunct w:val="0"/>
              <w:bidi w:val="0"/>
              <w:snapToGrid/>
              <w:spacing w:line="360" w:lineRule="atLeast"/>
              <w:jc w:val="left"/>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一标段食用农产品检测：530000.00元</w:t>
            </w:r>
          </w:p>
          <w:p w14:paraId="2D8E22F0">
            <w:pPr>
              <w:keepNext w:val="0"/>
              <w:keepLines w:val="0"/>
              <w:pageBreakBefore w:val="0"/>
              <w:widowControl w:val="0"/>
              <w:kinsoku/>
              <w:overflowPunct/>
              <w:topLinePunct w:val="0"/>
              <w:bidi w:val="0"/>
              <w:snapToGrid/>
              <w:spacing w:line="360" w:lineRule="atLeast"/>
              <w:jc w:val="left"/>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二标段普通食品抽检：450000.00元</w:t>
            </w:r>
          </w:p>
        </w:tc>
      </w:tr>
      <w:tr w14:paraId="68400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53A766F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1.2.1</w:t>
            </w:r>
          </w:p>
        </w:tc>
        <w:tc>
          <w:tcPr>
            <w:tcW w:w="2095" w:type="dxa"/>
            <w:vAlign w:val="center"/>
          </w:tcPr>
          <w:p w14:paraId="77AC1714">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资金来源</w:t>
            </w:r>
          </w:p>
        </w:tc>
        <w:tc>
          <w:tcPr>
            <w:tcW w:w="6675" w:type="dxa"/>
            <w:vAlign w:val="center"/>
          </w:tcPr>
          <w:p w14:paraId="2B08B585">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default" w:ascii="宋体" w:hAnsi="宋体" w:eastAsia="宋体" w:cs="微软雅黑"/>
                <w:color w:val="000000" w:themeColor="text1"/>
                <w:szCs w:val="21"/>
                <w:highlight w:val="none"/>
                <w:lang w:val="en-US" w:eastAsia="zh-CN"/>
                <w14:textFill>
                  <w14:solidFill>
                    <w14:schemeClr w14:val="tx1"/>
                  </w14:solidFill>
                </w14:textFill>
              </w:rPr>
              <w:t>财政资金</w:t>
            </w:r>
          </w:p>
        </w:tc>
      </w:tr>
      <w:tr w14:paraId="287CA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1FE04AB2">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1.2.2</w:t>
            </w:r>
          </w:p>
        </w:tc>
        <w:tc>
          <w:tcPr>
            <w:tcW w:w="2095" w:type="dxa"/>
            <w:vAlign w:val="center"/>
          </w:tcPr>
          <w:p w14:paraId="41A09F1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出资比例</w:t>
            </w:r>
          </w:p>
        </w:tc>
        <w:tc>
          <w:tcPr>
            <w:tcW w:w="6675" w:type="dxa"/>
            <w:vAlign w:val="center"/>
          </w:tcPr>
          <w:p w14:paraId="1AF552B7">
            <w:pPr>
              <w:keepNext w:val="0"/>
              <w:keepLines w:val="0"/>
              <w:pageBreakBefore w:val="0"/>
              <w:widowControl w:val="0"/>
              <w:kinsoku/>
              <w:overflowPunct/>
              <w:topLinePunct w:val="0"/>
              <w:bidi w:val="0"/>
              <w:snapToGrid/>
              <w:spacing w:line="360" w:lineRule="atLeast"/>
              <w:textAlignment w:val="auto"/>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100%</w:t>
            </w:r>
          </w:p>
        </w:tc>
      </w:tr>
      <w:tr w14:paraId="4922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169B33F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1.2.3</w:t>
            </w:r>
          </w:p>
        </w:tc>
        <w:tc>
          <w:tcPr>
            <w:tcW w:w="2095" w:type="dxa"/>
            <w:vAlign w:val="center"/>
          </w:tcPr>
          <w:p w14:paraId="34F21574">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资金落实情况</w:t>
            </w:r>
          </w:p>
        </w:tc>
        <w:tc>
          <w:tcPr>
            <w:tcW w:w="6675" w:type="dxa"/>
            <w:vAlign w:val="center"/>
          </w:tcPr>
          <w:p w14:paraId="4D905DE8">
            <w:pPr>
              <w:keepNext w:val="0"/>
              <w:keepLines w:val="0"/>
              <w:pageBreakBefore w:val="0"/>
              <w:widowControl w:val="0"/>
              <w:kinsoku/>
              <w:overflowPunct/>
              <w:topLinePunct w:val="0"/>
              <w:bidi w:val="0"/>
              <w:snapToGrid/>
              <w:spacing w:line="360" w:lineRule="atLeast"/>
              <w:textAlignment w:val="auto"/>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已落实</w:t>
            </w:r>
          </w:p>
        </w:tc>
      </w:tr>
      <w:tr w14:paraId="08E7A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95" w:type="dxa"/>
            <w:vAlign w:val="center"/>
          </w:tcPr>
          <w:p w14:paraId="3DF0090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1.3.1</w:t>
            </w:r>
          </w:p>
        </w:tc>
        <w:tc>
          <w:tcPr>
            <w:tcW w:w="2095" w:type="dxa"/>
            <w:vAlign w:val="center"/>
          </w:tcPr>
          <w:p w14:paraId="43EB4EEF">
            <w:pPr>
              <w:overflowPunct/>
              <w:bidi w:val="0"/>
              <w:spacing w:line="400" w:lineRule="exact"/>
              <w:jc w:val="center"/>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eastAsia="宋体" w:cs="微软雅黑"/>
                <w:color w:val="000000" w:themeColor="text1"/>
                <w:szCs w:val="21"/>
                <w:highlight w:val="none"/>
                <w:lang w:val="en-US" w:eastAsia="zh-CN"/>
                <w14:textFill>
                  <w14:solidFill>
                    <w14:schemeClr w14:val="tx1"/>
                  </w14:solidFill>
                </w14:textFill>
              </w:rPr>
              <w:t>采购需求</w:t>
            </w:r>
          </w:p>
        </w:tc>
        <w:tc>
          <w:tcPr>
            <w:tcW w:w="6675" w:type="dxa"/>
            <w:vAlign w:val="center"/>
          </w:tcPr>
          <w:p w14:paraId="137750AE">
            <w:pPr>
              <w:keepNext w:val="0"/>
              <w:keepLines w:val="0"/>
              <w:pageBreakBefore w:val="0"/>
              <w:widowControl w:val="0"/>
              <w:kinsoku/>
              <w:overflowPunct/>
              <w:topLinePunct w:val="0"/>
              <w:bidi w:val="0"/>
              <w:snapToGrid/>
              <w:spacing w:line="360" w:lineRule="atLeast"/>
              <w:jc w:val="both"/>
              <w:textAlignment w:val="auto"/>
              <w:outlineLvl w:val="9"/>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pP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1标段：选取1家合格的食品检验检测机构承担合同期内食用农产品检验检测工作（具体详见磋商文件内容）。</w:t>
            </w:r>
          </w:p>
          <w:p w14:paraId="23CECB54">
            <w:pPr>
              <w:keepNext w:val="0"/>
              <w:keepLines w:val="0"/>
              <w:pageBreakBefore w:val="0"/>
              <w:widowControl w:val="0"/>
              <w:kinsoku/>
              <w:overflowPunct/>
              <w:topLinePunct w:val="0"/>
              <w:bidi w:val="0"/>
              <w:snapToGrid/>
              <w:spacing w:line="360" w:lineRule="atLeast"/>
              <w:jc w:val="both"/>
              <w:textAlignment w:val="auto"/>
              <w:outlineLvl w:val="9"/>
              <w:rPr>
                <w:rFonts w:hint="eastAsia" w:ascii="宋体" w:hAnsi="宋体" w:eastAsia="宋体" w:cs="微软雅黑"/>
                <w:b/>
                <w:bCs/>
                <w:color w:val="000000" w:themeColor="text1"/>
                <w:szCs w:val="21"/>
                <w:highlight w:val="none"/>
                <w:lang w:val="en-US" w:eastAsia="zh-CN"/>
                <w14:textFill>
                  <w14:solidFill>
                    <w14:schemeClr w14:val="tx1"/>
                  </w14:solidFill>
                </w14:textFill>
              </w:rPr>
            </w:pPr>
            <w:r>
              <w:rPr>
                <w:rFonts w:hint="eastAsia" w:ascii="宋体" w:hAnsi="宋体" w:eastAsia="宋体" w:cs="微软雅黑"/>
                <w:b w:val="0"/>
                <w:bCs w:val="0"/>
                <w:color w:val="000000" w:themeColor="text1"/>
                <w:szCs w:val="21"/>
                <w:highlight w:val="none"/>
                <w:lang w:val="en-US" w:eastAsia="zh-CN"/>
                <w14:textFill>
                  <w14:solidFill>
                    <w14:schemeClr w14:val="tx1"/>
                  </w14:solidFill>
                </w14:textFill>
              </w:rPr>
              <w:t>2标段：选取1家合格的食品检验检测机构承担合同期内普通食品检验检测工作（具体详见磋商文件内容）。</w:t>
            </w:r>
          </w:p>
        </w:tc>
      </w:tr>
      <w:tr w14:paraId="697F7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464284E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1.3.2</w:t>
            </w:r>
          </w:p>
        </w:tc>
        <w:tc>
          <w:tcPr>
            <w:tcW w:w="2095" w:type="dxa"/>
            <w:vAlign w:val="center"/>
          </w:tcPr>
          <w:p w14:paraId="1ED30EFB">
            <w:pPr>
              <w:keepNext w:val="0"/>
              <w:keepLines w:val="0"/>
              <w:pageBreakBefore w:val="0"/>
              <w:kinsoku/>
              <w:wordWrap/>
              <w:overflowPunct/>
              <w:topLinePunct w:val="0"/>
              <w:autoSpaceDE w:val="0"/>
              <w:autoSpaceDN w:val="0"/>
              <w:bidi w:val="0"/>
              <w:snapToGrid/>
              <w:spacing w:beforeAutospacing="0" w:afterAutospacing="0" w:line="240" w:lineRule="auto"/>
              <w:jc w:val="center"/>
              <w:textAlignment w:val="auto"/>
              <w:rPr>
                <w:rFonts w:hint="eastAsia" w:ascii="宋体" w:hAnsi="宋体" w:eastAsia="宋体"/>
                <w:color w:val="000000" w:themeColor="text1"/>
                <w:highlight w:val="none"/>
                <w:lang w:eastAsia="zh-CN"/>
                <w14:textFill>
                  <w14:solidFill>
                    <w14:schemeClr w14:val="tx1"/>
                  </w14:solidFill>
                </w14:textFill>
              </w:rPr>
            </w:pPr>
            <w:r>
              <w:rPr>
                <w:rFonts w:hint="eastAsia" w:ascii="宋体" w:hAnsi="宋体" w:eastAsia="宋体" w:cs="宋体"/>
                <w:spacing w:val="0"/>
                <w:sz w:val="21"/>
                <w:szCs w:val="21"/>
                <w:highlight w:val="none"/>
                <w:lang w:val="en-US" w:eastAsia="zh-CN"/>
              </w:rPr>
              <w:t>服务</w:t>
            </w:r>
            <w:r>
              <w:rPr>
                <w:rFonts w:hint="eastAsia" w:ascii="宋体" w:hAnsi="宋体" w:eastAsia="宋体" w:cs="宋体"/>
                <w:spacing w:val="0"/>
                <w:sz w:val="21"/>
                <w:szCs w:val="21"/>
                <w:highlight w:val="none"/>
              </w:rPr>
              <w:t>期限</w:t>
            </w:r>
          </w:p>
        </w:tc>
        <w:tc>
          <w:tcPr>
            <w:tcW w:w="6675" w:type="dxa"/>
            <w:shd w:val="clear" w:color="auto" w:fill="auto"/>
            <w:vAlign w:val="center"/>
          </w:tcPr>
          <w:p w14:paraId="5891743C">
            <w:pPr>
              <w:pStyle w:val="117"/>
              <w:keepNext w:val="0"/>
              <w:keepLines w:val="0"/>
              <w:pageBreakBefore w:val="0"/>
              <w:widowControl w:val="0"/>
              <w:kinsoku/>
              <w:wordWrap/>
              <w:overflowPunct/>
              <w:topLinePunct w:val="0"/>
              <w:bidi w:val="0"/>
              <w:snapToGrid/>
              <w:spacing w:beforeAutospacing="0" w:afterAutospacing="0" w:line="360" w:lineRule="atLeast"/>
              <w:textAlignment w:val="auto"/>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宋体"/>
                <w:b w:val="0"/>
                <w:bCs w:val="0"/>
                <w:highlight w:val="none"/>
                <w:u w:val="none"/>
                <w:lang w:val="en-US" w:eastAsia="zh-CN"/>
              </w:rPr>
              <w:t>自签订合同之日起一年</w:t>
            </w:r>
            <w:r>
              <w:rPr>
                <w:rFonts w:hint="eastAsia" w:cs="宋体"/>
                <w:b w:val="0"/>
                <w:bCs w:val="0"/>
                <w:highlight w:val="none"/>
                <w:u w:val="none"/>
                <w:lang w:val="en-US" w:eastAsia="zh-CN"/>
              </w:rPr>
              <w:t>。</w:t>
            </w:r>
          </w:p>
        </w:tc>
      </w:tr>
      <w:tr w14:paraId="12CB7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995" w:type="dxa"/>
            <w:vAlign w:val="center"/>
          </w:tcPr>
          <w:p w14:paraId="24AA913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1.3.3</w:t>
            </w:r>
          </w:p>
        </w:tc>
        <w:tc>
          <w:tcPr>
            <w:tcW w:w="2095" w:type="dxa"/>
            <w:vAlign w:val="center"/>
          </w:tcPr>
          <w:p w14:paraId="0FF929CB">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服务</w:t>
            </w:r>
            <w:r>
              <w:rPr>
                <w:rFonts w:hint="eastAsia"/>
                <w:color w:val="000000" w:themeColor="text1"/>
                <w:highlight w:val="none"/>
                <w14:textFill>
                  <w14:solidFill>
                    <w14:schemeClr w14:val="tx1"/>
                  </w14:solidFill>
                </w14:textFill>
              </w:rPr>
              <w:t>标准</w:t>
            </w:r>
          </w:p>
        </w:tc>
        <w:tc>
          <w:tcPr>
            <w:tcW w:w="6675" w:type="dxa"/>
            <w:vAlign w:val="center"/>
          </w:tcPr>
          <w:p w14:paraId="1EA2F2AB">
            <w:pPr>
              <w:keepNext w:val="0"/>
              <w:keepLines w:val="0"/>
              <w:pageBreakBefore w:val="0"/>
              <w:widowControl w:val="0"/>
              <w:kinsoku/>
              <w:overflowPunct/>
              <w:topLinePunct w:val="0"/>
              <w:bidi w:val="0"/>
              <w:snapToGrid/>
              <w:spacing w:line="360" w:lineRule="atLeast"/>
              <w:textAlignment w:val="auto"/>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符合国家及行业现行相关标准及采购人服务要求</w:t>
            </w:r>
          </w:p>
        </w:tc>
      </w:tr>
      <w:tr w14:paraId="2EA76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34C2822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1.4.1</w:t>
            </w:r>
          </w:p>
        </w:tc>
        <w:tc>
          <w:tcPr>
            <w:tcW w:w="2095" w:type="dxa"/>
            <w:vAlign w:val="center"/>
          </w:tcPr>
          <w:p w14:paraId="6FD7A32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资质条件、能力和信誉</w:t>
            </w:r>
          </w:p>
        </w:tc>
        <w:tc>
          <w:tcPr>
            <w:tcW w:w="6675" w:type="dxa"/>
            <w:vAlign w:val="center"/>
          </w:tcPr>
          <w:p w14:paraId="0B856CFB">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1. 满足《中华人民共和国政府采购法》第二十二条规定；</w:t>
            </w:r>
          </w:p>
          <w:p w14:paraId="077D2855">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2. 落实政府采购政策需满足的资格：本项目专门面向中小企业采购，供应商须提供《中小企业声明函》，本项目对应的中小企业划分标准所属行业为“商务服务业”。</w:t>
            </w:r>
          </w:p>
          <w:p w14:paraId="2D2CF27B">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 本项目的特定资格要求：</w:t>
            </w:r>
          </w:p>
          <w:p w14:paraId="21FA5D3F">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3.1供应商须是在中华人民共和国境内注册具有独立承担民事责任能力法人、其他组织或者自然人；</w:t>
            </w:r>
          </w:p>
          <w:p w14:paraId="1AE550C6">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w:t>
            </w:r>
            <w:r>
              <w:rPr>
                <w:rFonts w:hint="eastAsia" w:ascii="宋体" w:hAnsi="宋体" w:cs="Times New Roman"/>
                <w:color w:val="000000" w:themeColor="text1"/>
                <w:szCs w:val="21"/>
                <w:highlight w:val="none"/>
                <w:lang w:val="en-US" w:eastAsia="zh-CN"/>
                <w14:textFill>
                  <w14:solidFill>
                    <w14:schemeClr w14:val="tx1"/>
                  </w14:solidFill>
                </w14:textFill>
              </w:rPr>
              <w:t>2</w:t>
            </w:r>
            <w:r>
              <w:rPr>
                <w:rFonts w:hint="eastAsia" w:ascii="宋体" w:hAnsi="宋体" w:eastAsia="宋体" w:cs="Times New Roman"/>
                <w:color w:val="000000" w:themeColor="text1"/>
                <w:szCs w:val="21"/>
                <w:highlight w:val="none"/>
                <w:lang w:val="en-US" w:eastAsia="zh-CN"/>
                <w14:textFill>
                  <w14:solidFill>
                    <w14:schemeClr w14:val="tx1"/>
                  </w14:solidFill>
                </w14:textFill>
              </w:rPr>
              <w:t>供应商参加采购活动应当提交反映其财务状况、依法缴纳税收和社保保障资金情况的资格条件承诺函。</w:t>
            </w:r>
          </w:p>
          <w:p w14:paraId="462975B8">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default"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w:t>
            </w:r>
            <w:r>
              <w:rPr>
                <w:rFonts w:hint="eastAsia" w:ascii="宋体" w:hAnsi="宋体" w:cs="Times New Roman"/>
                <w:color w:val="000000" w:themeColor="text1"/>
                <w:szCs w:val="21"/>
                <w:highlight w:val="none"/>
                <w:lang w:val="en-US" w:eastAsia="zh-CN"/>
                <w14:textFill>
                  <w14:solidFill>
                    <w14:schemeClr w14:val="tx1"/>
                  </w14:solidFill>
                </w14:textFill>
              </w:rPr>
              <w:t>3</w:t>
            </w:r>
            <w:r>
              <w:rPr>
                <w:rFonts w:hint="eastAsia" w:ascii="宋体" w:hAnsi="宋体" w:eastAsia="宋体" w:cs="Times New Roman"/>
                <w:color w:val="000000" w:themeColor="text1"/>
                <w:szCs w:val="21"/>
                <w:highlight w:val="none"/>
                <w:lang w:val="en-US" w:eastAsia="zh-CN"/>
                <w14:textFill>
                  <w14:solidFill>
                    <w14:schemeClr w14:val="tx1"/>
                  </w14:solidFill>
                </w14:textFill>
              </w:rPr>
              <w:t>信誉要求：</w:t>
            </w:r>
            <w:r>
              <w:rPr>
                <w:rFonts w:hint="eastAsia" w:ascii="宋体" w:hAnsi="宋体" w:cs="Times New Roman"/>
                <w:color w:val="000000" w:themeColor="text1"/>
                <w:szCs w:val="21"/>
                <w:highlight w:val="none"/>
                <w:lang w:val="en-US" w:eastAsia="zh-CN"/>
                <w14:textFill>
                  <w14:solidFill>
                    <w14:schemeClr w14:val="tx1"/>
                  </w14:solidFill>
                </w14:textFill>
              </w:rPr>
              <w:t xml:space="preserve"> </w:t>
            </w:r>
          </w:p>
          <w:p w14:paraId="26178F71">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（1）供应商参加政府采购活动近3年内（2022年至今）在经营活动中没有重大违法记录。</w:t>
            </w:r>
          </w:p>
          <w:p w14:paraId="0EC8F65D">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（2）拒绝列入政府取消投标资格记录期间的企业或个人投标。</w:t>
            </w:r>
          </w:p>
          <w:p w14:paraId="55CEC3B1">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（3）未被列入“信用中国”网站(www.creditchina.gov.cn)、失信被执行人、企业经营异常名录、重大税收违法失信主体；</w:t>
            </w:r>
          </w:p>
          <w:p w14:paraId="06C4970F">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（4）未被工商行政管理机关在全国企业信用信息公示系统中列入严重违法失信企业名单；</w:t>
            </w:r>
          </w:p>
          <w:p w14:paraId="57B24D52">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（5）未被列入“中国政府采购网”(www.ccgp.gov.cn)政府采购严重违法失信行为记录名单的供应商；</w:t>
            </w:r>
          </w:p>
          <w:p w14:paraId="4A284191">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（6）“中国裁判文书网”（wenshu.court.gov.cn/）查询企业及法定代表人无行贿犯罪记录证明。</w:t>
            </w:r>
          </w:p>
          <w:p w14:paraId="35262AA2">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w:t>
            </w:r>
            <w:r>
              <w:rPr>
                <w:rFonts w:hint="eastAsia" w:ascii="宋体" w:hAnsi="宋体" w:cs="Times New Roman"/>
                <w:color w:val="000000" w:themeColor="text1"/>
                <w:szCs w:val="21"/>
                <w:highlight w:val="none"/>
                <w:lang w:val="en-US" w:eastAsia="zh-CN"/>
                <w14:textFill>
                  <w14:solidFill>
                    <w14:schemeClr w14:val="tx1"/>
                  </w14:solidFill>
                </w14:textFill>
              </w:rPr>
              <w:t>4</w:t>
            </w:r>
            <w:r>
              <w:rPr>
                <w:rFonts w:hint="eastAsia" w:ascii="宋体" w:hAnsi="宋体" w:eastAsia="宋体" w:cs="Times New Roman"/>
                <w:color w:val="000000" w:themeColor="text1"/>
                <w:szCs w:val="21"/>
                <w:highlight w:val="none"/>
                <w:lang w:val="en-US" w:eastAsia="zh-CN"/>
                <w14:textFill>
                  <w14:solidFill>
                    <w14:schemeClr w14:val="tx1"/>
                  </w14:solidFill>
                </w14:textFill>
              </w:rPr>
              <w:t>采购人存在利害关系可能影响招标公正性的法人、其他组织或者个人，不得参加投标；具有投资参股关系的关联企业，或具有直接管理和被管理关系的母子公司，或同一母子公司的子公司，或法定代表人为同一人的两个及两个以上法人不得同时对同一标段投标；单位负责人同一人或者存在控股、管理关系的不同单位，不得参加同一合同项下的政府采购活动。除单一来源采购项目外，为采购项目提供整体设计、规范预算编制的供应商，不得再参加该采购项目的其他采购活动；</w:t>
            </w:r>
          </w:p>
          <w:p w14:paraId="1BBE7531">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Times New Roman"/>
                <w:color w:val="000000" w:themeColor="text1"/>
                <w:szCs w:val="21"/>
                <w:highlight w:val="none"/>
                <w:lang w:val="en-US" w:eastAsia="zh-CN"/>
                <w14:textFill>
                  <w14:solidFill>
                    <w14:schemeClr w14:val="tx1"/>
                  </w14:solidFill>
                </w14:textFill>
              </w:rPr>
              <w:t>3.5各供应商均可就本采购项目中的每个标段投标，但最多允许中标1个标段（依据项目标段顺序确认中标标段）。</w:t>
            </w:r>
          </w:p>
        </w:tc>
      </w:tr>
      <w:tr w14:paraId="67CEB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40FDCFD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1.4.2</w:t>
            </w:r>
          </w:p>
        </w:tc>
        <w:tc>
          <w:tcPr>
            <w:tcW w:w="2095" w:type="dxa"/>
            <w:vAlign w:val="center"/>
          </w:tcPr>
          <w:p w14:paraId="25D4C706">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是否接受联合体投标</w:t>
            </w:r>
          </w:p>
        </w:tc>
        <w:tc>
          <w:tcPr>
            <w:tcW w:w="6675" w:type="dxa"/>
            <w:vAlign w:val="center"/>
          </w:tcPr>
          <w:p w14:paraId="7943707D">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14:textFill>
                  <w14:solidFill>
                    <w14:schemeClr w14:val="tx1"/>
                  </w14:solidFill>
                </w14:textFill>
              </w:rPr>
              <w:t>不接受</w:t>
            </w:r>
          </w:p>
        </w:tc>
      </w:tr>
      <w:tr w14:paraId="6834D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148EC0EC">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1.9.1</w:t>
            </w:r>
          </w:p>
        </w:tc>
        <w:tc>
          <w:tcPr>
            <w:tcW w:w="2095" w:type="dxa"/>
            <w:vAlign w:val="center"/>
          </w:tcPr>
          <w:p w14:paraId="05E70070">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踏勘现场</w:t>
            </w:r>
          </w:p>
        </w:tc>
        <w:tc>
          <w:tcPr>
            <w:tcW w:w="6675" w:type="dxa"/>
            <w:vAlign w:val="center"/>
          </w:tcPr>
          <w:p w14:paraId="118815BD">
            <w:pPr>
              <w:keepNext w:val="0"/>
              <w:keepLines w:val="0"/>
              <w:pageBreakBefore w:val="0"/>
              <w:widowControl w:val="0"/>
              <w:kinsoku/>
              <w:wordWrap/>
              <w:overflowPunct/>
              <w:topLinePunct w:val="0"/>
              <w:autoSpaceDE/>
              <w:autoSpaceDN/>
              <w:bidi w:val="0"/>
              <w:adjustRightInd/>
              <w:snapToGrid/>
              <w:spacing w:line="360" w:lineRule="atLeast"/>
              <w:ind w:firstLine="0" w:firstLineChars="0"/>
              <w:textAlignment w:val="auto"/>
              <w:outlineLvl w:val="9"/>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不</w:t>
            </w:r>
            <w:r>
              <w:rPr>
                <w:rFonts w:hint="eastAsia" w:ascii="宋体" w:hAnsi="宋体" w:cs="Times New Roman"/>
                <w:color w:val="000000" w:themeColor="text1"/>
                <w:szCs w:val="21"/>
                <w:highlight w:val="none"/>
                <w14:textFill>
                  <w14:solidFill>
                    <w14:schemeClr w14:val="tx1"/>
                  </w14:solidFill>
                </w14:textFill>
              </w:rPr>
              <w:t>组织</w:t>
            </w:r>
          </w:p>
        </w:tc>
      </w:tr>
      <w:tr w14:paraId="4700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95" w:type="dxa"/>
            <w:vAlign w:val="center"/>
          </w:tcPr>
          <w:p w14:paraId="4ED7AE5C">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1.10.1</w:t>
            </w:r>
          </w:p>
        </w:tc>
        <w:tc>
          <w:tcPr>
            <w:tcW w:w="2095" w:type="dxa"/>
            <w:vAlign w:val="center"/>
          </w:tcPr>
          <w:p w14:paraId="52353CF8">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投标预备会</w:t>
            </w:r>
          </w:p>
        </w:tc>
        <w:tc>
          <w:tcPr>
            <w:tcW w:w="6675" w:type="dxa"/>
            <w:vAlign w:val="center"/>
          </w:tcPr>
          <w:p w14:paraId="6367A8C7">
            <w:pPr>
              <w:keepNext w:val="0"/>
              <w:keepLines w:val="0"/>
              <w:pageBreakBefore w:val="0"/>
              <w:widowControl w:val="0"/>
              <w:kinsoku/>
              <w:wordWrap w:val="0"/>
              <w:overflowPunct/>
              <w:topLinePunct w:val="0"/>
              <w:autoSpaceDE/>
              <w:autoSpaceDN/>
              <w:bidi w:val="0"/>
              <w:adjustRightInd w:val="0"/>
              <w:snapToGrid/>
              <w:spacing w:line="360" w:lineRule="atLeas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position w:val="-4"/>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position w:val="0"/>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不召开</w:t>
            </w:r>
          </w:p>
          <w:p w14:paraId="2CD1D0B1">
            <w:pPr>
              <w:keepNext w:val="0"/>
              <w:keepLines w:val="0"/>
              <w:pageBreakBefore w:val="0"/>
              <w:widowControl w:val="0"/>
              <w:kinsoku/>
              <w:wordWrap w:val="0"/>
              <w:overflowPunct/>
              <w:topLinePunct w:val="0"/>
              <w:autoSpaceDE/>
              <w:autoSpaceDN/>
              <w:bidi w:val="0"/>
              <w:adjustRightInd w:val="0"/>
              <w:snapToGrid/>
              <w:spacing w:line="360" w:lineRule="atLeast"/>
              <w:textAlignment w:val="auto"/>
              <w:outlineLvl w:val="9"/>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□召开,召开时间：/</w:t>
            </w:r>
          </w:p>
          <w:p w14:paraId="701D39E9">
            <w:pPr>
              <w:keepNext w:val="0"/>
              <w:keepLines w:val="0"/>
              <w:pageBreakBefore w:val="0"/>
              <w:widowControl w:val="0"/>
              <w:kinsoku/>
              <w:wordWrap w:val="0"/>
              <w:overflowPunct/>
              <w:topLinePunct w:val="0"/>
              <w:autoSpaceDE/>
              <w:autoSpaceDN/>
              <w:bidi w:val="0"/>
              <w:adjustRightInd w:val="0"/>
              <w:snapToGrid/>
              <w:spacing w:line="360" w:lineRule="atLeast"/>
              <w:ind w:firstLine="735" w:firstLineChars="350"/>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召开地点：/</w:t>
            </w:r>
          </w:p>
        </w:tc>
      </w:tr>
      <w:tr w14:paraId="37FBB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995" w:type="dxa"/>
            <w:vAlign w:val="center"/>
          </w:tcPr>
          <w:p w14:paraId="5EBAF06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1.11.1</w:t>
            </w:r>
          </w:p>
        </w:tc>
        <w:tc>
          <w:tcPr>
            <w:tcW w:w="2095" w:type="dxa"/>
            <w:vAlign w:val="center"/>
          </w:tcPr>
          <w:p w14:paraId="7AF3C31F">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分包</w:t>
            </w:r>
          </w:p>
        </w:tc>
        <w:tc>
          <w:tcPr>
            <w:tcW w:w="6675" w:type="dxa"/>
            <w:vAlign w:val="center"/>
          </w:tcPr>
          <w:p w14:paraId="511C5F19">
            <w:pPr>
              <w:keepNext w:val="0"/>
              <w:keepLines w:val="0"/>
              <w:pageBreakBefore w:val="0"/>
              <w:widowControl w:val="0"/>
              <w:kinsoku/>
              <w:wordWrap w:val="0"/>
              <w:overflowPunct/>
              <w:topLinePunct w:val="0"/>
              <w:autoSpaceDE/>
              <w:autoSpaceDN/>
              <w:bidi w:val="0"/>
              <w:adjustRightInd w:val="0"/>
              <w:snapToGrid/>
              <w:spacing w:line="360" w:lineRule="atLeas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position w:val="-4"/>
                <w:sz w:val="3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position w:val="0"/>
                <w:sz w:val="21"/>
                <w:szCs w:val="21"/>
                <w:highlight w:val="none"/>
                <w:lang w:val="zh-CN"/>
                <w14:textFill>
                  <w14:solidFill>
                    <w14:schemeClr w14:val="tx1"/>
                  </w14:solidFill>
                </w14:textFill>
              </w:rPr>
              <w:instrText xml:space="preserve">,√)</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不允许</w:t>
            </w:r>
          </w:p>
          <w:p w14:paraId="6680B879">
            <w:pPr>
              <w:keepNext w:val="0"/>
              <w:keepLines w:val="0"/>
              <w:pageBreakBefore w:val="0"/>
              <w:widowControl w:val="0"/>
              <w:kinsoku/>
              <w:wordWrap w:val="0"/>
              <w:overflowPunct/>
              <w:topLinePunct w:val="0"/>
              <w:autoSpaceDE/>
              <w:autoSpaceDN/>
              <w:bidi w:val="0"/>
              <w:adjustRightInd w:val="0"/>
              <w:snapToGrid/>
              <w:spacing w:line="360" w:lineRule="atLeast"/>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□允许，分包内容：/</w:t>
            </w:r>
          </w:p>
        </w:tc>
      </w:tr>
      <w:tr w14:paraId="7804D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995" w:type="dxa"/>
            <w:vAlign w:val="center"/>
          </w:tcPr>
          <w:p w14:paraId="74623F69">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1.12</w:t>
            </w:r>
          </w:p>
        </w:tc>
        <w:tc>
          <w:tcPr>
            <w:tcW w:w="2095" w:type="dxa"/>
            <w:vAlign w:val="center"/>
          </w:tcPr>
          <w:p w14:paraId="03822F3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偏离</w:t>
            </w:r>
          </w:p>
        </w:tc>
        <w:tc>
          <w:tcPr>
            <w:tcW w:w="6675" w:type="dxa"/>
            <w:vAlign w:val="center"/>
          </w:tcPr>
          <w:p w14:paraId="39FF80FA">
            <w:pPr>
              <w:keepNext w:val="0"/>
              <w:keepLines w:val="0"/>
              <w:pageBreakBefore w:val="0"/>
              <w:widowControl w:val="0"/>
              <w:kinsoku/>
              <w:overflowPunct/>
              <w:topLinePunct w:val="0"/>
              <w:bidi w:val="0"/>
              <w:snapToGrid/>
              <w:spacing w:line="360" w:lineRule="atLeast"/>
              <w:textAlignment w:val="auto"/>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不允许</w:t>
            </w:r>
          </w:p>
        </w:tc>
      </w:tr>
      <w:tr w14:paraId="41864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1EA2B696">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2.1</w:t>
            </w:r>
          </w:p>
        </w:tc>
        <w:tc>
          <w:tcPr>
            <w:tcW w:w="2095" w:type="dxa"/>
            <w:vAlign w:val="center"/>
          </w:tcPr>
          <w:p w14:paraId="7A33A101">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构成磋商文件的其他材料</w:t>
            </w:r>
          </w:p>
        </w:tc>
        <w:tc>
          <w:tcPr>
            <w:tcW w:w="6675" w:type="dxa"/>
            <w:vAlign w:val="center"/>
          </w:tcPr>
          <w:p w14:paraId="47CEB839">
            <w:pPr>
              <w:keepNext w:val="0"/>
              <w:keepLines w:val="0"/>
              <w:pageBreakBefore w:val="0"/>
              <w:widowControl w:val="0"/>
              <w:kinsoku/>
              <w:overflowPunct/>
              <w:topLinePunct w:val="0"/>
              <w:bidi w:val="0"/>
              <w:snapToGrid/>
              <w:spacing w:line="360" w:lineRule="atLeast"/>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eastAsia="zh-CN"/>
                <w14:textFill>
                  <w14:solidFill>
                    <w14:schemeClr w14:val="tx1"/>
                  </w14:solidFill>
                </w14:textFill>
              </w:rPr>
              <w:t>本项目的澄清、修改、补充说明文件</w:t>
            </w:r>
            <w:r>
              <w:rPr>
                <w:rFonts w:hint="eastAsia" w:ascii="Times New Roman" w:hAnsi="Times New Roman" w:eastAsia="宋体" w:cs="Times New Roman"/>
                <w:color w:val="000000" w:themeColor="text1"/>
                <w:highlight w:val="none"/>
                <w:lang w:val="en-US" w:eastAsia="zh-CN"/>
                <w14:textFill>
                  <w14:solidFill>
                    <w14:schemeClr w14:val="tx1"/>
                  </w14:solidFill>
                </w14:textFill>
              </w:rPr>
              <w:t>（如有）。</w:t>
            </w:r>
          </w:p>
          <w:p w14:paraId="512F02C3">
            <w:pPr>
              <w:keepNext w:val="0"/>
              <w:keepLines w:val="0"/>
              <w:pageBreakBefore w:val="0"/>
              <w:widowControl w:val="0"/>
              <w:kinsoku/>
              <w:overflowPunct/>
              <w:topLinePunct w:val="0"/>
              <w:bidi w:val="0"/>
              <w:snapToGrid/>
              <w:spacing w:line="360" w:lineRule="atLeast"/>
              <w:textAlignment w:val="auto"/>
              <w:outlineLvl w:val="9"/>
              <w:rPr>
                <w:rFonts w:hint="default"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注：采购代理机构将上述内容以带有编号的补遗文件发送到“政采云”平台(https://www.zcygov.cn)</w:t>
            </w:r>
            <w:r>
              <w:rPr>
                <w:rFonts w:hint="eastAsia" w:ascii="Times New Roman" w:hAnsi="Times New Roman" w:eastAsia="宋体" w:cs="Times New Roman"/>
                <w:color w:val="000000" w:themeColor="text1"/>
                <w:highlight w:val="none"/>
                <w:lang w:val="zh-CN" w:eastAsia="zh-CN"/>
                <w14:textFill>
                  <w14:solidFill>
                    <w14:schemeClr w14:val="tx1"/>
                  </w14:solidFill>
                </w14:textFill>
              </w:rPr>
              <w:t>答疑文件</w:t>
            </w:r>
            <w:r>
              <w:rPr>
                <w:rFonts w:hint="eastAsia" w:ascii="Times New Roman" w:hAnsi="Times New Roman" w:eastAsia="宋体" w:cs="Times New Roman"/>
                <w:color w:val="000000" w:themeColor="text1"/>
                <w:highlight w:val="none"/>
                <w:lang w:val="en-US" w:eastAsia="zh-CN"/>
                <w14:textFill>
                  <w14:solidFill>
                    <w14:schemeClr w14:val="tx1"/>
                  </w14:solidFill>
                </w14:textFill>
              </w:rPr>
              <w:t>中，各供应商登录“政采云”平台(https://www.zcygov.cn)答疑文件处自行下载。如果供应商未在上述答疑文件中收到相应文件，请及时与采购代理机构联系，否则采购人和采购代理机构不承担任何责任。</w:t>
            </w:r>
          </w:p>
        </w:tc>
      </w:tr>
      <w:tr w14:paraId="7C318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36978285">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2.2.1</w:t>
            </w:r>
          </w:p>
        </w:tc>
        <w:tc>
          <w:tcPr>
            <w:tcW w:w="2095" w:type="dxa"/>
            <w:vAlign w:val="center"/>
          </w:tcPr>
          <w:p w14:paraId="17A249F6">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要求澄清磋商文件的截止时间</w:t>
            </w:r>
          </w:p>
        </w:tc>
        <w:tc>
          <w:tcPr>
            <w:tcW w:w="6675" w:type="dxa"/>
            <w:vAlign w:val="center"/>
          </w:tcPr>
          <w:p w14:paraId="6B7A97B4">
            <w:pPr>
              <w:keepNext w:val="0"/>
              <w:keepLines w:val="0"/>
              <w:pageBreakBefore w:val="0"/>
              <w:widowControl w:val="0"/>
              <w:kinsoku/>
              <w:wordWrap/>
              <w:overflowPunct/>
              <w:topLinePunct w:val="0"/>
              <w:autoSpaceDE/>
              <w:autoSpaceDN/>
              <w:bidi w:val="0"/>
              <w:snapToGrid/>
              <w:spacing w:line="360" w:lineRule="atLeast"/>
              <w:textAlignment w:val="auto"/>
              <w:outlineLvl w:val="9"/>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时间：</w:t>
            </w:r>
            <w:r>
              <w:rPr>
                <w:rFonts w:hint="eastAsia" w:ascii="宋体" w:hAnsi="宋体" w:eastAsia="宋体" w:cs="宋体"/>
                <w:color w:val="000000" w:themeColor="text1"/>
                <w:sz w:val="21"/>
                <w:szCs w:val="21"/>
                <w:highlight w:val="none"/>
                <w:lang w:val="zh-CN"/>
                <w14:textFill>
                  <w14:solidFill>
                    <w14:schemeClr w14:val="tx1"/>
                  </w14:solidFill>
                </w14:textFill>
              </w:rPr>
              <w:t>提交响应文件截止时间5天前</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tc>
      </w:tr>
      <w:tr w14:paraId="63FD4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256DA9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2.2.2</w:t>
            </w:r>
          </w:p>
        </w:tc>
        <w:tc>
          <w:tcPr>
            <w:tcW w:w="2095" w:type="dxa"/>
            <w:vAlign w:val="center"/>
          </w:tcPr>
          <w:p w14:paraId="4CBEC97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磋商时间和地点</w:t>
            </w:r>
          </w:p>
        </w:tc>
        <w:tc>
          <w:tcPr>
            <w:tcW w:w="6675" w:type="dxa"/>
            <w:shd w:val="clear" w:color="auto" w:fill="auto"/>
            <w:vAlign w:val="center"/>
          </w:tcPr>
          <w:p w14:paraId="78938678">
            <w:pPr>
              <w:keepNext w:val="0"/>
              <w:keepLines w:val="0"/>
              <w:pageBreakBefore w:val="0"/>
              <w:widowControl w:val="0"/>
              <w:kinsoku/>
              <w:overflowPunct/>
              <w:topLinePunct w:val="0"/>
              <w:bidi w:val="0"/>
              <w:snapToGrid/>
              <w:spacing w:line="360" w:lineRule="atLeast"/>
              <w:jc w:val="both"/>
              <w:textAlignment w:val="auto"/>
              <w:outlineLvl w:val="9"/>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磋商时间：</w:t>
            </w:r>
            <w:r>
              <w:rPr>
                <w:rFonts w:hint="eastAsia" w:cs="Times New Roman"/>
                <w:color w:val="000000" w:themeColor="text1"/>
                <w:sz w:val="21"/>
                <w:szCs w:val="21"/>
                <w:highlight w:val="none"/>
                <w:lang w:val="en-US" w:eastAsia="zh-CN"/>
                <w14:textFill>
                  <w14:solidFill>
                    <w14:schemeClr w14:val="tx1"/>
                  </w14:solidFill>
                </w14:textFill>
              </w:rPr>
              <w:t>2025年4月29日13时30分</w:t>
            </w:r>
          </w:p>
          <w:p w14:paraId="4F1F1C70">
            <w:pPr>
              <w:keepNext w:val="0"/>
              <w:keepLines w:val="0"/>
              <w:pageBreakBefore w:val="0"/>
              <w:widowControl w:val="0"/>
              <w:kinsoku/>
              <w:overflowPunct/>
              <w:topLinePunct w:val="0"/>
              <w:bidi w:val="0"/>
              <w:snapToGrid/>
              <w:spacing w:line="360" w:lineRule="atLeast"/>
              <w:jc w:val="both"/>
              <w:textAlignment w:val="auto"/>
              <w:outlineLvl w:val="9"/>
              <w:rPr>
                <w:rFonts w:hint="eastAsia" w:cs="Times New Roman"/>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磋商</w:t>
            </w:r>
            <w:r>
              <w:rPr>
                <w:rFonts w:hint="eastAsia" w:ascii="Times New Roman" w:hAnsi="Times New Roman" w:eastAsia="宋体" w:cs="Times New Roman"/>
                <w:color w:val="000000" w:themeColor="text1"/>
                <w:sz w:val="21"/>
                <w:szCs w:val="21"/>
                <w:highlight w:val="none"/>
                <w14:textFill>
                  <w14:solidFill>
                    <w14:schemeClr w14:val="tx1"/>
                  </w14:solidFill>
                </w14:textFill>
              </w:rPr>
              <w:t>地点：</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延吉市公共资源交易中心(</w:t>
            </w:r>
            <w:r>
              <w:rPr>
                <w:rFonts w:hint="eastAsia" w:cs="Times New Roman"/>
                <w:color w:val="000000" w:themeColor="text1"/>
                <w:sz w:val="21"/>
                <w:szCs w:val="21"/>
                <w:highlight w:val="none"/>
                <w:lang w:eastAsia="zh-CN"/>
                <w14:textFill>
                  <w14:solidFill>
                    <w14:schemeClr w14:val="tx1"/>
                  </w14:solidFill>
                </w14:textFill>
              </w:rPr>
              <w:t>延吉市政务大厅</w:t>
            </w:r>
            <w:r>
              <w:rPr>
                <w:rFonts w:hint="eastAsia" w:cs="Times New Roman"/>
                <w:color w:val="000000" w:themeColor="text1"/>
                <w:sz w:val="21"/>
                <w:szCs w:val="21"/>
                <w:highlight w:val="none"/>
                <w:lang w:val="en-US" w:eastAsia="zh-CN"/>
                <w14:textFill>
                  <w14:solidFill>
                    <w14:schemeClr w14:val="tx1"/>
                  </w14:solidFill>
                </w14:textFill>
              </w:rPr>
              <w:t>开标2室</w:t>
            </w:r>
            <w: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t>)，地址：延吉市光华路166－1号</w:t>
            </w:r>
          </w:p>
          <w:p w14:paraId="4AB32D80">
            <w:pPr>
              <w:keepNext w:val="0"/>
              <w:keepLines w:val="0"/>
              <w:pageBreakBefore w:val="0"/>
              <w:widowControl w:val="0"/>
              <w:numPr>
                <w:ilvl w:val="0"/>
                <w:numId w:val="5"/>
              </w:numPr>
              <w:kinsoku/>
              <w:overflowPunct/>
              <w:topLinePunct w:val="0"/>
              <w:bidi w:val="0"/>
              <w:snapToGrid/>
              <w:spacing w:line="360" w:lineRule="atLeast"/>
              <w:jc w:val="both"/>
              <w:textAlignment w:val="auto"/>
              <w:outlineLvl w:val="9"/>
              <w:rPr>
                <w:rFonts w:hint="eastAsia" w:cs="Times New Roman"/>
                <w:color w:val="000000" w:themeColor="text1"/>
                <w:sz w:val="21"/>
                <w:szCs w:val="21"/>
                <w:highlight w:val="none"/>
                <w:lang w:val="zh-CN" w:eastAsia="zh-CN"/>
                <w14:textFill>
                  <w14:solidFill>
                    <w14:schemeClr w14:val="tx1"/>
                  </w14:solidFill>
                </w14:textFill>
              </w:rPr>
            </w:pPr>
            <w:r>
              <w:rPr>
                <w:rFonts w:hint="eastAsia" w:cs="Times New Roman"/>
                <w:color w:val="000000" w:themeColor="text1"/>
                <w:sz w:val="21"/>
                <w:szCs w:val="21"/>
                <w:highlight w:val="none"/>
                <w:lang w:val="zh-CN" w:eastAsia="zh-CN"/>
                <w14:textFill>
                  <w14:solidFill>
                    <w14:schemeClr w14:val="tx1"/>
                  </w14:solidFill>
                </w14:textFill>
              </w:rPr>
              <w:t>本项目开启方式为远程开启，供应商不到现场。供应商投标时，需携带制作投标文件时用来加密的有效数字证书（CA认证）登录“政采云”平台电子开标大厅现场按规定时间对加密的投标文件进行解密。</w:t>
            </w:r>
          </w:p>
          <w:p w14:paraId="6E527CC3">
            <w:pPr>
              <w:keepNext w:val="0"/>
              <w:keepLines w:val="0"/>
              <w:pageBreakBefore w:val="0"/>
              <w:widowControl w:val="0"/>
              <w:numPr>
                <w:ilvl w:val="0"/>
                <w:numId w:val="5"/>
              </w:numPr>
              <w:kinsoku/>
              <w:overflowPunct/>
              <w:topLinePunct w:val="0"/>
              <w:bidi w:val="0"/>
              <w:snapToGrid/>
              <w:spacing w:line="360" w:lineRule="atLeast"/>
              <w:jc w:val="both"/>
              <w:textAlignment w:val="auto"/>
              <w:outlineLvl w:val="9"/>
              <w:rPr>
                <w:rFonts w:hint="eastAsia" w:cs="Times New Roman"/>
                <w:color w:val="000000" w:themeColor="text1"/>
                <w:sz w:val="21"/>
                <w:szCs w:val="21"/>
                <w:highlight w:val="none"/>
                <w:lang w:val="zh-CN" w:eastAsia="zh-CN"/>
                <w14:textFill>
                  <w14:solidFill>
                    <w14:schemeClr w14:val="tx1"/>
                  </w14:solidFill>
                </w14:textFill>
              </w:rPr>
            </w:pPr>
            <w:r>
              <w:rPr>
                <w:rFonts w:hint="eastAsia" w:cs="Times New Roman"/>
                <w:color w:val="000000" w:themeColor="text1"/>
                <w:sz w:val="21"/>
                <w:szCs w:val="21"/>
                <w:highlight w:val="none"/>
                <w:lang w:val="zh-CN" w:eastAsia="zh-CN"/>
                <w14:textFill>
                  <w14:solidFill>
                    <w14:schemeClr w14:val="tx1"/>
                  </w14:solidFill>
                </w14:textFill>
              </w:rPr>
              <w:t>供应商需提前下载好腾讯会议，至少开标前10分钟进入会议号“#腾讯会议：</w:t>
            </w:r>
            <w:r>
              <w:rPr>
                <w:rFonts w:hint="eastAsia" w:cs="Times New Roman"/>
                <w:color w:val="000000" w:themeColor="text1"/>
                <w:sz w:val="21"/>
                <w:szCs w:val="21"/>
                <w:highlight w:val="none"/>
                <w:lang w:val="en-US" w:eastAsia="zh-CN"/>
                <w14:textFill>
                  <w14:solidFill>
                    <w14:schemeClr w14:val="tx1"/>
                  </w14:solidFill>
                </w14:textFill>
              </w:rPr>
              <w:t>762 291 125</w:t>
            </w:r>
            <w:r>
              <w:rPr>
                <w:rFonts w:hint="eastAsia" w:cs="Times New Roman"/>
                <w:color w:val="000000" w:themeColor="text1"/>
                <w:sz w:val="21"/>
                <w:szCs w:val="21"/>
                <w:highlight w:val="none"/>
                <w:lang w:val="zh-CN" w:eastAsia="zh-CN"/>
                <w14:textFill>
                  <w14:solidFill>
                    <w14:schemeClr w14:val="tx1"/>
                  </w14:solidFill>
                </w14:textFill>
              </w:rPr>
              <w:t>”，并保持电话畅通。</w:t>
            </w:r>
          </w:p>
          <w:p w14:paraId="44174F82">
            <w:pPr>
              <w:keepNext w:val="0"/>
              <w:keepLines w:val="0"/>
              <w:pageBreakBefore w:val="0"/>
              <w:widowControl w:val="0"/>
              <w:numPr>
                <w:ilvl w:val="0"/>
                <w:numId w:val="5"/>
              </w:numPr>
              <w:kinsoku/>
              <w:overflowPunct/>
              <w:topLinePunct w:val="0"/>
              <w:bidi w:val="0"/>
              <w:snapToGrid/>
              <w:spacing w:line="360" w:lineRule="atLeast"/>
              <w:ind w:left="0" w:leftChars="0" w:firstLine="0" w:firstLineChars="0"/>
              <w:jc w:val="both"/>
              <w:textAlignment w:val="auto"/>
              <w:outlineLvl w:val="9"/>
              <w:rPr>
                <w:color w:val="000000" w:themeColor="text1"/>
                <w:highlight w:val="none"/>
                <w14:textFill>
                  <w14:solidFill>
                    <w14:schemeClr w14:val="tx1"/>
                  </w14:solidFill>
                </w14:textFill>
              </w:rPr>
            </w:pPr>
            <w:r>
              <w:rPr>
                <w:rFonts w:hint="eastAsia" w:cs="Times New Roman"/>
                <w:color w:val="000000" w:themeColor="text1"/>
                <w:sz w:val="21"/>
                <w:szCs w:val="21"/>
                <w:highlight w:val="none"/>
                <w:lang w:val="zh-CN" w:eastAsia="zh-CN"/>
                <w14:textFill>
                  <w14:solidFill>
                    <w14:schemeClr w14:val="tx1"/>
                  </w14:solidFill>
                </w14:textFill>
              </w:rPr>
              <w:t>投标文件提交方式：本项目为全流程电子化项目，通过“政采云”平台（http：//www.zcygov.cn）实行在线电子投标，供应商应先安装“政采云电子交易客户端”（请自行前往“政采云”平台进行下载），并按照本项目</w:t>
            </w:r>
            <w:r>
              <w:rPr>
                <w:rFonts w:hint="eastAsia" w:cs="Times New Roman"/>
                <w:color w:val="000000" w:themeColor="text1"/>
                <w:sz w:val="21"/>
                <w:szCs w:val="21"/>
                <w:highlight w:val="none"/>
                <w:lang w:val="en-US" w:eastAsia="zh-CN"/>
                <w14:textFill>
                  <w14:solidFill>
                    <w14:schemeClr w14:val="tx1"/>
                  </w14:solidFill>
                </w14:textFill>
              </w:rPr>
              <w:t>磋商</w:t>
            </w:r>
            <w:r>
              <w:rPr>
                <w:rFonts w:hint="eastAsia" w:cs="Times New Roman"/>
                <w:color w:val="000000" w:themeColor="text1"/>
                <w:sz w:val="21"/>
                <w:szCs w:val="21"/>
                <w:highlight w:val="none"/>
                <w:lang w:val="zh-CN" w:eastAsia="zh-CN"/>
                <w14:textFill>
                  <w14:solidFill>
                    <w14:schemeClr w14:val="tx1"/>
                  </w14:solidFill>
                </w14:textFill>
              </w:rPr>
              <w:t>文件和“政采云”平台的要求编制、加密后在磋商截止时间前通过网络上传至“政采云”平台，供应商在“政采云”平台提交电子版投标文件时，请填写参加开标活动经办人联系方式。</w:t>
            </w:r>
          </w:p>
        </w:tc>
      </w:tr>
      <w:tr w14:paraId="4C76D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2301859B">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2.2.3</w:t>
            </w:r>
          </w:p>
        </w:tc>
        <w:tc>
          <w:tcPr>
            <w:tcW w:w="2095" w:type="dxa"/>
            <w:vAlign w:val="center"/>
          </w:tcPr>
          <w:p w14:paraId="40B09553">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确认收到磋商文件澄清的时间</w:t>
            </w:r>
          </w:p>
        </w:tc>
        <w:tc>
          <w:tcPr>
            <w:tcW w:w="6675" w:type="dxa"/>
            <w:vAlign w:val="center"/>
          </w:tcPr>
          <w:p w14:paraId="15967CEA">
            <w:pPr>
              <w:keepNext w:val="0"/>
              <w:keepLines w:val="0"/>
              <w:pageBreakBefore w:val="0"/>
              <w:widowControl w:val="0"/>
              <w:kinsoku/>
              <w:overflowPunct/>
              <w:topLinePunct w:val="0"/>
              <w:bidi w:val="0"/>
              <w:snapToGrid/>
              <w:spacing w:line="360" w:lineRule="atLeast"/>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时间：收到澄清后24小时内（以发出时间为准）。</w:t>
            </w:r>
            <w:r>
              <w:rPr>
                <w:rFonts w:hint="eastAsia" w:ascii="Times New Roman" w:hAnsi="Times New Roman" w:eastAsia="宋体" w:cs="Times New Roman"/>
                <w:color w:val="000000" w:themeColor="text1"/>
                <w:highlight w:val="none"/>
                <w:lang w:val="zh-CN" w:eastAsia="zh-CN"/>
                <w14:textFill>
                  <w14:solidFill>
                    <w14:schemeClr w14:val="tx1"/>
                  </w14:solidFill>
                </w14:textFill>
              </w:rPr>
              <w:t>形式：本项目所有修改文件均在</w:t>
            </w:r>
            <w:r>
              <w:rPr>
                <w:rFonts w:hint="eastAsia" w:ascii="Times New Roman" w:hAnsi="Times New Roman" w:eastAsia="宋体" w:cs="Times New Roman"/>
                <w:color w:val="000000" w:themeColor="text1"/>
                <w:highlight w:val="none"/>
                <w:lang w:val="en-US" w:eastAsia="zh-CN"/>
                <w14:textFill>
                  <w14:solidFill>
                    <w14:schemeClr w14:val="tx1"/>
                  </w14:solidFill>
                </w14:textFill>
              </w:rPr>
              <w:t>“政采云”平台(https://www.zcygov.cn)</w:t>
            </w:r>
            <w:r>
              <w:rPr>
                <w:rFonts w:hint="eastAsia" w:ascii="Times New Roman" w:hAnsi="Times New Roman" w:eastAsia="宋体" w:cs="Times New Roman"/>
                <w:color w:val="000000" w:themeColor="text1"/>
                <w:highlight w:val="none"/>
                <w:lang w:val="zh-CN" w:eastAsia="zh-CN"/>
                <w14:textFill>
                  <w14:solidFill>
                    <w14:schemeClr w14:val="tx1"/>
                  </w14:solidFill>
                </w14:textFill>
              </w:rPr>
              <w:t>”中发布，供应商收到后必须以确认函的形式发送至采购代理机构的邮箱18186817770@163.com，因供应商自身原因未能及时查阅下载所导致的对本项目有关文件理解错误由供应商自行承担。</w:t>
            </w:r>
          </w:p>
        </w:tc>
      </w:tr>
      <w:tr w14:paraId="1A578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73D6A88">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2.3.2</w:t>
            </w:r>
          </w:p>
        </w:tc>
        <w:tc>
          <w:tcPr>
            <w:tcW w:w="2095" w:type="dxa"/>
            <w:vAlign w:val="center"/>
          </w:tcPr>
          <w:p w14:paraId="512D7D4D">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确认收到磋商文件修改的时间</w:t>
            </w:r>
          </w:p>
        </w:tc>
        <w:tc>
          <w:tcPr>
            <w:tcW w:w="6675" w:type="dxa"/>
            <w:vAlign w:val="center"/>
          </w:tcPr>
          <w:p w14:paraId="649BFC9F">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详见本章2.2.3款。</w:t>
            </w:r>
          </w:p>
        </w:tc>
      </w:tr>
      <w:tr w14:paraId="3400F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vAlign w:val="center"/>
          </w:tcPr>
          <w:p w14:paraId="2A6A4D2D">
            <w:pPr>
              <w:overflowPunct/>
              <w:bidi w:val="0"/>
              <w:spacing w:line="400" w:lineRule="exact"/>
              <w:jc w:val="center"/>
              <w:outlineLvl w:val="9"/>
              <w:rPr>
                <w:rFonts w:hint="eastAsia" w:ascii="Times New Roman" w:hAnsi="Times New Roman" w:eastAsia="宋体" w:cs="Times New Roman"/>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3.2.</w:t>
            </w:r>
            <w:r>
              <w:rPr>
                <w:rFonts w:hint="eastAsia" w:cs="Times New Roman"/>
                <w:color w:val="000000" w:themeColor="text1"/>
                <w:highlight w:val="none"/>
                <w:lang w:val="en-US" w:eastAsia="zh-CN"/>
                <w14:textFill>
                  <w14:solidFill>
                    <w14:schemeClr w14:val="tx1"/>
                  </w14:solidFill>
                </w14:textFill>
              </w:rPr>
              <w:t>3</w:t>
            </w:r>
          </w:p>
        </w:tc>
        <w:tc>
          <w:tcPr>
            <w:tcW w:w="2095" w:type="dxa"/>
            <w:vAlign w:val="center"/>
          </w:tcPr>
          <w:p w14:paraId="769BC63C">
            <w:pPr>
              <w:overflowPunct/>
              <w:bidi w:val="0"/>
              <w:spacing w:line="400" w:lineRule="exact"/>
              <w:jc w:val="center"/>
              <w:outlineLvl w:val="9"/>
              <w:rPr>
                <w:rFonts w:hint="eastAsia" w:ascii="Times New Roman" w:hAnsi="Times New Roman" w:eastAsia="宋体" w:cs="Times New Roman"/>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highlight w:val="none"/>
                <w14:textFill>
                  <w14:solidFill>
                    <w14:schemeClr w14:val="tx1"/>
                  </w14:solidFill>
                </w14:textFill>
              </w:rPr>
              <w:t>最高投标限价</w:t>
            </w:r>
          </w:p>
        </w:tc>
        <w:tc>
          <w:tcPr>
            <w:tcW w:w="6675" w:type="dxa"/>
            <w:vAlign w:val="center"/>
          </w:tcPr>
          <w:p w14:paraId="3E5DD598">
            <w:pPr>
              <w:overflowPunct/>
              <w:bidi w:val="0"/>
              <w:spacing w:line="400" w:lineRule="exact"/>
              <w:outlineLvl w:val="9"/>
              <w:rPr>
                <w:rFonts w:hint="eastAsia" w:ascii="Times New Roman" w:hAnsi="Times New Roman" w:eastAsia="宋体" w:cs="Times New Roman"/>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Times New Roman"/>
                <w:color w:val="000000" w:themeColor="text1"/>
                <w:highlight w:val="none"/>
                <w:lang w:val="zh-CN" w:eastAsia="zh-CN"/>
                <w14:textFill>
                  <w14:solidFill>
                    <w14:schemeClr w14:val="tx1"/>
                  </w14:solidFill>
                </w14:textFill>
              </w:rPr>
              <w:t>人民币</w:t>
            </w:r>
            <w:r>
              <w:rPr>
                <w:rFonts w:hint="eastAsia" w:ascii="Times New Roman" w:hAnsi="Times New Roman" w:eastAsia="宋体" w:cs="Times New Roman"/>
                <w:color w:val="000000" w:themeColor="text1"/>
                <w:highlight w:val="none"/>
                <w:lang w:val="en-US" w:eastAsia="zh-CN"/>
                <w14:textFill>
                  <w14:solidFill>
                    <w14:schemeClr w14:val="tx1"/>
                  </w14:solidFill>
                </w14:textFill>
              </w:rPr>
              <w:t>980000</w:t>
            </w:r>
            <w:r>
              <w:rPr>
                <w:rFonts w:hint="eastAsia" w:ascii="Times New Roman" w:hAnsi="Times New Roman" w:eastAsia="宋体" w:cs="Times New Roman"/>
                <w:color w:val="000000" w:themeColor="text1"/>
                <w:highlight w:val="none"/>
                <w:lang w:val="zh-CN" w:eastAsia="zh-CN"/>
                <w14:textFill>
                  <w14:solidFill>
                    <w14:schemeClr w14:val="tx1"/>
                  </w14:solidFill>
                </w14:textFill>
              </w:rPr>
              <w:t>.00元（</w:t>
            </w:r>
            <w:r>
              <w:rPr>
                <w:rFonts w:hint="eastAsia" w:ascii="Times New Roman" w:hAnsi="Times New Roman" w:eastAsia="宋体" w:cs="Times New Roman"/>
                <w:color w:val="000000" w:themeColor="text1"/>
                <w:highlight w:val="none"/>
                <w:lang w:val="en-US" w:eastAsia="zh-CN"/>
                <w14:textFill>
                  <w14:solidFill>
                    <w14:schemeClr w14:val="tx1"/>
                  </w14:solidFill>
                </w14:textFill>
              </w:rPr>
              <w:t>一标段食用农产品检测：530000.00元；二标段普通食品抽检：450000.00元</w:t>
            </w:r>
            <w:r>
              <w:rPr>
                <w:rFonts w:hint="eastAsia" w:ascii="Times New Roman" w:hAnsi="Times New Roman" w:eastAsia="宋体" w:cs="Times New Roman"/>
                <w:color w:val="000000" w:themeColor="text1"/>
                <w:highlight w:val="none"/>
                <w:lang w:val="zh-CN" w:eastAsia="zh-CN"/>
                <w14:textFill>
                  <w14:solidFill>
                    <w14:schemeClr w14:val="tx1"/>
                  </w14:solidFill>
                </w14:textFill>
              </w:rPr>
              <w:t>）</w:t>
            </w:r>
          </w:p>
        </w:tc>
      </w:tr>
      <w:tr w14:paraId="1F2B5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414F566A">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3.2.</w:t>
            </w:r>
            <w:r>
              <w:rPr>
                <w:rFonts w:hint="eastAsia"/>
                <w:color w:val="000000" w:themeColor="text1"/>
                <w:highlight w:val="none"/>
                <w:lang w:val="en-US" w:eastAsia="zh-CN"/>
                <w14:textFill>
                  <w14:solidFill>
                    <w14:schemeClr w14:val="tx1"/>
                  </w14:solidFill>
                </w14:textFill>
              </w:rPr>
              <w:t>7</w:t>
            </w:r>
          </w:p>
        </w:tc>
        <w:tc>
          <w:tcPr>
            <w:tcW w:w="2095" w:type="dxa"/>
            <w:vAlign w:val="center"/>
          </w:tcPr>
          <w:p w14:paraId="70F5F219">
            <w:pPr>
              <w:overflowPunct/>
              <w:bidi w:val="0"/>
              <w:spacing w:line="400" w:lineRule="exact"/>
              <w:jc w:val="center"/>
              <w:outlineLvl w:val="9"/>
              <w:rPr>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报价的次数</w:t>
            </w:r>
          </w:p>
        </w:tc>
        <w:tc>
          <w:tcPr>
            <w:tcW w:w="6675" w:type="dxa"/>
            <w:vAlign w:val="center"/>
          </w:tcPr>
          <w:p w14:paraId="104BF9B9">
            <w:pPr>
              <w:overflowPunct/>
              <w:bidi w:val="0"/>
              <w:spacing w:line="400" w:lineRule="exact"/>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2次</w:t>
            </w:r>
          </w:p>
          <w:p w14:paraId="58C5137A">
            <w:pPr>
              <w:pStyle w:val="27"/>
              <w:overflowPunct/>
              <w:bidi w:val="0"/>
              <w:outlineLvl w:val="9"/>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pP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注：开标当日，</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不必抵达开标现场，仅需在任意地点通过“政采云”平台（https://www.zcygov.cn）参加开标会议，</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代表须全程在线等候，</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得到磋商小组指令后网上进行二次报价</w:t>
            </w:r>
          </w:p>
          <w:p w14:paraId="19A8F8F8">
            <w:pPr>
              <w:pStyle w:val="27"/>
              <w:overflowPunct/>
              <w:bidi w:val="0"/>
              <w:outlineLvl w:val="9"/>
              <w:rPr>
                <w:rFonts w:hint="eastAsia"/>
                <w:color w:val="000000" w:themeColor="text1"/>
                <w:highlight w:val="none"/>
                <w:lang w:val="en-US" w:eastAsia="zh-CN"/>
                <w14:textFill>
                  <w14:solidFill>
                    <w14:schemeClr w14:val="tx1"/>
                  </w14:solidFill>
                </w14:textFill>
              </w:rPr>
            </w:pP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未按照磋商文件要求进行二次报价的</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视为放弃二次报价，由此引发的后果和责任由</w:t>
            </w:r>
            <w:r>
              <w:rPr>
                <w:rFonts w:hint="eastAsia" w:ascii="Times New Roman" w:eastAsia="宋体" w:cs="Times New Roman"/>
                <w:b w:val="0"/>
                <w:color w:val="000000" w:themeColor="text1"/>
                <w:kern w:val="2"/>
                <w:sz w:val="21"/>
                <w:szCs w:val="24"/>
                <w:highlight w:val="none"/>
                <w:lang w:val="en-US" w:eastAsia="zh-CN" w:bidi="ar-SA"/>
                <w14:textFill>
                  <w14:solidFill>
                    <w14:schemeClr w14:val="tx1"/>
                  </w14:solidFill>
                </w14:textFill>
              </w:rPr>
              <w:t>供应商</w:t>
            </w:r>
            <w:r>
              <w:rPr>
                <w:rFonts w:hint="eastAsia" w:ascii="Times New Roman" w:hAnsi="Times New Roman" w:eastAsia="宋体" w:cs="Times New Roman"/>
                <w:b w:val="0"/>
                <w:color w:val="000000" w:themeColor="text1"/>
                <w:kern w:val="2"/>
                <w:sz w:val="21"/>
                <w:szCs w:val="24"/>
                <w:highlight w:val="none"/>
                <w:lang w:val="en-US" w:eastAsia="zh-CN" w:bidi="ar-SA"/>
                <w14:textFill>
                  <w14:solidFill>
                    <w14:schemeClr w14:val="tx1"/>
                  </w14:solidFill>
                </w14:textFill>
              </w:rPr>
              <w:t>自行承担。</w:t>
            </w:r>
          </w:p>
        </w:tc>
      </w:tr>
      <w:tr w14:paraId="4D1B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5" w:type="dxa"/>
            <w:vAlign w:val="center"/>
          </w:tcPr>
          <w:p w14:paraId="60166FB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3.3.1</w:t>
            </w:r>
          </w:p>
        </w:tc>
        <w:tc>
          <w:tcPr>
            <w:tcW w:w="2095" w:type="dxa"/>
            <w:vAlign w:val="center"/>
          </w:tcPr>
          <w:p w14:paraId="5CE5FFFE">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响应有效期</w:t>
            </w:r>
          </w:p>
        </w:tc>
        <w:tc>
          <w:tcPr>
            <w:tcW w:w="6675" w:type="dxa"/>
            <w:vAlign w:val="center"/>
          </w:tcPr>
          <w:p w14:paraId="57D180EA">
            <w:pPr>
              <w:overflowPunct/>
              <w:bidi w:val="0"/>
              <w:spacing w:line="400" w:lineRule="exact"/>
              <w:jc w:val="both"/>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投标截止之日后90天（日历天），从</w:t>
            </w:r>
            <w:r>
              <w:rPr>
                <w:rFonts w:hint="eastAsia" w:ascii="Times New Roman" w:hAnsi="Times New Roman" w:eastAsia="宋体" w:cs="Times New Roman"/>
                <w:color w:val="000000" w:themeColor="text1"/>
                <w:highlight w:val="none"/>
                <w:lang w:val="en-US" w:eastAsia="zh-CN"/>
                <w14:textFill>
                  <w14:solidFill>
                    <w14:schemeClr w14:val="tx1"/>
                  </w14:solidFill>
                </w14:textFill>
              </w:rPr>
              <w:t>响应文件递交</w:t>
            </w:r>
            <w:r>
              <w:rPr>
                <w:rFonts w:hint="eastAsia" w:ascii="Times New Roman" w:hAnsi="Times New Roman" w:eastAsia="宋体" w:cs="Times New Roman"/>
                <w:color w:val="000000" w:themeColor="text1"/>
                <w:highlight w:val="none"/>
                <w:lang w:val="zh-CN"/>
                <w14:textFill>
                  <w14:solidFill>
                    <w14:schemeClr w14:val="tx1"/>
                  </w14:solidFill>
                </w14:textFill>
              </w:rPr>
              <w:t>截止之日算起。</w:t>
            </w:r>
          </w:p>
        </w:tc>
      </w:tr>
      <w:tr w14:paraId="157A8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95" w:type="dxa"/>
            <w:vAlign w:val="center"/>
          </w:tcPr>
          <w:p w14:paraId="24752609">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3.4.1</w:t>
            </w:r>
          </w:p>
        </w:tc>
        <w:tc>
          <w:tcPr>
            <w:tcW w:w="2095" w:type="dxa"/>
            <w:vAlign w:val="center"/>
          </w:tcPr>
          <w:p w14:paraId="3C4D64BC">
            <w:pPr>
              <w:overflowPunct/>
              <w:bidi w:val="0"/>
              <w:spacing w:line="400" w:lineRule="exact"/>
              <w:jc w:val="center"/>
              <w:outlineLvl w:val="9"/>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磋商保证金</w:t>
            </w:r>
          </w:p>
        </w:tc>
        <w:tc>
          <w:tcPr>
            <w:tcW w:w="6675" w:type="dxa"/>
            <w:vAlign w:val="center"/>
          </w:tcPr>
          <w:p w14:paraId="7B57E2B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磋商</w:t>
            </w:r>
            <w:r>
              <w:rPr>
                <w:rFonts w:hint="eastAsia" w:ascii="宋体" w:hAnsi="宋体" w:eastAsia="宋体" w:cs="宋体"/>
                <w:color w:val="000000" w:themeColor="text1"/>
                <w:szCs w:val="21"/>
                <w:highlight w:val="none"/>
                <w:lang w:bidi="ar"/>
                <w14:textFill>
                  <w14:solidFill>
                    <w14:schemeClr w14:val="tx1"/>
                  </w14:solidFill>
                </w14:textFill>
              </w:rPr>
              <w:t>保证金的金额：</w:t>
            </w:r>
            <w:r>
              <w:rPr>
                <w:rFonts w:hint="eastAsia" w:ascii="宋体" w:hAnsi="宋体" w:cs="宋体"/>
                <w:color w:val="000000" w:themeColor="text1"/>
                <w:szCs w:val="21"/>
                <w:highlight w:val="none"/>
                <w:lang w:val="en-US" w:eastAsia="zh-CN" w:bidi="ar"/>
                <w14:textFill>
                  <w14:solidFill>
                    <w14:schemeClr w14:val="tx1"/>
                  </w14:solidFill>
                </w14:textFill>
              </w:rPr>
              <w:t>一、二标段保证金均为</w:t>
            </w:r>
            <w:r>
              <w:rPr>
                <w:rFonts w:hint="eastAsia" w:ascii="宋体" w:hAnsi="宋体" w:cs="宋体"/>
                <w:b/>
                <w:bCs/>
                <w:color w:val="000000" w:themeColor="text1"/>
                <w:szCs w:val="21"/>
                <w:highlight w:val="none"/>
                <w:lang w:val="en-US" w:eastAsia="zh-CN" w:bidi="ar"/>
                <w14:textFill>
                  <w14:solidFill>
                    <w14:schemeClr w14:val="tx1"/>
                  </w14:solidFill>
                </w14:textFill>
              </w:rPr>
              <w:t>9</w:t>
            </w:r>
            <w:r>
              <w:rPr>
                <w:rFonts w:hint="eastAsia" w:ascii="宋体" w:hAnsi="宋体" w:eastAsia="宋体" w:cs="宋体"/>
                <w:b/>
                <w:bCs/>
                <w:color w:val="000000" w:themeColor="text1"/>
                <w:szCs w:val="21"/>
                <w:highlight w:val="none"/>
                <w:lang w:bidi="ar"/>
                <w14:textFill>
                  <w14:solidFill>
                    <w14:schemeClr w14:val="tx1"/>
                  </w14:solidFill>
                </w14:textFill>
              </w:rPr>
              <w:t>000.00元。</w:t>
            </w:r>
          </w:p>
          <w:p w14:paraId="2037E219">
            <w:pPr>
              <w:pStyle w:val="21"/>
              <w:keepNext w:val="0"/>
              <w:keepLines w:val="0"/>
              <w:pageBreakBefore w:val="0"/>
              <w:widowControl w:val="0"/>
              <w:kinsoku/>
              <w:wordWrap/>
              <w:overflowPunct/>
              <w:topLinePunct w:val="0"/>
              <w:bidi w:val="0"/>
              <w:adjustRightInd/>
              <w:snapToGrid/>
              <w:spacing w:line="300" w:lineRule="exact"/>
              <w:textAlignment w:val="auto"/>
              <w:outlineLvl w:val="9"/>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pPr>
            <w:r>
              <w:rPr>
                <w:rFonts w:hint="eastAsia" w:hAnsi="宋体" w:eastAsia="宋体" w:cs="宋体"/>
                <w:color w:val="000000" w:themeColor="text1"/>
                <w:szCs w:val="21"/>
                <w:highlight w:val="none"/>
                <w:lang w:val="en-US" w:eastAsia="zh-CN" w:bidi="ar"/>
                <w14:textFill>
                  <w14:solidFill>
                    <w14:schemeClr w14:val="tx1"/>
                  </w14:solidFill>
                </w14:textFill>
              </w:rPr>
              <w:t>磋商</w:t>
            </w:r>
            <w:r>
              <w:rPr>
                <w:rFonts w:hint="eastAsia" w:ascii="宋体" w:hAnsi="宋体" w:eastAsia="宋体" w:cs="宋体"/>
                <w:color w:val="000000" w:themeColor="text1"/>
                <w:szCs w:val="21"/>
                <w:highlight w:val="none"/>
                <w:lang w:bidi="ar"/>
                <w14:textFill>
                  <w14:solidFill>
                    <w14:schemeClr w14:val="tx1"/>
                  </w14:solidFill>
                </w14:textFill>
              </w:rPr>
              <w:t>保证金的形式：</w:t>
            </w:r>
            <w:r>
              <w:rPr>
                <w:rFonts w:hint="eastAsia" w:ascii="宋体" w:hAnsi="宋体" w:eastAsia="宋体" w:cs="宋体"/>
                <w:color w:val="000000" w:themeColor="text1"/>
                <w:szCs w:val="21"/>
                <w:highlight w:val="none"/>
                <w:lang w:val="zh-CN"/>
                <w14:textFill>
                  <w14:solidFill>
                    <w14:schemeClr w14:val="tx1"/>
                  </w14:solidFill>
                </w14:textFill>
              </w:rPr>
              <w:t>银行汇票及银行担保机构出具的电子保函(保险电子保</w:t>
            </w:r>
            <w:r>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t>单)，提交的</w:t>
            </w:r>
            <w:r>
              <w:rPr>
                <w:rFonts w:hint="eastAsia" w:hAnsi="宋体" w:eastAsia="宋体" w:cs="宋体"/>
                <w:b w:val="0"/>
                <w:color w:val="000000" w:themeColor="text1"/>
                <w:kern w:val="2"/>
                <w:sz w:val="21"/>
                <w:szCs w:val="21"/>
                <w:highlight w:val="none"/>
                <w:lang w:val="en-US" w:eastAsia="zh-CN" w:bidi="ar"/>
                <w14:textFill>
                  <w14:solidFill>
                    <w14:schemeClr w14:val="tx1"/>
                  </w14:solidFill>
                </w14:textFill>
              </w:rPr>
              <w:t>磋商</w:t>
            </w:r>
            <w:r>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t>保证金应当从</w:t>
            </w:r>
            <w:r>
              <w:rPr>
                <w:rFonts w:hint="eastAsia" w:hAnsi="宋体" w:eastAsia="宋体" w:cs="宋体"/>
                <w:b w:val="0"/>
                <w:color w:val="000000" w:themeColor="text1"/>
                <w:kern w:val="2"/>
                <w:sz w:val="21"/>
                <w:szCs w:val="21"/>
                <w:highlight w:val="none"/>
                <w:lang w:val="en-US" w:eastAsia="zh-CN" w:bidi="ar"/>
                <w14:textFill>
                  <w14:solidFill>
                    <w14:schemeClr w14:val="tx1"/>
                  </w14:solidFill>
                </w14:textFill>
              </w:rPr>
              <w:t>供应商</w:t>
            </w:r>
            <w:r>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t>单位的基本账户转出。采用“工商银行、农业银行、中国银行、建设银行、交通银行”五大国有商业银行及全国性股份制商业银行开具的银行保函;</w:t>
            </w:r>
          </w:p>
          <w:p w14:paraId="2FC4ADD8">
            <w:pPr>
              <w:pStyle w:val="21"/>
              <w:keepNext w:val="0"/>
              <w:keepLines w:val="0"/>
              <w:pageBreakBefore w:val="0"/>
              <w:widowControl w:val="0"/>
              <w:kinsoku/>
              <w:wordWrap/>
              <w:overflowPunct/>
              <w:topLinePunct w:val="0"/>
              <w:bidi w:val="0"/>
              <w:adjustRightInd/>
              <w:snapToGrid/>
              <w:spacing w:line="300" w:lineRule="exact"/>
              <w:textAlignment w:val="auto"/>
              <w:outlineLvl w:val="9"/>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pPr>
            <w:r>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t>供应商须于投标截止日前将磋商保证金</w:t>
            </w:r>
            <w:r>
              <w:rPr>
                <w:rFonts w:hint="eastAsia" w:ascii="宋体" w:hAnsi="宋体" w:eastAsia="宋体" w:cs="宋体"/>
                <w:color w:val="000000" w:themeColor="text1"/>
                <w:szCs w:val="21"/>
                <w:highlight w:val="none"/>
                <w:lang w:val="zh-CN"/>
                <w14:textFill>
                  <w14:solidFill>
                    <w14:schemeClr w14:val="tx1"/>
                  </w14:solidFill>
                </w14:textFill>
              </w:rPr>
              <w:t>银行汇票及银行担保机构出具的电子保函(保险电子保</w:t>
            </w:r>
            <w:r>
              <w:rPr>
                <w:rFonts w:hint="eastAsia" w:ascii="宋体" w:hAnsi="宋体" w:eastAsia="宋体" w:cs="宋体"/>
                <w:b w:val="0"/>
                <w:color w:val="000000" w:themeColor="text1"/>
                <w:kern w:val="2"/>
                <w:sz w:val="21"/>
                <w:szCs w:val="21"/>
                <w:highlight w:val="none"/>
                <w:lang w:val="zh-CN" w:eastAsia="zh-CN" w:bidi="ar"/>
                <w14:textFill>
                  <w14:solidFill>
                    <w14:schemeClr w14:val="tx1"/>
                  </w14:solidFill>
                </w14:textFill>
              </w:rPr>
              <w:t>单)扫描件发至吉林省百顺工程管理有限公司保证金信箱（18186817770@163.com）以便核查。</w:t>
            </w:r>
          </w:p>
          <w:p w14:paraId="1EBCF09F">
            <w:pPr>
              <w:spacing w:line="350" w:lineRule="exac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收款单位账户名称：吉林省百顺工程管理有限公司</w:t>
            </w:r>
          </w:p>
          <w:p w14:paraId="31C760F3">
            <w:pPr>
              <w:spacing w:line="350" w:lineRule="exac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开户行：中国农业银行股份有限公司延边分行</w:t>
            </w:r>
          </w:p>
          <w:p w14:paraId="01A7EFF4">
            <w:pPr>
              <w:spacing w:line="350" w:lineRule="exac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账号：07300001040012689</w:t>
            </w:r>
          </w:p>
          <w:p w14:paraId="19A8B064">
            <w:pPr>
              <w:spacing w:line="350" w:lineRule="exact"/>
              <w:rPr>
                <w:rFonts w:hint="default" w:ascii="宋体" w:hAnsi="宋体" w:eastAsia="宋体" w:cs="Times New Roman"/>
                <w:color w:val="auto"/>
                <w:szCs w:val="21"/>
                <w:highlight w:val="none"/>
                <w:lang w:val="en-US" w:eastAsia="zh-CN"/>
              </w:rPr>
            </w:pPr>
            <w:r>
              <w:rPr>
                <w:rFonts w:hint="default" w:ascii="宋体" w:hAnsi="宋体" w:eastAsia="宋体" w:cs="Times New Roman"/>
                <w:color w:val="auto"/>
                <w:szCs w:val="21"/>
                <w:highlight w:val="none"/>
                <w:lang w:val="en-US" w:eastAsia="zh-CN"/>
              </w:rPr>
              <w:t xml:space="preserve">注：如若不满足以上要求，视为废标处理。 </w:t>
            </w:r>
          </w:p>
        </w:tc>
      </w:tr>
      <w:tr w14:paraId="284C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95" w:type="dxa"/>
            <w:vAlign w:val="center"/>
          </w:tcPr>
          <w:p w14:paraId="7BF6498F">
            <w:pPr>
              <w:overflowPunct/>
              <w:bidi w:val="0"/>
              <w:spacing w:line="400" w:lineRule="exact"/>
              <w:jc w:val="center"/>
              <w:outlineLvl w:val="9"/>
              <w:rPr>
                <w:rFonts w:hint="default"/>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3.4.3</w:t>
            </w:r>
          </w:p>
        </w:tc>
        <w:tc>
          <w:tcPr>
            <w:tcW w:w="2095" w:type="dxa"/>
            <w:vAlign w:val="center"/>
          </w:tcPr>
          <w:p w14:paraId="08070CCB">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履约保证金</w:t>
            </w:r>
          </w:p>
        </w:tc>
        <w:tc>
          <w:tcPr>
            <w:tcW w:w="6675" w:type="dxa"/>
            <w:vAlign w:val="center"/>
          </w:tcPr>
          <w:p w14:paraId="293BB826">
            <w:pPr>
              <w:keepNext w:val="0"/>
              <w:keepLines w:val="0"/>
              <w:pageBreakBefore w:val="0"/>
              <w:widowControl w:val="0"/>
              <w:kinsoku/>
              <w:wordWrap w:val="0"/>
              <w:overflowPunct/>
              <w:topLinePunct w:val="0"/>
              <w:autoSpaceDE/>
              <w:autoSpaceDN/>
              <w:bidi w:val="0"/>
              <w:adjustRightInd/>
              <w:snapToGrid/>
              <w:spacing w:line="300" w:lineRule="exact"/>
              <w:textAlignment w:val="auto"/>
              <w:outlineLvl w:val="9"/>
              <w:rPr>
                <w:rFonts w:hint="eastAsia" w:ascii="宋体" w:hAnsi="宋体"/>
                <w:bCs/>
                <w:color w:val="000000" w:themeColor="text1"/>
                <w:sz w:val="21"/>
                <w:szCs w:val="21"/>
                <w:highlight w:val="none"/>
                <w:lang w:val="en-US" w:eastAsia="zh-CN"/>
                <w14:textFill>
                  <w14:solidFill>
                    <w14:schemeClr w14:val="tx1"/>
                  </w14:solidFill>
                </w14:textFill>
              </w:rPr>
            </w:pPr>
            <w:r>
              <w:rPr>
                <w:rFonts w:hint="eastAsia" w:ascii="宋体" w:hAnsi="宋体" w:cs="宋体"/>
                <w:b w:val="0"/>
                <w:sz w:val="21"/>
                <w:szCs w:val="21"/>
                <w:highlight w:val="none"/>
                <w:lang w:val="en-US" w:eastAsia="zh-CN"/>
              </w:rPr>
              <w:t>/</w:t>
            </w:r>
          </w:p>
        </w:tc>
      </w:tr>
      <w:tr w14:paraId="2F9A6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995" w:type="dxa"/>
            <w:vAlign w:val="center"/>
          </w:tcPr>
          <w:p w14:paraId="2E57A5A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color w:val="auto"/>
                <w:sz w:val="21"/>
                <w:szCs w:val="21"/>
                <w:highlight w:val="none"/>
              </w:rPr>
            </w:pPr>
            <w:r>
              <w:rPr>
                <w:rFonts w:hint="eastAsia" w:ascii="Times New Roman" w:hAnsi="Times New Roman" w:eastAsia="宋体" w:cs="Times New Roman"/>
                <w:color w:val="auto"/>
                <w:highlight w:val="none"/>
                <w:lang w:val="zh-CN" w:eastAsia="zh-CN"/>
              </w:rPr>
              <w:t>3.4.4</w:t>
            </w:r>
          </w:p>
        </w:tc>
        <w:tc>
          <w:tcPr>
            <w:tcW w:w="2095" w:type="dxa"/>
            <w:vAlign w:val="center"/>
          </w:tcPr>
          <w:p w14:paraId="32446B1A">
            <w:pPr>
              <w:keepNext w:val="0"/>
              <w:keepLines w:val="0"/>
              <w:pageBreakBefore w:val="0"/>
              <w:widowControl w:val="0"/>
              <w:kinsoku/>
              <w:wordWrap w:val="0"/>
              <w:overflowPunct/>
              <w:topLinePunct w:val="0"/>
              <w:autoSpaceDE/>
              <w:autoSpaceDN/>
              <w:bidi w:val="0"/>
              <w:spacing w:line="440" w:lineRule="exact"/>
              <w:jc w:val="center"/>
              <w:textAlignment w:val="auto"/>
              <w:outlineLvl w:val="9"/>
              <w:rPr>
                <w:rFonts w:hint="eastAsia"/>
                <w:color w:val="auto"/>
                <w:sz w:val="21"/>
                <w:szCs w:val="21"/>
                <w:highlight w:val="none"/>
              </w:rPr>
            </w:pPr>
            <w:r>
              <w:rPr>
                <w:rFonts w:hint="eastAsia" w:ascii="宋体" w:hAnsi="宋体" w:eastAsia="宋体" w:cs="宋体"/>
                <w:bCs/>
                <w:color w:val="auto"/>
                <w:sz w:val="21"/>
                <w:szCs w:val="21"/>
                <w:highlight w:val="none"/>
              </w:rPr>
              <w:t>其他可以不予退还</w:t>
            </w:r>
            <w:r>
              <w:rPr>
                <w:rFonts w:hint="eastAsia" w:ascii="宋体" w:hAnsi="宋体" w:eastAsia="宋体" w:cs="宋体"/>
                <w:bCs/>
                <w:color w:val="auto"/>
                <w:sz w:val="21"/>
                <w:szCs w:val="21"/>
                <w:highlight w:val="none"/>
                <w:lang w:eastAsia="zh-CN"/>
              </w:rPr>
              <w:t>磋商保证金</w:t>
            </w:r>
            <w:r>
              <w:rPr>
                <w:rFonts w:hint="eastAsia" w:ascii="宋体" w:hAnsi="宋体" w:eastAsia="宋体" w:cs="宋体"/>
                <w:bCs/>
                <w:color w:val="auto"/>
                <w:sz w:val="21"/>
                <w:szCs w:val="21"/>
                <w:highlight w:val="none"/>
              </w:rPr>
              <w:t>的情形</w:t>
            </w:r>
          </w:p>
        </w:tc>
        <w:tc>
          <w:tcPr>
            <w:tcW w:w="6675" w:type="dxa"/>
            <w:vAlign w:val="center"/>
          </w:tcPr>
          <w:p w14:paraId="49907F4C">
            <w:pPr>
              <w:pageBreakBefore w:val="0"/>
              <w:kinsoku/>
              <w:overflowPunct/>
              <w:topLinePunct w:val="0"/>
              <w:bidi w:val="0"/>
              <w:spacing w:line="288" w:lineRule="auto"/>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供应商在投标过程中借用他人资质，互相串通、结盟，伪造虚假业绩、人员、财务、履约情况等，或违反国家有关规定，损害招标的公正性和竞争性进行投标者。</w:t>
            </w:r>
          </w:p>
        </w:tc>
      </w:tr>
      <w:tr w14:paraId="37FD0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95" w:type="dxa"/>
            <w:vAlign w:val="center"/>
          </w:tcPr>
          <w:p w14:paraId="19223A56">
            <w:pPr>
              <w:overflowPunct/>
              <w:bidi w:val="0"/>
              <w:spacing w:line="400" w:lineRule="exact"/>
              <w:jc w:val="center"/>
              <w:outlineLvl w:val="9"/>
              <w:rPr>
                <w:rFonts w:hint="eastAsia" w:eastAsia="宋体"/>
                <w:color w:val="000000" w:themeColor="text1"/>
                <w:highlight w:val="none"/>
                <w:lang w:val="en-US" w:eastAsia="zh-CN"/>
                <w14:textFill>
                  <w14:solidFill>
                    <w14:schemeClr w14:val="tx1"/>
                  </w14:solidFill>
                </w14:textFill>
              </w:rPr>
            </w:pPr>
            <w:r>
              <w:rPr>
                <w:rFonts w:hint="eastAsia"/>
                <w:color w:val="000000" w:themeColor="text1"/>
                <w:highlight w:val="none"/>
                <w14:textFill>
                  <w14:solidFill>
                    <w14:schemeClr w14:val="tx1"/>
                  </w14:solidFill>
                </w14:textFill>
              </w:rPr>
              <w:t>3.</w:t>
            </w:r>
            <w:r>
              <w:rPr>
                <w:rFonts w:hint="eastAsia"/>
                <w:color w:val="000000" w:themeColor="text1"/>
                <w:highlight w:val="none"/>
                <w:lang w:val="en-US" w:eastAsia="zh-CN"/>
                <w14:textFill>
                  <w14:solidFill>
                    <w14:schemeClr w14:val="tx1"/>
                  </w14:solidFill>
                </w14:textFill>
              </w:rPr>
              <w:t>4</w:t>
            </w:r>
            <w:r>
              <w:rPr>
                <w:rFonts w:hint="eastAsia"/>
                <w:color w:val="000000" w:themeColor="text1"/>
                <w:highlight w:val="none"/>
                <w14:textFill>
                  <w14:solidFill>
                    <w14:schemeClr w14:val="tx1"/>
                  </w14:solidFill>
                </w14:textFill>
              </w:rPr>
              <w:t>.</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07C469FF">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近年完成的类似项目的年份要求</w:t>
            </w:r>
          </w:p>
        </w:tc>
        <w:tc>
          <w:tcPr>
            <w:tcW w:w="6675" w:type="dxa"/>
            <w:vAlign w:val="center"/>
          </w:tcPr>
          <w:p w14:paraId="3DDC611A">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202</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年1月1日至磋商公告发布之日止。</w:t>
            </w:r>
          </w:p>
        </w:tc>
      </w:tr>
      <w:tr w14:paraId="4879E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95" w:type="dxa"/>
            <w:vAlign w:val="center"/>
          </w:tcPr>
          <w:p w14:paraId="783FBFDF">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3.</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752E1E88">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color w:val="000000" w:themeColor="text1"/>
                <w:highlight w:val="none"/>
                <w14:textFill>
                  <w14:solidFill>
                    <w14:schemeClr w14:val="tx1"/>
                  </w14:solidFill>
                </w14:textFill>
              </w:rPr>
            </w:pPr>
            <w:r>
              <w:rPr>
                <w:rFonts w:hint="eastAsia"/>
                <w:color w:val="000000" w:themeColor="text1"/>
                <w:spacing w:val="-11"/>
                <w:highlight w:val="none"/>
                <w14:textFill>
                  <w14:solidFill>
                    <w14:schemeClr w14:val="tx1"/>
                  </w14:solidFill>
                </w14:textFill>
              </w:rPr>
              <w:t>是否允许递交备选投标方案</w:t>
            </w:r>
          </w:p>
        </w:tc>
        <w:tc>
          <w:tcPr>
            <w:tcW w:w="6675" w:type="dxa"/>
            <w:vAlign w:val="center"/>
          </w:tcPr>
          <w:p w14:paraId="5D3A625D">
            <w:pPr>
              <w:overflowPunct/>
              <w:bidi w:val="0"/>
              <w:spacing w:line="400" w:lineRule="exac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不允许</w:t>
            </w:r>
          </w:p>
        </w:tc>
      </w:tr>
      <w:tr w14:paraId="08CD8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95" w:type="dxa"/>
            <w:vAlign w:val="center"/>
          </w:tcPr>
          <w:p w14:paraId="356FD018">
            <w:pPr>
              <w:overflowPunct/>
              <w:bidi w:val="0"/>
              <w:spacing w:line="400" w:lineRule="exact"/>
              <w:jc w:val="center"/>
              <w:outlineLvl w:val="9"/>
              <w:rPr>
                <w:rFonts w:hint="eastAsia" w:ascii="Times New Roman" w:hAnsi="Times New Roman" w:eastAsia="宋体" w:cs="Times New Roman"/>
                <w:color w:val="000000" w:themeColor="text1"/>
                <w:highlight w:val="none"/>
                <w:lang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3.</w:t>
            </w:r>
            <w:r>
              <w:rPr>
                <w:rFonts w:hint="eastAsia" w:cs="Times New Roman"/>
                <w:color w:val="000000" w:themeColor="text1"/>
                <w:highlight w:val="none"/>
                <w:lang w:val="en-US" w:eastAsia="zh-CN"/>
                <w14:textFill>
                  <w14:solidFill>
                    <w14:schemeClr w14:val="tx1"/>
                  </w14:solidFill>
                </w14:textFill>
              </w:rPr>
              <w:t>6</w:t>
            </w:r>
            <w:r>
              <w:rPr>
                <w:rFonts w:hint="eastAsia" w:ascii="Times New Roman" w:hAnsi="Times New Roman" w:eastAsia="宋体" w:cs="Times New Roman"/>
                <w:color w:val="000000" w:themeColor="text1"/>
                <w:highlight w:val="none"/>
                <w:lang w:val="zh-CN"/>
                <w14:textFill>
                  <w14:solidFill>
                    <w14:schemeClr w14:val="tx1"/>
                  </w14:solidFill>
                </w14:textFill>
              </w:rPr>
              <w:t>.</w:t>
            </w:r>
            <w:r>
              <w:rPr>
                <w:rFonts w:hint="eastAsia" w:cs="Times New Roman"/>
                <w:color w:val="000000" w:themeColor="text1"/>
                <w:highlight w:val="none"/>
                <w:lang w:val="en-US" w:eastAsia="zh-CN"/>
                <w14:textFill>
                  <w14:solidFill>
                    <w14:schemeClr w14:val="tx1"/>
                  </w14:solidFill>
                </w14:textFill>
              </w:rPr>
              <w:t>4</w:t>
            </w:r>
          </w:p>
        </w:tc>
        <w:tc>
          <w:tcPr>
            <w:tcW w:w="2095" w:type="dxa"/>
            <w:vAlign w:val="center"/>
          </w:tcPr>
          <w:p w14:paraId="12D2867E">
            <w:pPr>
              <w:overflowPunct/>
              <w:bidi w:val="0"/>
              <w:spacing w:line="400" w:lineRule="exact"/>
              <w:jc w:val="center"/>
              <w:outlineLvl w:val="9"/>
              <w:rPr>
                <w:rFonts w:hint="eastAsia" w:ascii="Times New Roman" w:hAnsi="Times New Roman" w:eastAsia="宋体" w:cs="Times New Roman"/>
                <w:color w:val="000000" w:themeColor="text1"/>
                <w:highlight w:val="none"/>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响应文件的补充递交</w:t>
            </w:r>
          </w:p>
        </w:tc>
        <w:tc>
          <w:tcPr>
            <w:tcW w:w="6675" w:type="dxa"/>
            <w:vAlign w:val="center"/>
          </w:tcPr>
          <w:p w14:paraId="066DEAF4">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投标时间截止后三个工作日内将</w:t>
            </w:r>
            <w:r>
              <w:rPr>
                <w:rFonts w:hint="eastAsia" w:ascii="宋体" w:hAnsi="宋体" w:eastAsia="宋体" w:cs="宋体"/>
                <w:color w:val="000000" w:themeColor="text1"/>
                <w:sz w:val="21"/>
                <w:szCs w:val="21"/>
                <w:highlight w:val="none"/>
                <w:lang w:val="en-US" w:eastAsia="zh-CN"/>
                <w14:textFill>
                  <w14:solidFill>
                    <w14:schemeClr w14:val="tx1"/>
                  </w14:solidFill>
                </w14:textFill>
              </w:rPr>
              <w:t>纸质版投标文件送</w:t>
            </w:r>
            <w:r>
              <w:rPr>
                <w:rFonts w:hint="eastAsia" w:ascii="宋体" w:hAnsi="宋体" w:cs="宋体"/>
                <w:color w:val="000000" w:themeColor="text1"/>
                <w:sz w:val="21"/>
                <w:szCs w:val="21"/>
                <w:highlight w:val="none"/>
                <w:lang w:val="en-US" w:eastAsia="zh-CN"/>
                <w14:textFill>
                  <w14:solidFill>
                    <w14:schemeClr w14:val="tx1"/>
                  </w14:solidFill>
                </w14:textFill>
              </w:rPr>
              <w:t>至</w:t>
            </w:r>
            <w:r>
              <w:rPr>
                <w:rFonts w:hint="eastAsia" w:ascii="宋体" w:hAnsi="宋体" w:eastAsia="宋体" w:cs="宋体"/>
                <w:color w:val="000000" w:themeColor="text1"/>
                <w:sz w:val="21"/>
                <w:szCs w:val="21"/>
                <w:highlight w:val="none"/>
                <w:lang w:val="en-US" w:eastAsia="zh-CN"/>
                <w14:textFill>
                  <w14:solidFill>
                    <w14:schemeClr w14:val="tx1"/>
                  </w14:solidFill>
                </w14:textFill>
              </w:rPr>
              <w:t>代理机构</w:t>
            </w:r>
          </w:p>
          <w:p w14:paraId="5FD43AD1">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1、份数要求：</w:t>
            </w:r>
          </w:p>
          <w:p w14:paraId="7B9459B3">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正本1份，副本3份，同时提供电子文件U盘2份（PDF为最终上传到政采云系统的签字盖章版本，WORD为投标文件可编辑版本），提交电子文件中要求的内容应包括纸质投标文件的全部内容。</w:t>
            </w:r>
          </w:p>
          <w:p w14:paraId="3689F6DE">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2、其他要求：</w:t>
            </w:r>
          </w:p>
          <w:p w14:paraId="30DA6D7B">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（1）投标单位在“政采云”平台（http：//www.zcygov.cn）上制作投标文件1份（此投标文件须上传至“政采云”平台）。</w:t>
            </w:r>
          </w:p>
          <w:p w14:paraId="20067B3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（2）投标单位在制作投标文件时，电子投标文件与纸质版本投标文件均以“政采云”平台的投标文件格式为准，投标单位上传至“政采云”平台的电子投标文件内容，在纸质投标文件中均应体现。</w:t>
            </w:r>
          </w:p>
          <w:p w14:paraId="7080491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3、递交要求，响应文件电子版内容：</w:t>
            </w:r>
          </w:p>
          <w:p w14:paraId="196695E5">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响应文件全部内容（PDF版本和Word版本，PDF为最终上传到政采云系统的签字盖章版本，WORD为响应文件可编辑版本，同时清单报价提供excel版和软件版两种格式）。</w:t>
            </w:r>
          </w:p>
          <w:p w14:paraId="06F1BD90">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响应文件电子版份数： 2份</w:t>
            </w:r>
          </w:p>
          <w:p w14:paraId="4452329D">
            <w:pPr>
              <w:pageBreakBefore w:val="0"/>
              <w:kinsoku/>
              <w:overflowPunct/>
              <w:topLinePunct w:val="0"/>
              <w:bidi w:val="0"/>
              <w:spacing w:line="288" w:lineRule="auto"/>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响应文件电子版形式： U盘</w:t>
            </w:r>
          </w:p>
          <w:p w14:paraId="58E573E8">
            <w:pPr>
              <w:pageBreakBefore w:val="0"/>
              <w:kinsoku/>
              <w:overflowPunct/>
              <w:topLinePunct w:val="0"/>
              <w:bidi w:val="0"/>
              <w:spacing w:line="288" w:lineRule="auto"/>
              <w:textAlignment w:val="auto"/>
              <w:outlineLvl w:val="9"/>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响应文件电子版密封方式：单独放入一个密封袋中，加贴封条，并在封套封口处加盖申请人单位章，在封套上标记“响应文件电子版”字样。</w:t>
            </w:r>
          </w:p>
        </w:tc>
      </w:tr>
      <w:tr w14:paraId="6DD2F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95" w:type="dxa"/>
            <w:vAlign w:val="center"/>
          </w:tcPr>
          <w:p w14:paraId="15D39EF0">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eastAsia="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3.</w:t>
            </w:r>
            <w:r>
              <w:rPr>
                <w:rFonts w:hint="eastAsia" w:ascii="宋体" w:hAnsi="宋体" w:cs="宋体"/>
                <w:bCs/>
                <w:color w:val="000000" w:themeColor="text1"/>
                <w:sz w:val="21"/>
                <w:szCs w:val="21"/>
                <w:highlight w:val="none"/>
                <w:lang w:val="en-US" w:eastAsia="zh-CN"/>
                <w14:textFill>
                  <w14:solidFill>
                    <w14:schemeClr w14:val="tx1"/>
                  </w14:solidFill>
                </w14:textFill>
              </w:rPr>
              <w:t>6</w:t>
            </w:r>
            <w:r>
              <w:rPr>
                <w:rFonts w:hint="eastAsia" w:ascii="宋体" w:hAnsi="宋体" w:eastAsia="宋体" w:cs="宋体"/>
                <w:bCs/>
                <w:color w:val="000000" w:themeColor="text1"/>
                <w:sz w:val="21"/>
                <w:szCs w:val="21"/>
                <w:highlight w:val="none"/>
                <w:lang w:val="zh-CN"/>
                <w14:textFill>
                  <w14:solidFill>
                    <w14:schemeClr w14:val="tx1"/>
                  </w14:solidFill>
                </w14:textFill>
              </w:rPr>
              <w:t>.</w:t>
            </w:r>
            <w:r>
              <w:rPr>
                <w:rFonts w:hint="eastAsia" w:ascii="宋体" w:hAnsi="宋体" w:cs="宋体"/>
                <w:bCs/>
                <w:color w:val="000000" w:themeColor="text1"/>
                <w:sz w:val="21"/>
                <w:szCs w:val="21"/>
                <w:highlight w:val="none"/>
                <w:lang w:val="en-US" w:eastAsia="zh-CN"/>
                <w14:textFill>
                  <w14:solidFill>
                    <w14:schemeClr w14:val="tx1"/>
                  </w14:solidFill>
                </w14:textFill>
              </w:rPr>
              <w:t>6</w:t>
            </w:r>
          </w:p>
        </w:tc>
        <w:tc>
          <w:tcPr>
            <w:tcW w:w="2095" w:type="dxa"/>
            <w:vAlign w:val="center"/>
          </w:tcPr>
          <w:p w14:paraId="472DD3CB">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响应文件上传</w:t>
            </w:r>
          </w:p>
        </w:tc>
        <w:tc>
          <w:tcPr>
            <w:tcW w:w="6675" w:type="dxa"/>
            <w:vAlign w:val="center"/>
          </w:tcPr>
          <w:p w14:paraId="40736A12">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eastAsia="宋体" w:cs="宋体"/>
                <w:bCs/>
                <w:color w:val="000000" w:themeColor="text1"/>
                <w:kern w:val="15"/>
                <w:sz w:val="21"/>
                <w:szCs w:val="21"/>
                <w:highlight w:val="none"/>
                <w:lang w:eastAsia="zh-CN"/>
                <w14:textFill>
                  <w14:solidFill>
                    <w14:schemeClr w14:val="tx1"/>
                  </w14:solidFill>
                </w14:textFill>
              </w:rPr>
              <w:t>供应商</w:t>
            </w:r>
            <w:r>
              <w:rPr>
                <w:rFonts w:hint="eastAsia" w:ascii="宋体" w:hAnsi="宋体" w:eastAsia="宋体" w:cs="宋体"/>
                <w:bCs/>
                <w:color w:val="000000" w:themeColor="text1"/>
                <w:kern w:val="15"/>
                <w:sz w:val="21"/>
                <w:szCs w:val="21"/>
                <w:highlight w:val="none"/>
                <w14:textFill>
                  <w14:solidFill>
                    <w14:schemeClr w14:val="tx1"/>
                  </w14:solidFill>
                </w14:textFill>
              </w:rPr>
              <w:t>需在开标前将</w:t>
            </w:r>
            <w:r>
              <w:rPr>
                <w:rFonts w:hint="eastAsia" w:ascii="宋体" w:hAnsi="宋体" w:eastAsia="宋体" w:cs="宋体"/>
                <w:bCs/>
                <w:color w:val="000000" w:themeColor="text1"/>
                <w:kern w:val="15"/>
                <w:sz w:val="21"/>
                <w:szCs w:val="21"/>
                <w:highlight w:val="none"/>
                <w:lang w:eastAsia="zh-CN"/>
                <w14:textFill>
                  <w14:solidFill>
                    <w14:schemeClr w14:val="tx1"/>
                  </w14:solidFill>
                </w14:textFill>
              </w:rPr>
              <w:t>响应文件</w:t>
            </w:r>
            <w:r>
              <w:rPr>
                <w:rFonts w:hint="eastAsia" w:ascii="宋体" w:hAnsi="宋体" w:eastAsia="宋体" w:cs="宋体"/>
                <w:bCs/>
                <w:color w:val="000000" w:themeColor="text1"/>
                <w:kern w:val="15"/>
                <w:sz w:val="21"/>
                <w:szCs w:val="21"/>
                <w:highlight w:val="none"/>
                <w14:textFill>
                  <w14:solidFill>
                    <w14:schemeClr w14:val="tx1"/>
                  </w14:solidFill>
                </w14:textFill>
              </w:rPr>
              <w:t>制作工具生成的加密文件上传到</w:t>
            </w:r>
            <w:r>
              <w:rPr>
                <w:rFonts w:hint="eastAsia" w:ascii="宋体" w:hAnsi="宋体" w:cs="宋体"/>
                <w:bCs/>
                <w:color w:val="000000" w:themeColor="text1"/>
                <w:sz w:val="21"/>
                <w:szCs w:val="21"/>
                <w:highlight w:val="none"/>
                <w14:textFill>
                  <w14:solidFill>
                    <w14:schemeClr w14:val="tx1"/>
                  </w14:solidFill>
                </w14:textFill>
              </w:rPr>
              <w:t>政府采购云平台（网址：http://www.zcygov.cn）</w:t>
            </w:r>
            <w:r>
              <w:rPr>
                <w:rFonts w:hint="eastAsia" w:ascii="宋体" w:hAnsi="宋体" w:eastAsia="宋体" w:cs="宋体"/>
                <w:bCs/>
                <w:color w:val="000000" w:themeColor="text1"/>
                <w:kern w:val="15"/>
                <w:sz w:val="21"/>
                <w:szCs w:val="21"/>
                <w:highlight w:val="none"/>
                <w14:textFill>
                  <w14:solidFill>
                    <w14:schemeClr w14:val="tx1"/>
                  </w14:solidFill>
                </w14:textFill>
              </w:rPr>
              <w:t>。</w:t>
            </w:r>
          </w:p>
        </w:tc>
      </w:tr>
      <w:tr w14:paraId="5687F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995" w:type="dxa"/>
            <w:vAlign w:val="center"/>
          </w:tcPr>
          <w:p w14:paraId="4288E2C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4.2.1</w:t>
            </w:r>
          </w:p>
        </w:tc>
        <w:tc>
          <w:tcPr>
            <w:tcW w:w="2095" w:type="dxa"/>
            <w:vAlign w:val="center"/>
          </w:tcPr>
          <w:p w14:paraId="5FC8DDF8">
            <w:pPr>
              <w:keepNext w:val="0"/>
              <w:keepLines w:val="0"/>
              <w:pageBreakBefore w:val="0"/>
              <w:widowControl w:val="0"/>
              <w:kinsoku/>
              <w:wordWrap w:val="0"/>
              <w:overflowPunct/>
              <w:topLinePunct w:val="0"/>
              <w:autoSpaceDE/>
              <w:autoSpaceDN/>
              <w:bidi w:val="0"/>
              <w:adjustRightInd w:val="0"/>
              <w:snapToGrid/>
              <w:spacing w:line="34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供应商上传提交响应文件的截止时间(开标时间）</w:t>
            </w:r>
          </w:p>
        </w:tc>
        <w:tc>
          <w:tcPr>
            <w:tcW w:w="6675" w:type="dxa"/>
            <w:vAlign w:val="center"/>
          </w:tcPr>
          <w:p w14:paraId="7E62944F">
            <w:pPr>
              <w:keepNext w:val="0"/>
              <w:keepLines w:val="0"/>
              <w:pageBreakBefore w:val="0"/>
              <w:widowControl w:val="0"/>
              <w:kinsoku/>
              <w:wordWrap w:val="0"/>
              <w:overflowPunct/>
              <w:topLinePunct w:val="0"/>
              <w:autoSpaceDE/>
              <w:autoSpaceDN/>
              <w:bidi w:val="0"/>
              <w:adjustRightInd w:val="0"/>
              <w:spacing w:line="440" w:lineRule="exact"/>
              <w:textAlignment w:val="auto"/>
              <w:outlineLvl w:val="9"/>
              <w:rPr>
                <w:rFonts w:hint="eastAsia" w:ascii="宋体" w:hAnsi="宋体" w:eastAsia="宋体" w:cs="宋体"/>
                <w:bCs/>
                <w:color w:val="000000" w:themeColor="text1"/>
                <w:kern w:val="15"/>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lang w:eastAsia="zh-CN"/>
                <w14:textFill>
                  <w14:solidFill>
                    <w14:schemeClr w14:val="tx1"/>
                  </w14:solidFill>
                </w14:textFill>
              </w:rPr>
              <w:t>202</w:t>
            </w:r>
            <w:r>
              <w:rPr>
                <w:rFonts w:hint="eastAsia" w:ascii="宋体" w:hAnsi="宋体" w:cs="宋体"/>
                <w:bCs/>
                <w:color w:val="000000" w:themeColor="text1"/>
                <w:sz w:val="21"/>
                <w:szCs w:val="21"/>
                <w:highlight w:val="none"/>
                <w:lang w:val="en-US" w:eastAsia="zh-CN"/>
                <w14:textFill>
                  <w14:solidFill>
                    <w14:schemeClr w14:val="tx1"/>
                  </w14:solidFill>
                </w14:textFill>
              </w:rPr>
              <w:t>5</w:t>
            </w:r>
            <w:r>
              <w:rPr>
                <w:rFonts w:hint="eastAsia" w:ascii="宋体" w:hAnsi="宋体" w:cs="宋体"/>
                <w:bCs/>
                <w:color w:val="000000" w:themeColor="text1"/>
                <w:sz w:val="21"/>
                <w:szCs w:val="21"/>
                <w:highlight w:val="none"/>
                <w:lang w:eastAsia="zh-CN"/>
                <w14:textFill>
                  <w14:solidFill>
                    <w14:schemeClr w14:val="tx1"/>
                  </w14:solidFill>
                </w14:textFill>
              </w:rPr>
              <w:t>年</w:t>
            </w:r>
            <w:r>
              <w:rPr>
                <w:rFonts w:hint="eastAsia" w:ascii="宋体" w:hAnsi="宋体" w:cs="宋体"/>
                <w:bCs/>
                <w:color w:val="000000" w:themeColor="text1"/>
                <w:sz w:val="21"/>
                <w:szCs w:val="21"/>
                <w:highlight w:val="none"/>
                <w:lang w:val="en-US" w:eastAsia="zh-CN"/>
                <w14:textFill>
                  <w14:solidFill>
                    <w14:schemeClr w14:val="tx1"/>
                  </w14:solidFill>
                </w14:textFill>
              </w:rPr>
              <w:t>4</w:t>
            </w:r>
            <w:r>
              <w:rPr>
                <w:rFonts w:hint="eastAsia" w:ascii="宋体" w:hAnsi="宋体" w:cs="宋体"/>
                <w:bCs/>
                <w:color w:val="000000" w:themeColor="text1"/>
                <w:sz w:val="21"/>
                <w:szCs w:val="21"/>
                <w:highlight w:val="none"/>
                <w:lang w:eastAsia="zh-CN"/>
                <w14:textFill>
                  <w14:solidFill>
                    <w14:schemeClr w14:val="tx1"/>
                  </w14:solidFill>
                </w14:textFill>
              </w:rPr>
              <w:t>月</w:t>
            </w:r>
            <w:r>
              <w:rPr>
                <w:rFonts w:hint="eastAsia" w:ascii="宋体" w:hAnsi="宋体" w:cs="宋体"/>
                <w:bCs/>
                <w:color w:val="000000" w:themeColor="text1"/>
                <w:sz w:val="21"/>
                <w:szCs w:val="21"/>
                <w:highlight w:val="none"/>
                <w:lang w:val="en-US" w:eastAsia="zh-CN"/>
                <w14:textFill>
                  <w14:solidFill>
                    <w14:schemeClr w14:val="tx1"/>
                  </w14:solidFill>
                </w14:textFill>
              </w:rPr>
              <w:t>29</w:t>
            </w:r>
            <w:r>
              <w:rPr>
                <w:rFonts w:hint="eastAsia" w:ascii="宋体" w:hAnsi="宋体" w:cs="宋体"/>
                <w:bCs/>
                <w:color w:val="000000" w:themeColor="text1"/>
                <w:sz w:val="21"/>
                <w:szCs w:val="21"/>
                <w:highlight w:val="none"/>
                <w:lang w:eastAsia="zh-CN"/>
                <w14:textFill>
                  <w14:solidFill>
                    <w14:schemeClr w14:val="tx1"/>
                  </w14:solidFill>
                </w14:textFill>
              </w:rPr>
              <w:t>日</w:t>
            </w:r>
            <w:r>
              <w:rPr>
                <w:rFonts w:hint="eastAsia" w:ascii="宋体" w:hAnsi="宋体" w:cs="宋体"/>
                <w:bCs/>
                <w:color w:val="000000" w:themeColor="text1"/>
                <w:sz w:val="21"/>
                <w:szCs w:val="21"/>
                <w:highlight w:val="none"/>
                <w:lang w:val="en-US" w:eastAsia="zh-CN"/>
                <w14:textFill>
                  <w14:solidFill>
                    <w14:schemeClr w14:val="tx1"/>
                  </w14:solidFill>
                </w14:textFill>
              </w:rPr>
              <w:t>13</w:t>
            </w:r>
            <w:r>
              <w:rPr>
                <w:rFonts w:hint="eastAsia" w:ascii="宋体" w:hAnsi="宋体" w:cs="宋体"/>
                <w:bCs/>
                <w:color w:val="000000" w:themeColor="text1"/>
                <w:sz w:val="21"/>
                <w:szCs w:val="21"/>
                <w:highlight w:val="none"/>
                <w:lang w:eastAsia="zh-CN"/>
                <w14:textFill>
                  <w14:solidFill>
                    <w14:schemeClr w14:val="tx1"/>
                  </w14:solidFill>
                </w14:textFill>
              </w:rPr>
              <w:t>时</w:t>
            </w:r>
            <w:r>
              <w:rPr>
                <w:rFonts w:hint="eastAsia" w:ascii="宋体" w:hAnsi="宋体" w:cs="宋体"/>
                <w:bCs/>
                <w:color w:val="000000" w:themeColor="text1"/>
                <w:sz w:val="21"/>
                <w:szCs w:val="21"/>
                <w:highlight w:val="none"/>
                <w:lang w:val="en-US" w:eastAsia="zh-CN"/>
                <w14:textFill>
                  <w14:solidFill>
                    <w14:schemeClr w14:val="tx1"/>
                  </w14:solidFill>
                </w14:textFill>
              </w:rPr>
              <w:t>30</w:t>
            </w:r>
            <w:r>
              <w:rPr>
                <w:rFonts w:hint="eastAsia" w:ascii="宋体" w:hAnsi="宋体" w:cs="宋体"/>
                <w:bCs/>
                <w:color w:val="000000" w:themeColor="text1"/>
                <w:sz w:val="21"/>
                <w:szCs w:val="21"/>
                <w:highlight w:val="none"/>
                <w:lang w:eastAsia="zh-CN"/>
                <w14:textFill>
                  <w14:solidFill>
                    <w14:schemeClr w14:val="tx1"/>
                  </w14:solidFill>
                </w14:textFill>
              </w:rPr>
              <w:t>分（北京时间）</w:t>
            </w:r>
          </w:p>
        </w:tc>
      </w:tr>
      <w:tr w14:paraId="24258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995" w:type="dxa"/>
            <w:vAlign w:val="center"/>
          </w:tcPr>
          <w:p w14:paraId="11AD1C6D">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4.</w:t>
            </w:r>
            <w:r>
              <w:rPr>
                <w:rFonts w:hint="eastAsia" w:ascii="宋体" w:hAnsi="宋体" w:eastAsia="宋体" w:cs="宋体"/>
                <w:bCs/>
                <w:color w:val="000000" w:themeColor="text1"/>
                <w:sz w:val="21"/>
                <w:szCs w:val="21"/>
                <w:highlight w:val="none"/>
                <w14:textFill>
                  <w14:solidFill>
                    <w14:schemeClr w14:val="tx1"/>
                  </w14:solidFill>
                </w14:textFill>
              </w:rPr>
              <w:t>2</w:t>
            </w:r>
            <w:r>
              <w:rPr>
                <w:rFonts w:hint="eastAsia" w:ascii="宋体" w:hAnsi="宋体" w:eastAsia="宋体" w:cs="宋体"/>
                <w:bCs/>
                <w:color w:val="000000" w:themeColor="text1"/>
                <w:sz w:val="21"/>
                <w:szCs w:val="21"/>
                <w:highlight w:val="none"/>
                <w:lang w:val="zh-CN"/>
                <w14:textFill>
                  <w14:solidFill>
                    <w14:schemeClr w14:val="tx1"/>
                  </w14:solidFill>
                </w14:textFill>
              </w:rPr>
              <w:t>.2</w:t>
            </w:r>
          </w:p>
        </w:tc>
        <w:tc>
          <w:tcPr>
            <w:tcW w:w="2095" w:type="dxa"/>
            <w:vAlign w:val="center"/>
          </w:tcPr>
          <w:p w14:paraId="79387D12">
            <w:pPr>
              <w:keepNext w:val="0"/>
              <w:keepLines w:val="0"/>
              <w:pageBreakBefore w:val="0"/>
              <w:widowControl w:val="0"/>
              <w:kinsoku/>
              <w:wordWrap w:val="0"/>
              <w:overflowPunct/>
              <w:topLinePunct w:val="0"/>
              <w:autoSpaceDE/>
              <w:autoSpaceDN/>
              <w:bidi w:val="0"/>
              <w:adjustRightInd w:val="0"/>
              <w:spacing w:line="44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供应商上传提交响应文件的平台</w:t>
            </w:r>
          </w:p>
        </w:tc>
        <w:tc>
          <w:tcPr>
            <w:tcW w:w="6675" w:type="dxa"/>
            <w:vAlign w:val="center"/>
          </w:tcPr>
          <w:p w14:paraId="364CF3A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left"/>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本项目执行电子化招投标，供应商须通过政府采购云平台（网址：http://www.zcygov.cn）递交电子版</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bCs/>
                <w:color w:val="000000" w:themeColor="text1"/>
                <w:sz w:val="21"/>
                <w:szCs w:val="21"/>
                <w:highlight w:val="none"/>
                <w:lang w:val="zh-CN" w:eastAsia="zh-CN"/>
                <w14:textFill>
                  <w14:solidFill>
                    <w14:schemeClr w14:val="tx1"/>
                  </w14:solidFill>
                </w14:textFill>
              </w:rPr>
              <w:t>。</w:t>
            </w:r>
          </w:p>
        </w:tc>
      </w:tr>
      <w:tr w14:paraId="4CF55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995" w:type="dxa"/>
            <w:vAlign w:val="center"/>
          </w:tcPr>
          <w:p w14:paraId="114DCF4E">
            <w:pPr>
              <w:keepNext w:val="0"/>
              <w:keepLines w:val="0"/>
              <w:pageBreakBefore w:val="0"/>
              <w:widowControl w:val="0"/>
              <w:kinsoku/>
              <w:wordWrap w:val="0"/>
              <w:overflowPunct/>
              <w:topLinePunct w:val="0"/>
              <w:autoSpaceDE/>
              <w:autoSpaceDN/>
              <w:bidi w:val="0"/>
              <w:adjustRightInd w:val="0"/>
              <w:spacing w:line="36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4.2.3</w:t>
            </w:r>
          </w:p>
        </w:tc>
        <w:tc>
          <w:tcPr>
            <w:tcW w:w="2095" w:type="dxa"/>
            <w:vAlign w:val="center"/>
          </w:tcPr>
          <w:p w14:paraId="1487C811">
            <w:pPr>
              <w:keepNext w:val="0"/>
              <w:keepLines w:val="0"/>
              <w:pageBreakBefore w:val="0"/>
              <w:widowControl w:val="0"/>
              <w:kinsoku/>
              <w:wordWrap w:val="0"/>
              <w:overflowPunct/>
              <w:topLinePunct w:val="0"/>
              <w:autoSpaceDE/>
              <w:autoSpaceDN/>
              <w:bidi w:val="0"/>
              <w:adjustRightInd w:val="0"/>
              <w:spacing w:line="360" w:lineRule="exac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响应文件是否退还</w:t>
            </w:r>
          </w:p>
        </w:tc>
        <w:tc>
          <w:tcPr>
            <w:tcW w:w="6675" w:type="dxa"/>
            <w:vAlign w:val="center"/>
          </w:tcPr>
          <w:p w14:paraId="23082E8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both"/>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w:t>
            </w:r>
          </w:p>
          <w:p w14:paraId="5A6A1C11">
            <w:pPr>
              <w:keepNext w:val="0"/>
              <w:keepLines w:val="0"/>
              <w:pageBreakBefore w:val="0"/>
              <w:widowControl w:val="0"/>
              <w:tabs>
                <w:tab w:val="center" w:pos="3086"/>
              </w:tabs>
              <w:kinsoku/>
              <w:wordWrap w:val="0"/>
              <w:overflowPunct/>
              <w:topLinePunct w:val="0"/>
              <w:autoSpaceDE/>
              <w:autoSpaceDN/>
              <w:bidi w:val="0"/>
              <w:adjustRightInd w:val="0"/>
              <w:snapToGrid/>
              <w:spacing w:line="0" w:lineRule="atLeast"/>
              <w:jc w:val="both"/>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val="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val="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val="zh-CN"/>
                <w14:textFill>
                  <w14:solidFill>
                    <w14:schemeClr w14:val="tx1"/>
                  </w14:solidFill>
                </w14:textFill>
              </w:rPr>
              <w:t>否，已递交的响应文件不予返还，请供应商自行做好备份工作。</w:t>
            </w:r>
          </w:p>
        </w:tc>
      </w:tr>
      <w:tr w14:paraId="1A5E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28B02E56">
            <w:pPr>
              <w:keepNext w:val="0"/>
              <w:keepLines w:val="0"/>
              <w:pageBreakBefore w:val="0"/>
              <w:widowControl w:val="0"/>
              <w:kinsoku/>
              <w:wordWrap w:val="0"/>
              <w:overflowPunct/>
              <w:topLinePunct w:val="0"/>
              <w:autoSpaceDE/>
              <w:autoSpaceDN/>
              <w:bidi w:val="0"/>
              <w:adjustRightInd w:val="0"/>
              <w:spacing w:line="360" w:lineRule="exac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6.1.1</w:t>
            </w:r>
          </w:p>
        </w:tc>
        <w:tc>
          <w:tcPr>
            <w:tcW w:w="2095" w:type="dxa"/>
            <w:vAlign w:val="center"/>
          </w:tcPr>
          <w:p w14:paraId="66F93A0C">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磋商小组</w:t>
            </w:r>
            <w:r>
              <w:rPr>
                <w:rFonts w:hint="eastAsia" w:ascii="宋体" w:hAnsi="宋体" w:eastAsia="宋体" w:cs="宋体"/>
                <w:bCs/>
                <w:color w:val="000000" w:themeColor="text1"/>
                <w:sz w:val="21"/>
                <w:szCs w:val="21"/>
                <w:highlight w:val="none"/>
                <w:lang w:val="zh-CN" w:eastAsia="zh-CN"/>
                <w14:textFill>
                  <w14:solidFill>
                    <w14:schemeClr w14:val="tx1"/>
                  </w14:solidFill>
                </w14:textFill>
              </w:rPr>
              <w:t>的组建</w:t>
            </w:r>
          </w:p>
        </w:tc>
        <w:tc>
          <w:tcPr>
            <w:tcW w:w="6675" w:type="dxa"/>
            <w:vAlign w:val="center"/>
          </w:tcPr>
          <w:p w14:paraId="027ED3BF">
            <w:pPr>
              <w:keepNext w:val="0"/>
              <w:keepLines w:val="0"/>
              <w:pageBreakBefore w:val="0"/>
              <w:widowControl w:val="0"/>
              <w:kinsoku/>
              <w:wordWrap w:val="0"/>
              <w:overflowPunct/>
              <w:topLinePunct w:val="0"/>
              <w:autoSpaceDE/>
              <w:autoSpaceDN/>
              <w:bidi w:val="0"/>
              <w:snapToGrid/>
              <w:spacing w:line="0" w:lineRule="atLeast"/>
              <w:jc w:val="both"/>
              <w:textAlignment w:val="auto"/>
              <w:outlineLvl w:val="9"/>
              <w:rPr>
                <w:rFonts w:hint="eastAsia" w:ascii="宋体" w:hAnsi="宋体"/>
                <w:color w:val="000000" w:themeColor="text1"/>
                <w:sz w:val="21"/>
                <w:szCs w:val="21"/>
                <w:highlight w:val="cyan"/>
                <w:lang w:val="zh-CN"/>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磋商小组的</w:t>
            </w:r>
            <w:r>
              <w:rPr>
                <w:rFonts w:hint="eastAsia" w:ascii="宋体" w:hAnsi="宋体"/>
                <w:color w:val="000000" w:themeColor="text1"/>
                <w:sz w:val="21"/>
                <w:szCs w:val="21"/>
                <w:highlight w:val="none"/>
                <w:lang w:val="zh-CN"/>
                <w14:textFill>
                  <w14:solidFill>
                    <w14:schemeClr w14:val="tx1"/>
                  </w14:solidFill>
                </w14:textFill>
              </w:rPr>
              <w:t>构成：</w:t>
            </w: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lang w:val="zh-CN"/>
                <w14:textFill>
                  <w14:solidFill>
                    <w14:schemeClr w14:val="tx1"/>
                  </w14:solidFill>
                </w14:textFill>
              </w:rPr>
              <w:t>人，</w:t>
            </w:r>
            <w:r>
              <w:rPr>
                <w:rFonts w:hint="eastAsia" w:ascii="宋体" w:hAnsi="宋体" w:eastAsia="宋体" w:cs="宋体"/>
                <w:bCs/>
                <w:sz w:val="21"/>
                <w:szCs w:val="21"/>
                <w:highlight w:val="none"/>
              </w:rPr>
              <w:t>采购人代表</w:t>
            </w:r>
            <w:r>
              <w:rPr>
                <w:rFonts w:ascii="宋体" w:hAnsi="宋体" w:eastAsia="宋体" w:cs="宋体"/>
                <w:bCs/>
                <w:sz w:val="21"/>
                <w:szCs w:val="21"/>
                <w:highlight w:val="none"/>
              </w:rPr>
              <w:t>1</w:t>
            </w:r>
            <w:r>
              <w:rPr>
                <w:rFonts w:hint="eastAsia" w:ascii="宋体" w:hAnsi="宋体" w:eastAsia="宋体" w:cs="宋体"/>
                <w:bCs/>
                <w:sz w:val="21"/>
                <w:szCs w:val="21"/>
                <w:highlight w:val="none"/>
              </w:rPr>
              <w:t>人，专家</w:t>
            </w:r>
            <w:r>
              <w:rPr>
                <w:rFonts w:ascii="宋体" w:hAnsi="宋体" w:eastAsia="宋体" w:cs="宋体"/>
                <w:bCs/>
                <w:sz w:val="21"/>
                <w:szCs w:val="21"/>
                <w:highlight w:val="none"/>
              </w:rPr>
              <w:t>2</w:t>
            </w:r>
            <w:r>
              <w:rPr>
                <w:rFonts w:hint="eastAsia" w:ascii="宋体" w:hAnsi="宋体" w:eastAsia="宋体" w:cs="宋体"/>
                <w:bCs/>
                <w:sz w:val="21"/>
                <w:szCs w:val="21"/>
                <w:highlight w:val="none"/>
              </w:rPr>
              <w:t>人</w:t>
            </w:r>
          </w:p>
          <w:p w14:paraId="6D9D109F">
            <w:pPr>
              <w:keepNext w:val="0"/>
              <w:keepLines w:val="0"/>
              <w:pageBreakBefore w:val="0"/>
              <w:widowControl w:val="0"/>
              <w:kinsoku/>
              <w:wordWrap w:val="0"/>
              <w:overflowPunct/>
              <w:topLinePunct w:val="0"/>
              <w:autoSpaceDE/>
              <w:autoSpaceDN/>
              <w:bidi w:val="0"/>
              <w:snapToGrid/>
              <w:spacing w:line="0" w:lineRule="atLeast"/>
              <w:jc w:val="both"/>
              <w:textAlignment w:val="auto"/>
              <w:outlineLvl w:val="9"/>
              <w:rPr>
                <w:rFonts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zh-CN"/>
                <w14:textFill>
                  <w14:solidFill>
                    <w14:schemeClr w14:val="tx1"/>
                  </w14:solidFill>
                </w14:textFill>
              </w:rPr>
              <w:t>评标专家确定方式：在</w:t>
            </w:r>
            <w:r>
              <w:rPr>
                <w:rFonts w:hint="eastAsia" w:ascii="宋体" w:hAnsi="宋体"/>
                <w:color w:val="000000" w:themeColor="text1"/>
                <w:sz w:val="21"/>
                <w:szCs w:val="21"/>
                <w:highlight w:val="none"/>
                <w:lang w:eastAsia="zh-CN"/>
                <w14:textFill>
                  <w14:solidFill>
                    <w14:schemeClr w14:val="tx1"/>
                  </w14:solidFill>
                </w14:textFill>
              </w:rPr>
              <w:t>“政采云”平台(https://www.zcygov.cn)</w:t>
            </w:r>
            <w:r>
              <w:rPr>
                <w:rFonts w:hint="eastAsia" w:ascii="宋体" w:hAnsi="宋体"/>
                <w:color w:val="000000" w:themeColor="text1"/>
                <w:sz w:val="21"/>
                <w:szCs w:val="21"/>
                <w:highlight w:val="none"/>
                <w:lang w:val="zh-CN"/>
                <w14:textFill>
                  <w14:solidFill>
                    <w14:schemeClr w14:val="tx1"/>
                  </w14:solidFill>
                </w14:textFill>
              </w:rPr>
              <w:t>的专家库中随机抽取。</w:t>
            </w:r>
          </w:p>
        </w:tc>
      </w:tr>
      <w:tr w14:paraId="1ACB3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995" w:type="dxa"/>
            <w:vAlign w:val="center"/>
          </w:tcPr>
          <w:p w14:paraId="11F2F6EA">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6.3.</w:t>
            </w:r>
            <w:r>
              <w:rPr>
                <w:rFonts w:hint="eastAsia" w:ascii="宋体" w:hAnsi="宋体" w:cs="宋体"/>
                <w:bCs/>
                <w:color w:val="000000" w:themeColor="text1"/>
                <w:sz w:val="21"/>
                <w:szCs w:val="21"/>
                <w:highlight w:val="none"/>
                <w:lang w:val="en-US" w:eastAsia="zh-CN"/>
                <w14:textFill>
                  <w14:solidFill>
                    <w14:schemeClr w14:val="tx1"/>
                  </w14:solidFill>
                </w14:textFill>
              </w:rPr>
              <w:t>5</w:t>
            </w:r>
          </w:p>
        </w:tc>
        <w:tc>
          <w:tcPr>
            <w:tcW w:w="2095" w:type="dxa"/>
            <w:vAlign w:val="center"/>
          </w:tcPr>
          <w:p w14:paraId="0EABCA24">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磋商小组</w:t>
            </w:r>
            <w:r>
              <w:rPr>
                <w:rFonts w:hint="eastAsia" w:ascii="宋体" w:hAnsi="宋体" w:eastAsia="宋体" w:cs="宋体"/>
                <w:bCs/>
                <w:color w:val="000000" w:themeColor="text1"/>
                <w:sz w:val="21"/>
                <w:szCs w:val="21"/>
                <w:highlight w:val="none"/>
                <w14:textFill>
                  <w14:solidFill>
                    <w14:schemeClr w14:val="tx1"/>
                  </w14:solidFill>
                </w14:textFill>
              </w:rPr>
              <w:t>推荐</w:t>
            </w:r>
            <w:r>
              <w:rPr>
                <w:rFonts w:hint="eastAsia" w:ascii="宋体" w:hAnsi="宋体" w:eastAsia="宋体" w:cs="宋体"/>
                <w:bCs/>
                <w:color w:val="000000" w:themeColor="text1"/>
                <w:sz w:val="21"/>
                <w:szCs w:val="21"/>
                <w:highlight w:val="none"/>
                <w:lang w:eastAsia="zh-CN"/>
                <w14:textFill>
                  <w14:solidFill>
                    <w14:schemeClr w14:val="tx1"/>
                  </w14:solidFill>
                </w14:textFill>
              </w:rPr>
              <w:t>成交</w:t>
            </w:r>
            <w:r>
              <w:rPr>
                <w:rFonts w:hint="eastAsia" w:ascii="宋体" w:hAnsi="宋体" w:eastAsia="宋体" w:cs="宋体"/>
                <w:bCs/>
                <w:color w:val="000000" w:themeColor="text1"/>
                <w:sz w:val="21"/>
                <w:szCs w:val="21"/>
                <w:highlight w:val="none"/>
                <w14:textFill>
                  <w14:solidFill>
                    <w14:schemeClr w14:val="tx1"/>
                  </w14:solidFill>
                </w14:textFill>
              </w:rPr>
              <w:t>候选人的人数</w:t>
            </w:r>
          </w:p>
        </w:tc>
        <w:tc>
          <w:tcPr>
            <w:tcW w:w="6675" w:type="dxa"/>
            <w:vAlign w:val="center"/>
          </w:tcPr>
          <w:p w14:paraId="173F0501">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推荐的成交候选人数：3人。磋商小组推荐初步评审合格，综合评审得分由高到低排名第一、第二、第三的供应商为成交候选人。</w:t>
            </w:r>
          </w:p>
        </w:tc>
      </w:tr>
      <w:tr w14:paraId="729A3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95" w:type="dxa"/>
            <w:vAlign w:val="center"/>
          </w:tcPr>
          <w:p w14:paraId="0D75ACB3">
            <w:pPr>
              <w:keepNext w:val="0"/>
              <w:keepLines w:val="0"/>
              <w:pageBreakBefore w:val="0"/>
              <w:widowControl w:val="0"/>
              <w:kinsoku/>
              <w:wordWrap w:val="0"/>
              <w:overflowPunct/>
              <w:topLinePunct w:val="0"/>
              <w:autoSpaceDE/>
              <w:autoSpaceDN/>
              <w:bidi w:val="0"/>
              <w:adjustRightInd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7.1</w:t>
            </w:r>
          </w:p>
        </w:tc>
        <w:tc>
          <w:tcPr>
            <w:tcW w:w="2095" w:type="dxa"/>
            <w:vAlign w:val="center"/>
          </w:tcPr>
          <w:p w14:paraId="3E7C2B70">
            <w:pPr>
              <w:keepNext w:val="0"/>
              <w:keepLines w:val="0"/>
              <w:pageBreakBefore w:val="0"/>
              <w:widowControl w:val="0"/>
              <w:kinsoku/>
              <w:wordWrap w:val="0"/>
              <w:overflowPunct/>
              <w:topLinePunct w:val="0"/>
              <w:autoSpaceDE/>
              <w:autoSpaceDN/>
              <w:bidi w:val="0"/>
              <w:snapToGrid/>
              <w:spacing w:line="0" w:lineRule="atLeast"/>
              <w:jc w:val="center"/>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成交结果公告</w:t>
            </w:r>
            <w:r>
              <w:rPr>
                <w:rFonts w:hint="eastAsia" w:ascii="宋体" w:hAnsi="宋体" w:eastAsia="宋体" w:cs="宋体"/>
                <w:bCs/>
                <w:color w:val="000000" w:themeColor="text1"/>
                <w:sz w:val="21"/>
                <w:szCs w:val="21"/>
                <w:highlight w:val="none"/>
                <w14:textFill>
                  <w14:solidFill>
                    <w14:schemeClr w14:val="tx1"/>
                  </w14:solidFill>
                </w14:textFill>
              </w:rPr>
              <w:t>媒介及期限</w:t>
            </w:r>
          </w:p>
        </w:tc>
        <w:tc>
          <w:tcPr>
            <w:tcW w:w="6675" w:type="dxa"/>
            <w:vAlign w:val="center"/>
          </w:tcPr>
          <w:p w14:paraId="2204E248">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公告媒介：在“政采云”平台（http:// www.zcygov.cn），同步推送到吉林省政府采购网（http://www.ccgp-jilin.gov.cn/），并同时在中国政府采购网上发布</w:t>
            </w:r>
            <w:r>
              <w:rPr>
                <w:rFonts w:hint="eastAsia" w:ascii="宋体" w:hAnsi="宋体" w:cs="宋体"/>
                <w:bCs/>
                <w:color w:val="000000" w:themeColor="text1"/>
                <w:kern w:val="2"/>
                <w:sz w:val="21"/>
                <w:szCs w:val="21"/>
                <w:highlight w:val="none"/>
                <w:lang w:val="en-US" w:eastAsia="zh-CN" w:bidi="ar-SA"/>
                <w14:textFill>
                  <w14:solidFill>
                    <w14:schemeClr w14:val="tx1"/>
                  </w14:solidFill>
                </w14:textFill>
              </w:rPr>
              <w:t>；</w:t>
            </w:r>
          </w:p>
          <w:p w14:paraId="176C1FEF">
            <w:pPr>
              <w:keepNext w:val="0"/>
              <w:keepLines w:val="0"/>
              <w:pageBreakBefore w:val="0"/>
              <w:widowControl w:val="0"/>
              <w:kinsoku/>
              <w:wordWrap w:val="0"/>
              <w:overflowPunct/>
              <w:topLinePunct w:val="0"/>
              <w:autoSpaceDE/>
              <w:autoSpaceDN/>
              <w:bidi w:val="0"/>
              <w:adjustRightInd w:val="0"/>
              <w:snapToGrid/>
              <w:spacing w:line="0" w:lineRule="atLeast"/>
              <w:textAlignment w:val="auto"/>
              <w:outlineLvl w:val="9"/>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公告期限：1个工作日。</w:t>
            </w:r>
          </w:p>
        </w:tc>
      </w:tr>
      <w:tr w14:paraId="750FF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95" w:type="dxa"/>
            <w:vAlign w:val="center"/>
          </w:tcPr>
          <w:p w14:paraId="14C6FE7A">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7.3.1</w:t>
            </w:r>
          </w:p>
        </w:tc>
        <w:tc>
          <w:tcPr>
            <w:tcW w:w="2095" w:type="dxa"/>
            <w:vAlign w:val="center"/>
          </w:tcPr>
          <w:p w14:paraId="34DFD981">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履约担保</w:t>
            </w:r>
          </w:p>
        </w:tc>
        <w:tc>
          <w:tcPr>
            <w:tcW w:w="6675" w:type="dxa"/>
            <w:vAlign w:val="center"/>
          </w:tcPr>
          <w:p w14:paraId="3CFBE262">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t>是否要求成交人提交履约保证金：</w:t>
            </w:r>
          </w:p>
          <w:p w14:paraId="203E4746">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sym w:font="Wingdings 2" w:char="00A3"/>
            </w:r>
            <w:r>
              <w:rPr>
                <w:rFonts w:hint="default" w:ascii="宋体" w:hAnsi="宋体" w:eastAsia="宋体" w:cs="宋体"/>
                <w:bCs/>
                <w:color w:val="000000" w:themeColor="text1"/>
                <w:sz w:val="21"/>
                <w:szCs w:val="21"/>
                <w:highlight w:val="none"/>
                <w:lang w:val="en-US" w:eastAsia="zh-CN"/>
                <w14:textFill>
                  <w14:solidFill>
                    <w14:schemeClr w14:val="tx1"/>
                  </w14:solidFill>
                </w14:textFill>
              </w:rPr>
              <w:t>要求</w:t>
            </w:r>
          </w:p>
          <w:p w14:paraId="6400ACCF">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default" w:ascii="宋体" w:hAnsi="宋体" w:eastAsia="宋体" w:cs="宋体"/>
                <w:bCs/>
                <w:color w:val="000000" w:themeColor="text1"/>
                <w:sz w:val="21"/>
                <w:szCs w:val="21"/>
                <w:highlight w:val="none"/>
                <w:lang w:val="en-US" w:eastAsia="zh-CN"/>
                <w14:textFill>
                  <w14:solidFill>
                    <w14:schemeClr w14:val="tx1"/>
                  </w14:solidFill>
                </w14:textFill>
              </w:rPr>
              <w:fldChar w:fldCharType="begin"/>
            </w:r>
            <w:r>
              <w:rPr>
                <w:rFonts w:hint="default" w:ascii="宋体" w:hAnsi="宋体" w:eastAsia="宋体" w:cs="宋体"/>
                <w:bCs/>
                <w:color w:val="000000" w:themeColor="text1"/>
                <w:sz w:val="21"/>
                <w:szCs w:val="21"/>
                <w:highlight w:val="none"/>
                <w:lang w:val="en-US" w:eastAsia="zh-CN"/>
                <w14:textFill>
                  <w14:solidFill>
                    <w14:schemeClr w14:val="tx1"/>
                  </w14:solidFill>
                </w14:textFill>
              </w:rPr>
              <w:instrText xml:space="preserve">eq \o\ac(□,√)</w:instrText>
            </w:r>
            <w:r>
              <w:rPr>
                <w:rFonts w:hint="default" w:ascii="宋体" w:hAnsi="宋体" w:eastAsia="宋体" w:cs="宋体"/>
                <w:bCs/>
                <w:color w:val="000000" w:themeColor="text1"/>
                <w:sz w:val="21"/>
                <w:szCs w:val="21"/>
                <w:highlight w:val="none"/>
                <w:lang w:val="en-US" w:eastAsia="zh-CN"/>
                <w14:textFill>
                  <w14:solidFill>
                    <w14:schemeClr w14:val="tx1"/>
                  </w14:solidFill>
                </w14:textFill>
              </w:rPr>
              <w:fldChar w:fldCharType="end"/>
            </w:r>
            <w:r>
              <w:rPr>
                <w:rFonts w:hint="default" w:ascii="宋体" w:hAnsi="宋体" w:eastAsia="宋体" w:cs="宋体"/>
                <w:bCs/>
                <w:color w:val="000000" w:themeColor="text1"/>
                <w:sz w:val="21"/>
                <w:szCs w:val="21"/>
                <w:highlight w:val="none"/>
                <w:lang w:val="en-US" w:eastAsia="zh-CN"/>
                <w14:textFill>
                  <w14:solidFill>
                    <w14:schemeClr w14:val="tx1"/>
                  </w14:solidFill>
                </w14:textFill>
              </w:rPr>
              <w:t>不要求</w:t>
            </w:r>
          </w:p>
        </w:tc>
      </w:tr>
      <w:tr w14:paraId="741B0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215220FC">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7.4</w:t>
            </w:r>
          </w:p>
        </w:tc>
        <w:tc>
          <w:tcPr>
            <w:tcW w:w="2095" w:type="dxa"/>
            <w:vAlign w:val="center"/>
          </w:tcPr>
          <w:p w14:paraId="28899CCF">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是否授权磋商小组确定成交人</w:t>
            </w:r>
          </w:p>
        </w:tc>
        <w:tc>
          <w:tcPr>
            <w:tcW w:w="6675" w:type="dxa"/>
            <w:vAlign w:val="center"/>
          </w:tcPr>
          <w:p w14:paraId="37DAF470">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cs="宋体"/>
                <w:bCs/>
                <w:color w:val="000000" w:themeColor="text1"/>
                <w:sz w:val="21"/>
                <w:szCs w:val="21"/>
                <w:highlight w:val="none"/>
                <w:lang w:eastAsia="zh-CN"/>
                <w14:textFill>
                  <w14:solidFill>
                    <w14:schemeClr w14:val="tx1"/>
                  </w14:solidFill>
                </w14:textFill>
              </w:rPr>
              <w:t>□</w:t>
            </w:r>
            <w:r>
              <w:rPr>
                <w:rFonts w:hint="eastAsia" w:ascii="宋体" w:hAnsi="宋体" w:eastAsia="宋体" w:cs="宋体"/>
                <w:bCs/>
                <w:color w:val="000000" w:themeColor="text1"/>
                <w:sz w:val="21"/>
                <w:szCs w:val="21"/>
                <w:highlight w:val="none"/>
                <w:lang w:eastAsia="zh-CN"/>
                <w14:textFill>
                  <w14:solidFill>
                    <w14:schemeClr w14:val="tx1"/>
                  </w14:solidFill>
                </w14:textFill>
              </w:rPr>
              <w:t>是</w:t>
            </w:r>
          </w:p>
          <w:p w14:paraId="47FDEEA4">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eastAsia="zh-CN"/>
                <w14:textFill>
                  <w14:solidFill>
                    <w14:schemeClr w14:val="tx1"/>
                  </w14:solidFill>
                </w14:textFill>
              </w:rPr>
              <w:t>否</w:t>
            </w:r>
          </w:p>
        </w:tc>
      </w:tr>
      <w:tr w14:paraId="2B78C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0662391F">
            <w:pPr>
              <w:overflowPunct/>
              <w:bidi w:val="0"/>
              <w:spacing w:line="400" w:lineRule="exact"/>
              <w:jc w:val="center"/>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8</w:t>
            </w:r>
          </w:p>
        </w:tc>
        <w:tc>
          <w:tcPr>
            <w:tcW w:w="2095" w:type="dxa"/>
            <w:vAlign w:val="center"/>
          </w:tcPr>
          <w:p w14:paraId="77797924">
            <w:pPr>
              <w:overflowPunct/>
              <w:bidi w:val="0"/>
              <w:spacing w:line="400" w:lineRule="exact"/>
              <w:jc w:val="center"/>
              <w:outlineLvl w:val="9"/>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color w:val="000000" w:themeColor="text1"/>
                <w:highlight w:val="none"/>
                <w14:textFill>
                  <w14:solidFill>
                    <w14:schemeClr w14:val="tx1"/>
                  </w14:solidFill>
                </w14:textFill>
              </w:rPr>
              <w:t>重新招标的其他情形</w:t>
            </w:r>
          </w:p>
        </w:tc>
        <w:tc>
          <w:tcPr>
            <w:tcW w:w="6675" w:type="dxa"/>
            <w:vAlign w:val="center"/>
          </w:tcPr>
          <w:p w14:paraId="5529D295">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除</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须知正文第8条规定的情形外，除非已经产生成交候选人，在响应有效期内同意延长响应有效期的</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少于三个的，采购人应当依法重新招标。</w:t>
            </w:r>
          </w:p>
          <w:p w14:paraId="5291C39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通过初步评审的有效投标不足三个使得投标明显缺乏竞争的，磋商小组可以否决全部投标。</w:t>
            </w:r>
          </w:p>
        </w:tc>
      </w:tr>
      <w:tr w14:paraId="20B88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995" w:type="dxa"/>
            <w:vAlign w:val="center"/>
          </w:tcPr>
          <w:p w14:paraId="75C8F648">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9</w:t>
            </w:r>
          </w:p>
        </w:tc>
        <w:tc>
          <w:tcPr>
            <w:tcW w:w="2095" w:type="dxa"/>
            <w:vAlign w:val="center"/>
          </w:tcPr>
          <w:p w14:paraId="2DCB0E22">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是否采用电子招标投标</w:t>
            </w:r>
          </w:p>
        </w:tc>
        <w:tc>
          <w:tcPr>
            <w:tcW w:w="6675" w:type="dxa"/>
            <w:vAlign w:val="center"/>
          </w:tcPr>
          <w:p w14:paraId="1A21B94B">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begin"/>
            </w:r>
            <w:r>
              <w:rPr>
                <w:rFonts w:hint="eastAsia" w:ascii="宋体" w:hAnsi="宋体" w:eastAsia="宋体" w:cs="宋体"/>
                <w:bCs/>
                <w:color w:val="000000" w:themeColor="text1"/>
                <w:sz w:val="21"/>
                <w:szCs w:val="21"/>
                <w:highlight w:val="none"/>
                <w:lang w:eastAsia="zh-CN"/>
                <w14:textFill>
                  <w14:solidFill>
                    <w14:schemeClr w14:val="tx1"/>
                  </w14:solidFill>
                </w14:textFill>
              </w:rPr>
              <w:instrText xml:space="preserve">eq \o\ac(□,√)</w:instrText>
            </w:r>
            <w:r>
              <w:rPr>
                <w:rFonts w:hint="eastAsia" w:ascii="宋体" w:hAnsi="宋体" w:eastAsia="宋体" w:cs="宋体"/>
                <w:bCs/>
                <w:color w:val="000000" w:themeColor="text1"/>
                <w:sz w:val="21"/>
                <w:szCs w:val="21"/>
                <w:highlight w:val="none"/>
                <w:lang w:eastAsia="zh-CN"/>
                <w14:textFill>
                  <w14:solidFill>
                    <w14:schemeClr w14:val="tx1"/>
                  </w14:solidFill>
                </w14:textFill>
              </w:rPr>
              <w:fldChar w:fldCharType="end"/>
            </w:r>
            <w:r>
              <w:rPr>
                <w:rFonts w:hint="eastAsia" w:ascii="宋体" w:hAnsi="宋体" w:eastAsia="宋体" w:cs="宋体"/>
                <w:bCs/>
                <w:color w:val="000000" w:themeColor="text1"/>
                <w:sz w:val="21"/>
                <w:szCs w:val="21"/>
                <w:highlight w:val="none"/>
                <w:lang w:eastAsia="zh-CN"/>
                <w14:textFill>
                  <w14:solidFill>
                    <w14:schemeClr w14:val="tx1"/>
                  </w14:solidFill>
                </w14:textFill>
              </w:rPr>
              <w:t>是，具体要求：详见</w:t>
            </w:r>
            <w:r>
              <w:rPr>
                <w:rFonts w:hint="eastAsia" w:ascii="宋体" w:hAnsi="宋体" w:cs="宋体"/>
                <w:bCs/>
                <w:color w:val="000000" w:themeColor="text1"/>
                <w:sz w:val="21"/>
                <w:szCs w:val="21"/>
                <w:highlight w:val="none"/>
                <w:lang w:eastAsia="zh-CN"/>
                <w14:textFill>
                  <w14:solidFill>
                    <w14:schemeClr w14:val="tx1"/>
                  </w14:solidFill>
                </w14:textFill>
              </w:rPr>
              <w:t>供应商</w:t>
            </w:r>
            <w:r>
              <w:rPr>
                <w:rFonts w:hint="eastAsia" w:ascii="宋体" w:hAnsi="宋体" w:eastAsia="宋体" w:cs="宋体"/>
                <w:bCs/>
                <w:color w:val="000000" w:themeColor="text1"/>
                <w:sz w:val="21"/>
                <w:szCs w:val="21"/>
                <w:highlight w:val="none"/>
                <w:lang w:eastAsia="zh-CN"/>
                <w14:textFill>
                  <w14:solidFill>
                    <w14:schemeClr w14:val="tx1"/>
                  </w14:solidFill>
                </w14:textFill>
              </w:rPr>
              <w:t>须知前附表第10.</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Cs/>
                <w:color w:val="000000" w:themeColor="text1"/>
                <w:sz w:val="21"/>
                <w:szCs w:val="21"/>
                <w:highlight w:val="none"/>
                <w:lang w:eastAsia="zh-CN"/>
                <w14:textFill>
                  <w14:solidFill>
                    <w14:schemeClr w14:val="tx1"/>
                  </w14:solidFill>
                </w14:textFill>
              </w:rPr>
              <w:t>项。</w:t>
            </w:r>
          </w:p>
          <w:p w14:paraId="3C4F2A83">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sym w:font="Wingdings 2" w:char="00A3"/>
            </w:r>
            <w:r>
              <w:rPr>
                <w:rFonts w:hint="eastAsia" w:ascii="宋体" w:hAnsi="宋体" w:eastAsia="宋体" w:cs="宋体"/>
                <w:bCs/>
                <w:color w:val="000000" w:themeColor="text1"/>
                <w:sz w:val="21"/>
                <w:szCs w:val="21"/>
                <w:highlight w:val="none"/>
                <w:lang w:eastAsia="zh-CN"/>
                <w14:textFill>
                  <w14:solidFill>
                    <w14:schemeClr w14:val="tx1"/>
                  </w14:solidFill>
                </w14:textFill>
              </w:rPr>
              <w:t>否</w:t>
            </w:r>
          </w:p>
        </w:tc>
      </w:tr>
      <w:tr w14:paraId="56C11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95" w:type="dxa"/>
            <w:vAlign w:val="center"/>
          </w:tcPr>
          <w:p w14:paraId="2795EC0F">
            <w:pPr>
              <w:overflowPunct/>
              <w:bidi w:val="0"/>
              <w:spacing w:line="400" w:lineRule="exact"/>
              <w:jc w:val="center"/>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10.1</w:t>
            </w:r>
          </w:p>
        </w:tc>
        <w:tc>
          <w:tcPr>
            <w:tcW w:w="2095" w:type="dxa"/>
            <w:vAlign w:val="center"/>
          </w:tcPr>
          <w:p w14:paraId="3FDA2110">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评审办法</w:t>
            </w:r>
          </w:p>
        </w:tc>
        <w:tc>
          <w:tcPr>
            <w:tcW w:w="6675" w:type="dxa"/>
            <w:vAlign w:val="center"/>
          </w:tcPr>
          <w:p w14:paraId="6C1093E1">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eastAsia" w:ascii="宋体" w:hAnsi="宋体" w:eastAsia="宋体" w:cs="宋体"/>
                <w:bCs/>
                <w:color w:val="000000" w:themeColor="text1"/>
                <w:sz w:val="21"/>
                <w:szCs w:val="21"/>
                <w:highlight w:val="none"/>
                <w:lang w:val="zh-CN"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综合评分法</w:t>
            </w:r>
            <w:r>
              <w:rPr>
                <w:rFonts w:hint="eastAsia" w:ascii="宋体" w:hAnsi="宋体" w:cs="宋体"/>
                <w:bCs/>
                <w:color w:val="000000" w:themeColor="text1"/>
                <w:sz w:val="21"/>
                <w:szCs w:val="21"/>
                <w:highlight w:val="none"/>
                <w:lang w:val="zh-CN" w:eastAsia="zh-CN"/>
                <w14:textFill>
                  <w14:solidFill>
                    <w14:schemeClr w14:val="tx1"/>
                  </w14:solidFill>
                </w14:textFill>
              </w:rPr>
              <w:t>。</w:t>
            </w:r>
          </w:p>
        </w:tc>
      </w:tr>
      <w:tr w14:paraId="12D12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995" w:type="dxa"/>
            <w:vAlign w:val="center"/>
          </w:tcPr>
          <w:p w14:paraId="33230D1C">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2</w:t>
            </w:r>
          </w:p>
        </w:tc>
        <w:tc>
          <w:tcPr>
            <w:tcW w:w="2095" w:type="dxa"/>
            <w:vAlign w:val="center"/>
          </w:tcPr>
          <w:p w14:paraId="55A056B7">
            <w:pPr>
              <w:keepNext w:val="0"/>
              <w:keepLines w:val="0"/>
              <w:pageBreakBefore w:val="0"/>
              <w:widowControl w:val="0"/>
              <w:kinsoku/>
              <w:wordWrap w:val="0"/>
              <w:overflowPunct/>
              <w:topLinePunct w:val="0"/>
              <w:autoSpaceDE/>
              <w:autoSpaceDN/>
              <w:bidi w:val="0"/>
              <w:adjustRightInd w:val="0"/>
              <w:spacing w:line="0" w:lineRule="atLeast"/>
              <w:jc w:val="center"/>
              <w:textAlignment w:val="auto"/>
              <w:outlineLvl w:val="9"/>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付款方式</w:t>
            </w:r>
          </w:p>
        </w:tc>
        <w:tc>
          <w:tcPr>
            <w:tcW w:w="6675" w:type="dxa"/>
            <w:vAlign w:val="center"/>
          </w:tcPr>
          <w:p w14:paraId="6950574C">
            <w:pPr>
              <w:keepNext w:val="0"/>
              <w:keepLines w:val="0"/>
              <w:pageBreakBefore w:val="0"/>
              <w:widowControl w:val="0"/>
              <w:kinsoku/>
              <w:wordWrap w:val="0"/>
              <w:overflowPunct/>
              <w:topLinePunct w:val="0"/>
              <w:autoSpaceDE/>
              <w:autoSpaceDN/>
              <w:bidi w:val="0"/>
              <w:adjustRightInd w:val="0"/>
              <w:snapToGrid w:val="0"/>
              <w:spacing w:line="0" w:lineRule="atLeast"/>
              <w:textAlignment w:val="auto"/>
              <w:outlineLvl w:val="9"/>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hAnsi="宋体" w:cs="宋体"/>
                <w:color w:val="auto"/>
                <w:highlight w:val="none"/>
                <w:lang w:eastAsia="zh-CN"/>
              </w:rPr>
              <w:t>按月付款</w:t>
            </w:r>
            <w:r>
              <w:rPr>
                <w:rFonts w:hint="eastAsia" w:hAnsi="宋体" w:cs="宋体"/>
                <w:color w:val="auto"/>
                <w:highlight w:val="none"/>
              </w:rPr>
              <w:t>。</w:t>
            </w:r>
            <w:r>
              <w:rPr>
                <w:rFonts w:hint="eastAsia" w:ascii="宋体" w:hAnsi="宋体" w:cs="宋体"/>
                <w:bCs/>
                <w:color w:val="000000" w:themeColor="text1"/>
                <w:sz w:val="21"/>
                <w:szCs w:val="21"/>
                <w:highlight w:val="none"/>
                <w:lang w:val="en-US" w:eastAsia="zh-CN"/>
                <w14:textFill>
                  <w14:solidFill>
                    <w14:schemeClr w14:val="tx1"/>
                  </w14:solidFill>
                </w14:textFill>
              </w:rPr>
              <w:t>（</w:t>
            </w:r>
            <w:r>
              <w:rPr>
                <w:rFonts w:hint="default" w:ascii="宋体" w:hAnsi="宋体" w:eastAsia="宋体" w:cs="宋体"/>
                <w:bCs/>
                <w:color w:val="000000" w:themeColor="text1"/>
                <w:sz w:val="21"/>
                <w:szCs w:val="21"/>
                <w:highlight w:val="none"/>
                <w:lang w:val="en-US" w:eastAsia="zh-CN"/>
                <w14:textFill>
                  <w14:solidFill>
                    <w14:schemeClr w14:val="tx1"/>
                  </w14:solidFill>
                </w14:textFill>
              </w:rPr>
              <w:t>具体以实际签订合同为准。</w:t>
            </w:r>
            <w:r>
              <w:rPr>
                <w:rFonts w:hint="eastAsia" w:ascii="宋体" w:hAnsi="宋体" w:cs="宋体"/>
                <w:bCs/>
                <w:color w:val="000000" w:themeColor="text1"/>
                <w:sz w:val="21"/>
                <w:szCs w:val="21"/>
                <w:highlight w:val="none"/>
                <w:lang w:val="en-US" w:eastAsia="zh-CN"/>
                <w14:textFill>
                  <w14:solidFill>
                    <w14:schemeClr w14:val="tx1"/>
                  </w14:solidFill>
                </w14:textFill>
              </w:rPr>
              <w:t>）</w:t>
            </w:r>
          </w:p>
        </w:tc>
      </w:tr>
      <w:tr w14:paraId="37C29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4C3B6040">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3</w:t>
            </w:r>
          </w:p>
        </w:tc>
        <w:tc>
          <w:tcPr>
            <w:tcW w:w="2095" w:type="dxa"/>
            <w:vAlign w:val="center"/>
          </w:tcPr>
          <w:p w14:paraId="5B277750">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en-US" w:eastAsia="zh-CN"/>
                <w14:textFill>
                  <w14:solidFill>
                    <w14:schemeClr w14:val="tx1"/>
                  </w14:solidFill>
                </w14:textFill>
              </w:rPr>
              <w:t>采购</w:t>
            </w:r>
            <w:r>
              <w:rPr>
                <w:rFonts w:hint="eastAsia" w:ascii="Times New Roman" w:hAnsi="Times New Roman" w:eastAsia="宋体" w:cs="Times New Roman"/>
                <w:color w:val="000000" w:themeColor="text1"/>
                <w:highlight w:val="none"/>
                <w14:textFill>
                  <w14:solidFill>
                    <w14:schemeClr w14:val="tx1"/>
                  </w14:solidFill>
                </w14:textFill>
              </w:rPr>
              <w:t>代理</w:t>
            </w:r>
            <w:r>
              <w:rPr>
                <w:rFonts w:hint="eastAsia" w:ascii="Times New Roman" w:hAnsi="Times New Roman" w:eastAsia="宋体" w:cs="Times New Roman"/>
                <w:color w:val="000000" w:themeColor="text1"/>
                <w:highlight w:val="none"/>
                <w:lang w:val="en-US" w:eastAsia="zh-CN"/>
                <w14:textFill>
                  <w14:solidFill>
                    <w14:schemeClr w14:val="tx1"/>
                  </w14:solidFill>
                </w14:textFill>
              </w:rPr>
              <w:t>服务</w:t>
            </w:r>
            <w:r>
              <w:rPr>
                <w:rFonts w:hint="eastAsia" w:ascii="Times New Roman" w:hAnsi="Times New Roman" w:eastAsia="宋体" w:cs="Times New Roman"/>
                <w:color w:val="000000" w:themeColor="text1"/>
                <w:highlight w:val="none"/>
                <w14:textFill>
                  <w14:solidFill>
                    <w14:schemeClr w14:val="tx1"/>
                  </w14:solidFill>
                </w14:textFill>
              </w:rPr>
              <w:t>费</w:t>
            </w:r>
          </w:p>
        </w:tc>
        <w:tc>
          <w:tcPr>
            <w:tcW w:w="6675" w:type="dxa"/>
            <w:vAlign w:val="top"/>
          </w:tcPr>
          <w:p w14:paraId="2BADD936">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按照国家发展计划委员会“发改价格【2015】299号”文要求，于成交通知书下发前向成交人收取。</w:t>
            </w:r>
          </w:p>
        </w:tc>
      </w:tr>
      <w:tr w14:paraId="401B9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995" w:type="dxa"/>
            <w:vMerge w:val="restart"/>
            <w:vAlign w:val="center"/>
          </w:tcPr>
          <w:p w14:paraId="76E6FDE2">
            <w:pPr>
              <w:overflowPunct/>
              <w:bidi w:val="0"/>
              <w:spacing w:line="400" w:lineRule="exact"/>
              <w:jc w:val="center"/>
              <w:outlineLvl w:val="9"/>
              <w:rPr>
                <w:rFonts w:hint="default" w:eastAsia="宋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10.4</w:t>
            </w:r>
          </w:p>
        </w:tc>
        <w:tc>
          <w:tcPr>
            <w:tcW w:w="2095" w:type="dxa"/>
            <w:vMerge w:val="restart"/>
            <w:vAlign w:val="center"/>
          </w:tcPr>
          <w:p w14:paraId="6CFC34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其他要求</w:t>
            </w:r>
          </w:p>
        </w:tc>
        <w:tc>
          <w:tcPr>
            <w:tcW w:w="6675" w:type="dxa"/>
            <w:vAlign w:val="center"/>
          </w:tcPr>
          <w:p w14:paraId="662C47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1</w:t>
            </w: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本次招标要求供应商须具有独立承担民事责任的能力，具有有效的营业执照</w:t>
            </w: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w:t>
            </w:r>
          </w:p>
          <w:p w14:paraId="76A629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2</w:t>
            </w: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供应商参加采购活动应当提交反映其财务状况、依法缴纳税收和社保保障资金情况的资格条件承诺函。</w:t>
            </w:r>
          </w:p>
        </w:tc>
      </w:tr>
      <w:tr w14:paraId="3B8E8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995" w:type="dxa"/>
            <w:vMerge w:val="continue"/>
            <w:vAlign w:val="center"/>
          </w:tcPr>
          <w:p w14:paraId="77550DEE">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p>
        </w:tc>
        <w:tc>
          <w:tcPr>
            <w:tcW w:w="2095" w:type="dxa"/>
            <w:vMerge w:val="continue"/>
            <w:vAlign w:val="center"/>
          </w:tcPr>
          <w:p w14:paraId="1412FD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p>
        </w:tc>
        <w:tc>
          <w:tcPr>
            <w:tcW w:w="6675" w:type="dxa"/>
            <w:vAlign w:val="center"/>
          </w:tcPr>
          <w:p w14:paraId="44921F2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olor w:val="000000" w:themeColor="text1"/>
                <w:sz w:val="21"/>
                <w:szCs w:val="21"/>
                <w:highlight w:val="none"/>
                <w:u w:val="none"/>
                <w:lang w:val="en-US" w:eastAsia="zh-CN" w:bidi="ar-SA"/>
                <w14:textFill>
                  <w14:solidFill>
                    <w14:schemeClr w14:val="tx1"/>
                  </w14:solidFill>
                </w14:textFill>
              </w:rPr>
            </w:pPr>
            <w:r>
              <w:rPr>
                <w:rFonts w:hint="eastAsia" w:ascii="宋体" w:hAnsi="宋体" w:eastAsia="宋体" w:cs="宋体"/>
                <w:b w:val="0"/>
                <w:bCs w:val="0"/>
                <w:color w:val="000000" w:themeColor="text1"/>
                <w:sz w:val="21"/>
                <w:szCs w:val="21"/>
                <w:highlight w:val="none"/>
                <w:u w:val="none"/>
                <w:lang w:val="en-US" w:eastAsia="zh-CN" w:bidi="ar-SA"/>
                <w14:textFill>
                  <w14:solidFill>
                    <w14:schemeClr w14:val="tx1"/>
                  </w14:solidFill>
                </w14:textFill>
              </w:rPr>
              <w:t>本项目专门面向中小企业采购，供应商须提供《中小企业声明函》，本项目对应的中小企业划分标准所属行业为“商务服务业”。</w:t>
            </w:r>
          </w:p>
          <w:p w14:paraId="1A5026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lang w:val="en-US" w:eastAsia="zh-CN"/>
              </w:rPr>
            </w:pPr>
            <w:r>
              <w:rPr>
                <w:rFonts w:hint="eastAsia" w:ascii="宋体" w:hAnsi="宋体" w:eastAsia="宋体" w:cs="宋体"/>
                <w:b w:val="0"/>
                <w:bCs w:val="0"/>
                <w:color w:val="000000" w:themeColor="text1"/>
                <w:sz w:val="21"/>
                <w:szCs w:val="21"/>
                <w:highlight w:val="none"/>
                <w:u w:val="none"/>
                <w:lang w:val="en-US" w:eastAsia="zh-CN" w:bidi="ar-SA"/>
                <w14:textFill>
                  <w14:solidFill>
                    <w14:schemeClr w14:val="tx1"/>
                  </w14:solidFill>
                </w14:textFill>
              </w:rPr>
              <w:t>本项目专门面向中小企业，不予以价格扣除。</w:t>
            </w:r>
          </w:p>
        </w:tc>
      </w:tr>
      <w:tr w14:paraId="12D2E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995" w:type="dxa"/>
            <w:vMerge w:val="continue"/>
            <w:vAlign w:val="center"/>
          </w:tcPr>
          <w:p w14:paraId="365FDA56">
            <w:pPr>
              <w:overflowPunct/>
              <w:bidi w:val="0"/>
              <w:spacing w:line="400" w:lineRule="exact"/>
              <w:jc w:val="center"/>
              <w:outlineLvl w:val="9"/>
              <w:rPr>
                <w:rFonts w:hint="eastAsia"/>
                <w:color w:val="000000" w:themeColor="text1"/>
                <w:highlight w:val="none"/>
                <w:lang w:val="en-US" w:eastAsia="zh-CN"/>
                <w14:textFill>
                  <w14:solidFill>
                    <w14:schemeClr w14:val="tx1"/>
                  </w14:solidFill>
                </w14:textFill>
              </w:rPr>
            </w:pPr>
          </w:p>
        </w:tc>
        <w:tc>
          <w:tcPr>
            <w:tcW w:w="2095" w:type="dxa"/>
            <w:vMerge w:val="continue"/>
            <w:vAlign w:val="center"/>
          </w:tcPr>
          <w:p w14:paraId="3305BB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p>
        </w:tc>
        <w:tc>
          <w:tcPr>
            <w:tcW w:w="6675" w:type="dxa"/>
            <w:vAlign w:val="center"/>
          </w:tcPr>
          <w:p w14:paraId="1BA83A2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只接受以书面形式向采购人、采购代理机构提出质疑，不接受以其他形式或提出的质疑。</w:t>
            </w:r>
          </w:p>
        </w:tc>
      </w:tr>
      <w:tr w14:paraId="2994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5BCDAA0D">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5</w:t>
            </w:r>
          </w:p>
        </w:tc>
        <w:tc>
          <w:tcPr>
            <w:tcW w:w="2095" w:type="dxa"/>
            <w:vAlign w:val="center"/>
          </w:tcPr>
          <w:p w14:paraId="253A326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jc w:val="center"/>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投标无效</w:t>
            </w:r>
            <w:r>
              <w:rPr>
                <w:rFonts w:hint="eastAsia" w:ascii="宋体" w:hAnsi="宋体" w:eastAsia="宋体" w:cs="宋体"/>
                <w:color w:val="000000" w:themeColor="text1"/>
                <w:sz w:val="21"/>
                <w:szCs w:val="21"/>
                <w:highlight w:val="none"/>
                <w:lang w:val="zh-CN"/>
                <w14:textFill>
                  <w14:solidFill>
                    <w14:schemeClr w14:val="tx1"/>
                  </w14:solidFill>
                </w14:textFill>
              </w:rPr>
              <w:t>说明</w:t>
            </w:r>
          </w:p>
        </w:tc>
        <w:tc>
          <w:tcPr>
            <w:tcW w:w="6675" w:type="dxa"/>
            <w:vAlign w:val="center"/>
          </w:tcPr>
          <w:p w14:paraId="3C653440">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1、供应商需在开标前将</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制作工具生成的加密文件上传到政府采购云平台（网址：http://www.zcygov.cn）。</w:t>
            </w:r>
          </w:p>
          <w:p w14:paraId="72539A4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2、开标时，供应商需用生成最终</w:t>
            </w:r>
            <w:r>
              <w:rPr>
                <w:rFonts w:hint="eastAsia" w:ascii="宋体" w:hAnsi="宋体" w:eastAsia="宋体" w:cs="宋体"/>
                <w:color w:val="000000" w:themeColor="text1"/>
                <w:sz w:val="21"/>
                <w:szCs w:val="21"/>
                <w:highlight w:val="none"/>
                <w:lang w:val="en-US"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所使用的数字证书（CA锁），以防</w:t>
            </w:r>
            <w:r>
              <w:rPr>
                <w:rFonts w:hint="eastAsia" w:ascii="宋体" w:hAnsi="宋体" w:eastAsia="宋体" w:cs="宋体"/>
                <w:color w:val="000000" w:themeColor="text1"/>
                <w:sz w:val="21"/>
                <w:szCs w:val="21"/>
                <w:highlight w:val="none"/>
                <w14:textFill>
                  <w14:solidFill>
                    <w14:schemeClr w14:val="tx1"/>
                  </w14:solidFill>
                </w14:textFill>
              </w:rPr>
              <w:t>签到、</w:t>
            </w:r>
            <w:r>
              <w:rPr>
                <w:rFonts w:hint="eastAsia" w:ascii="宋体" w:hAnsi="宋体" w:eastAsia="宋体" w:cs="宋体"/>
                <w:color w:val="000000" w:themeColor="text1"/>
                <w:sz w:val="21"/>
                <w:szCs w:val="21"/>
                <w:highlight w:val="none"/>
                <w:lang w:val="zh-CN"/>
                <w14:textFill>
                  <w14:solidFill>
                    <w14:schemeClr w14:val="tx1"/>
                  </w14:solidFill>
                </w14:textFill>
              </w:rPr>
              <w:t>解密失败。</w:t>
            </w:r>
          </w:p>
          <w:p w14:paraId="2D62C68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开评标过程中如因上述原因导致</w:t>
            </w:r>
            <w:r>
              <w:rPr>
                <w:rFonts w:hint="eastAsia" w:ascii="宋体" w:hAnsi="宋体" w:eastAsia="宋体" w:cs="宋体"/>
                <w:color w:val="000000" w:themeColor="text1"/>
                <w:sz w:val="21"/>
                <w:szCs w:val="21"/>
                <w:highlight w:val="none"/>
                <w:lang w:val="en-US" w:eastAsia="zh-CN"/>
                <w14:textFill>
                  <w14:solidFill>
                    <w14:schemeClr w14:val="tx1"/>
                  </w14:solidFill>
                </w14:textFill>
              </w:rPr>
              <w:t>投标无效</w:t>
            </w:r>
            <w:r>
              <w:rPr>
                <w:rFonts w:hint="eastAsia" w:ascii="宋体" w:hAnsi="宋体" w:eastAsia="宋体" w:cs="宋体"/>
                <w:color w:val="000000" w:themeColor="text1"/>
                <w:sz w:val="21"/>
                <w:szCs w:val="21"/>
                <w:highlight w:val="none"/>
                <w:lang w:val="zh-CN"/>
                <w14:textFill>
                  <w14:solidFill>
                    <w14:schemeClr w14:val="tx1"/>
                  </w14:solidFill>
                </w14:textFill>
              </w:rPr>
              <w:t>标，供应商自行承担后果。</w:t>
            </w:r>
          </w:p>
        </w:tc>
      </w:tr>
      <w:tr w14:paraId="4D52E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95" w:type="dxa"/>
            <w:vAlign w:val="center"/>
          </w:tcPr>
          <w:p w14:paraId="263399B6">
            <w:pPr>
              <w:overflowPunct/>
              <w:bidi w:val="0"/>
              <w:spacing w:line="400" w:lineRule="exact"/>
              <w:jc w:val="center"/>
              <w:outlineLvl w:val="9"/>
              <w:rPr>
                <w:rFonts w:hint="eastAsia" w:eastAsia="宋体"/>
                <w:color w:val="000000" w:themeColor="text1"/>
                <w:highlight w:val="none"/>
                <w:lang w:eastAsia="zh-CN"/>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6</w:t>
            </w:r>
          </w:p>
        </w:tc>
        <w:tc>
          <w:tcPr>
            <w:tcW w:w="2095" w:type="dxa"/>
            <w:vAlign w:val="center"/>
          </w:tcPr>
          <w:p w14:paraId="48AA23A7">
            <w:pPr>
              <w:keepNext w:val="0"/>
              <w:keepLines w:val="0"/>
              <w:pageBreakBefore w:val="0"/>
              <w:widowControl w:val="0"/>
              <w:kinsoku/>
              <w:wordWrap/>
              <w:overflowPunct/>
              <w:topLinePunct w:val="0"/>
              <w:autoSpaceDE/>
              <w:autoSpaceDN/>
              <w:bidi w:val="0"/>
              <w:adjustRightInd/>
              <w:snapToGrid/>
              <w:spacing w:line="0" w:lineRule="atLeast"/>
              <w:jc w:val="center"/>
              <w:textAlignment w:val="auto"/>
              <w:outlineLvl w:val="9"/>
              <w:rPr>
                <w:rFonts w:hint="eastAsia" w:ascii="Times New Roman" w:hAnsi="Times New Roman" w:eastAsia="宋体" w:cs="Times New Roman"/>
                <w:color w:val="000000" w:themeColor="text1"/>
                <w:highlight w:val="none"/>
                <w:lang w:val="en-US" w:eastAsia="zh-CN"/>
                <w14:textFill>
                  <w14:solidFill>
                    <w14:schemeClr w14:val="tx1"/>
                  </w14:solidFill>
                </w14:textFill>
              </w:rPr>
            </w:pPr>
            <w:r>
              <w:rPr>
                <w:rFonts w:hint="eastAsia" w:ascii="Times New Roman" w:hAnsi="Times New Roman" w:eastAsia="宋体" w:cs="Times New Roman"/>
                <w:color w:val="000000" w:themeColor="text1"/>
                <w:highlight w:val="none"/>
                <w:lang w:val="zh-CN"/>
                <w14:textFill>
                  <w14:solidFill>
                    <w14:schemeClr w14:val="tx1"/>
                  </w14:solidFill>
                </w14:textFill>
              </w:rPr>
              <w:t>电子招投标相关说明</w:t>
            </w:r>
          </w:p>
        </w:tc>
        <w:tc>
          <w:tcPr>
            <w:tcW w:w="6675" w:type="dxa"/>
            <w:vAlign w:val="center"/>
          </w:tcPr>
          <w:p w14:paraId="05684752">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本次招标实行不见面开标，具体要求如下：</w:t>
            </w:r>
          </w:p>
          <w:p w14:paraId="7B83667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一、业务要求</w:t>
            </w:r>
          </w:p>
          <w:p w14:paraId="6DBB4ECE">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1.开标项目的时间均以国家授时中心发布的时间为准。</w:t>
            </w:r>
          </w:p>
          <w:p w14:paraId="528C14B4">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2.政府采购云平台不见面开标系统适用进入政府采购云平台的政府采购项目。</w:t>
            </w:r>
          </w:p>
          <w:p w14:paraId="7CE5CC0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3.通过该系统完成投标过程。依照</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的规定完成电子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的编制和提交。如未按</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要求编制、提交电子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，将可能导致否决投标，其后果由</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自负。</w:t>
            </w:r>
          </w:p>
          <w:p w14:paraId="551EACF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应充分考虑到网络及系统平台可能存在的突发状况，在</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编制完成后尽早完成上传。</w:t>
            </w:r>
          </w:p>
          <w:p w14:paraId="281A7415">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5.</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提交截止时间前，采购人或招标代理提前进入政府采购云平台（网址：http:// </w: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begin"/>
            </w:r>
            <w:r>
              <w:rPr>
                <w:rFonts w:hint="eastAsia" w:ascii="宋体" w:hAnsi="宋体" w:eastAsia="宋体" w:cs="宋体"/>
                <w:color w:val="000000" w:themeColor="text1"/>
                <w:sz w:val="21"/>
                <w:szCs w:val="21"/>
                <w:highlight w:val="none"/>
                <w:lang w:val="zh-CN"/>
                <w14:textFill>
                  <w14:solidFill>
                    <w14:schemeClr w14:val="tx1"/>
                  </w14:solidFill>
                </w14:textFill>
              </w:rPr>
              <w:instrText xml:space="preserve"> HYPERLINK "http://www.zcygov.cn）不见面开标系统，播放测试音频，各投标人提前进入该系统(网址http:/www.zcygov.cn），实时观看音视频交互效果并及时在系统互动区反馈，未按时加入系统互动区并完成登录操作的或未能在开标会议区内全程参与交互的，视为放弃交互和放弃对开评标全过程质疑的权利，投标人将无法看到解密指令、否决投标及澄清、唱标等实时情况，并承担由此产生的一切后果。" </w:instrTex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separate"/>
            </w:r>
            <w:r>
              <w:rPr>
                <w:rFonts w:hint="eastAsia" w:ascii="宋体" w:hAnsi="宋体" w:eastAsia="宋体" w:cs="宋体"/>
                <w:color w:val="000000" w:themeColor="text1"/>
                <w:sz w:val="21"/>
                <w:szCs w:val="21"/>
                <w:highlight w:val="none"/>
                <w:lang w:val="zh-CN"/>
                <w14:textFill>
                  <w14:solidFill>
                    <w14:schemeClr w14:val="tx1"/>
                  </w14:solidFill>
                </w14:textFill>
              </w:rPr>
              <w:t>www.zcygov.cn）不见面开标系统，播放测试音频，各</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提前进入该系统(网址http://www.zcygov.cn），实时观看音视频交互效果并及时在系统互动区反馈，未按时加入系统互动区并完成登录操作的或未能在开标会议区内全程参与交互的，视为放弃交互和放弃对开评标全过程质疑的权利，</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将无法看到解密指令、否决投标及澄清、唱标等实时情况，并承担由此产生的一切后果。</w:t>
            </w:r>
            <w:r>
              <w:rPr>
                <w:rFonts w:hint="eastAsia" w:ascii="宋体" w:hAnsi="宋体" w:eastAsia="宋体" w:cs="宋体"/>
                <w:color w:val="000000" w:themeColor="text1"/>
                <w:sz w:val="21"/>
                <w:szCs w:val="21"/>
                <w:highlight w:val="none"/>
                <w:lang w:val="zh-CN"/>
                <w14:textFill>
                  <w14:solidFill>
                    <w14:schemeClr w14:val="tx1"/>
                  </w14:solidFill>
                </w14:textFill>
              </w:rPr>
              <w:fldChar w:fldCharType="end"/>
            </w:r>
          </w:p>
          <w:p w14:paraId="0A82912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6.</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提交截止时间后，通过系统互动区发出</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解密的指令，</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 xml:space="preserve">在任意地点按规定时间自行实施远程解密，解密限定在规定时间内完成。 </w:t>
            </w:r>
          </w:p>
          <w:p w14:paraId="08690B2F">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7.</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必须使用能正确解密</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的CA 证书，在</w:t>
            </w:r>
            <w:r>
              <w:rPr>
                <w:rFonts w:hint="eastAsia" w:ascii="宋体" w:hAnsi="宋体" w:eastAsia="宋体" w:cs="宋体"/>
                <w:color w:val="000000" w:themeColor="text1"/>
                <w:sz w:val="21"/>
                <w:szCs w:val="21"/>
                <w:highlight w:val="none"/>
                <w:lang w:val="zh-CN" w:eastAsia="zh-CN"/>
                <w14:textFill>
                  <w14:solidFill>
                    <w14:schemeClr w14:val="tx1"/>
                  </w14:solidFill>
                </w14:textFill>
              </w:rPr>
              <w:t>系统</w:t>
            </w:r>
            <w:r>
              <w:rPr>
                <w:rFonts w:hint="eastAsia" w:ascii="宋体" w:hAnsi="宋体" w:eastAsia="宋体" w:cs="宋体"/>
                <w:color w:val="000000" w:themeColor="text1"/>
                <w:sz w:val="21"/>
                <w:szCs w:val="21"/>
                <w:highlight w:val="none"/>
                <w:lang w:val="zh-CN"/>
                <w14:textFill>
                  <w14:solidFill>
                    <w14:schemeClr w14:val="tx1"/>
                  </w14:solidFill>
                </w14:textFill>
              </w:rPr>
              <w:t>规定的时间内完成远程解密，因</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原因未能解密、解密失败或解密超时，视为</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撤销其</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；因采购人或系统原因，导致无法按时完成</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解密或开标、评标工作无法进行的，可根据实际情况相应延迟解密时间或调整开标、评标时间。 </w:t>
            </w:r>
          </w:p>
          <w:p w14:paraId="02E3D2E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8.开标当日，</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 xml:space="preserve">不必抵达开标现场，仅需在任意地点通过政府采购云平台（网址：http:// www.zcygov.cn）不见面开标系统参加开标会议，并根据需要使用开标系统与现场采购人进行互动交流、澄清、质疑等活动。 </w:t>
            </w:r>
          </w:p>
          <w:p w14:paraId="5538715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9.开标、评标过程中，参与远程交互的各</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应始终为同一个人，中途不得更换，在否决投标、澄清、质疑等特殊情况下需要交互时，</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一端参与交互的人员只能是</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的法定代表人或授权委托人（答辩等类似环节需要其他人员参与的除外），</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不得以不承认交互人员的资格或身份等为借口推脱，</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自行承担随意更换人员所导致的一切后果。</w:t>
            </w:r>
          </w:p>
          <w:p w14:paraId="0BB3664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10.纸质</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存档</w:t>
            </w:r>
            <w:r>
              <w:rPr>
                <w:rFonts w:hint="eastAsia" w:ascii="宋体" w:hAnsi="宋体" w:eastAsia="宋体" w:cs="宋体"/>
                <w:color w:val="000000" w:themeColor="text1"/>
                <w:sz w:val="21"/>
                <w:szCs w:val="21"/>
                <w:highlight w:val="none"/>
                <w:lang w:val="zh-CN"/>
                <w14:textFill>
                  <w14:solidFill>
                    <w14:schemeClr w14:val="tx1"/>
                  </w14:solidFill>
                </w14:textFill>
              </w:rPr>
              <w:t>，</w:t>
            </w:r>
            <w:r>
              <w:rPr>
                <w:rFonts w:hint="eastAsia" w:ascii="宋体" w:hAnsi="宋体" w:eastAsia="宋体" w:cs="宋体"/>
                <w:color w:val="000000" w:themeColor="text1"/>
                <w:sz w:val="21"/>
                <w:szCs w:val="21"/>
                <w:highlight w:val="none"/>
                <w:lang w:val="zh-CN" w:eastAsia="zh-CN"/>
                <w14:textFill>
                  <w14:solidFill>
                    <w14:schemeClr w14:val="tx1"/>
                  </w14:solidFill>
                </w14:textFill>
              </w:rPr>
              <w:t>按照</w:t>
            </w:r>
            <w:r>
              <w:rPr>
                <w:rFonts w:hint="eastAsia" w:ascii="宋体" w:hAnsi="宋体" w:eastAsia="宋体" w:cs="宋体"/>
                <w:color w:val="000000" w:themeColor="text1"/>
                <w:sz w:val="21"/>
                <w:szCs w:val="21"/>
                <w:highlight w:val="none"/>
                <w:lang w:val="zh-CN"/>
                <w14:textFill>
                  <w14:solidFill>
                    <w14:schemeClr w14:val="tx1"/>
                  </w14:solidFill>
                </w14:textFill>
              </w:rPr>
              <w:t>代理机构</w:t>
            </w:r>
            <w:r>
              <w:rPr>
                <w:rFonts w:hint="eastAsia" w:ascii="宋体" w:hAnsi="宋体" w:eastAsia="宋体" w:cs="宋体"/>
                <w:color w:val="000000" w:themeColor="text1"/>
                <w:sz w:val="21"/>
                <w:szCs w:val="21"/>
                <w:highlight w:val="none"/>
                <w:lang w:val="zh-CN" w:eastAsia="zh-CN"/>
                <w14:textFill>
                  <w14:solidFill>
                    <w14:schemeClr w14:val="tx1"/>
                  </w14:solidFill>
                </w14:textFill>
              </w:rPr>
              <w:t>具体递交要求执行</w:t>
            </w:r>
            <w:r>
              <w:rPr>
                <w:rFonts w:hint="eastAsia" w:ascii="宋体" w:hAnsi="宋体" w:eastAsia="宋体" w:cs="宋体"/>
                <w:color w:val="000000" w:themeColor="text1"/>
                <w:sz w:val="21"/>
                <w:szCs w:val="21"/>
                <w:highlight w:val="none"/>
                <w:lang w:val="zh-CN"/>
                <w14:textFill>
                  <w14:solidFill>
                    <w14:schemeClr w14:val="tx1"/>
                  </w14:solidFill>
                </w14:textFill>
              </w:rPr>
              <w:t>。</w:t>
            </w:r>
          </w:p>
          <w:p w14:paraId="526CAD44">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二、系统操作注意事项</w:t>
            </w:r>
          </w:p>
          <w:p w14:paraId="07C7052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（一）软硬件及网络要求</w:t>
            </w:r>
          </w:p>
          <w:p w14:paraId="5381CCFA">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1.参与不见面开标电脑须安装有清晰可用的摄像头、音响和麦克风设备。</w:t>
            </w:r>
          </w:p>
          <w:p w14:paraId="1CE0B77F">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2.参与不见面开标电脑须安装正确驱动，可在不见面开标系统登录界面的驱动下载页面进行下载及后续安装。</w:t>
            </w:r>
          </w:p>
          <w:p w14:paraId="086874FD">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3.为更好实时查看不见面开标室现场，推荐使用20M 及以上网络宽带。</w:t>
            </w:r>
          </w:p>
          <w:p w14:paraId="4CDA49A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4.操作系统为 win7 或 win10 系统，IE10 版本及以上，运存≥4G</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p w14:paraId="578B0936">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制作及上传说明</w:t>
            </w:r>
          </w:p>
          <w:p w14:paraId="1CC7358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1.供应商在政府采购云平台网注册入库成为正式供应商后，在平台上按《政府采购项目电子交易管理操作指南-供应商》进行投标操作。</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须办理数字证书方可参加投标。</w:t>
            </w:r>
          </w:p>
          <w:p w14:paraId="444CAAF1">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2.收到 CA 锁以后在“政采云”登陆界面，点击CA 登录-CA驱动下载-下载并安装政采云投标客户端和CA 驱动，账号绑定CA后才能进行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w:t>
            </w:r>
          </w:p>
          <w:p w14:paraId="0E9ED1B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3.若对项目采购电子交易系统操作有疑问，可登录“政采云”平台，点击右侧咨询小采，获取采小蜜智能服务管家帮助，或拨打政采云服务热线 95763 获取帮助。</w:t>
            </w:r>
          </w:p>
          <w:p w14:paraId="38423BA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4.根据</w:t>
            </w:r>
            <w:r>
              <w:rPr>
                <w:rFonts w:hint="eastAsia" w:ascii="宋体" w:hAnsi="宋体" w:eastAsia="宋体" w:cs="宋体"/>
                <w:color w:val="000000" w:themeColor="text1"/>
                <w:sz w:val="21"/>
                <w:szCs w:val="21"/>
                <w:highlight w:val="none"/>
                <w:lang w:val="zh-CN" w:eastAsia="zh-CN"/>
                <w14:textFill>
                  <w14:solidFill>
                    <w14:schemeClr w14:val="tx1"/>
                  </w14:solidFill>
                </w14:textFill>
              </w:rPr>
              <w:t>相关</w:t>
            </w:r>
            <w:r>
              <w:rPr>
                <w:rFonts w:hint="eastAsia" w:ascii="宋体" w:hAnsi="宋体" w:eastAsia="宋体" w:cs="宋体"/>
                <w:color w:val="000000" w:themeColor="text1"/>
                <w:sz w:val="21"/>
                <w:szCs w:val="21"/>
                <w:highlight w:val="none"/>
                <w:lang w:val="zh-CN"/>
                <w14:textFill>
                  <w14:solidFill>
                    <w14:schemeClr w14:val="tx1"/>
                  </w14:solidFill>
                </w14:textFill>
              </w:rPr>
              <w:t>要求使用对应版本的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制作工具。</w:t>
            </w:r>
          </w:p>
          <w:p w14:paraId="1D5773A0">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（三）开标过程注意事项</w:t>
            </w:r>
          </w:p>
          <w:p w14:paraId="720A0CEC">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1.开标当天，</w:t>
            </w:r>
            <w:r>
              <w:rPr>
                <w:rFonts w:hint="eastAsia" w:ascii="宋体" w:hAnsi="宋体" w:cs="宋体"/>
                <w:color w:val="000000" w:themeColor="text1"/>
                <w:sz w:val="21"/>
                <w:szCs w:val="21"/>
                <w:highlight w:val="none"/>
                <w:lang w:val="zh-CN"/>
                <w14:textFill>
                  <w14:solidFill>
                    <w14:schemeClr w14:val="tx1"/>
                  </w14:solidFill>
                </w14:textFill>
              </w:rPr>
              <w:t>供应商</w:t>
            </w:r>
            <w:r>
              <w:rPr>
                <w:rFonts w:hint="eastAsia" w:ascii="宋体" w:hAnsi="宋体" w:eastAsia="宋体" w:cs="宋体"/>
                <w:color w:val="000000" w:themeColor="text1"/>
                <w:sz w:val="21"/>
                <w:szCs w:val="21"/>
                <w:highlight w:val="none"/>
                <w:lang w:val="zh-CN"/>
                <w14:textFill>
                  <w14:solidFill>
                    <w14:schemeClr w14:val="tx1"/>
                  </w14:solidFill>
                </w14:textFill>
              </w:rPr>
              <w:t>务必于开标前提前登录系统，进入所投标项目，在项目签到界面进行线上签到。</w:t>
            </w:r>
          </w:p>
          <w:p w14:paraId="67B23FF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2.开标过程中请重点关注不见面开标系统互动区消息，及时查阅，并根据消息提醒及时进行</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在线解密等操作。</w:t>
            </w:r>
          </w:p>
          <w:p w14:paraId="0577E5F3">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3.项目进入</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在线解密阶段后，须在</w:t>
            </w: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w:t>
            </w:r>
            <w:r>
              <w:rPr>
                <w:rFonts w:hint="eastAsia" w:ascii="宋体" w:hAnsi="宋体" w:eastAsia="宋体" w:cs="宋体"/>
                <w:color w:val="000000" w:themeColor="text1"/>
                <w:sz w:val="21"/>
                <w:szCs w:val="21"/>
                <w:highlight w:val="none"/>
                <w:lang w:val="zh-CN"/>
                <w14:textFill>
                  <w14:solidFill>
                    <w14:schemeClr w14:val="tx1"/>
                  </w14:solidFill>
                </w14:textFill>
              </w:rPr>
              <w:t>规定解密时间内使用相应的</w:t>
            </w:r>
            <w:r>
              <w:rPr>
                <w:rFonts w:hint="eastAsia" w:ascii="宋体" w:hAnsi="宋体" w:eastAsia="宋体" w:cs="宋体"/>
                <w:color w:val="000000" w:themeColor="text1"/>
                <w:sz w:val="21"/>
                <w:szCs w:val="21"/>
                <w:highlight w:val="none"/>
                <w:lang w:val="zh-CN" w:eastAsia="zh-CN"/>
                <w14:textFill>
                  <w14:solidFill>
                    <w14:schemeClr w14:val="tx1"/>
                  </w14:solidFill>
                </w14:textFill>
              </w:rPr>
              <w:t>响应文件</w:t>
            </w:r>
            <w:r>
              <w:rPr>
                <w:rFonts w:hint="eastAsia" w:ascii="宋体" w:hAnsi="宋体" w:eastAsia="宋体" w:cs="宋体"/>
                <w:color w:val="000000" w:themeColor="text1"/>
                <w:sz w:val="21"/>
                <w:szCs w:val="21"/>
                <w:highlight w:val="none"/>
                <w:lang w:val="zh-CN"/>
                <w14:textFill>
                  <w14:solidFill>
                    <w14:schemeClr w14:val="tx1"/>
                  </w14:solidFill>
                </w14:textFill>
              </w:rPr>
              <w:t xml:space="preserve"> CA 证书进行在线解密，否则将无法解密。</w:t>
            </w:r>
          </w:p>
          <w:p w14:paraId="226D036B">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四、技术支持</w:t>
            </w:r>
          </w:p>
          <w:p w14:paraId="739795AC">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1.若遇问题可联系工作人员，通过以下方式：可登录“政采云”平台，点击右侧咨询小采，获取采小蜜智能服务管家帮助，或拨打政采云服务热线95763 获取帮助。</w:t>
            </w:r>
          </w:p>
          <w:p w14:paraId="237EE249">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2.为更直观了解、掌握本系统使用方法，建议在具体项目开标前先行浏览本系统相关操作手册，可在本系统登录界面的操作手册页面进行下载、查看。</w:t>
            </w:r>
          </w:p>
          <w:p w14:paraId="0BA4E837">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3.关于后续相关常见问题及注意事项，请及时关注政府采购云平台（网址：http:// www.zcygov.cn）。</w:t>
            </w:r>
          </w:p>
        </w:tc>
      </w:tr>
      <w:tr w14:paraId="09329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5" w:type="dxa"/>
            <w:tcBorders>
              <w:top w:val="single" w:color="auto" w:sz="4" w:space="0"/>
            </w:tcBorders>
            <w:vAlign w:val="center"/>
          </w:tcPr>
          <w:p w14:paraId="13459F9B">
            <w:pPr>
              <w:overflowPunct/>
              <w:bidi w:val="0"/>
              <w:spacing w:line="400" w:lineRule="exact"/>
              <w:jc w:val="center"/>
              <w:outlineLvl w:val="9"/>
              <w:rPr>
                <w:rFonts w:hint="default" w:ascii="宋体" w:hAnsi="宋体"/>
                <w:color w:val="000000" w:themeColor="text1"/>
                <w:szCs w:val="21"/>
                <w:highlight w:val="none"/>
                <w:lang w:val="en-US"/>
                <w14:textFill>
                  <w14:solidFill>
                    <w14:schemeClr w14:val="tx1"/>
                  </w14:solidFill>
                </w14:textFill>
              </w:rPr>
            </w:pPr>
            <w:r>
              <w:rPr>
                <w:rFonts w:hint="eastAsia"/>
                <w:color w:val="000000" w:themeColor="text1"/>
                <w:highlight w:val="none"/>
                <w14:textFill>
                  <w14:solidFill>
                    <w14:schemeClr w14:val="tx1"/>
                  </w14:solidFill>
                </w14:textFill>
              </w:rPr>
              <w:t>10.</w:t>
            </w:r>
            <w:r>
              <w:rPr>
                <w:rFonts w:hint="eastAsia"/>
                <w:color w:val="000000" w:themeColor="text1"/>
                <w:highlight w:val="none"/>
                <w:lang w:val="en-US" w:eastAsia="zh-CN"/>
                <w14:textFill>
                  <w14:solidFill>
                    <w14:schemeClr w14:val="tx1"/>
                  </w14:solidFill>
                </w14:textFill>
              </w:rPr>
              <w:t>7</w:t>
            </w:r>
          </w:p>
        </w:tc>
        <w:tc>
          <w:tcPr>
            <w:tcW w:w="2095" w:type="dxa"/>
            <w:tcBorders>
              <w:top w:val="single" w:color="auto" w:sz="4" w:space="0"/>
            </w:tcBorders>
            <w:vAlign w:val="center"/>
          </w:tcPr>
          <w:p w14:paraId="75AE161C">
            <w:pPr>
              <w:overflowPunct/>
              <w:bidi w:val="0"/>
              <w:spacing w:line="400" w:lineRule="exact"/>
              <w:jc w:val="center"/>
              <w:outlineLvl w:val="9"/>
              <w:rPr>
                <w:rFonts w:ascii="Times New Roman" w:hAnsi="Times New Roman" w:eastAsia="宋体" w:cs="Times New Roman"/>
                <w:color w:val="000000" w:themeColor="text1"/>
                <w:kern w:val="2"/>
                <w:sz w:val="21"/>
                <w:szCs w:val="24"/>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解释权</w:t>
            </w:r>
          </w:p>
        </w:tc>
        <w:tc>
          <w:tcPr>
            <w:tcW w:w="6675" w:type="dxa"/>
            <w:tcBorders>
              <w:top w:val="single" w:color="auto" w:sz="4" w:space="0"/>
            </w:tcBorders>
            <w:vAlign w:val="center"/>
          </w:tcPr>
          <w:p w14:paraId="49077698">
            <w:pPr>
              <w:keepNext w:val="0"/>
              <w:keepLines w:val="0"/>
              <w:pageBreakBefore w:val="0"/>
              <w:widowControl w:val="0"/>
              <w:kinsoku/>
              <w:wordWrap/>
              <w:overflowPunct/>
              <w:topLinePunct w:val="0"/>
              <w:autoSpaceDE/>
              <w:autoSpaceDN/>
              <w:bidi w:val="0"/>
              <w:adjustRightInd/>
              <w:snapToGrid/>
              <w:spacing w:line="0" w:lineRule="atLeast"/>
              <w:ind w:left="0" w:leftChars="0" w:firstLine="0" w:firstLineChars="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构成本磋商文件的各个组成文件应互为解释，互为说明；如有不明确或不一致，构成合同文件组成内容的，以合同文件约定内容为准，且以专用合同条款约定的合同文件优先顺序解释；除磋商文件中有特别规定外，仅适用于招标投标阶段的规定，按磋商公告（投标邀请书）、</w:t>
            </w:r>
            <w:r>
              <w:rPr>
                <w:rFonts w:hint="eastAsia" w:ascii="宋体" w:hAnsi="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lang w:val="en-US" w:eastAsia="zh-CN"/>
                <w14:textFill>
                  <w14:solidFill>
                    <w14:schemeClr w14:val="tx1"/>
                  </w14:solidFill>
                </w14:textFill>
              </w:rPr>
              <w:t>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bl>
    <w:p w14:paraId="41938451">
      <w:pPr>
        <w:overflowPunct/>
        <w:bidi w:val="0"/>
        <w:outlineLvl w:val="9"/>
        <w:rPr>
          <w:rFonts w:hint="eastAsia" w:ascii="宋体" w:hAnsi="宋体"/>
          <w:color w:val="000000" w:themeColor="text1"/>
          <w:sz w:val="22"/>
          <w:szCs w:val="28"/>
          <w:highlight w:val="none"/>
          <w14:textFill>
            <w14:solidFill>
              <w14:schemeClr w14:val="tx1"/>
            </w14:solidFill>
          </w14:textFill>
        </w:rPr>
      </w:pPr>
      <w:r>
        <w:rPr>
          <w:rFonts w:ascii="黑体"/>
          <w:color w:val="000000" w:themeColor="text1"/>
          <w:sz w:val="28"/>
          <w:szCs w:val="28"/>
          <w:highlight w:val="none"/>
          <w14:textFill>
            <w14:solidFill>
              <w14:schemeClr w14:val="tx1"/>
            </w14:solidFill>
          </w14:textFill>
        </w:rPr>
        <w:br w:type="page"/>
      </w:r>
      <w:bookmarkEnd w:id="23"/>
      <w:bookmarkEnd w:id="24"/>
      <w:r>
        <w:rPr>
          <w:rFonts w:hint="eastAsia" w:ascii="宋体" w:hAnsi="宋体"/>
          <w:b/>
          <w:bCs/>
          <w:color w:val="000000" w:themeColor="text1"/>
          <w:sz w:val="28"/>
          <w:szCs w:val="36"/>
          <w:highlight w:val="none"/>
          <w14:textFill>
            <w14:solidFill>
              <w14:schemeClr w14:val="tx1"/>
            </w14:solidFill>
          </w14:textFill>
        </w:rPr>
        <w:t>1 ．总则</w:t>
      </w:r>
      <w:bookmarkEnd w:id="25"/>
    </w:p>
    <w:p w14:paraId="44160B66">
      <w:pPr>
        <w:overflowPunct/>
        <w:bidi w:val="0"/>
        <w:outlineLvl w:val="9"/>
        <w:rPr>
          <w:rFonts w:hint="eastAsia" w:ascii="宋体" w:hAnsi="宋体"/>
          <w:color w:val="000000" w:themeColor="text1"/>
          <w:sz w:val="22"/>
          <w:szCs w:val="28"/>
          <w:highlight w:val="none"/>
          <w14:textFill>
            <w14:solidFill>
              <w14:schemeClr w14:val="tx1"/>
            </w14:solidFill>
          </w14:textFill>
        </w:rPr>
      </w:pPr>
    </w:p>
    <w:p w14:paraId="3123A570">
      <w:pPr>
        <w:overflowPunct/>
        <w:bidi w:val="0"/>
        <w:outlineLvl w:val="9"/>
        <w:rPr>
          <w:rFonts w:ascii="宋体" w:hAnsi="宋体" w:eastAsia="宋体"/>
          <w:b/>
          <w:bCs/>
          <w:color w:val="000000" w:themeColor="text1"/>
          <w:sz w:val="24"/>
          <w:szCs w:val="24"/>
          <w:highlight w:val="none"/>
          <w14:textFill>
            <w14:solidFill>
              <w14:schemeClr w14:val="tx1"/>
            </w14:solidFill>
          </w14:textFill>
        </w:rPr>
      </w:pPr>
      <w:r>
        <w:rPr>
          <w:rFonts w:hint="eastAsia" w:ascii="宋体" w:hAnsi="宋体" w:eastAsia="宋体"/>
          <w:b/>
          <w:bCs/>
          <w:color w:val="000000" w:themeColor="text1"/>
          <w:sz w:val="24"/>
          <w:szCs w:val="24"/>
          <w:highlight w:val="none"/>
          <w14:textFill>
            <w14:solidFill>
              <w14:schemeClr w14:val="tx1"/>
            </w14:solidFill>
          </w14:textFill>
        </w:rPr>
        <w:t>1.1 项目概况</w:t>
      </w:r>
    </w:p>
    <w:p w14:paraId="38B1B73A">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7428EF2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1.1.1 </w:t>
      </w:r>
      <w:r>
        <w:rPr>
          <w:rFonts w:hint="eastAsia" w:ascii="宋体" w:hAnsi="宋体"/>
          <w:color w:val="000000" w:themeColor="text1"/>
          <w:szCs w:val="21"/>
          <w:highlight w:val="none"/>
          <w:lang w:eastAsia="zh-CN"/>
          <w14:textFill>
            <w14:solidFill>
              <w14:schemeClr w14:val="tx1"/>
            </w14:solidFill>
          </w14:textFill>
        </w:rPr>
        <w:t>根据</w:t>
      </w:r>
      <w:r>
        <w:rPr>
          <w:rFonts w:hint="eastAsia" w:ascii="宋体" w:hAnsi="宋体"/>
          <w:color w:val="000000" w:themeColor="text1"/>
          <w:szCs w:val="21"/>
          <w:highlight w:val="none"/>
          <w:lang w:val="zh-CN" w:eastAsia="zh-CN"/>
          <w14:textFill>
            <w14:solidFill>
              <w14:schemeClr w14:val="tx1"/>
            </w14:solidFill>
          </w14:textFill>
        </w:rPr>
        <w:t>《中华人民共和国政府采购法》、《中华人民共和国政府采购法实施条例》、《政府采购竞争性磋商采购方式管理暂行办法》</w:t>
      </w:r>
      <w:r>
        <w:rPr>
          <w:rFonts w:hint="eastAsia" w:ascii="宋体" w:hAnsi="宋体"/>
          <w:color w:val="000000" w:themeColor="text1"/>
          <w:szCs w:val="21"/>
          <w:highlight w:val="none"/>
          <w:lang w:eastAsia="zh-CN"/>
          <w14:textFill>
            <w14:solidFill>
              <w14:schemeClr w14:val="tx1"/>
            </w14:solidFill>
          </w14:textFill>
        </w:rPr>
        <w:t>等有关法律、法规和规章的规定，本采购项目已具备磋商条件</w:t>
      </w:r>
      <w:r>
        <w:rPr>
          <w:rFonts w:hint="eastAsia" w:ascii="宋体" w:hAnsi="宋体"/>
          <w:color w:val="000000" w:themeColor="text1"/>
          <w:szCs w:val="21"/>
          <w:highlight w:val="none"/>
          <w14:textFill>
            <w14:solidFill>
              <w14:schemeClr w14:val="tx1"/>
            </w14:solidFill>
          </w14:textFill>
        </w:rPr>
        <w:t>，现对本项目进行竞争性磋商。</w:t>
      </w:r>
    </w:p>
    <w:p w14:paraId="2BE50D5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1.1.2 本项目采购人：见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1279D8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1.1.3 本项目采购代理机构：见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D71796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1.1.4 本项目采购项目名称：见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3B5BD18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1.1.5 本项目</w:t>
      </w:r>
      <w:r>
        <w:rPr>
          <w:rFonts w:hint="eastAsia" w:ascii="宋体" w:hAnsi="宋体"/>
          <w:color w:val="000000" w:themeColor="text1"/>
          <w:szCs w:val="21"/>
          <w:highlight w:val="none"/>
          <w:lang w:val="en-US" w:eastAsia="zh-CN"/>
          <w14:textFill>
            <w14:solidFill>
              <w14:schemeClr w14:val="tx1"/>
            </w14:solidFill>
          </w14:textFill>
        </w:rPr>
        <w:t>服务</w:t>
      </w:r>
      <w:r>
        <w:rPr>
          <w:rFonts w:hint="eastAsia" w:ascii="宋体" w:hAnsi="宋体"/>
          <w:color w:val="000000" w:themeColor="text1"/>
          <w:szCs w:val="21"/>
          <w:highlight w:val="none"/>
          <w14:textFill>
            <w14:solidFill>
              <w14:schemeClr w14:val="tx1"/>
            </w14:solidFill>
          </w14:textFill>
        </w:rPr>
        <w:t>地点：见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749FC37">
      <w:pPr>
        <w:overflowPunct/>
        <w:bidi w:val="0"/>
        <w:outlineLvl w:val="9"/>
        <w:rPr>
          <w:rFonts w:hint="eastAsia" w:ascii="宋体" w:hAnsi="宋体" w:eastAsia="宋体"/>
          <w:color w:val="000000" w:themeColor="text1"/>
          <w:highlight w:val="none"/>
          <w14:textFill>
            <w14:solidFill>
              <w14:schemeClr w14:val="tx1"/>
            </w14:solidFill>
          </w14:textFill>
        </w:rPr>
      </w:pPr>
    </w:p>
    <w:p w14:paraId="6380AD6C">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1.2 资金来源和落实情况</w:t>
      </w:r>
    </w:p>
    <w:p w14:paraId="0745E16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39C8EE6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1.2.1 本采购项目的资金来源：见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40817A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1.2.2 本采购项目的出资比例：见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1820266D">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1.2.3 本采购项目的资金落实情况：见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5EEDFFE">
      <w:pPr>
        <w:overflowPunct/>
        <w:bidi w:val="0"/>
        <w:outlineLvl w:val="9"/>
        <w:rPr>
          <w:rFonts w:hint="eastAsia" w:ascii="宋体" w:hAnsi="宋体" w:eastAsia="宋体"/>
          <w:color w:val="000000" w:themeColor="text1"/>
          <w:highlight w:val="none"/>
          <w14:textFill>
            <w14:solidFill>
              <w14:schemeClr w14:val="tx1"/>
            </w14:solidFill>
          </w14:textFill>
        </w:rPr>
      </w:pPr>
    </w:p>
    <w:p w14:paraId="0155CC80">
      <w:pPr>
        <w:overflowPunct/>
        <w:bidi w:val="0"/>
        <w:outlineLvl w:val="9"/>
        <w:rPr>
          <w:rFonts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 xml:space="preserve">1.3 </w:t>
      </w:r>
      <w:r>
        <w:rPr>
          <w:rFonts w:hint="eastAsia" w:ascii="宋体" w:hAnsi="宋体" w:eastAsia="宋体"/>
          <w:b/>
          <w:bCs/>
          <w:color w:val="000000" w:themeColor="text1"/>
          <w:sz w:val="24"/>
          <w:szCs w:val="32"/>
          <w:highlight w:val="none"/>
          <w:lang w:val="en-US" w:eastAsia="zh-CN"/>
          <w14:textFill>
            <w14:solidFill>
              <w14:schemeClr w14:val="tx1"/>
            </w14:solidFill>
          </w14:textFill>
        </w:rPr>
        <w:t>采购</w:t>
      </w:r>
      <w:r>
        <w:rPr>
          <w:rFonts w:hint="eastAsia" w:ascii="宋体" w:hAnsi="宋体" w:eastAsia="宋体"/>
          <w:b/>
          <w:bCs/>
          <w:color w:val="000000" w:themeColor="text1"/>
          <w:sz w:val="24"/>
          <w:szCs w:val="32"/>
          <w:highlight w:val="none"/>
          <w14:textFill>
            <w14:solidFill>
              <w14:schemeClr w14:val="tx1"/>
            </w14:solidFill>
          </w14:textFill>
        </w:rPr>
        <w:t>范围、</w:t>
      </w:r>
      <w:r>
        <w:rPr>
          <w:rFonts w:hint="eastAsia" w:ascii="宋体" w:hAnsi="宋体"/>
          <w:b/>
          <w:bCs/>
          <w:color w:val="000000" w:themeColor="text1"/>
          <w:sz w:val="24"/>
          <w:szCs w:val="32"/>
          <w:highlight w:val="none"/>
          <w:lang w:val="en-US" w:eastAsia="zh-CN"/>
          <w14:textFill>
            <w14:solidFill>
              <w14:schemeClr w14:val="tx1"/>
            </w14:solidFill>
          </w14:textFill>
        </w:rPr>
        <w:t>服务</w:t>
      </w:r>
      <w:r>
        <w:rPr>
          <w:rFonts w:hint="eastAsia" w:ascii="宋体" w:hAnsi="宋体" w:eastAsia="宋体"/>
          <w:b/>
          <w:bCs/>
          <w:color w:val="000000" w:themeColor="text1"/>
          <w:sz w:val="24"/>
          <w:szCs w:val="32"/>
          <w:highlight w:val="none"/>
          <w:lang w:val="en-US" w:eastAsia="zh-CN"/>
          <w14:textFill>
            <w14:solidFill>
              <w14:schemeClr w14:val="tx1"/>
            </w14:solidFill>
          </w14:textFill>
        </w:rPr>
        <w:t>期限</w:t>
      </w:r>
      <w:r>
        <w:rPr>
          <w:rFonts w:hint="eastAsia" w:ascii="宋体" w:hAnsi="宋体" w:eastAsia="宋体"/>
          <w:b/>
          <w:bCs/>
          <w:color w:val="000000" w:themeColor="text1"/>
          <w:sz w:val="24"/>
          <w:szCs w:val="32"/>
          <w:highlight w:val="none"/>
          <w14:textFill>
            <w14:solidFill>
              <w14:schemeClr w14:val="tx1"/>
            </w14:solidFill>
          </w14:textFill>
        </w:rPr>
        <w:t>和质量标准</w:t>
      </w:r>
    </w:p>
    <w:p w14:paraId="6C382AAC">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ABB953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1.3.1 本项目</w:t>
      </w:r>
      <w:r>
        <w:rPr>
          <w:rFonts w:hint="eastAsia" w:ascii="宋体" w:hAnsi="宋体"/>
          <w:color w:val="000000" w:themeColor="text1"/>
          <w:szCs w:val="21"/>
          <w:highlight w:val="none"/>
          <w:lang w:val="en-US" w:eastAsia="zh-CN"/>
          <w14:textFill>
            <w14:solidFill>
              <w14:schemeClr w14:val="tx1"/>
            </w14:solidFill>
          </w14:textFill>
        </w:rPr>
        <w:t>采购内容</w:t>
      </w: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493A9C2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1.3.2 本项目</w:t>
      </w:r>
      <w:r>
        <w:rPr>
          <w:rFonts w:hint="eastAsia" w:ascii="宋体" w:hAnsi="宋体"/>
          <w:color w:val="000000" w:themeColor="text1"/>
          <w:szCs w:val="21"/>
          <w:highlight w:val="none"/>
          <w:lang w:val="en-US" w:eastAsia="zh-CN"/>
          <w14:textFill>
            <w14:solidFill>
              <w14:schemeClr w14:val="tx1"/>
            </w14:solidFill>
          </w14:textFill>
        </w:rPr>
        <w:t>服务期限</w:t>
      </w: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1BDD6C5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1.3.3 本项目的质量标准：见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1069E86F">
      <w:pPr>
        <w:overflowPunct/>
        <w:bidi w:val="0"/>
        <w:outlineLvl w:val="9"/>
        <w:rPr>
          <w:rFonts w:hint="eastAsia" w:ascii="宋体" w:hAnsi="宋体" w:eastAsia="宋体"/>
          <w:color w:val="000000" w:themeColor="text1"/>
          <w:highlight w:val="none"/>
          <w14:textFill>
            <w14:solidFill>
              <w14:schemeClr w14:val="tx1"/>
            </w14:solidFill>
          </w14:textFill>
        </w:rPr>
      </w:pPr>
    </w:p>
    <w:p w14:paraId="62B53F9F">
      <w:pPr>
        <w:overflowPunct/>
        <w:bidi w:val="0"/>
        <w:outlineLvl w:val="9"/>
        <w:rPr>
          <w:rFonts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 xml:space="preserve">1.4 </w:t>
      </w:r>
      <w:r>
        <w:rPr>
          <w:rFonts w:hint="eastAsia" w:ascii="宋体" w:hAnsi="宋体" w:eastAsia="宋体"/>
          <w:b/>
          <w:bCs/>
          <w:color w:val="000000" w:themeColor="text1"/>
          <w:sz w:val="24"/>
          <w:szCs w:val="32"/>
          <w:highlight w:val="none"/>
          <w:lang w:eastAsia="zh-CN"/>
          <w14:textFill>
            <w14:solidFill>
              <w14:schemeClr w14:val="tx1"/>
            </w14:solidFill>
          </w14:textFill>
        </w:rPr>
        <w:t>供应商</w:t>
      </w:r>
      <w:r>
        <w:rPr>
          <w:rFonts w:hint="eastAsia" w:ascii="宋体" w:hAnsi="宋体" w:eastAsia="宋体"/>
          <w:b/>
          <w:bCs/>
          <w:color w:val="000000" w:themeColor="text1"/>
          <w:sz w:val="24"/>
          <w:szCs w:val="32"/>
          <w:highlight w:val="none"/>
          <w14:textFill>
            <w14:solidFill>
              <w14:schemeClr w14:val="tx1"/>
            </w14:solidFill>
          </w14:textFill>
        </w:rPr>
        <w:t>资格要求</w:t>
      </w:r>
    </w:p>
    <w:p w14:paraId="50C41523">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1DD9D2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1.4.1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应具备承担本标段的资质条件、能力和信誉。</w:t>
      </w:r>
    </w:p>
    <w:p w14:paraId="15F6584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6355222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1.4</w:t>
      </w:r>
      <w:r>
        <w:rPr>
          <w:rFonts w:hint="eastAsia" w:ascii="宋体" w:hAnsi="宋体" w:eastAsia="宋体" w:cs="Times New Roman"/>
          <w:color w:val="000000" w:themeColor="text1"/>
          <w:szCs w:val="21"/>
          <w:highlight w:val="none"/>
          <w14:textFill>
            <w14:solidFill>
              <w14:schemeClr w14:val="tx1"/>
            </w14:solidFill>
          </w14:textFill>
        </w:rPr>
        <w:t xml:space="preserve">.2 </w:t>
      </w:r>
      <w:r>
        <w:rPr>
          <w:rFonts w:hint="eastAsia" w:ascii="宋体" w:hAnsi="宋体" w:eastAsia="宋体" w:cs="Times New Roman"/>
          <w:color w:val="000000" w:themeColor="text1"/>
          <w:szCs w:val="21"/>
          <w:highlight w:val="none"/>
          <w:lang w:eastAsia="zh-CN"/>
          <w14:textFill>
            <w14:solidFill>
              <w14:schemeClr w14:val="tx1"/>
            </w14:solidFill>
          </w14:textFill>
        </w:rPr>
        <w:t>供应商</w:t>
      </w:r>
      <w:r>
        <w:rPr>
          <w:rFonts w:hint="eastAsia" w:ascii="宋体" w:hAnsi="宋体" w:eastAsia="宋体" w:cs="Times New Roman"/>
          <w:color w:val="000000" w:themeColor="text1"/>
          <w:szCs w:val="21"/>
          <w:highlight w:val="none"/>
          <w14:textFill>
            <w14:solidFill>
              <w14:schemeClr w14:val="tx1"/>
            </w14:solidFill>
          </w14:textFill>
        </w:rPr>
        <w:t>须知前附表规定接受联合体投标的，除应符合本章第1.4.1项和</w:t>
      </w:r>
      <w:r>
        <w:rPr>
          <w:rFonts w:hint="eastAsia" w:ascii="宋体" w:hAnsi="宋体" w:eastAsia="宋体" w:cs="Times New Roman"/>
          <w:color w:val="000000" w:themeColor="text1"/>
          <w:szCs w:val="21"/>
          <w:highlight w:val="none"/>
          <w:lang w:eastAsia="zh-CN"/>
          <w14:textFill>
            <w14:solidFill>
              <w14:schemeClr w14:val="tx1"/>
            </w14:solidFill>
          </w14:textFill>
        </w:rPr>
        <w:t>供应商</w:t>
      </w:r>
      <w:r>
        <w:rPr>
          <w:rFonts w:hint="eastAsia" w:ascii="宋体" w:hAnsi="宋体" w:eastAsia="宋体" w:cs="Times New Roman"/>
          <w:color w:val="000000" w:themeColor="text1"/>
          <w:szCs w:val="21"/>
          <w:highlight w:val="none"/>
          <w14:textFill>
            <w14:solidFill>
              <w14:schemeClr w14:val="tx1"/>
            </w14:solidFill>
          </w14:textFill>
        </w:rPr>
        <w:t>须知前附表的要求外，还应遵守以下规定：</w:t>
      </w:r>
    </w:p>
    <w:p w14:paraId="3BAA77A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(1）联合体各方应按磋商文件提供的格式签订联合体协议书，明确联合体牵头人和各方权利义务；</w:t>
      </w:r>
    </w:p>
    <w:p w14:paraId="36BAE4B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(2）由同一专业的单位组成的联合体，按照资质等级较低的单位确定资质等级；</w:t>
      </w:r>
    </w:p>
    <w:p w14:paraId="2A006E5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(3）联合体各方不得再以自己名义单独或参加其他联合体在同一标段中投标。</w:t>
      </w:r>
    </w:p>
    <w:p w14:paraId="3A1419ED">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1.4.3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不得存在下列情形之一：</w:t>
      </w:r>
    </w:p>
    <w:p w14:paraId="4C0A8C0D">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(1)为</w:t>
      </w:r>
      <w:r>
        <w:rPr>
          <w:rFonts w:hint="eastAsia" w:ascii="宋体" w:hAnsi="宋体" w:cs="宋体"/>
          <w:color w:val="000000" w:themeColor="text1"/>
          <w:szCs w:val="21"/>
          <w:highlight w:val="none"/>
          <w14:textFill>
            <w14:solidFill>
              <w14:schemeClr w14:val="tx1"/>
            </w14:solidFill>
          </w14:textFill>
        </w:rPr>
        <w:t>采购人</w:t>
      </w:r>
      <w:r>
        <w:rPr>
          <w:rFonts w:ascii="宋体" w:hAnsi="宋体" w:cs="宋体"/>
          <w:color w:val="000000" w:themeColor="text1"/>
          <w:szCs w:val="21"/>
          <w:highlight w:val="none"/>
          <w14:textFill>
            <w14:solidFill>
              <w14:schemeClr w14:val="tx1"/>
            </w14:solidFill>
          </w14:textFill>
        </w:rPr>
        <w:t>不具有独立法人资格的附属机构(单位)；</w:t>
      </w:r>
    </w:p>
    <w:p w14:paraId="0E4277BA">
      <w:pPr>
        <w:overflowPunct/>
        <w:bidi w:val="0"/>
        <w:spacing w:line="360" w:lineRule="auto"/>
        <w:ind w:right="105" w:rightChars="50" w:firstLine="420" w:firstLineChars="200"/>
        <w:outlineLvl w:val="9"/>
        <w:rPr>
          <w:rFonts w:hint="eastAsia"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(2)被责令停业的；</w:t>
      </w:r>
    </w:p>
    <w:p w14:paraId="222EFA01">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(3)被暂停或取消</w:t>
      </w:r>
      <w:r>
        <w:rPr>
          <w:rFonts w:hint="eastAsia" w:ascii="宋体" w:hAnsi="宋体" w:cs="宋体"/>
          <w:color w:val="000000" w:themeColor="text1"/>
          <w:szCs w:val="21"/>
          <w:highlight w:val="none"/>
          <w14:textFill>
            <w14:solidFill>
              <w14:schemeClr w14:val="tx1"/>
            </w14:solidFill>
          </w14:textFill>
        </w:rPr>
        <w:t>磋商</w:t>
      </w:r>
      <w:r>
        <w:rPr>
          <w:rFonts w:ascii="宋体" w:hAnsi="宋体" w:cs="宋体"/>
          <w:color w:val="000000" w:themeColor="text1"/>
          <w:szCs w:val="21"/>
          <w:highlight w:val="none"/>
          <w14:textFill>
            <w14:solidFill>
              <w14:schemeClr w14:val="tx1"/>
            </w14:solidFill>
          </w14:textFill>
        </w:rPr>
        <w:t>资格的；</w:t>
      </w:r>
    </w:p>
    <w:p w14:paraId="4741D0A4">
      <w:pPr>
        <w:overflowPunct/>
        <w:bidi w:val="0"/>
        <w:spacing w:line="360" w:lineRule="auto"/>
        <w:ind w:right="105" w:rightChars="50" w:firstLine="420" w:firstLineChars="200"/>
        <w:outlineLvl w:val="9"/>
        <w:rPr>
          <w:rFonts w:ascii="宋体" w:hAnsi="宋体" w:cs="宋体"/>
          <w:color w:val="000000" w:themeColor="text1"/>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(4)财产被接管或冻结的；</w:t>
      </w:r>
    </w:p>
    <w:p w14:paraId="6EC2B60F">
      <w:pPr>
        <w:overflowPunct/>
        <w:bidi w:val="0"/>
        <w:spacing w:line="360" w:lineRule="auto"/>
        <w:ind w:right="105" w:rightChars="50"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r>
        <w:rPr>
          <w:rFonts w:ascii="宋体" w:hAnsi="宋体" w:cs="宋体"/>
          <w:color w:val="000000" w:themeColor="text1"/>
          <w:szCs w:val="21"/>
          <w:highlight w:val="none"/>
          <w14:textFill>
            <w14:solidFill>
              <w14:schemeClr w14:val="tx1"/>
            </w14:solidFill>
          </w14:textFill>
        </w:rPr>
        <w:t>(5)在最近三年内有骗取</w:t>
      </w:r>
      <w:r>
        <w:rPr>
          <w:rFonts w:hint="eastAsia" w:ascii="宋体" w:hAnsi="宋体" w:cs="宋体"/>
          <w:color w:val="000000" w:themeColor="text1"/>
          <w:szCs w:val="21"/>
          <w:highlight w:val="none"/>
          <w14:textFill>
            <w14:solidFill>
              <w14:schemeClr w14:val="tx1"/>
            </w14:solidFill>
          </w14:textFill>
        </w:rPr>
        <w:t>成交</w:t>
      </w:r>
      <w:r>
        <w:rPr>
          <w:rFonts w:ascii="宋体" w:hAnsi="宋体" w:cs="宋体"/>
          <w:color w:val="000000" w:themeColor="text1"/>
          <w:szCs w:val="21"/>
          <w:highlight w:val="none"/>
          <w14:textFill>
            <w14:solidFill>
              <w14:schemeClr w14:val="tx1"/>
            </w14:solidFill>
          </w14:textFill>
        </w:rPr>
        <w:t>或严重违约或重大质量问题的。</w:t>
      </w:r>
    </w:p>
    <w:p w14:paraId="469B59AD">
      <w:pPr>
        <w:overflowPunct/>
        <w:bidi w:val="0"/>
        <w:outlineLvl w:val="9"/>
        <w:rPr>
          <w:rFonts w:hint="eastAsia" w:ascii="宋体" w:hAnsi="宋体" w:eastAsia="宋体"/>
          <w:color w:val="000000" w:themeColor="text1"/>
          <w:highlight w:val="none"/>
          <w14:textFill>
            <w14:solidFill>
              <w14:schemeClr w14:val="tx1"/>
            </w14:solidFill>
          </w14:textFill>
        </w:rPr>
      </w:pPr>
    </w:p>
    <w:p w14:paraId="1EE7EBC0">
      <w:pPr>
        <w:overflowPunct/>
        <w:bidi w:val="0"/>
        <w:outlineLvl w:val="9"/>
        <w:rPr>
          <w:rFonts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1.5 费用承担</w:t>
      </w:r>
    </w:p>
    <w:p w14:paraId="349E3BE4">
      <w:pPr>
        <w:overflowPunct/>
        <w:bidi w:val="0"/>
        <w:spacing w:line="360" w:lineRule="auto"/>
        <w:ind w:firstLine="420" w:firstLineChars="200"/>
        <w:outlineLvl w:val="9"/>
        <w:rPr>
          <w:rFonts w:hint="eastAsia" w:ascii="宋体" w:hAnsi="宋体"/>
          <w:color w:val="000000" w:themeColor="text1"/>
          <w:szCs w:val="21"/>
          <w:highlight w:val="none"/>
          <w:lang w:eastAsia="zh-CN"/>
          <w14:textFill>
            <w14:solidFill>
              <w14:schemeClr w14:val="tx1"/>
            </w14:solidFill>
          </w14:textFill>
        </w:rPr>
      </w:pPr>
    </w:p>
    <w:p w14:paraId="1A43E6E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准备和参加磋商活动发生的费用自理。</w:t>
      </w:r>
    </w:p>
    <w:p w14:paraId="05CCC379">
      <w:pPr>
        <w:overflowPunct/>
        <w:bidi w:val="0"/>
        <w:outlineLvl w:val="9"/>
        <w:rPr>
          <w:rFonts w:hint="eastAsia" w:ascii="宋体" w:hAnsi="宋体" w:eastAsia="宋体"/>
          <w:color w:val="000000" w:themeColor="text1"/>
          <w:highlight w:val="none"/>
          <w14:textFill>
            <w14:solidFill>
              <w14:schemeClr w14:val="tx1"/>
            </w14:solidFill>
          </w14:textFill>
        </w:rPr>
      </w:pPr>
    </w:p>
    <w:p w14:paraId="1CCA5A08">
      <w:pPr>
        <w:overflowPunct/>
        <w:bidi w:val="0"/>
        <w:outlineLvl w:val="9"/>
        <w:rPr>
          <w:rFonts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1.6 保密</w:t>
      </w:r>
    </w:p>
    <w:p w14:paraId="24DDD89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62D6B51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参与磋商活动的各方应对磋商文件和响应文件中的商业和技术等秘密保密，违者应对由此造成的后果承担法律责任。</w:t>
      </w:r>
    </w:p>
    <w:p w14:paraId="21BDD663">
      <w:pPr>
        <w:overflowPunct/>
        <w:bidi w:val="0"/>
        <w:outlineLvl w:val="9"/>
        <w:rPr>
          <w:rFonts w:hint="eastAsia" w:ascii="宋体" w:hAnsi="宋体" w:eastAsia="宋体"/>
          <w:color w:val="000000" w:themeColor="text1"/>
          <w:highlight w:val="none"/>
          <w14:textFill>
            <w14:solidFill>
              <w14:schemeClr w14:val="tx1"/>
            </w14:solidFill>
          </w14:textFill>
        </w:rPr>
      </w:pPr>
    </w:p>
    <w:p w14:paraId="40F94B5F">
      <w:pPr>
        <w:overflowPunct/>
        <w:bidi w:val="0"/>
        <w:outlineLvl w:val="9"/>
        <w:rPr>
          <w:rFonts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1.7 语言文字</w:t>
      </w:r>
    </w:p>
    <w:p w14:paraId="4AFC993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5F9014A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除专用术语外，与磋商活动有关的语言均使用中文。必要时专用术语应附有中文注释。</w:t>
      </w:r>
    </w:p>
    <w:p w14:paraId="0DF4F63D">
      <w:pPr>
        <w:overflowPunct/>
        <w:bidi w:val="0"/>
        <w:outlineLvl w:val="9"/>
        <w:rPr>
          <w:rFonts w:hint="eastAsia" w:ascii="宋体" w:hAnsi="宋体" w:eastAsia="宋体"/>
          <w:color w:val="000000" w:themeColor="text1"/>
          <w:highlight w:val="none"/>
          <w14:textFill>
            <w14:solidFill>
              <w14:schemeClr w14:val="tx1"/>
            </w14:solidFill>
          </w14:textFill>
        </w:rPr>
      </w:pPr>
    </w:p>
    <w:p w14:paraId="3613D270">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1.8 计量单位</w:t>
      </w:r>
    </w:p>
    <w:p w14:paraId="17546680">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7DAE3D5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所有计量均采用中华人民共和国法定计量单位。</w:t>
      </w:r>
    </w:p>
    <w:p w14:paraId="3B717E2A">
      <w:pPr>
        <w:overflowPunct/>
        <w:bidi w:val="0"/>
        <w:outlineLvl w:val="9"/>
        <w:rPr>
          <w:rFonts w:hint="eastAsia" w:ascii="宋体" w:hAnsi="宋体" w:eastAsia="宋体"/>
          <w:color w:val="000000" w:themeColor="text1"/>
          <w:highlight w:val="none"/>
          <w14:textFill>
            <w14:solidFill>
              <w14:schemeClr w14:val="tx1"/>
            </w14:solidFill>
          </w14:textFill>
        </w:rPr>
      </w:pPr>
    </w:p>
    <w:p w14:paraId="6E91D995">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1.9 踏勘现场</w:t>
      </w:r>
    </w:p>
    <w:p w14:paraId="4B514A4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872FFD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1.9.1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须知前附表规定组织踏勘现场的，采购人按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须知前附表规定的时间、地点组织</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踏勘项目现场。</w:t>
      </w:r>
    </w:p>
    <w:p w14:paraId="22D7D82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1.9.2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踏勘现场发生的费用自理。</w:t>
      </w:r>
    </w:p>
    <w:p w14:paraId="4BB3251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 .3 除采购人的原因外，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自行负责在踏勘现场中所发生的人员伤亡和财产损失。</w:t>
      </w:r>
    </w:p>
    <w:p w14:paraId="08029E8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1.9.4 采购人在踏勘现场中介绍的工程场地和相关的周边环境情况，供</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在编制响应文件时参考，采购人不对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据此作出的判断和决策负责。</w:t>
      </w:r>
    </w:p>
    <w:p w14:paraId="6B75A99A">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4EC0C72E">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1.10 磋商预备会</w:t>
      </w:r>
    </w:p>
    <w:p w14:paraId="5146C2E9">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0B0E583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1.10.1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须知前附表规定召开磋商预备会的，采购人按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须知前附表规定的时间和地点召开磋商预备会，澄清</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提出的问题。</w:t>
      </w:r>
    </w:p>
    <w:p w14:paraId="71B38C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1.10.2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须知前附表规定的时间前，以书面形式将提出的问题送达采购人，以便采购人在会议期间澄清。</w:t>
      </w:r>
    </w:p>
    <w:p w14:paraId="53E7935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1.10.3 磋商预备会后，采购人在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须知前附表规定的时间内，将对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所提问题的澄清，以书面方式通知所有购买磋商文件的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。该澄清内容为磋商文件的组成部分。</w:t>
      </w:r>
    </w:p>
    <w:p w14:paraId="0F9FF590">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5A2E335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1.11 分包</w:t>
      </w:r>
    </w:p>
    <w:p w14:paraId="073C8195">
      <w:pPr>
        <w:overflowPunct/>
        <w:bidi w:val="0"/>
        <w:spacing w:line="360" w:lineRule="auto"/>
        <w:ind w:firstLine="420" w:firstLineChars="200"/>
        <w:outlineLvl w:val="9"/>
        <w:rPr>
          <w:rFonts w:hint="eastAsia" w:ascii="宋体" w:hAnsi="宋体"/>
          <w:color w:val="000000" w:themeColor="text1"/>
          <w:szCs w:val="21"/>
          <w:highlight w:val="none"/>
          <w:lang w:eastAsia="zh-CN"/>
          <w14:textFill>
            <w14:solidFill>
              <w14:schemeClr w14:val="tx1"/>
            </w14:solidFill>
          </w14:textFill>
        </w:rPr>
      </w:pPr>
    </w:p>
    <w:p w14:paraId="1BF5361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拟在成交后将中标项目的部分非主体、非关键性工作进行分包的，应符合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须知前附表规定的分包内容、分包金额和接受分包的第三人资质要求等限制性条件。</w:t>
      </w:r>
    </w:p>
    <w:p w14:paraId="58837C27">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45974217">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1.12 偏离</w:t>
      </w:r>
    </w:p>
    <w:p w14:paraId="4B374118">
      <w:pPr>
        <w:overflowPunct/>
        <w:bidi w:val="0"/>
        <w:spacing w:line="360" w:lineRule="auto"/>
        <w:ind w:firstLine="420" w:firstLineChars="200"/>
        <w:outlineLvl w:val="9"/>
        <w:rPr>
          <w:rFonts w:hint="eastAsia" w:ascii="宋体" w:hAnsi="宋体"/>
          <w:color w:val="000000" w:themeColor="text1"/>
          <w:szCs w:val="21"/>
          <w:highlight w:val="none"/>
          <w:lang w:eastAsia="zh-CN"/>
          <w14:textFill>
            <w14:solidFill>
              <w14:schemeClr w14:val="tx1"/>
            </w14:solidFill>
          </w14:textFill>
        </w:rPr>
      </w:pPr>
    </w:p>
    <w:p w14:paraId="2A805AF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须知前附表允许响应文件偏离磋商文件某些要求的，偏离应当符合磋商文件规定的偏离范围和幅度。</w:t>
      </w:r>
    </w:p>
    <w:p w14:paraId="79145771">
      <w:pPr>
        <w:overflowPunct/>
        <w:bidi w:val="0"/>
        <w:outlineLvl w:val="9"/>
        <w:rPr>
          <w:rFonts w:hint="eastAsia" w:ascii="宋体" w:hAnsi="宋体"/>
          <w:b/>
          <w:bCs/>
          <w:color w:val="000000" w:themeColor="text1"/>
          <w:sz w:val="28"/>
          <w:szCs w:val="36"/>
          <w:highlight w:val="none"/>
          <w14:textFill>
            <w14:solidFill>
              <w14:schemeClr w14:val="tx1"/>
            </w14:solidFill>
          </w14:textFill>
        </w:rPr>
      </w:pPr>
      <w:bookmarkStart w:id="27" w:name="_Toc184635072"/>
    </w:p>
    <w:p w14:paraId="07D79020">
      <w:pPr>
        <w:overflowPunct/>
        <w:bidi w:val="0"/>
        <w:outlineLvl w:val="9"/>
        <w:rPr>
          <w:rFonts w:hint="eastAsia" w:ascii="宋体" w:hAnsi="宋体"/>
          <w:b/>
          <w:bCs/>
          <w:color w:val="000000" w:themeColor="text1"/>
          <w:sz w:val="28"/>
          <w:szCs w:val="36"/>
          <w:highlight w:val="none"/>
          <w14:textFill>
            <w14:solidFill>
              <w14:schemeClr w14:val="tx1"/>
            </w14:solidFill>
          </w14:textFill>
        </w:rPr>
      </w:pPr>
      <w:r>
        <w:rPr>
          <w:rFonts w:hint="eastAsia" w:ascii="宋体" w:hAnsi="宋体"/>
          <w:b/>
          <w:bCs/>
          <w:color w:val="000000" w:themeColor="text1"/>
          <w:sz w:val="28"/>
          <w:szCs w:val="36"/>
          <w:highlight w:val="none"/>
          <w14:textFill>
            <w14:solidFill>
              <w14:schemeClr w14:val="tx1"/>
            </w14:solidFill>
          </w14:textFill>
        </w:rPr>
        <w:t>2．磋商文件</w:t>
      </w:r>
      <w:bookmarkEnd w:id="27"/>
    </w:p>
    <w:p w14:paraId="6A13828A">
      <w:pPr>
        <w:overflowPunct/>
        <w:bidi w:val="0"/>
        <w:outlineLvl w:val="9"/>
        <w:rPr>
          <w:rFonts w:hint="eastAsia" w:ascii="宋体" w:hAnsi="宋体"/>
          <w:color w:val="000000" w:themeColor="text1"/>
          <w:highlight w:val="none"/>
          <w14:textFill>
            <w14:solidFill>
              <w14:schemeClr w14:val="tx1"/>
            </w14:solidFill>
          </w14:textFill>
        </w:rPr>
      </w:pPr>
    </w:p>
    <w:p w14:paraId="107DA4CE">
      <w:pPr>
        <w:overflowPunct/>
        <w:bidi w:val="0"/>
        <w:outlineLvl w:val="9"/>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2.1 磋商文件的组成</w:t>
      </w:r>
    </w:p>
    <w:p w14:paraId="3EFFEC18">
      <w:pPr>
        <w:overflowPunct/>
        <w:bidi w:val="0"/>
        <w:outlineLvl w:val="9"/>
        <w:rPr>
          <w:rFonts w:hint="eastAsia" w:ascii="宋体" w:hAnsi="宋体" w:eastAsia="宋体"/>
          <w:color w:val="000000" w:themeColor="text1"/>
          <w:highlight w:val="none"/>
          <w14:textFill>
            <w14:solidFill>
              <w14:schemeClr w14:val="tx1"/>
            </w14:solidFill>
          </w14:textFill>
        </w:rPr>
      </w:pPr>
    </w:p>
    <w:p w14:paraId="7B52359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本磋商文件包括：</w:t>
      </w:r>
    </w:p>
    <w:p w14:paraId="3BDBBCD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竞争性</w:t>
      </w:r>
      <w:r>
        <w:rPr>
          <w:rFonts w:hint="eastAsia" w:ascii="宋体" w:hAnsi="宋体"/>
          <w:color w:val="000000" w:themeColor="text1"/>
          <w:szCs w:val="21"/>
          <w:highlight w:val="none"/>
          <w14:textFill>
            <w14:solidFill>
              <w14:schemeClr w14:val="tx1"/>
            </w14:solidFill>
          </w14:textFill>
        </w:rPr>
        <w:t>磋商公告；</w:t>
      </w:r>
    </w:p>
    <w:p w14:paraId="25B095A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w:t>
      </w:r>
    </w:p>
    <w:p w14:paraId="27CF9BE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(3）评审办法；</w:t>
      </w:r>
    </w:p>
    <w:p w14:paraId="223D76E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(4）合同条款及格式；</w:t>
      </w:r>
    </w:p>
    <w:p w14:paraId="07D2817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w:t>
      </w:r>
      <w:r>
        <w:rPr>
          <w:rFonts w:hint="eastAsia" w:ascii="宋体" w:hAnsi="宋体"/>
          <w:color w:val="000000" w:themeColor="text1"/>
          <w:szCs w:val="21"/>
          <w:highlight w:val="none"/>
          <w:lang w:val="en-US" w:eastAsia="zh-CN"/>
          <w14:textFill>
            <w14:solidFill>
              <w14:schemeClr w14:val="tx1"/>
            </w14:solidFill>
          </w14:textFill>
        </w:rPr>
        <w:t>采购需求</w:t>
      </w:r>
      <w:r>
        <w:rPr>
          <w:rFonts w:hint="eastAsia" w:ascii="宋体" w:hAnsi="宋体"/>
          <w:color w:val="000000" w:themeColor="text1"/>
          <w:szCs w:val="21"/>
          <w:highlight w:val="none"/>
          <w14:textFill>
            <w14:solidFill>
              <w14:schemeClr w14:val="tx1"/>
            </w14:solidFill>
          </w14:textFill>
        </w:rPr>
        <w:t>；</w:t>
      </w:r>
    </w:p>
    <w:p w14:paraId="014E1F4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w:t>
      </w:r>
      <w:r>
        <w:rPr>
          <w:rFonts w:hint="eastAsia" w:ascii="宋体" w:hAnsi="宋体"/>
          <w:color w:val="000000" w:themeColor="text1"/>
          <w:szCs w:val="21"/>
          <w:highlight w:val="none"/>
          <w:lang w:val="en-US" w:eastAsia="zh-CN"/>
          <w14:textFill>
            <w14:solidFill>
              <w14:schemeClr w14:val="tx1"/>
            </w14:solidFill>
          </w14:textFill>
        </w:rPr>
        <w:t>响应文件格式</w:t>
      </w:r>
      <w:r>
        <w:rPr>
          <w:rFonts w:hint="eastAsia" w:ascii="宋体" w:hAnsi="宋体"/>
          <w:color w:val="000000" w:themeColor="text1"/>
          <w:szCs w:val="21"/>
          <w:highlight w:val="none"/>
          <w14:textFill>
            <w14:solidFill>
              <w14:schemeClr w14:val="tx1"/>
            </w14:solidFill>
          </w14:textFill>
        </w:rPr>
        <w:t>；</w:t>
      </w:r>
    </w:p>
    <w:p w14:paraId="3E3CE6E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根据本章第1.10 款、第2.2 款和第2.3 款对磋商文件所作的澄清、修改，构成磋商文件的组成部分。</w:t>
      </w:r>
    </w:p>
    <w:p w14:paraId="0D8DB6F6">
      <w:pPr>
        <w:overflowPunct/>
        <w:bidi w:val="0"/>
        <w:outlineLvl w:val="9"/>
        <w:rPr>
          <w:rFonts w:hint="eastAsia" w:ascii="宋体" w:hAnsi="宋体" w:eastAsia="宋体"/>
          <w:b/>
          <w:bCs/>
          <w:color w:val="000000" w:themeColor="text1"/>
          <w:sz w:val="24"/>
          <w:szCs w:val="32"/>
          <w:highlight w:val="none"/>
          <w14:textFill>
            <w14:solidFill>
              <w14:schemeClr w14:val="tx1"/>
            </w14:solidFill>
          </w14:textFill>
        </w:rPr>
      </w:pPr>
    </w:p>
    <w:p w14:paraId="5D1C154E">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2.2 磋商文件的澄清</w:t>
      </w:r>
      <w:r>
        <w:rPr>
          <w:rFonts w:hint="eastAsia" w:ascii="宋体" w:hAnsi="宋体" w:eastAsia="宋体"/>
          <w:b/>
          <w:bCs/>
          <w:color w:val="000000" w:themeColor="text1"/>
          <w:sz w:val="24"/>
          <w:szCs w:val="32"/>
          <w:highlight w:val="none"/>
          <w:lang w:val="en-US" w:eastAsia="zh-CN"/>
          <w14:textFill>
            <w14:solidFill>
              <w14:schemeClr w14:val="tx1"/>
            </w14:solidFill>
          </w14:textFill>
        </w:rPr>
        <w:t>和</w:t>
      </w:r>
      <w:r>
        <w:rPr>
          <w:rFonts w:hint="eastAsia" w:ascii="宋体" w:hAnsi="宋体" w:eastAsia="宋体"/>
          <w:b/>
          <w:bCs/>
          <w:color w:val="000000" w:themeColor="text1"/>
          <w:sz w:val="24"/>
          <w:szCs w:val="32"/>
          <w:highlight w:val="none"/>
          <w14:textFill>
            <w14:solidFill>
              <w14:schemeClr w14:val="tx1"/>
            </w14:solidFill>
          </w14:textFill>
        </w:rPr>
        <w:t>修改</w:t>
      </w:r>
    </w:p>
    <w:p w14:paraId="77B9D11A">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en-US" w:eastAsia="zh-CN"/>
          <w14:textFill>
            <w14:solidFill>
              <w14:schemeClr w14:val="tx1"/>
            </w14:solidFill>
          </w14:textFill>
        </w:rPr>
      </w:pPr>
      <w:bookmarkStart w:id="28" w:name="_Toc184635073"/>
    </w:p>
    <w:p w14:paraId="2D7F952A">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2.2.1</w:t>
      </w:r>
      <w:r>
        <w:rPr>
          <w:rFonts w:hint="eastAsia" w:ascii="宋体" w:hAnsi="宋体" w:eastAsia="宋体" w:cs="宋体"/>
          <w:bCs/>
          <w:color w:val="000000" w:themeColor="text1"/>
          <w:szCs w:val="18"/>
          <w:highlight w:val="none"/>
          <w:lang w:val="zh-CN"/>
          <w14:textFill>
            <w14:solidFill>
              <w14:schemeClr w14:val="tx1"/>
            </w14:solidFill>
          </w14:textFill>
        </w:rPr>
        <w:t>任何要求对招标文件进行澄清的</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，采购人可在投标截止时间5日前（含）对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文件进行澄清、修改、补充。</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文件的澄清、修改、补充文件将在“政采云”平台(http：//www.zcygov.cn)向潜在</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发出。</w:t>
      </w:r>
    </w:p>
    <w:p w14:paraId="66E5BAFF">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2.2.2</w:t>
      </w:r>
      <w:r>
        <w:rPr>
          <w:rFonts w:hint="eastAsia" w:ascii="宋体" w:hAnsi="宋体" w:eastAsia="宋体" w:cs="宋体"/>
          <w:bCs/>
          <w:color w:val="000000" w:themeColor="text1"/>
          <w:szCs w:val="18"/>
          <w:highlight w:val="none"/>
          <w:lang w:val="zh-CN"/>
          <w14:textFill>
            <w14:solidFill>
              <w14:schemeClr w14:val="tx1"/>
            </w14:solidFill>
          </w14:textFill>
        </w:rPr>
        <w:t xml:space="preserve"> 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文件内容进行质疑的</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均应在《中华人民共和国政府采购法》、《中华人民共和国政府采购法实施条例》规定时间内在“政采云”平台(http：//www.zcygov.cn)提交给采购代理机构，超过规定期限提出的招标文件质疑将不予受理。采购代理机构对收到的质疑要求视所提问题的具体情况在“政采云”平台(http：//www.zcygov.cn)予以答复、发出。答复中可以包括所提的问题，但不包括问题的来源。</w:t>
      </w:r>
    </w:p>
    <w:p w14:paraId="19C564EE">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2.2.3</w:t>
      </w:r>
      <w:r>
        <w:rPr>
          <w:rFonts w:hint="eastAsia" w:ascii="宋体" w:hAnsi="宋体" w:eastAsia="宋体" w:cs="宋体"/>
          <w:bCs/>
          <w:color w:val="000000" w:themeColor="text1"/>
          <w:szCs w:val="18"/>
          <w:highlight w:val="none"/>
          <w:lang w:val="zh-CN"/>
          <w14:textFill>
            <w14:solidFill>
              <w14:schemeClr w14:val="tx1"/>
            </w14:solidFill>
          </w14:textFill>
        </w:rPr>
        <w:t xml:space="preserve"> </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文件的澄清、修改、补充文件均构成招标文件的组成部分，对所有</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具有约束力，而无论其是否已经实际收到该澄清、修改、补充文件（包括答疑会纪要）。</w:t>
      </w:r>
    </w:p>
    <w:p w14:paraId="51B1EEB4">
      <w:pPr>
        <w:overflowPunct/>
        <w:autoSpaceDE w:val="0"/>
        <w:autoSpaceDN w:val="0"/>
        <w:bidi w:val="0"/>
        <w:adjustRightInd w:val="0"/>
        <w:spacing w:line="400" w:lineRule="exact"/>
        <w:ind w:firstLine="420"/>
        <w:jc w:val="left"/>
        <w:outlineLvl w:val="9"/>
        <w:rPr>
          <w:rFonts w:hint="eastAsia" w:ascii="宋体" w:hAnsi="宋体" w:eastAsia="宋体" w:cs="宋体"/>
          <w:bCs/>
          <w:color w:val="000000" w:themeColor="text1"/>
          <w:szCs w:val="18"/>
          <w:highlight w:val="none"/>
          <w:lang w:val="zh-CN"/>
          <w14:textFill>
            <w14:solidFill>
              <w14:schemeClr w14:val="tx1"/>
            </w14:solidFill>
          </w14:textFill>
        </w:rPr>
      </w:pPr>
      <w:r>
        <w:rPr>
          <w:rFonts w:hint="eastAsia" w:ascii="宋体" w:hAnsi="宋体" w:eastAsia="宋体" w:cs="宋体"/>
          <w:bCs/>
          <w:color w:val="000000" w:themeColor="text1"/>
          <w:szCs w:val="18"/>
          <w:highlight w:val="none"/>
          <w:lang w:val="en-US" w:eastAsia="zh-CN"/>
          <w14:textFill>
            <w14:solidFill>
              <w14:schemeClr w14:val="tx1"/>
            </w14:solidFill>
          </w14:textFill>
        </w:rPr>
        <w:t>2.2.4</w:t>
      </w:r>
      <w:r>
        <w:rPr>
          <w:rFonts w:hint="eastAsia" w:ascii="宋体" w:hAnsi="宋体" w:eastAsia="宋体" w:cs="宋体"/>
          <w:bCs/>
          <w:color w:val="000000" w:themeColor="text1"/>
          <w:szCs w:val="18"/>
          <w:highlight w:val="none"/>
          <w:lang w:val="zh-CN"/>
          <w14:textFill>
            <w14:solidFill>
              <w14:schemeClr w14:val="tx1"/>
            </w14:solidFill>
          </w14:textFill>
        </w:rPr>
        <w:t>为使</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有充分的时间对</w:t>
      </w:r>
      <w:r>
        <w:rPr>
          <w:rFonts w:hint="eastAsia" w:ascii="宋体" w:hAnsi="宋体" w:eastAsia="宋体" w:cs="宋体"/>
          <w:bCs/>
          <w:color w:val="000000" w:themeColor="text1"/>
          <w:szCs w:val="18"/>
          <w:highlight w:val="none"/>
          <w:lang w:val="en-US" w:eastAsia="zh-CN"/>
          <w14:textFill>
            <w14:solidFill>
              <w14:schemeClr w14:val="tx1"/>
            </w14:solidFill>
          </w14:textFill>
        </w:rPr>
        <w:t>磋商</w:t>
      </w:r>
      <w:r>
        <w:rPr>
          <w:rFonts w:hint="eastAsia" w:ascii="宋体" w:hAnsi="宋体" w:eastAsia="宋体" w:cs="宋体"/>
          <w:bCs/>
          <w:color w:val="000000" w:themeColor="text1"/>
          <w:szCs w:val="18"/>
          <w:highlight w:val="none"/>
          <w:lang w:val="zh-CN"/>
          <w14:textFill>
            <w14:solidFill>
              <w14:schemeClr w14:val="tx1"/>
            </w14:solidFill>
          </w14:textFill>
        </w:rPr>
        <w:t>文件的澄清、修改、补充部分进行研究，采购人可在投标截止时间前 3日自行决定酌情延长投标截止时间，延长投标截止时间的公告将在“政采云”平台(http：//www.zcygov.cn)向所有潜在</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发出。在这种情况下，采购代理机构和</w:t>
      </w:r>
      <w:r>
        <w:rPr>
          <w:rFonts w:hint="eastAsia" w:ascii="宋体" w:hAnsi="宋体" w:cs="宋体"/>
          <w:bCs/>
          <w:color w:val="000000" w:themeColor="text1"/>
          <w:szCs w:val="18"/>
          <w:highlight w:val="none"/>
          <w:lang w:val="zh-CN"/>
          <w14:textFill>
            <w14:solidFill>
              <w14:schemeClr w14:val="tx1"/>
            </w14:solidFill>
          </w14:textFill>
        </w:rPr>
        <w:t>供应商</w:t>
      </w:r>
      <w:r>
        <w:rPr>
          <w:rFonts w:hint="eastAsia" w:ascii="宋体" w:hAnsi="宋体" w:eastAsia="宋体" w:cs="宋体"/>
          <w:bCs/>
          <w:color w:val="000000" w:themeColor="text1"/>
          <w:szCs w:val="18"/>
          <w:highlight w:val="none"/>
          <w:lang w:val="zh-CN"/>
          <w14:textFill>
            <w14:solidFill>
              <w14:schemeClr w14:val="tx1"/>
            </w14:solidFill>
          </w14:textFill>
        </w:rPr>
        <w:t>受投标截止时间制约的所有权利和义务均相应延长至新的投标截止时间。</w:t>
      </w:r>
    </w:p>
    <w:p w14:paraId="35B56497">
      <w:pPr>
        <w:overflowPunct/>
        <w:bidi w:val="0"/>
        <w:outlineLvl w:val="9"/>
        <w:rPr>
          <w:rFonts w:hint="eastAsia" w:ascii="宋体" w:hAnsi="宋体"/>
          <w:color w:val="000000" w:themeColor="text1"/>
          <w:highlight w:val="none"/>
          <w14:textFill>
            <w14:solidFill>
              <w14:schemeClr w14:val="tx1"/>
            </w14:solidFill>
          </w14:textFill>
        </w:rPr>
      </w:pPr>
    </w:p>
    <w:p w14:paraId="67909EC4">
      <w:pPr>
        <w:overflowPunct/>
        <w:bidi w:val="0"/>
        <w:outlineLvl w:val="9"/>
        <w:rPr>
          <w:rFonts w:hint="eastAsia" w:ascii="宋体" w:hAnsi="宋体"/>
          <w:b/>
          <w:bCs/>
          <w:color w:val="000000" w:themeColor="text1"/>
          <w:sz w:val="28"/>
          <w:szCs w:val="36"/>
          <w:highlight w:val="none"/>
          <w14:textFill>
            <w14:solidFill>
              <w14:schemeClr w14:val="tx1"/>
            </w14:solidFill>
          </w14:textFill>
        </w:rPr>
      </w:pPr>
      <w:r>
        <w:rPr>
          <w:rFonts w:hint="eastAsia" w:ascii="宋体" w:hAnsi="宋体"/>
          <w:b/>
          <w:bCs/>
          <w:color w:val="000000" w:themeColor="text1"/>
          <w:sz w:val="28"/>
          <w:szCs w:val="36"/>
          <w:highlight w:val="none"/>
          <w14:textFill>
            <w14:solidFill>
              <w14:schemeClr w14:val="tx1"/>
            </w14:solidFill>
          </w14:textFill>
        </w:rPr>
        <w:t>3．响应文件</w:t>
      </w:r>
      <w:bookmarkEnd w:id="28"/>
    </w:p>
    <w:p w14:paraId="7C4EEB6E">
      <w:pPr>
        <w:overflowPunct/>
        <w:bidi w:val="0"/>
        <w:outlineLvl w:val="9"/>
        <w:rPr>
          <w:rFonts w:hint="eastAsia" w:ascii="宋体" w:hAnsi="宋体"/>
          <w:color w:val="000000" w:themeColor="text1"/>
          <w:highlight w:val="none"/>
          <w14:textFill>
            <w14:solidFill>
              <w14:schemeClr w14:val="tx1"/>
            </w14:solidFill>
          </w14:textFill>
        </w:rPr>
      </w:pPr>
    </w:p>
    <w:p w14:paraId="722DEEB1">
      <w:pPr>
        <w:overflowPunct/>
        <w:bidi w:val="0"/>
        <w:outlineLvl w:val="9"/>
        <w:rPr>
          <w:rFonts w:hint="eastAsia" w:ascii="宋体" w:hAnsi="宋体" w:eastAsia="宋体"/>
          <w:b/>
          <w:bCs/>
          <w:color w:val="000000" w:themeColor="text1"/>
          <w:sz w:val="24"/>
          <w:szCs w:val="32"/>
          <w:highlight w:val="none"/>
          <w14:textFill>
            <w14:solidFill>
              <w14:schemeClr w14:val="tx1"/>
            </w14:solidFill>
          </w14:textFill>
        </w:rPr>
      </w:pPr>
      <w:r>
        <w:rPr>
          <w:rFonts w:hint="eastAsia" w:ascii="宋体" w:hAnsi="宋体" w:eastAsia="宋体"/>
          <w:b/>
          <w:bCs/>
          <w:color w:val="000000" w:themeColor="text1"/>
          <w:sz w:val="24"/>
          <w:szCs w:val="32"/>
          <w:highlight w:val="none"/>
          <w14:textFill>
            <w14:solidFill>
              <w14:schemeClr w14:val="tx1"/>
            </w14:solidFill>
          </w14:textFill>
        </w:rPr>
        <w:t>3.1 响应文件的组成</w:t>
      </w:r>
    </w:p>
    <w:p w14:paraId="6D08B05E">
      <w:pPr>
        <w:overflowPunct/>
        <w:bidi w:val="0"/>
        <w:outlineLvl w:val="9"/>
        <w:rPr>
          <w:rFonts w:hint="eastAsia" w:ascii="宋体" w:hAnsi="宋体" w:eastAsia="宋体"/>
          <w:color w:val="000000" w:themeColor="text1"/>
          <w:highlight w:val="none"/>
          <w14:textFill>
            <w14:solidFill>
              <w14:schemeClr w14:val="tx1"/>
            </w14:solidFill>
          </w14:textFill>
        </w:rPr>
      </w:pPr>
    </w:p>
    <w:p w14:paraId="73E438C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3.1.1</w:t>
      </w:r>
      <w:r>
        <w:rPr>
          <w:rFonts w:hint="eastAsia" w:ascii="宋体" w:hAnsi="宋体"/>
          <w:color w:val="000000" w:themeColor="text1"/>
          <w:szCs w:val="21"/>
          <w:highlight w:val="none"/>
          <w14:textFill>
            <w14:solidFill>
              <w14:schemeClr w14:val="tx1"/>
            </w14:solidFill>
          </w14:textFill>
        </w:rPr>
        <w:t xml:space="preserve"> 响应文件应包括下列内容</w:t>
      </w:r>
      <w:r>
        <w:rPr>
          <w:rFonts w:ascii="宋体" w:hAnsi="宋体"/>
          <w:color w:val="000000" w:themeColor="text1"/>
          <w:szCs w:val="21"/>
          <w:highlight w:val="none"/>
          <w14:textFill>
            <w14:solidFill>
              <w14:schemeClr w14:val="tx1"/>
            </w14:solidFill>
          </w14:textFill>
        </w:rPr>
        <w:t>：</w:t>
      </w:r>
    </w:p>
    <w:p w14:paraId="142880BC">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一、磋商函</w:t>
      </w:r>
    </w:p>
    <w:p w14:paraId="044E0180">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二、法定代表人资格证明</w:t>
      </w:r>
    </w:p>
    <w:p w14:paraId="57DB2FEC">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三、授权委托书</w:t>
      </w:r>
    </w:p>
    <w:p w14:paraId="78D4FD68">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四、报价一览表</w:t>
      </w:r>
    </w:p>
    <w:p w14:paraId="730A1600">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五、磋商保证金</w:t>
      </w:r>
    </w:p>
    <w:p w14:paraId="75502181">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六、资格审查资料</w:t>
      </w:r>
    </w:p>
    <w:p w14:paraId="746300CE">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七、</w:t>
      </w:r>
      <w:r>
        <w:rPr>
          <w:rFonts w:hint="eastAsia" w:ascii="宋体" w:hAnsi="宋体"/>
          <w:color w:val="000000" w:themeColor="text1"/>
          <w:szCs w:val="21"/>
          <w:highlight w:val="none"/>
          <w:lang w:val="en-US" w:eastAsia="zh-CN"/>
          <w14:textFill>
            <w14:solidFill>
              <w14:schemeClr w14:val="tx1"/>
            </w14:solidFill>
          </w14:textFill>
        </w:rPr>
        <w:t>技术部分</w:t>
      </w:r>
    </w:p>
    <w:p w14:paraId="5FD73A05">
      <w:pPr>
        <w:overflowPunct/>
        <w:autoSpaceDE w:val="0"/>
        <w:autoSpaceDN w:val="0"/>
        <w:bidi w:val="0"/>
        <w:adjustRightInd w:val="0"/>
        <w:spacing w:line="400" w:lineRule="exact"/>
        <w:ind w:left="638" w:leftChars="304" w:firstLine="0" w:firstLineChars="0"/>
        <w:jc w:val="left"/>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八、</w:t>
      </w:r>
      <w:r>
        <w:rPr>
          <w:rFonts w:hint="eastAsia" w:ascii="宋体" w:hAnsi="宋体"/>
          <w:color w:val="000000" w:themeColor="text1"/>
          <w:szCs w:val="21"/>
          <w:highlight w:val="none"/>
          <w14:textFill>
            <w14:solidFill>
              <w14:schemeClr w14:val="tx1"/>
            </w14:solidFill>
          </w14:textFill>
        </w:rPr>
        <w:t>其他资料</w:t>
      </w:r>
    </w:p>
    <w:p w14:paraId="03E990C0">
      <w:pPr>
        <w:overflowPunct/>
        <w:autoSpaceDE w:val="0"/>
        <w:autoSpaceDN w:val="0"/>
        <w:bidi w:val="0"/>
        <w:adjustRightInd w:val="0"/>
        <w:spacing w:line="400" w:lineRule="exact"/>
        <w:jc w:val="left"/>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3.1.2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须知前附表规定不接受联合体投标的，或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没有组成联合体的，响应文件不包括本章第3.1.1 （3）所指的联合体协议书。</w:t>
      </w:r>
    </w:p>
    <w:p w14:paraId="186BF506">
      <w:pPr>
        <w:overflowPunct/>
        <w:bidi w:val="0"/>
        <w:outlineLvl w:val="9"/>
        <w:rPr>
          <w:rFonts w:hint="eastAsia" w:ascii="宋体" w:hAnsi="宋体" w:eastAsia="宋体"/>
          <w:color w:val="000000" w:themeColor="text1"/>
          <w:highlight w:val="none"/>
          <w14:textFill>
            <w14:solidFill>
              <w14:schemeClr w14:val="tx1"/>
            </w14:solidFill>
          </w14:textFill>
        </w:rPr>
      </w:pPr>
    </w:p>
    <w:p w14:paraId="72A4BD51">
      <w:pPr>
        <w:overflowPunct/>
        <w:bidi w:val="0"/>
        <w:outlineLvl w:val="9"/>
        <w:rPr>
          <w:rFonts w:ascii="宋体" w:hAnsi="宋体" w:eastAsia="宋体"/>
          <w:b/>
          <w:bCs/>
          <w:color w:val="000000" w:themeColor="text1"/>
          <w:sz w:val="28"/>
          <w:szCs w:val="36"/>
          <w:highlight w:val="none"/>
          <w14:textFill>
            <w14:solidFill>
              <w14:schemeClr w14:val="tx1"/>
            </w14:solidFill>
          </w14:textFill>
        </w:rPr>
      </w:pPr>
      <w:r>
        <w:rPr>
          <w:rFonts w:hint="eastAsia" w:ascii="宋体" w:hAnsi="宋体" w:eastAsia="宋体"/>
          <w:b/>
          <w:bCs/>
          <w:color w:val="000000" w:themeColor="text1"/>
          <w:sz w:val="28"/>
          <w:szCs w:val="36"/>
          <w:highlight w:val="none"/>
          <w14:textFill>
            <w14:solidFill>
              <w14:schemeClr w14:val="tx1"/>
            </w14:solidFill>
          </w14:textFill>
        </w:rPr>
        <w:t>3.2 磋商报价</w:t>
      </w:r>
    </w:p>
    <w:p w14:paraId="343E7E3B">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6C2AD46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应按采购人提供的“采购需求”的要求填写</w:t>
      </w:r>
      <w:r>
        <w:rPr>
          <w:rFonts w:hint="eastAsia" w:ascii="宋体" w:hAnsi="宋体"/>
          <w:color w:val="000000" w:themeColor="text1"/>
          <w:szCs w:val="21"/>
          <w:highlight w:val="none"/>
          <w:lang w:val="en-US" w:eastAsia="zh-CN"/>
          <w14:textFill>
            <w14:solidFill>
              <w14:schemeClr w14:val="tx1"/>
            </w14:solidFill>
          </w14:textFill>
        </w:rPr>
        <w:t>报价</w:t>
      </w:r>
      <w:r>
        <w:rPr>
          <w:rFonts w:hint="eastAsia" w:ascii="宋体" w:hAnsi="宋体"/>
          <w:color w:val="000000" w:themeColor="text1"/>
          <w:szCs w:val="21"/>
          <w:highlight w:val="none"/>
          <w14:textFill>
            <w14:solidFill>
              <w14:schemeClr w14:val="tx1"/>
            </w14:solidFill>
          </w14:textFill>
        </w:rPr>
        <w:t>。</w:t>
      </w:r>
    </w:p>
    <w:p w14:paraId="389A508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磋商报价总额为各分项金额之和。</w:t>
      </w:r>
    </w:p>
    <w:p w14:paraId="3976A1E0">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.3 采购人设有采购预算的，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的磋商报价不得超过采购预算。</w:t>
      </w:r>
    </w:p>
    <w:p w14:paraId="6A7EA16D">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.4 磋商报价为</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在响应文件中提出的各项报价的总和。</w:t>
      </w:r>
    </w:p>
    <w:p w14:paraId="73909CC7">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 xml:space="preserve">.5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的磋商报价，应是完成本须知和竞争性磋商中所列采购需求的全部，作为</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计算单价或总价的依据。</w:t>
      </w:r>
    </w:p>
    <w:p w14:paraId="0A1E058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.6</w:t>
      </w:r>
      <w:r>
        <w:rPr>
          <w:rFonts w:ascii="宋体" w:hAnsi="宋体"/>
          <w:color w:val="000000" w:themeColor="text1"/>
          <w:szCs w:val="21"/>
          <w:highlight w:val="none"/>
          <w14:textFill>
            <w14:solidFill>
              <w14:schemeClr w14:val="tx1"/>
            </w14:solidFill>
          </w14:textFill>
        </w:rPr>
        <w:t>最低报价不能作为</w:t>
      </w:r>
      <w:r>
        <w:rPr>
          <w:rFonts w:hint="eastAsia" w:ascii="宋体" w:hAnsi="宋体"/>
          <w:color w:val="000000" w:themeColor="text1"/>
          <w:szCs w:val="21"/>
          <w:highlight w:val="none"/>
          <w14:textFill>
            <w14:solidFill>
              <w14:schemeClr w14:val="tx1"/>
            </w14:solidFill>
          </w14:textFill>
        </w:rPr>
        <w:t>成交</w:t>
      </w:r>
      <w:r>
        <w:rPr>
          <w:rFonts w:ascii="宋体" w:hAnsi="宋体"/>
          <w:color w:val="000000" w:themeColor="text1"/>
          <w:szCs w:val="21"/>
          <w:highlight w:val="none"/>
          <w14:textFill>
            <w14:solidFill>
              <w14:schemeClr w14:val="tx1"/>
            </w14:solidFill>
          </w14:textFill>
        </w:rPr>
        <w:t>的唯一依据</w:t>
      </w:r>
      <w:r>
        <w:rPr>
          <w:rFonts w:hint="eastAsia" w:ascii="宋体" w:hAnsi="宋体"/>
          <w:color w:val="000000" w:themeColor="text1"/>
          <w:szCs w:val="21"/>
          <w:highlight w:val="none"/>
          <w14:textFill>
            <w14:solidFill>
              <w14:schemeClr w14:val="tx1"/>
            </w14:solidFill>
          </w14:textFill>
        </w:rPr>
        <w:t>。</w:t>
      </w:r>
    </w:p>
    <w:p w14:paraId="01615A9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.7本项目采用两轮报价（第二轮报价即最后报价）。</w:t>
      </w:r>
    </w:p>
    <w:p w14:paraId="1E98C129">
      <w:pPr>
        <w:overflowPunct/>
        <w:bidi w:val="0"/>
        <w:outlineLvl w:val="9"/>
        <w:rPr>
          <w:rFonts w:hint="eastAsia" w:ascii="宋体" w:hAnsi="宋体" w:eastAsia="宋体"/>
          <w:color w:val="000000" w:themeColor="text1"/>
          <w:highlight w:val="none"/>
          <w14:textFill>
            <w14:solidFill>
              <w14:schemeClr w14:val="tx1"/>
            </w14:solidFill>
          </w14:textFill>
        </w:rPr>
      </w:pPr>
    </w:p>
    <w:p w14:paraId="14E7FD4E">
      <w:pPr>
        <w:overflowPunct/>
        <w:bidi w:val="0"/>
        <w:outlineLvl w:val="9"/>
        <w:rPr>
          <w:rFonts w:ascii="宋体" w:hAnsi="宋体" w:eastAsia="宋体"/>
          <w:b/>
          <w:bCs/>
          <w:color w:val="000000" w:themeColor="text1"/>
          <w:sz w:val="28"/>
          <w:szCs w:val="36"/>
          <w:highlight w:val="none"/>
          <w14:textFill>
            <w14:solidFill>
              <w14:schemeClr w14:val="tx1"/>
            </w14:solidFill>
          </w14:textFill>
        </w:rPr>
      </w:pPr>
      <w:r>
        <w:rPr>
          <w:rFonts w:hint="eastAsia" w:ascii="宋体" w:hAnsi="宋体" w:eastAsia="宋体"/>
          <w:b/>
          <w:bCs/>
          <w:color w:val="000000" w:themeColor="text1"/>
          <w:sz w:val="28"/>
          <w:szCs w:val="36"/>
          <w:highlight w:val="none"/>
          <w14:textFill>
            <w14:solidFill>
              <w14:schemeClr w14:val="tx1"/>
            </w14:solidFill>
          </w14:textFill>
        </w:rPr>
        <w:t>3.3 响应有效期</w:t>
      </w:r>
    </w:p>
    <w:p w14:paraId="6F76E841">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54E58A9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3.3.1 在</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须知前附表规定的响应有效期内，</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不得要求撤销或修改其响应文件。</w:t>
      </w:r>
    </w:p>
    <w:p w14:paraId="4E27A7F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3.3.2 出现特殊情况需要延长响应有效期的，采购人以书面形式通知所有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延长响应有效期。</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同意延长的，应相应延长其磋商保证金的有效期，但不得要求或被允许修改或撤销其响应文件；</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拒绝延长的，其投标失效，但</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有权收回其磋商保证金。</w:t>
      </w:r>
    </w:p>
    <w:p w14:paraId="0B06276B">
      <w:pPr>
        <w:overflowPunct/>
        <w:bidi w:val="0"/>
        <w:outlineLvl w:val="9"/>
        <w:rPr>
          <w:rFonts w:hint="eastAsia" w:ascii="宋体" w:hAnsi="宋体" w:eastAsia="宋体"/>
          <w:color w:val="000000" w:themeColor="text1"/>
          <w:highlight w:val="none"/>
          <w14:textFill>
            <w14:solidFill>
              <w14:schemeClr w14:val="tx1"/>
            </w14:solidFill>
          </w14:textFill>
        </w:rPr>
      </w:pPr>
    </w:p>
    <w:p w14:paraId="7CCCF876">
      <w:pPr>
        <w:overflowPunct/>
        <w:bidi w:val="0"/>
        <w:outlineLvl w:val="9"/>
        <w:rPr>
          <w:rFonts w:ascii="宋体" w:hAnsi="宋体" w:eastAsia="宋体"/>
          <w:b/>
          <w:bCs/>
          <w:color w:val="000000" w:themeColor="text1"/>
          <w:sz w:val="28"/>
          <w:szCs w:val="36"/>
          <w:highlight w:val="none"/>
          <w14:textFill>
            <w14:solidFill>
              <w14:schemeClr w14:val="tx1"/>
            </w14:solidFill>
          </w14:textFill>
        </w:rPr>
      </w:pPr>
      <w:r>
        <w:rPr>
          <w:rFonts w:hint="eastAsia" w:ascii="宋体" w:hAnsi="宋体" w:eastAsia="宋体"/>
          <w:b/>
          <w:bCs/>
          <w:color w:val="000000" w:themeColor="text1"/>
          <w:sz w:val="28"/>
          <w:szCs w:val="36"/>
          <w:highlight w:val="none"/>
          <w14:textFill>
            <w14:solidFill>
              <w14:schemeClr w14:val="tx1"/>
            </w14:solidFill>
          </w14:textFill>
        </w:rPr>
        <w:t>3.4 磋商保证金</w:t>
      </w:r>
    </w:p>
    <w:p w14:paraId="4D5D7C0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07E2EC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3.4.1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在递交响应文件的同时，应按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须知前附表的规定。</w:t>
      </w:r>
    </w:p>
    <w:p w14:paraId="50EDAE0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3.4.2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不按本章第3.4.1 项要求提交磋商保证金的，其响应文件作废标处理</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本项目不收取磋商保证金</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w:t>
      </w:r>
    </w:p>
    <w:p w14:paraId="19CF67E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3.4.3未</w:t>
      </w:r>
      <w:r>
        <w:rPr>
          <w:rFonts w:hint="eastAsia" w:ascii="宋体" w:hAnsi="宋体"/>
          <w:color w:val="000000" w:themeColor="text1"/>
          <w:szCs w:val="21"/>
          <w:highlight w:val="none"/>
          <w:lang w:eastAsia="zh-CN"/>
          <w14:textFill>
            <w14:solidFill>
              <w14:schemeClr w14:val="tx1"/>
            </w14:solidFill>
          </w14:textFill>
        </w:rPr>
        <w:t>成交人</w:t>
      </w:r>
      <w:r>
        <w:rPr>
          <w:rFonts w:hint="eastAsia" w:ascii="宋体" w:hAnsi="宋体"/>
          <w:color w:val="000000" w:themeColor="text1"/>
          <w:szCs w:val="21"/>
          <w:highlight w:val="none"/>
          <w14:textFill>
            <w14:solidFill>
              <w14:schemeClr w14:val="tx1"/>
            </w14:solidFill>
          </w14:textFill>
        </w:rPr>
        <w:t>的磋商保证金应当在成交通知书发出后5个工作日内退还，</w:t>
      </w:r>
      <w:r>
        <w:rPr>
          <w:rFonts w:hint="eastAsia" w:ascii="宋体" w:hAnsi="宋体"/>
          <w:color w:val="000000" w:themeColor="text1"/>
          <w:szCs w:val="21"/>
          <w:highlight w:val="none"/>
          <w:lang w:eastAsia="zh-CN"/>
          <w14:textFill>
            <w14:solidFill>
              <w14:schemeClr w14:val="tx1"/>
            </w14:solidFill>
          </w14:textFill>
        </w:rPr>
        <w:t>成交人</w:t>
      </w:r>
      <w:r>
        <w:rPr>
          <w:rFonts w:hint="eastAsia" w:ascii="宋体" w:hAnsi="宋体"/>
          <w:color w:val="000000" w:themeColor="text1"/>
          <w:szCs w:val="21"/>
          <w:highlight w:val="none"/>
          <w14:textFill>
            <w14:solidFill>
              <w14:schemeClr w14:val="tx1"/>
            </w14:solidFill>
          </w14:textFill>
        </w:rPr>
        <w:t>的磋商保证金应当在项目合同签订后5个工作日内退还</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本项目不收取磋商保证金</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w:t>
      </w:r>
    </w:p>
    <w:p w14:paraId="7848FB0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3.4.4 有下列情形之一的，磋商保证金将不予退还：</w:t>
      </w:r>
    </w:p>
    <w:p w14:paraId="731C7322">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在规定的响应有效期内撤销或修改其响应文件；</w:t>
      </w:r>
    </w:p>
    <w:p w14:paraId="57D05C2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(2）成交单位在收到成交通知书后，无正当理由拒签合同协议书或未按磋商文件规定提交履约担保。</w:t>
      </w:r>
    </w:p>
    <w:p w14:paraId="712C66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在编制响应文件时，应按新情况更新或补充其在申请资格预审时提供的资料，以证实其各项资格条件仍能继续满足资格预审文件的要求，具备承担本标段施工的资质条件、能力和信誉。</w:t>
      </w:r>
    </w:p>
    <w:p w14:paraId="2E118E2B">
      <w:pPr>
        <w:overflowPunct/>
        <w:bidi w:val="0"/>
        <w:outlineLvl w:val="9"/>
        <w:rPr>
          <w:rFonts w:hint="eastAsia" w:ascii="宋体" w:hAnsi="宋体" w:eastAsia="宋体"/>
          <w:color w:val="000000" w:themeColor="text1"/>
          <w:highlight w:val="none"/>
          <w14:textFill>
            <w14:solidFill>
              <w14:schemeClr w14:val="tx1"/>
            </w14:solidFill>
          </w14:textFill>
        </w:rPr>
      </w:pPr>
    </w:p>
    <w:p w14:paraId="1F19EB8F">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b/>
          <w:bCs/>
          <w:color w:val="000000" w:themeColor="text1"/>
          <w:sz w:val="28"/>
          <w:szCs w:val="36"/>
          <w:highlight w:val="none"/>
          <w14:textFill>
            <w14:solidFill>
              <w14:schemeClr w14:val="tx1"/>
            </w14:solidFill>
          </w14:textFill>
        </w:rPr>
        <w:t>3.</w:t>
      </w:r>
      <w:r>
        <w:rPr>
          <w:rFonts w:hint="eastAsia" w:ascii="宋体" w:hAnsi="宋体" w:eastAsia="宋体"/>
          <w:b/>
          <w:bCs/>
          <w:color w:val="000000" w:themeColor="text1"/>
          <w:sz w:val="28"/>
          <w:szCs w:val="36"/>
          <w:highlight w:val="none"/>
          <w:lang w:val="en-US" w:eastAsia="zh-CN"/>
          <w14:textFill>
            <w14:solidFill>
              <w14:schemeClr w14:val="tx1"/>
            </w14:solidFill>
          </w14:textFill>
        </w:rPr>
        <w:t>5</w:t>
      </w:r>
      <w:r>
        <w:rPr>
          <w:rFonts w:hint="eastAsia" w:ascii="宋体" w:hAnsi="宋体" w:eastAsia="宋体"/>
          <w:b/>
          <w:bCs/>
          <w:color w:val="000000" w:themeColor="text1"/>
          <w:sz w:val="28"/>
          <w:szCs w:val="36"/>
          <w:highlight w:val="none"/>
          <w14:textFill>
            <w14:solidFill>
              <w14:schemeClr w14:val="tx1"/>
            </w14:solidFill>
          </w14:textFill>
        </w:rPr>
        <w:t xml:space="preserve"> 备选投标方案</w:t>
      </w:r>
    </w:p>
    <w:p w14:paraId="61014A55">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035E70D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须知前附表另有规定外，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不得递交备选投标方案。允许</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递交备选投标方案的，只有成交单位所递交的备选投标方案方可予以考虑。磋商小组认为成交单位的备选投标方案优于其按照磋商文件要求编制的投标方案的，采购人可以接受该备选投标方案。</w:t>
      </w:r>
    </w:p>
    <w:p w14:paraId="180CFD13">
      <w:pPr>
        <w:overflowPunct/>
        <w:bidi w:val="0"/>
        <w:outlineLvl w:val="9"/>
        <w:rPr>
          <w:rFonts w:hint="eastAsia" w:ascii="宋体" w:hAnsi="宋体" w:eastAsia="宋体"/>
          <w:color w:val="000000" w:themeColor="text1"/>
          <w:highlight w:val="none"/>
          <w14:textFill>
            <w14:solidFill>
              <w14:schemeClr w14:val="tx1"/>
            </w14:solidFill>
          </w14:textFill>
        </w:rPr>
      </w:pPr>
    </w:p>
    <w:p w14:paraId="3B24CE5D">
      <w:pPr>
        <w:overflowPunct/>
        <w:bidi w:val="0"/>
        <w:outlineLvl w:val="9"/>
        <w:rPr>
          <w:rFonts w:ascii="宋体" w:hAnsi="宋体" w:eastAsia="宋体"/>
          <w:b/>
          <w:bCs/>
          <w:color w:val="000000" w:themeColor="text1"/>
          <w:sz w:val="28"/>
          <w:szCs w:val="36"/>
          <w:highlight w:val="none"/>
          <w14:textFill>
            <w14:solidFill>
              <w14:schemeClr w14:val="tx1"/>
            </w14:solidFill>
          </w14:textFill>
        </w:rPr>
      </w:pPr>
      <w:r>
        <w:rPr>
          <w:rFonts w:hint="eastAsia" w:ascii="宋体" w:hAnsi="宋体" w:eastAsia="宋体"/>
          <w:b/>
          <w:bCs/>
          <w:color w:val="000000" w:themeColor="text1"/>
          <w:sz w:val="28"/>
          <w:szCs w:val="36"/>
          <w:highlight w:val="none"/>
          <w14:textFill>
            <w14:solidFill>
              <w14:schemeClr w14:val="tx1"/>
            </w14:solidFill>
          </w14:textFill>
        </w:rPr>
        <w:t>3.</w:t>
      </w:r>
      <w:r>
        <w:rPr>
          <w:rFonts w:hint="eastAsia" w:ascii="宋体" w:hAnsi="宋体" w:eastAsia="宋体"/>
          <w:b/>
          <w:bCs/>
          <w:color w:val="000000" w:themeColor="text1"/>
          <w:sz w:val="28"/>
          <w:szCs w:val="36"/>
          <w:highlight w:val="none"/>
          <w:lang w:val="en-US" w:eastAsia="zh-CN"/>
          <w14:textFill>
            <w14:solidFill>
              <w14:schemeClr w14:val="tx1"/>
            </w14:solidFill>
          </w14:textFill>
        </w:rPr>
        <w:t>6</w:t>
      </w:r>
      <w:r>
        <w:rPr>
          <w:rFonts w:hint="eastAsia" w:ascii="宋体" w:hAnsi="宋体" w:eastAsia="宋体"/>
          <w:b/>
          <w:bCs/>
          <w:color w:val="000000" w:themeColor="text1"/>
          <w:sz w:val="28"/>
          <w:szCs w:val="36"/>
          <w:highlight w:val="none"/>
          <w14:textFill>
            <w14:solidFill>
              <w14:schemeClr w14:val="tx1"/>
            </w14:solidFill>
          </w14:textFill>
        </w:rPr>
        <w:t xml:space="preserve"> 响应文件的编制</w:t>
      </w:r>
    </w:p>
    <w:p w14:paraId="483C393B">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0F21494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响应文件应按第</w:t>
      </w:r>
      <w:r>
        <w:rPr>
          <w:rFonts w:hint="eastAsia" w:ascii="宋体" w:hAnsi="宋体"/>
          <w:color w:val="000000" w:themeColor="text1"/>
          <w:szCs w:val="21"/>
          <w:highlight w:val="none"/>
          <w:lang w:val="en-US" w:eastAsia="zh-CN"/>
          <w14:textFill>
            <w14:solidFill>
              <w14:schemeClr w14:val="tx1"/>
            </w14:solidFill>
          </w14:textFill>
        </w:rPr>
        <w:t>六</w:t>
      </w:r>
      <w:r>
        <w:rPr>
          <w:rFonts w:hint="eastAsia" w:ascii="宋体" w:hAnsi="宋体"/>
          <w:color w:val="000000" w:themeColor="text1"/>
          <w:szCs w:val="21"/>
          <w:highlight w:val="none"/>
          <w14:textFill>
            <w14:solidFill>
              <w14:schemeClr w14:val="tx1"/>
            </w14:solidFill>
          </w14:textFill>
        </w:rPr>
        <w:t>章“响应文件格式”进行编写，如有必要，可以增加附页，作为响应文件的组成部分。其中，磋商函附录在满足磋商文件实质性要求的基础上，可以提出比磋商文件要求更有利于采购人的承诺。</w:t>
      </w:r>
    </w:p>
    <w:p w14:paraId="757AEF3B">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w:t>
      </w:r>
      <w:r>
        <w:rPr>
          <w:rFonts w:ascii="宋体" w:hAnsi="宋体"/>
          <w:bCs/>
          <w:color w:val="000000" w:themeColor="text1"/>
          <w:szCs w:val="21"/>
          <w:highlight w:val="none"/>
          <w:lang w:val="zh-CN"/>
          <w14:textFill>
            <w14:solidFill>
              <w14:schemeClr w14:val="tx1"/>
            </w14:solidFill>
          </w14:textFill>
        </w:rPr>
        <w:t>2</w:t>
      </w:r>
      <w:r>
        <w:rPr>
          <w:rFonts w:hint="eastAsia" w:ascii="宋体" w:hAnsi="宋体"/>
          <w:bCs/>
          <w:color w:val="000000" w:themeColor="text1"/>
          <w:szCs w:val="21"/>
          <w:highlight w:val="none"/>
          <w:lang w:val="zh-CN"/>
          <w14:textFill>
            <w14:solidFill>
              <w14:schemeClr w14:val="tx1"/>
            </w14:solidFill>
          </w14:textFill>
        </w:rPr>
        <w:t xml:space="preserve"> 响应文件应当对磋商文件有关工期、响应有效期、质量标准、技术标准和要求、</w:t>
      </w:r>
      <w:r>
        <w:rPr>
          <w:rFonts w:hint="eastAsia" w:ascii="宋体" w:hAnsi="宋体"/>
          <w:bCs/>
          <w:color w:val="000000" w:themeColor="text1"/>
          <w:szCs w:val="21"/>
          <w:highlight w:val="none"/>
          <w:lang w:val="en-US" w:eastAsia="zh-CN"/>
          <w14:textFill>
            <w14:solidFill>
              <w14:schemeClr w14:val="tx1"/>
            </w14:solidFill>
          </w14:textFill>
        </w:rPr>
        <w:t>采购</w:t>
      </w:r>
      <w:r>
        <w:rPr>
          <w:rFonts w:hint="eastAsia" w:ascii="宋体" w:hAnsi="宋体"/>
          <w:bCs/>
          <w:color w:val="000000" w:themeColor="text1"/>
          <w:szCs w:val="21"/>
          <w:highlight w:val="none"/>
          <w:lang w:val="zh-CN"/>
          <w14:textFill>
            <w14:solidFill>
              <w14:schemeClr w14:val="tx1"/>
            </w14:solidFill>
          </w14:textFill>
        </w:rPr>
        <w:t>范围等实质性内容作出响应。</w:t>
      </w:r>
    </w:p>
    <w:p w14:paraId="29D896D8">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hint="eastAsia"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.3 响应文件应用不褪色的材料书写或打印，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56C0912C">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.4响应文件正本一份，副本份数见供应商须知前附表。正本和副本的封面上应清楚地标记</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正本</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或</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副本</w:t>
      </w:r>
      <w:r>
        <w:rPr>
          <w:rFonts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zh-CN"/>
          <w14:textFill>
            <w14:solidFill>
              <w14:schemeClr w14:val="tx1"/>
            </w14:solidFill>
          </w14:textFill>
        </w:rPr>
        <w:t>的字样。当副本和正本不一致时，以正本为准。</w:t>
      </w:r>
    </w:p>
    <w:p w14:paraId="065769CC">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w:t>
      </w:r>
      <w:r>
        <w:rPr>
          <w:rFonts w:hint="eastAsia" w:ascii="宋体" w:hAnsi="宋体"/>
          <w:bCs/>
          <w:color w:val="000000" w:themeColor="text1"/>
          <w:szCs w:val="21"/>
          <w:highlight w:val="none"/>
          <w:lang w:val="zh-CN"/>
          <w14:textFill>
            <w14:solidFill>
              <w14:schemeClr w14:val="tx1"/>
            </w14:solidFill>
          </w14:textFill>
        </w:rPr>
        <w:t>.</w:t>
      </w:r>
      <w:r>
        <w:rPr>
          <w:rFonts w:hint="eastAsia" w:ascii="宋体" w:hAnsi="宋体"/>
          <w:bCs/>
          <w:color w:val="000000" w:themeColor="text1"/>
          <w:szCs w:val="21"/>
          <w:highlight w:val="none"/>
          <w:lang w:val="en-US" w:eastAsia="zh-CN"/>
          <w14:textFill>
            <w14:solidFill>
              <w14:schemeClr w14:val="tx1"/>
            </w14:solidFill>
          </w14:textFill>
        </w:rPr>
        <w:t>6</w:t>
      </w:r>
      <w:r>
        <w:rPr>
          <w:rFonts w:hint="eastAsia" w:ascii="宋体" w:hAnsi="宋体"/>
          <w:bCs/>
          <w:color w:val="000000" w:themeColor="text1"/>
          <w:szCs w:val="21"/>
          <w:highlight w:val="none"/>
          <w:lang w:val="zh-CN"/>
          <w14:textFill>
            <w14:solidFill>
              <w14:schemeClr w14:val="tx1"/>
            </w14:solidFill>
          </w14:textFill>
        </w:rPr>
        <w:t>.5 响应文件的正本与副本应分别装订成册，并编制目录，具体装订要求见供应商须知前附表规定。</w:t>
      </w:r>
    </w:p>
    <w:p w14:paraId="3EBC9448">
      <w:pPr>
        <w:overflowPunct/>
        <w:bidi w:val="0"/>
        <w:outlineLvl w:val="9"/>
        <w:rPr>
          <w:rFonts w:hint="eastAsia" w:ascii="宋体" w:hAnsi="宋体"/>
          <w:color w:val="000000" w:themeColor="text1"/>
          <w:highlight w:val="none"/>
          <w14:textFill>
            <w14:solidFill>
              <w14:schemeClr w14:val="tx1"/>
            </w14:solidFill>
          </w14:textFill>
        </w:rPr>
      </w:pPr>
      <w:bookmarkStart w:id="29" w:name="_Toc184635074"/>
    </w:p>
    <w:p w14:paraId="4842B64F">
      <w:pPr>
        <w:overflowPunct/>
        <w:bidi w:val="0"/>
        <w:outlineLvl w:val="9"/>
        <w:rPr>
          <w:rFonts w:ascii="宋体" w:hAnsi="宋体"/>
          <w:b/>
          <w:bCs/>
          <w:color w:val="000000" w:themeColor="text1"/>
          <w:sz w:val="28"/>
          <w:szCs w:val="36"/>
          <w:highlight w:val="none"/>
          <w14:textFill>
            <w14:solidFill>
              <w14:schemeClr w14:val="tx1"/>
            </w14:solidFill>
          </w14:textFill>
        </w:rPr>
      </w:pPr>
      <w:r>
        <w:rPr>
          <w:rFonts w:hint="eastAsia" w:ascii="宋体" w:hAnsi="宋体"/>
          <w:b/>
          <w:bCs/>
          <w:color w:val="000000" w:themeColor="text1"/>
          <w:sz w:val="28"/>
          <w:szCs w:val="36"/>
          <w:highlight w:val="none"/>
          <w14:textFill>
            <w14:solidFill>
              <w14:schemeClr w14:val="tx1"/>
            </w14:solidFill>
          </w14:textFill>
        </w:rPr>
        <w:t>4．投标</w:t>
      </w:r>
      <w:bookmarkEnd w:id="29"/>
    </w:p>
    <w:p w14:paraId="6AE2B34D">
      <w:pPr>
        <w:overflowPunct/>
        <w:bidi w:val="0"/>
        <w:outlineLvl w:val="9"/>
        <w:rPr>
          <w:rFonts w:hint="eastAsia" w:ascii="宋体" w:hAnsi="宋体" w:eastAsia="宋体"/>
          <w:color w:val="000000" w:themeColor="text1"/>
          <w:highlight w:val="none"/>
          <w14:textFill>
            <w14:solidFill>
              <w14:schemeClr w14:val="tx1"/>
            </w14:solidFill>
          </w14:textFill>
        </w:rPr>
      </w:pPr>
    </w:p>
    <w:p w14:paraId="06C785F4">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4.1 响应文件的密封和标记</w:t>
      </w:r>
    </w:p>
    <w:p w14:paraId="4B78DE23">
      <w:pPr>
        <w:overflowPunct/>
        <w:autoSpaceDE w:val="0"/>
        <w:autoSpaceDN w:val="0"/>
        <w:bidi w:val="0"/>
        <w:adjustRightInd w:val="0"/>
        <w:spacing w:line="400" w:lineRule="exact"/>
        <w:ind w:firstLine="480"/>
        <w:jc w:val="left"/>
        <w:outlineLvl w:val="9"/>
        <w:rPr>
          <w:rFonts w:ascii="宋体" w:hAnsi="宋体" w:cs="宋体"/>
          <w:bCs/>
          <w:color w:val="000000" w:themeColor="text1"/>
          <w:szCs w:val="21"/>
          <w:highlight w:val="none"/>
          <w:lang w:val="zh-CN"/>
          <w14:textFill>
            <w14:solidFill>
              <w14:schemeClr w14:val="tx1"/>
            </w14:solidFill>
          </w14:textFill>
        </w:rPr>
      </w:pP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.1 响应文件正、副本应分开包装，封套上应清楚地标记</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正本</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或</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副本</w:t>
      </w:r>
      <w:r>
        <w:rPr>
          <w:rFonts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字样，并在封套的封口处加盖供应商单位章。封套上应写明的其他内容见供应商须知前附表。</w:t>
      </w:r>
    </w:p>
    <w:p w14:paraId="53D7FFB5">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4.1.2电子U盘、磋商报价函，单独放入一个密封袋中，加贴封条，并在封套封口处加盖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单位公章，在封套上分别标记“响应文件电子版”或“磋商报价函”字样。</w:t>
      </w:r>
    </w:p>
    <w:p w14:paraId="79474F32">
      <w:pPr>
        <w:overflowPunct/>
        <w:autoSpaceDE w:val="0"/>
        <w:autoSpaceDN w:val="0"/>
        <w:bidi w:val="0"/>
        <w:adjustRightInd w:val="0"/>
        <w:spacing w:line="400" w:lineRule="exact"/>
        <w:ind w:firstLine="420" w:firstLineChars="200"/>
        <w:jc w:val="left"/>
        <w:outlineLvl w:val="9"/>
        <w:rPr>
          <w:rFonts w:ascii="宋体" w:hAnsi="宋体" w:cs="宋体"/>
          <w:bCs/>
          <w:color w:val="000000" w:themeColor="text1"/>
          <w:szCs w:val="21"/>
          <w:highlight w:val="none"/>
          <w:lang w:val="zh-CN"/>
          <w14:textFill>
            <w14:solidFill>
              <w14:schemeClr w14:val="tx1"/>
            </w14:solidFill>
          </w14:textFill>
        </w:rPr>
      </w:pP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3未按本章第</w:t>
      </w:r>
      <w:r>
        <w:rPr>
          <w:rFonts w:ascii="宋体" w:hAnsi="宋体" w:cs="宋体"/>
          <w:bCs/>
          <w:color w:val="000000" w:themeColor="text1"/>
          <w:szCs w:val="21"/>
          <w:highlight w:val="none"/>
          <w:lang w:val="zh-CN"/>
          <w14:textFill>
            <w14:solidFill>
              <w14:schemeClr w14:val="tx1"/>
            </w14:solidFill>
          </w14:textFill>
        </w:rPr>
        <w:t>4.1</w:t>
      </w:r>
      <w:r>
        <w:rPr>
          <w:rFonts w:hint="eastAsia" w:ascii="宋体" w:hAnsi="宋体" w:cs="宋体"/>
          <w:bCs/>
          <w:color w:val="000000" w:themeColor="text1"/>
          <w:szCs w:val="21"/>
          <w:highlight w:val="none"/>
          <w:lang w:val="zh-CN"/>
          <w14:textFill>
            <w14:solidFill>
              <w14:schemeClr w14:val="tx1"/>
            </w14:solidFill>
          </w14:textFill>
        </w:rPr>
        <w:t>条要求密封和加写标记的响应文件，采购人不予受理。</w:t>
      </w:r>
    </w:p>
    <w:p w14:paraId="6CE78722">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4.2 响应文件的递交</w:t>
      </w:r>
    </w:p>
    <w:p w14:paraId="14ACFDA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4.2.1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应在本章第2.2.2 项规定的递交响应文件截止时间前</w:t>
      </w:r>
      <w:r>
        <w:rPr>
          <w:rFonts w:hint="eastAsia" w:ascii="宋体" w:hAnsi="宋体"/>
          <w:color w:val="000000" w:themeColor="text1"/>
          <w:szCs w:val="21"/>
          <w:highlight w:val="none"/>
          <w:lang w:val="en-US" w:eastAsia="zh-CN"/>
          <w14:textFill>
            <w14:solidFill>
              <w14:schemeClr w14:val="tx1"/>
            </w14:solidFill>
          </w14:textFill>
        </w:rPr>
        <w:t>上传</w:t>
      </w:r>
      <w:r>
        <w:rPr>
          <w:rFonts w:hint="eastAsia" w:ascii="宋体" w:hAnsi="宋体"/>
          <w:color w:val="000000" w:themeColor="text1"/>
          <w:szCs w:val="21"/>
          <w:highlight w:val="none"/>
          <w14:textFill>
            <w14:solidFill>
              <w14:schemeClr w14:val="tx1"/>
            </w14:solidFill>
          </w14:textFill>
        </w:rPr>
        <w:t>响应文件。</w:t>
      </w:r>
    </w:p>
    <w:p w14:paraId="7FE0EC9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4.2.2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递交响应文件的地点：见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705B2BC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4.2.3 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须知前附表另有规定外，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所递交的响应文件不予退还。</w:t>
      </w:r>
    </w:p>
    <w:p w14:paraId="1B60DB1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4.2.4 采购人收到响应文件后，向</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出具签收凭证。</w:t>
      </w:r>
    </w:p>
    <w:p w14:paraId="75BA6FA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4.2.5 逾期送达的或者未送达指定地点的响应文件，采购人不予受理。</w:t>
      </w:r>
    </w:p>
    <w:p w14:paraId="0965DF8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 响应文件的修改与撤回</w:t>
      </w:r>
    </w:p>
    <w:p w14:paraId="6EA3A5C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4.3.1 在本章第2.2.2 项规定的递交响应文件截止时间前，</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可以修改或撤回已递交的响应文件，但应以书面形式通知采购人。</w:t>
      </w:r>
    </w:p>
    <w:p w14:paraId="41B992F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4.3.2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修改或撤回已递交响应文件的书面通知应按照本章第3.7.3 项的要求签字或盖章。采购人收到书面通知后，向</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出具签收凭证。</w:t>
      </w:r>
    </w:p>
    <w:p w14:paraId="73E88B8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4.3.3 修改的内容为响应文件的组成部分。修改的响应文件应按照本章第3 条、第4 条规定进行编制、密封、标记和递交，并标明“修改”字样。</w:t>
      </w:r>
    </w:p>
    <w:p w14:paraId="7C694CB9">
      <w:pPr>
        <w:overflowPunct/>
        <w:bidi w:val="0"/>
        <w:outlineLvl w:val="9"/>
        <w:rPr>
          <w:rFonts w:hint="eastAsia" w:ascii="宋体" w:hAnsi="宋体"/>
          <w:color w:val="000000" w:themeColor="text1"/>
          <w:highlight w:val="none"/>
          <w14:textFill>
            <w14:solidFill>
              <w14:schemeClr w14:val="tx1"/>
            </w14:solidFill>
          </w14:textFill>
        </w:rPr>
      </w:pPr>
      <w:bookmarkStart w:id="30" w:name="_Toc184635075"/>
    </w:p>
    <w:p w14:paraId="20CE0C8B">
      <w:pPr>
        <w:overflowPunct/>
        <w:bidi w:val="0"/>
        <w:outlineLvl w:val="9"/>
        <w:rPr>
          <w:rFonts w:hint="eastAsia" w:ascii="宋体" w:hAnsi="宋体" w:eastAsia="宋体"/>
          <w:b/>
          <w:bCs/>
          <w:color w:val="000000" w:themeColor="text1"/>
          <w:sz w:val="28"/>
          <w:szCs w:val="36"/>
          <w:highlight w:val="none"/>
          <w:lang w:eastAsia="zh-CN"/>
          <w14:textFill>
            <w14:solidFill>
              <w14:schemeClr w14:val="tx1"/>
            </w14:solidFill>
          </w14:textFill>
        </w:rPr>
      </w:pPr>
      <w:r>
        <w:rPr>
          <w:rFonts w:hint="eastAsia" w:ascii="宋体" w:hAnsi="宋体"/>
          <w:b/>
          <w:bCs/>
          <w:color w:val="000000" w:themeColor="text1"/>
          <w:sz w:val="28"/>
          <w:szCs w:val="36"/>
          <w:highlight w:val="none"/>
          <w14:textFill>
            <w14:solidFill>
              <w14:schemeClr w14:val="tx1"/>
            </w14:solidFill>
          </w14:textFill>
        </w:rPr>
        <w:t>5．开</w:t>
      </w:r>
      <w:bookmarkEnd w:id="30"/>
      <w:r>
        <w:rPr>
          <w:rFonts w:hint="eastAsia" w:ascii="宋体" w:hAnsi="宋体"/>
          <w:b/>
          <w:bCs/>
          <w:color w:val="000000" w:themeColor="text1"/>
          <w:sz w:val="28"/>
          <w:szCs w:val="36"/>
          <w:highlight w:val="none"/>
          <w:lang w:val="en-US" w:eastAsia="zh-CN"/>
          <w14:textFill>
            <w14:solidFill>
              <w14:schemeClr w14:val="tx1"/>
            </w14:solidFill>
          </w14:textFill>
        </w:rPr>
        <w:t>启</w:t>
      </w:r>
    </w:p>
    <w:p w14:paraId="4D9B4FD4">
      <w:pPr>
        <w:overflowPunct/>
        <w:bidi w:val="0"/>
        <w:outlineLvl w:val="9"/>
        <w:rPr>
          <w:rFonts w:hint="eastAsia" w:ascii="宋体" w:hAnsi="宋体" w:eastAsia="宋体"/>
          <w:color w:val="000000" w:themeColor="text1"/>
          <w:highlight w:val="none"/>
          <w14:textFill>
            <w14:solidFill>
              <w14:schemeClr w14:val="tx1"/>
            </w14:solidFill>
          </w14:textFill>
        </w:rPr>
      </w:pPr>
    </w:p>
    <w:p w14:paraId="79F38CCD">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5.1 开启时间和地点</w:t>
      </w:r>
    </w:p>
    <w:p w14:paraId="2F4AE9DE">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27B9CFA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采购人在本章第2.2.2 项规定的递交响应文件截止时间（开启时间）</w:t>
      </w:r>
      <w:r>
        <w:rPr>
          <w:rFonts w:hint="eastAsia" w:ascii="宋体" w:hAnsi="宋体"/>
          <w:color w:val="000000" w:themeColor="text1"/>
          <w:szCs w:val="21"/>
          <w:highlight w:val="none"/>
          <w:lang w:val="zh-CN"/>
          <w14:textFill>
            <w14:solidFill>
              <w14:schemeClr w14:val="tx1"/>
            </w14:solidFill>
          </w14:textFill>
        </w:rPr>
        <w:t>和供应商须知前附表规定的网址、地点</w:t>
      </w:r>
      <w:r>
        <w:rPr>
          <w:rFonts w:hint="eastAsia" w:ascii="宋体" w:hAnsi="宋体"/>
          <w:color w:val="000000" w:themeColor="text1"/>
          <w:szCs w:val="21"/>
          <w:highlight w:val="none"/>
          <w:lang w:val="en-US" w:eastAsia="zh-CN"/>
          <w14:textFill>
            <w14:solidFill>
              <w14:schemeClr w14:val="tx1"/>
            </w14:solidFill>
          </w14:textFill>
        </w:rPr>
        <w:t>参加磋商会议</w:t>
      </w:r>
      <w:r>
        <w:rPr>
          <w:rFonts w:hint="eastAsia" w:ascii="宋体" w:hAnsi="宋体"/>
          <w:color w:val="000000" w:themeColor="text1"/>
          <w:szCs w:val="21"/>
          <w:highlight w:val="none"/>
          <w14:textFill>
            <w14:solidFill>
              <w14:schemeClr w14:val="tx1"/>
            </w14:solidFill>
          </w14:textFill>
        </w:rPr>
        <w:t>。</w:t>
      </w:r>
    </w:p>
    <w:p w14:paraId="5B26676F">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5.2 磋商程序</w:t>
      </w:r>
    </w:p>
    <w:p w14:paraId="5B5DC70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04D3F00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主持人按下列程序进行开标：</w:t>
      </w:r>
    </w:p>
    <w:p w14:paraId="19D57EBF">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bookmarkStart w:id="31" w:name="_Toc184635076"/>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（1）宣布开标纪律；</w:t>
      </w:r>
    </w:p>
    <w:p w14:paraId="3521AB79">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（2）查看并公布投标报名名单；</w:t>
      </w:r>
    </w:p>
    <w:p w14:paraId="28882DCF">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（3）宣布开标人、监标人等有关人员；</w:t>
      </w:r>
    </w:p>
    <w:p w14:paraId="2AFA565A">
      <w:pPr>
        <w:overflowPunct/>
        <w:bidi w:val="0"/>
        <w:outlineLvl w:val="9"/>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（4）采购代理机构</w:t>
      </w:r>
      <w:r>
        <w:rPr>
          <w:rFonts w:hint="eastAsia" w:ascii="宋体" w:hAnsi="宋体" w:eastAsia="宋体" w:cs="Times New Roman"/>
          <w:b w:val="0"/>
          <w:bCs w:val="0"/>
          <w:color w:val="000000" w:themeColor="text1"/>
          <w:kern w:val="2"/>
          <w:sz w:val="21"/>
          <w:szCs w:val="21"/>
          <w:highlight w:val="none"/>
          <w:lang w:val="en-US" w:eastAsia="zh-CN" w:bidi="ar-SA"/>
          <w14:textFill>
            <w14:solidFill>
              <w14:schemeClr w14:val="tx1"/>
            </w14:solidFill>
          </w14:textFill>
        </w:rPr>
        <w:t>对</w:t>
      </w:r>
      <w:r>
        <w:rPr>
          <w:rFonts w:hint="eastAsia" w:ascii="宋体" w:hAnsi="宋体" w:eastAsia="宋体" w:cs="Times New Roman"/>
          <w:b w:val="0"/>
          <w:bCs w:val="0"/>
          <w:color w:val="000000" w:themeColor="text1"/>
          <w:kern w:val="2"/>
          <w:sz w:val="21"/>
          <w:szCs w:val="21"/>
          <w:highlight w:val="none"/>
          <w:lang w:val="zh-CN" w:eastAsia="zh-CN" w:bidi="ar-SA"/>
          <w14:textFill>
            <w14:solidFill>
              <w14:schemeClr w14:val="tx1"/>
            </w14:solidFill>
          </w14:textFill>
        </w:rPr>
        <w:t>供应商电子投标文件解密。</w:t>
      </w:r>
    </w:p>
    <w:p w14:paraId="4ED124FB">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p>
    <w:p w14:paraId="51D16B10">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r>
        <w:rPr>
          <w:rFonts w:hint="eastAsia" w:ascii="宋体" w:hAnsi="宋体" w:eastAsia="宋体" w:cs="Times New Roman"/>
          <w:b/>
          <w:bCs/>
          <w:color w:val="000000" w:themeColor="text1"/>
          <w:sz w:val="28"/>
          <w:szCs w:val="36"/>
          <w:highlight w:val="none"/>
          <w14:textFill>
            <w14:solidFill>
              <w14:schemeClr w14:val="tx1"/>
            </w14:solidFill>
          </w14:textFill>
        </w:rPr>
        <w:t>6．评审</w:t>
      </w:r>
      <w:bookmarkEnd w:id="31"/>
    </w:p>
    <w:p w14:paraId="18BD66C9">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3086915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6.1 磋商小组</w:t>
      </w:r>
    </w:p>
    <w:p w14:paraId="7946EB1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00D3282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6.1.1 评审工作由采购人依法组建的磋商小组负责。磋商小组由采购人代表和有关技术、经济等方面专家，共</w:t>
      </w:r>
      <w:r>
        <w:rPr>
          <w:rFonts w:hint="eastAsia" w:ascii="宋体" w:hAnsi="宋体"/>
          <w:color w:val="000000" w:themeColor="text1"/>
          <w:szCs w:val="21"/>
          <w:highlight w:val="none"/>
          <w:lang w:val="en-US" w:eastAsia="zh-CN"/>
          <w14:textFill>
            <w14:solidFill>
              <w14:schemeClr w14:val="tx1"/>
            </w14:solidFill>
          </w14:textFill>
        </w:rPr>
        <w:t xml:space="preserve">3 </w:t>
      </w:r>
      <w:r>
        <w:rPr>
          <w:rFonts w:hint="eastAsia" w:ascii="宋体" w:hAnsi="宋体"/>
          <w:color w:val="000000" w:themeColor="text1"/>
          <w:szCs w:val="21"/>
          <w:highlight w:val="none"/>
          <w14:textFill>
            <w14:solidFill>
              <w14:schemeClr w14:val="tx1"/>
            </w14:solidFill>
          </w14:textFill>
        </w:rPr>
        <w:t>人组成。磋商小组成员人数以及技术、经济等方面专家的确定方式见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4FFC710F">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6.1.2 磋商小组成员有下列情形之一的，应当回避：</w:t>
      </w:r>
    </w:p>
    <w:p w14:paraId="5C3D31B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(1）采购人或</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的主要负责人的近亲属；</w:t>
      </w:r>
    </w:p>
    <w:p w14:paraId="12B6E98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(2）项目主管部门或者行政监督部门的人员；</w:t>
      </w:r>
    </w:p>
    <w:p w14:paraId="519CD9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有经济利益关系，可能影响对投标公正评审的；</w:t>
      </w:r>
    </w:p>
    <w:p w14:paraId="5C20EF8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(4）曾因在招标、评审工作以及其他与招标投标有关活动中从事违法行为而受过行政处罚或刑事处罚的。</w:t>
      </w:r>
    </w:p>
    <w:p w14:paraId="1FAD2E36">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772DF142">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6.2 评审原则</w:t>
      </w:r>
    </w:p>
    <w:p w14:paraId="4823173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79A888D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评审工作活动遵循公平、公正、科学和择优的原则。</w:t>
      </w:r>
    </w:p>
    <w:p w14:paraId="419B8902">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29743F5C">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6.3 评审工作</w:t>
      </w:r>
    </w:p>
    <w:p w14:paraId="12DA246A">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6D3CF51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0FAE2C06">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6.3.1</w:t>
      </w:r>
      <w:r>
        <w:rPr>
          <w:rFonts w:ascii="宋体" w:hAnsi="宋体"/>
          <w:color w:val="000000" w:themeColor="text1"/>
          <w:szCs w:val="21"/>
          <w:highlight w:val="none"/>
          <w:lang w:val="zh-TW"/>
          <w14:textFill>
            <w14:solidFill>
              <w14:schemeClr w14:val="tx1"/>
            </w14:solidFill>
          </w14:textFill>
        </w:rPr>
        <w:t>磋商小组对所有响应文件进行</w:t>
      </w:r>
      <w:r>
        <w:rPr>
          <w:rFonts w:hint="eastAsia" w:ascii="宋体" w:hAnsi="宋体"/>
          <w:color w:val="000000" w:themeColor="text1"/>
          <w:szCs w:val="21"/>
          <w:highlight w:val="none"/>
          <w:lang w:val="zh-TW"/>
          <w14:textFill>
            <w14:solidFill>
              <w14:schemeClr w14:val="tx1"/>
            </w14:solidFill>
          </w14:textFill>
        </w:rPr>
        <w:t>资格、</w:t>
      </w:r>
      <w:r>
        <w:rPr>
          <w:rFonts w:hint="eastAsia" w:ascii="宋体" w:hAnsi="宋体"/>
          <w:color w:val="000000" w:themeColor="text1"/>
          <w:szCs w:val="21"/>
          <w:highlight w:val="none"/>
          <w:lang w:val="en-US" w:eastAsia="zh-CN"/>
          <w14:textFill>
            <w14:solidFill>
              <w14:schemeClr w14:val="tx1"/>
            </w14:solidFill>
          </w14:textFill>
        </w:rPr>
        <w:t>符合</w:t>
      </w:r>
      <w:r>
        <w:rPr>
          <w:rFonts w:hint="eastAsia" w:ascii="宋体" w:hAnsi="宋体"/>
          <w:color w:val="000000" w:themeColor="text1"/>
          <w:szCs w:val="21"/>
          <w:highlight w:val="none"/>
          <w:lang w:val="zh-TW"/>
          <w14:textFill>
            <w14:solidFill>
              <w14:schemeClr w14:val="tx1"/>
            </w14:solidFill>
          </w14:textFill>
        </w:rPr>
        <w:t>性评审；</w:t>
      </w:r>
    </w:p>
    <w:p w14:paraId="7CA3FD5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6.3.2</w:t>
      </w:r>
      <w:r>
        <w:rPr>
          <w:rFonts w:ascii="宋体" w:hAnsi="宋体"/>
          <w:color w:val="000000" w:themeColor="text1"/>
          <w:szCs w:val="21"/>
          <w:highlight w:val="none"/>
          <w:lang w:val="zh-TW"/>
          <w14:textFill>
            <w14:solidFill>
              <w14:schemeClr w14:val="tx1"/>
            </w14:solidFill>
          </w14:textFill>
        </w:rPr>
        <w:t>磋商小组所有成员集中与通过</w:t>
      </w:r>
      <w:r>
        <w:rPr>
          <w:rFonts w:hint="eastAsia" w:ascii="宋体" w:hAnsi="宋体"/>
          <w:color w:val="000000" w:themeColor="text1"/>
          <w:szCs w:val="21"/>
          <w:highlight w:val="none"/>
          <w:lang w:val="zh-TW"/>
          <w14:textFill>
            <w14:solidFill>
              <w14:schemeClr w14:val="tx1"/>
            </w14:solidFill>
          </w14:textFill>
        </w:rPr>
        <w:t>资格、</w:t>
      </w:r>
      <w:r>
        <w:rPr>
          <w:rFonts w:hint="eastAsia" w:ascii="宋体" w:hAnsi="宋体"/>
          <w:color w:val="000000" w:themeColor="text1"/>
          <w:szCs w:val="21"/>
          <w:highlight w:val="none"/>
          <w:lang w:val="zh-TW" w:eastAsia="zh-CN"/>
          <w14:textFill>
            <w14:solidFill>
              <w14:schemeClr w14:val="tx1"/>
            </w14:solidFill>
          </w14:textFill>
        </w:rPr>
        <w:t>符合</w:t>
      </w:r>
      <w:r>
        <w:rPr>
          <w:rFonts w:hint="eastAsia" w:ascii="宋体" w:hAnsi="宋体"/>
          <w:color w:val="000000" w:themeColor="text1"/>
          <w:szCs w:val="21"/>
          <w:highlight w:val="none"/>
          <w:lang w:val="zh-TW"/>
          <w14:textFill>
            <w14:solidFill>
              <w14:schemeClr w14:val="tx1"/>
            </w14:solidFill>
          </w14:textFill>
        </w:rPr>
        <w:t>性评审</w:t>
      </w:r>
      <w:r>
        <w:rPr>
          <w:rFonts w:ascii="宋体" w:hAnsi="宋体"/>
          <w:color w:val="000000" w:themeColor="text1"/>
          <w:szCs w:val="21"/>
          <w:highlight w:val="none"/>
          <w:lang w:val="zh-TW"/>
          <w14:textFill>
            <w14:solidFill>
              <w14:schemeClr w14:val="tx1"/>
            </w14:solidFill>
          </w14:textFill>
        </w:rPr>
        <w:t>的单一</w:t>
      </w:r>
      <w:r>
        <w:rPr>
          <w:rFonts w:hint="eastAsia" w:ascii="宋体" w:hAnsi="宋体"/>
          <w:color w:val="000000" w:themeColor="text1"/>
          <w:szCs w:val="21"/>
          <w:highlight w:val="none"/>
          <w:lang w:val="zh-TW" w:eastAsia="zh-CN"/>
          <w14:textFill>
            <w14:solidFill>
              <w14:schemeClr w14:val="tx1"/>
            </w14:solidFill>
          </w14:textFill>
        </w:rPr>
        <w:t>供应商</w:t>
      </w:r>
      <w:r>
        <w:rPr>
          <w:rFonts w:ascii="宋体" w:hAnsi="宋体"/>
          <w:color w:val="000000" w:themeColor="text1"/>
          <w:szCs w:val="21"/>
          <w:highlight w:val="none"/>
          <w:lang w:val="zh-TW"/>
          <w14:textFill>
            <w14:solidFill>
              <w14:schemeClr w14:val="tx1"/>
            </w14:solidFill>
          </w14:textFill>
        </w:rPr>
        <w:t>分别进行磋商，并给予所有参加磋商的</w:t>
      </w:r>
      <w:r>
        <w:rPr>
          <w:rFonts w:hint="eastAsia" w:ascii="宋体" w:hAnsi="宋体"/>
          <w:color w:val="000000" w:themeColor="text1"/>
          <w:szCs w:val="21"/>
          <w:highlight w:val="none"/>
          <w:lang w:val="zh-TW" w:eastAsia="zh-CN"/>
          <w14:textFill>
            <w14:solidFill>
              <w14:schemeClr w14:val="tx1"/>
            </w14:solidFill>
          </w14:textFill>
        </w:rPr>
        <w:t>供应商</w:t>
      </w:r>
      <w:r>
        <w:rPr>
          <w:rFonts w:ascii="宋体" w:hAnsi="宋体"/>
          <w:color w:val="000000" w:themeColor="text1"/>
          <w:szCs w:val="21"/>
          <w:highlight w:val="none"/>
          <w:lang w:val="zh-TW"/>
          <w14:textFill>
            <w14:solidFill>
              <w14:schemeClr w14:val="tx1"/>
            </w14:solidFill>
          </w14:textFill>
        </w:rPr>
        <w:t>平等的磋商机会。</w:t>
      </w:r>
      <w:r>
        <w:rPr>
          <w:rFonts w:hint="eastAsia" w:ascii="宋体" w:hAnsi="宋体"/>
          <w:color w:val="000000" w:themeColor="text1"/>
          <w:szCs w:val="21"/>
          <w:highlight w:val="none"/>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5A80412F">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对磋商文件作出的实质性变动是磋商文件的有效组成部分，磋商小组应当及时以书面形式同时通知所有参加磋商的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w:t>
      </w:r>
    </w:p>
    <w:p w14:paraId="238C800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为自然人的，应当由本人签字并附身份证明。</w:t>
      </w:r>
    </w:p>
    <w:p w14:paraId="584B08FC">
      <w:pPr>
        <w:overflowPunct/>
        <w:bidi w:val="0"/>
        <w:spacing w:line="360" w:lineRule="auto"/>
        <w:ind w:firstLine="420" w:firstLineChars="200"/>
        <w:outlineLvl w:val="9"/>
        <w:rPr>
          <w:rFonts w:ascii="宋体" w:hAnsi="宋体" w:cs="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6.3.3</w:t>
      </w:r>
      <w:r>
        <w:rPr>
          <w:rFonts w:hint="eastAsia" w:ascii="宋体" w:hAnsi="宋体" w:cs="宋体"/>
          <w:color w:val="000000" w:themeColor="text1"/>
          <w:highlight w:val="none"/>
          <w14:textFill>
            <w14:solidFill>
              <w14:schemeClr w14:val="tx1"/>
            </w14:solidFill>
          </w14:textFill>
        </w:rPr>
        <w:t>磋商文件能够详细列明采购标的的技术、服务要求的，磋商结束后，磋商小组应当要求所有实质性响应的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在规定时间内提交最后报价，提交最后报价的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不得少于3家。</w:t>
      </w:r>
    </w:p>
    <w:p w14:paraId="4687E66A">
      <w:pPr>
        <w:overflowPunct/>
        <w:bidi w:val="0"/>
        <w:spacing w:line="360" w:lineRule="auto"/>
        <w:ind w:firstLine="420" w:firstLineChars="200"/>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磋商文件不能详细列明采购标的的技术、服务要求，需经磋商由</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提供最终设计方案或解决方案的，磋商结束后，磋商小组应当按照少数服从多数的原则投票推荐3家以上</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的设计方案或者解决方案，并要求其在规定时间内提交最后报价。最后报价是</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响应文件的有效组成部分。</w:t>
      </w:r>
    </w:p>
    <w:p w14:paraId="76C82044">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已提交响应文件的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，在提交最后报价之前，可以根据磋商情况退出磋商。采购人、采购代理机构应当退还退出磋商的</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的磋商保证金。</w:t>
      </w:r>
    </w:p>
    <w:p w14:paraId="2F82FB9A">
      <w:pPr>
        <w:overflowPunct/>
        <w:bidi w:val="0"/>
        <w:spacing w:line="360" w:lineRule="auto"/>
        <w:ind w:firstLine="420" w:firstLineChars="200"/>
        <w:outlineLvl w:val="9"/>
        <w:rPr>
          <w:rFonts w:ascii="宋体" w:hAnsi="宋体"/>
          <w:color w:val="000000" w:themeColor="text1"/>
          <w:szCs w:val="21"/>
          <w:highlight w:val="none"/>
          <w:lang w:val="zh-TW"/>
          <w14:textFill>
            <w14:solidFill>
              <w14:schemeClr w14:val="tx1"/>
            </w14:solidFill>
          </w14:textFill>
        </w:rPr>
      </w:pPr>
      <w:r>
        <w:rPr>
          <w:rFonts w:hint="eastAsia" w:ascii="宋体" w:hAnsi="宋体"/>
          <w:color w:val="000000" w:themeColor="text1"/>
          <w:szCs w:val="21"/>
          <w:highlight w:val="none"/>
          <w:lang w:val="zh-TW"/>
          <w14:textFill>
            <w14:solidFill>
              <w14:schemeClr w14:val="tx1"/>
            </w14:solidFill>
          </w14:textFill>
        </w:rPr>
        <w:t>6.3.4</w:t>
      </w:r>
      <w:r>
        <w:rPr>
          <w:rFonts w:hint="eastAsia" w:ascii="宋体" w:hAnsi="宋体"/>
          <w:color w:val="000000" w:themeColor="text1"/>
          <w:szCs w:val="21"/>
          <w:highlight w:val="none"/>
          <w14:textFill>
            <w14:solidFill>
              <w14:schemeClr w14:val="tx1"/>
            </w14:solidFill>
          </w14:textFill>
        </w:rPr>
        <w:t>经磋商确定最终采购需求和提交最后报价的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后，由磋商小组采用综合评分法对提交最后报价的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的响应文件和最后报价进行综合评分</w:t>
      </w:r>
      <w:r>
        <w:rPr>
          <w:rFonts w:ascii="宋体" w:hAnsi="宋体"/>
          <w:color w:val="000000" w:themeColor="text1"/>
          <w:szCs w:val="21"/>
          <w:highlight w:val="none"/>
          <w:lang w:val="zh-TW"/>
          <w14:textFill>
            <w14:solidFill>
              <w14:schemeClr w14:val="tx1"/>
            </w14:solidFill>
          </w14:textFill>
        </w:rPr>
        <w:t>；</w:t>
      </w:r>
    </w:p>
    <w:p w14:paraId="33886428">
      <w:pPr>
        <w:overflowPunct/>
        <w:bidi w:val="0"/>
        <w:spacing w:line="360" w:lineRule="auto"/>
        <w:ind w:firstLine="420" w:firstLineChars="200"/>
        <w:outlineLvl w:val="9"/>
        <w:rPr>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zh-TW"/>
          <w14:textFill>
            <w14:solidFill>
              <w14:schemeClr w14:val="tx1"/>
            </w14:solidFill>
          </w14:textFill>
        </w:rPr>
        <w:t>6.3.5</w:t>
      </w:r>
      <w:r>
        <w:rPr>
          <w:rFonts w:hint="eastAsia"/>
          <w:color w:val="000000" w:themeColor="text1"/>
          <w:szCs w:val="21"/>
          <w:highlight w:val="none"/>
          <w14:textFill>
            <w14:solidFill>
              <w14:schemeClr w14:val="tx1"/>
            </w14:solidFill>
          </w14:textFill>
        </w:rPr>
        <w:t>磋商小组应当根据综合评分情况，按照评审得分由高到低顺序推荐3名成交候选人，并编写评审报告。评审得分相同的，按照最后报价由低到高的顺序推荐。评审得分且最后报价相同的，按照技术指标优劣顺序推荐。</w:t>
      </w:r>
    </w:p>
    <w:p w14:paraId="4324E6E2">
      <w:pPr>
        <w:overflowPunct/>
        <w:bidi w:val="0"/>
        <w:outlineLvl w:val="9"/>
        <w:rPr>
          <w:rFonts w:ascii="宋体" w:hAnsi="宋体"/>
          <w:color w:val="000000" w:themeColor="text1"/>
          <w:highlight w:val="none"/>
          <w14:textFill>
            <w14:solidFill>
              <w14:schemeClr w14:val="tx1"/>
            </w14:solidFill>
          </w14:textFill>
        </w:rPr>
      </w:pPr>
      <w:bookmarkStart w:id="32" w:name="_Toc184635077"/>
      <w:r>
        <w:rPr>
          <w:rFonts w:hint="eastAsia" w:ascii="宋体" w:hAnsi="宋体" w:eastAsia="宋体" w:cs="Times New Roman"/>
          <w:b/>
          <w:bCs/>
          <w:color w:val="000000" w:themeColor="text1"/>
          <w:sz w:val="28"/>
          <w:szCs w:val="36"/>
          <w:highlight w:val="none"/>
          <w14:textFill>
            <w14:solidFill>
              <w14:schemeClr w14:val="tx1"/>
            </w14:solidFill>
          </w14:textFill>
        </w:rPr>
        <w:t>7．合同授予</w:t>
      </w:r>
      <w:bookmarkEnd w:id="32"/>
    </w:p>
    <w:p w14:paraId="12228C87">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6FB84B4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7.1 定标方式</w:t>
      </w:r>
    </w:p>
    <w:p w14:paraId="0C185CBA">
      <w:pPr>
        <w:overflowPunct/>
        <w:bidi w:val="0"/>
        <w:spacing w:line="400" w:lineRule="exact"/>
        <w:ind w:firstLine="420" w:firstLineChars="200"/>
        <w:outlineLvl w:val="9"/>
        <w:rPr>
          <w:rFonts w:hint="eastAsia" w:ascii="宋体" w:hAnsi="宋体"/>
          <w:color w:val="000000" w:themeColor="text1"/>
          <w:szCs w:val="21"/>
          <w:highlight w:val="none"/>
          <w14:textFill>
            <w14:solidFill>
              <w14:schemeClr w14:val="tx1"/>
            </w14:solidFill>
          </w14:textFill>
        </w:rPr>
      </w:pPr>
    </w:p>
    <w:p w14:paraId="14EA68E5">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除</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须知前附表规定磋商小组直接确定成交单位外，采购人依据磋商小组推荐的成交候选人确定中标成交单位，磋商小组推荐成交候选人的人数见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5053E86D">
      <w:pPr>
        <w:overflowPunct/>
        <w:bidi w:val="0"/>
        <w:spacing w:line="400" w:lineRule="exact"/>
        <w:ind w:firstLine="420" w:firstLineChars="200"/>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采购代理机构应当在评审结束后2个工作日内将评审报告送采购人确认。</w:t>
      </w:r>
    </w:p>
    <w:p w14:paraId="16BF1587">
      <w:pPr>
        <w:overflowPunct/>
        <w:bidi w:val="0"/>
        <w:spacing w:line="400" w:lineRule="exact"/>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采购人应当在收到评审报告后5个工作日内，从评审报告</w:t>
      </w:r>
      <w:r>
        <w:rPr>
          <w:rFonts w:hint="eastAsia"/>
          <w:color w:val="000000" w:themeColor="text1"/>
          <w:highlight w:val="none"/>
          <w:lang w:val="en-US" w:eastAsia="zh-CN"/>
          <w14:textFill>
            <w14:solidFill>
              <w14:schemeClr w14:val="tx1"/>
            </w14:solidFill>
          </w14:textFill>
        </w:rPr>
        <w:t>推荐</w:t>
      </w:r>
      <w:r>
        <w:rPr>
          <w:rFonts w:hint="eastAsia"/>
          <w:color w:val="000000" w:themeColor="text1"/>
          <w:highlight w:val="none"/>
          <w14:textFill>
            <w14:solidFill>
              <w14:schemeClr w14:val="tx1"/>
            </w14:solidFill>
          </w14:textFill>
        </w:rPr>
        <w:t>的成交候选</w:t>
      </w: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中，按照排序由高到低的原则确定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，也可以书面授权磋商小组直接确定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。采购人逾期未确定</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且不提出异议的，视为确定评审报告提出的排序第一的</w:t>
      </w:r>
      <w:r>
        <w:rPr>
          <w:rFonts w:hint="eastAsia"/>
          <w:color w:val="000000" w:themeColor="text1"/>
          <w:highlight w:val="none"/>
          <w:lang w:eastAsia="zh-CN"/>
          <w14:textFill>
            <w14:solidFill>
              <w14:schemeClr w14:val="tx1"/>
            </w14:solidFill>
          </w14:textFill>
        </w:rPr>
        <w:t>供应商</w:t>
      </w:r>
      <w:r>
        <w:rPr>
          <w:rFonts w:hint="eastAsia"/>
          <w:color w:val="000000" w:themeColor="text1"/>
          <w:highlight w:val="none"/>
          <w14:textFill>
            <w14:solidFill>
              <w14:schemeClr w14:val="tx1"/>
            </w14:solidFill>
          </w14:textFill>
        </w:rPr>
        <w:t>为</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w:t>
      </w:r>
    </w:p>
    <w:p w14:paraId="16405CC5">
      <w:pPr>
        <w:overflowPunct/>
        <w:bidi w:val="0"/>
        <w:outlineLvl w:val="9"/>
        <w:rPr>
          <w:rFonts w:hint="eastAsia" w:ascii="宋体" w:hAnsi="宋体" w:eastAsia="宋体"/>
          <w:color w:val="000000" w:themeColor="text1"/>
          <w:highlight w:val="none"/>
          <w14:textFill>
            <w14:solidFill>
              <w14:schemeClr w14:val="tx1"/>
            </w14:solidFill>
          </w14:textFill>
        </w:rPr>
      </w:pPr>
    </w:p>
    <w:p w14:paraId="7F9F8FEE">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7.2 成交通知</w:t>
      </w:r>
    </w:p>
    <w:p w14:paraId="49530816">
      <w:pPr>
        <w:overflowPunct/>
        <w:bidi w:val="0"/>
        <w:spacing w:line="400" w:lineRule="exact"/>
        <w:outlineLvl w:val="9"/>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w:t>
      </w:r>
    </w:p>
    <w:p w14:paraId="2E5F29B5">
      <w:pPr>
        <w:overflowPunct/>
        <w:bidi w:val="0"/>
        <w:spacing w:line="400" w:lineRule="exact"/>
        <w:outlineLvl w:val="9"/>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采购人或者采购代理机构应当在</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确定后2个工作日内，在省级以上财政部门指定的政府采购信息发布媒体上公告成交结果，同时向</w:t>
      </w:r>
      <w:r>
        <w:rPr>
          <w:rFonts w:hint="eastAsia"/>
          <w:color w:val="000000" w:themeColor="text1"/>
          <w:highlight w:val="none"/>
          <w:lang w:eastAsia="zh-CN"/>
          <w14:textFill>
            <w14:solidFill>
              <w14:schemeClr w14:val="tx1"/>
            </w14:solidFill>
          </w14:textFill>
        </w:rPr>
        <w:t>成交人</w:t>
      </w:r>
      <w:r>
        <w:rPr>
          <w:rFonts w:hint="eastAsia"/>
          <w:color w:val="000000" w:themeColor="text1"/>
          <w:highlight w:val="none"/>
          <w14:textFill>
            <w14:solidFill>
              <w14:schemeClr w14:val="tx1"/>
            </w14:solidFill>
          </w14:textFill>
        </w:rPr>
        <w:t>发出成交通知书，并将磋商文件随成交结果同时公告。</w:t>
      </w:r>
    </w:p>
    <w:p w14:paraId="38B73358">
      <w:pPr>
        <w:overflowPunct/>
        <w:bidi w:val="0"/>
        <w:outlineLvl w:val="9"/>
        <w:rPr>
          <w:rFonts w:hint="eastAsia" w:ascii="宋体" w:hAnsi="宋体" w:eastAsia="宋体"/>
          <w:color w:val="000000" w:themeColor="text1"/>
          <w:highlight w:val="none"/>
          <w14:textFill>
            <w14:solidFill>
              <w14:schemeClr w14:val="tx1"/>
            </w14:solidFill>
          </w14:textFill>
        </w:rPr>
      </w:pPr>
    </w:p>
    <w:p w14:paraId="05A29995">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7.3 履约担保</w:t>
      </w:r>
      <w:r>
        <w:rPr>
          <w:rFonts w:hint="eastAsia" w:ascii="宋体" w:hAnsi="宋体" w:eastAsia="宋体" w:cs="Times New Roman"/>
          <w:b/>
          <w:bCs/>
          <w:color w:val="000000" w:themeColor="text1"/>
          <w:sz w:val="24"/>
          <w:szCs w:val="32"/>
          <w:highlight w:val="none"/>
          <w:lang w:val="zh-CN"/>
          <w14:textFill>
            <w14:solidFill>
              <w14:schemeClr w14:val="tx1"/>
            </w14:solidFill>
          </w14:textFill>
        </w:rPr>
        <w:t>（</w:t>
      </w:r>
      <w:r>
        <w:rPr>
          <w:rFonts w:hint="eastAsia" w:ascii="宋体" w:hAnsi="宋体" w:eastAsia="宋体" w:cs="Times New Roman"/>
          <w:b/>
          <w:bCs/>
          <w:color w:val="000000" w:themeColor="text1"/>
          <w:sz w:val="24"/>
          <w:szCs w:val="32"/>
          <w:highlight w:val="none"/>
          <w:lang w:val="en-US" w:eastAsia="zh-CN"/>
          <w14:textFill>
            <w14:solidFill>
              <w14:schemeClr w14:val="tx1"/>
            </w14:solidFill>
          </w14:textFill>
        </w:rPr>
        <w:t>本项目不收取</w:t>
      </w:r>
      <w:r>
        <w:rPr>
          <w:rFonts w:hint="eastAsia" w:ascii="宋体" w:hAnsi="宋体" w:eastAsia="宋体" w:cs="Times New Roman"/>
          <w:b/>
          <w:bCs/>
          <w:color w:val="000000" w:themeColor="text1"/>
          <w:sz w:val="24"/>
          <w:szCs w:val="32"/>
          <w:highlight w:val="none"/>
          <w:lang w:val="zh-CN"/>
          <w14:textFill>
            <w14:solidFill>
              <w14:schemeClr w14:val="tx1"/>
            </w14:solidFill>
          </w14:textFill>
        </w:rPr>
        <w:t>）</w:t>
      </w:r>
    </w:p>
    <w:p w14:paraId="11CE7E3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17063F8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7.3.1 在签订合同前，中标人应按</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须知前附表规定的金额、担保形式和磋商文件第四章“合同条款及格式”规定的履约担保格式向采购人提交履约担保。联合体中标的，其履约担保由牵头人递交，并应符合</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须知前附表规定的金额、担保形式和磋商文件第四章“合同条款及格式”规定的履约担保格式要求。</w:t>
      </w:r>
    </w:p>
    <w:p w14:paraId="6C17BB0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7.3.2 中标人不能按本章第7.3.1 项要求提交履约担保的，视为放弃中标，其磋商保证金不予退还，给采购人造成的损失超过磋商保证金数额的，中标人还应当对超过部分予以赔偿。</w:t>
      </w:r>
    </w:p>
    <w:p w14:paraId="0424141E">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3FF4BC40">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7.4 签订合同</w:t>
      </w:r>
    </w:p>
    <w:p w14:paraId="10ECB2F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3F7DCE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7.4.1 采购人和中标人应当自成交通知书发出之日起30 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3010D050">
      <w:pPr>
        <w:overflow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7.4.2 发出成交通知书后，采购人无正当理由拒签合同的，采购人向中标人退还磋商保证金；给中标人造成损失的，还应当赔偿损失。</w:t>
      </w:r>
    </w:p>
    <w:p w14:paraId="1EFA2366">
      <w:pPr>
        <w:overflowPunct/>
        <w:bidi w:val="0"/>
        <w:spacing w:line="400" w:lineRule="exact"/>
        <w:ind w:firstLine="420" w:firstLineChars="200"/>
        <w:outlineLvl w:val="9"/>
        <w:rPr>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7.4.3</w:t>
      </w:r>
      <w:r>
        <w:rPr>
          <w:rFonts w:hint="eastAsia"/>
          <w:color w:val="000000" w:themeColor="text1"/>
          <w:szCs w:val="21"/>
          <w:highlight w:val="none"/>
          <w14:textFill>
            <w14:solidFill>
              <w14:schemeClr w14:val="tx1"/>
            </w14:solidFill>
          </w14:textFill>
        </w:rPr>
        <w:t>采购人应当确定排名第一的成交候选人为成标人。排名第一的成交候选人放弃中标、因不可抗力不能履行合同、不按照磋商文件要求提交履约保证金，或者被查实存在影响中标结果的违法行为等情形，不符合中标条件的，采购人可以按照磋商小组提出的成交候选人名单排序依次确定其他成交候选人为中标人，也可以重新招标。</w:t>
      </w:r>
    </w:p>
    <w:p w14:paraId="652D2AE2">
      <w:pPr>
        <w:overflowPunct/>
        <w:bidi w:val="0"/>
        <w:outlineLvl w:val="9"/>
        <w:rPr>
          <w:rFonts w:hint="eastAsia" w:ascii="宋体" w:hAnsi="宋体"/>
          <w:color w:val="000000" w:themeColor="text1"/>
          <w:highlight w:val="none"/>
          <w14:textFill>
            <w14:solidFill>
              <w14:schemeClr w14:val="tx1"/>
            </w14:solidFill>
          </w14:textFill>
        </w:rPr>
      </w:pPr>
      <w:bookmarkStart w:id="33" w:name="_Toc184635078"/>
    </w:p>
    <w:p w14:paraId="1A22694F">
      <w:pPr>
        <w:overflowPunct/>
        <w:bidi w:val="0"/>
        <w:outlineLvl w:val="9"/>
        <w:rPr>
          <w:rFonts w:ascii="宋体" w:hAnsi="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8"/>
          <w:szCs w:val="36"/>
          <w:highlight w:val="none"/>
          <w14:textFill>
            <w14:solidFill>
              <w14:schemeClr w14:val="tx1"/>
            </w14:solidFill>
          </w14:textFill>
        </w:rPr>
        <w:t>8．重新招标和不再招标</w:t>
      </w:r>
      <w:bookmarkEnd w:id="33"/>
    </w:p>
    <w:p w14:paraId="60E4BE03">
      <w:pPr>
        <w:overflowPunct/>
        <w:bidi w:val="0"/>
        <w:outlineLvl w:val="9"/>
        <w:rPr>
          <w:rFonts w:hint="eastAsia" w:ascii="宋体" w:hAnsi="宋体" w:eastAsia="宋体"/>
          <w:color w:val="000000" w:themeColor="text1"/>
          <w:highlight w:val="none"/>
          <w14:textFill>
            <w14:solidFill>
              <w14:schemeClr w14:val="tx1"/>
            </w14:solidFill>
          </w14:textFill>
        </w:rPr>
      </w:pPr>
    </w:p>
    <w:p w14:paraId="4515169D">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8.1 重新招标</w:t>
      </w:r>
    </w:p>
    <w:p w14:paraId="2383C1D3">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3A683AF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有下列情形之一的，采购人将重新招标：</w:t>
      </w:r>
    </w:p>
    <w:p w14:paraId="5C6086E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(l）投标截止时间止，</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少于3 个的；</w:t>
      </w:r>
    </w:p>
    <w:p w14:paraId="2C1E69A2">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(2）经磋商小组评审后否决所有投标的。</w:t>
      </w:r>
    </w:p>
    <w:p w14:paraId="1D1CC77E">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58AB9A31">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8.2 不再招标</w:t>
      </w:r>
    </w:p>
    <w:p w14:paraId="05C0F06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7A1D94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重新招标后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仍少于3 个或者所有投标被否决的，属于必须审批或核准的工程建设项目，经原审批或核准部门批准后不再进行招标。</w:t>
      </w:r>
    </w:p>
    <w:p w14:paraId="4936A0B9">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bookmarkStart w:id="34" w:name="_Toc184635079"/>
    </w:p>
    <w:p w14:paraId="6CA25E04">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r>
        <w:rPr>
          <w:rFonts w:hint="eastAsia" w:ascii="宋体" w:hAnsi="宋体" w:eastAsia="宋体" w:cs="Times New Roman"/>
          <w:b/>
          <w:bCs/>
          <w:color w:val="000000" w:themeColor="text1"/>
          <w:sz w:val="28"/>
          <w:szCs w:val="36"/>
          <w:highlight w:val="none"/>
          <w14:textFill>
            <w14:solidFill>
              <w14:schemeClr w14:val="tx1"/>
            </w14:solidFill>
          </w14:textFill>
        </w:rPr>
        <w:t>9．纪律和监督</w:t>
      </w:r>
      <w:bookmarkEnd w:id="34"/>
    </w:p>
    <w:p w14:paraId="59A62DF4">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098E6442">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9.1 对采购人的纪律要求</w:t>
      </w:r>
    </w:p>
    <w:p w14:paraId="2AC41ED3">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4F57FCF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采购人不得泄漏磋商活动中应当保密的情况和资料，不得与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串通损害国家利益、社会公共利益或者他人合法权益。</w:t>
      </w:r>
    </w:p>
    <w:p w14:paraId="50AF08F1">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58319E33">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9.2 对</w:t>
      </w:r>
      <w:r>
        <w:rPr>
          <w:rFonts w:hint="eastAsia" w:ascii="宋体" w:hAnsi="宋体" w:eastAsia="宋体" w:cs="Times New Roman"/>
          <w:b/>
          <w:bCs/>
          <w:color w:val="000000" w:themeColor="text1"/>
          <w:sz w:val="24"/>
          <w:szCs w:val="32"/>
          <w:highlight w:val="none"/>
          <w:lang w:eastAsia="zh-CN"/>
          <w14:textFill>
            <w14:solidFill>
              <w14:schemeClr w14:val="tx1"/>
            </w14:solidFill>
          </w14:textFill>
        </w:rPr>
        <w:t>供应商</w:t>
      </w:r>
      <w:r>
        <w:rPr>
          <w:rFonts w:hint="eastAsia" w:ascii="宋体" w:hAnsi="宋体" w:eastAsia="宋体" w:cs="Times New Roman"/>
          <w:b/>
          <w:bCs/>
          <w:color w:val="000000" w:themeColor="text1"/>
          <w:sz w:val="24"/>
          <w:szCs w:val="32"/>
          <w:highlight w:val="none"/>
          <w14:textFill>
            <w14:solidFill>
              <w14:schemeClr w14:val="tx1"/>
            </w14:solidFill>
          </w14:textFill>
        </w:rPr>
        <w:t>的纪律要求</w:t>
      </w:r>
    </w:p>
    <w:p w14:paraId="202C0F11">
      <w:pPr>
        <w:overflowPunct/>
        <w:bidi w:val="0"/>
        <w:spacing w:line="360" w:lineRule="auto"/>
        <w:ind w:firstLine="420" w:firstLineChars="200"/>
        <w:outlineLvl w:val="9"/>
        <w:rPr>
          <w:rFonts w:hint="eastAsia" w:ascii="宋体" w:hAnsi="宋体"/>
          <w:color w:val="000000" w:themeColor="text1"/>
          <w:szCs w:val="21"/>
          <w:highlight w:val="none"/>
          <w:lang w:eastAsia="zh-CN"/>
          <w14:textFill>
            <w14:solidFill>
              <w14:schemeClr w14:val="tx1"/>
            </w14:solidFill>
          </w14:textFill>
        </w:rPr>
      </w:pPr>
    </w:p>
    <w:p w14:paraId="3E81370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不得相互串通投标或者与采购人串通投标，不得向采购人或者磋商小组成员行贿谋取中标，不得以他人名义投标或者以其他方式弄虚作假骗取中标；</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不得以任何方式干扰、影响评审工作工作。</w:t>
      </w:r>
    </w:p>
    <w:p w14:paraId="3C6BCAE1">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69C7A0E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9.3 对磋商小组成员的纪律要求</w:t>
      </w:r>
    </w:p>
    <w:p w14:paraId="22DF202F">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7B3B542C">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成员不得收受他人的财物或者其他好处，不得向他人透漏对响应文件的评审和比较、成交候选人的推荐情况以及评审工作有关的其他情况。在评审工作活动中，磋商小组成员不得擅离职守，影响评审工作程序正常进行，不得使用第三章“评审办法”没有规定的评审因素和标准进行评审工作。</w:t>
      </w:r>
    </w:p>
    <w:p w14:paraId="51E695E1">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6388A51B">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9.4 对与评审活动有关的工作人员的纪律要求</w:t>
      </w:r>
    </w:p>
    <w:p w14:paraId="62D6DB2D">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p>
    <w:p w14:paraId="243BC3B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与评审活动有关的工作人员不得收受他人的财物或者其他好处，不得向他人透漏对响应文件的评审和比较、成交候选人的推荐情况以及评审工作有关的其他情况。在评审活动中，与评审活动有关的工作人员不得擅离职守，影响评审工作程序正常进行。</w:t>
      </w:r>
    </w:p>
    <w:p w14:paraId="5AD21794">
      <w:pPr>
        <w:overflowPunct/>
        <w:bidi w:val="0"/>
        <w:outlineLvl w:val="9"/>
        <w:rPr>
          <w:rFonts w:hint="eastAsia" w:ascii="宋体" w:hAnsi="宋体" w:eastAsia="宋体" w:cs="Times New Roman"/>
          <w:b/>
          <w:bCs/>
          <w:color w:val="000000" w:themeColor="text1"/>
          <w:sz w:val="24"/>
          <w:szCs w:val="32"/>
          <w:highlight w:val="none"/>
          <w14:textFill>
            <w14:solidFill>
              <w14:schemeClr w14:val="tx1"/>
            </w14:solidFill>
          </w14:textFill>
        </w:rPr>
      </w:pPr>
    </w:p>
    <w:p w14:paraId="70F023E8">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s="Times New Roman"/>
          <w:b/>
          <w:bCs/>
          <w:color w:val="000000" w:themeColor="text1"/>
          <w:sz w:val="24"/>
          <w:szCs w:val="32"/>
          <w:highlight w:val="none"/>
          <w14:textFill>
            <w14:solidFill>
              <w14:schemeClr w14:val="tx1"/>
            </w14:solidFill>
          </w14:textFill>
        </w:rPr>
        <w:t>9.5 投诉</w:t>
      </w:r>
    </w:p>
    <w:p w14:paraId="35624FB8">
      <w:pPr>
        <w:overflowPunct/>
        <w:bidi w:val="0"/>
        <w:spacing w:line="360" w:lineRule="auto"/>
        <w:ind w:firstLine="420" w:firstLineChars="200"/>
        <w:outlineLvl w:val="9"/>
        <w:rPr>
          <w:rFonts w:hint="eastAsia" w:ascii="宋体" w:hAnsi="宋体"/>
          <w:color w:val="000000" w:themeColor="text1"/>
          <w:szCs w:val="21"/>
          <w:highlight w:val="none"/>
          <w:lang w:eastAsia="zh-CN"/>
          <w14:textFill>
            <w14:solidFill>
              <w14:schemeClr w14:val="tx1"/>
            </w14:solidFill>
          </w14:textFill>
        </w:rPr>
      </w:pPr>
    </w:p>
    <w:p w14:paraId="476AE29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和其他利害关系人认为本次</w:t>
      </w:r>
      <w:r>
        <w:rPr>
          <w:rFonts w:hint="eastAsia" w:ascii="宋体" w:hAnsi="宋体"/>
          <w:color w:val="000000" w:themeColor="text1"/>
          <w:szCs w:val="21"/>
          <w:highlight w:val="none"/>
          <w:lang w:val="en-US" w:eastAsia="zh-CN"/>
          <w14:textFill>
            <w14:solidFill>
              <w14:schemeClr w14:val="tx1"/>
            </w14:solidFill>
          </w14:textFill>
        </w:rPr>
        <w:t>采购</w:t>
      </w:r>
      <w:r>
        <w:rPr>
          <w:rFonts w:hint="eastAsia" w:ascii="宋体" w:hAnsi="宋体"/>
          <w:color w:val="000000" w:themeColor="text1"/>
          <w:szCs w:val="21"/>
          <w:highlight w:val="none"/>
          <w14:textFill>
            <w14:solidFill>
              <w14:schemeClr w14:val="tx1"/>
            </w14:solidFill>
          </w14:textFill>
        </w:rPr>
        <w:t>活动违反法律、法规和规章规定的，有权向有关行政监督部门投诉。</w:t>
      </w:r>
    </w:p>
    <w:p w14:paraId="13F9A504">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bookmarkStart w:id="35" w:name="_Toc184635080"/>
    </w:p>
    <w:p w14:paraId="6CE030CF">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r>
        <w:rPr>
          <w:rFonts w:hint="eastAsia" w:ascii="宋体" w:hAnsi="宋体" w:eastAsia="宋体" w:cs="Times New Roman"/>
          <w:b/>
          <w:bCs/>
          <w:color w:val="000000" w:themeColor="text1"/>
          <w:sz w:val="28"/>
          <w:szCs w:val="36"/>
          <w:highlight w:val="none"/>
          <w14:textFill>
            <w14:solidFill>
              <w14:schemeClr w14:val="tx1"/>
            </w14:solidFill>
          </w14:textFill>
        </w:rPr>
        <w:t>10</w:t>
      </w:r>
      <w:r>
        <w:rPr>
          <w:rFonts w:hint="eastAsia" w:ascii="宋体" w:hAnsi="宋体" w:eastAsia="宋体" w:cs="Times New Roman"/>
          <w:b/>
          <w:bCs/>
          <w:color w:val="000000" w:themeColor="text1"/>
          <w:sz w:val="28"/>
          <w:szCs w:val="36"/>
          <w:highlight w:val="none"/>
          <w:lang w:eastAsia="zh-CN"/>
          <w14:textFill>
            <w14:solidFill>
              <w14:schemeClr w14:val="tx1"/>
            </w14:solidFill>
          </w14:textFill>
        </w:rPr>
        <w:t>.</w:t>
      </w:r>
      <w:r>
        <w:rPr>
          <w:rFonts w:hint="eastAsia" w:ascii="宋体" w:hAnsi="宋体" w:eastAsia="宋体" w:cs="Times New Roman"/>
          <w:b/>
          <w:bCs/>
          <w:color w:val="000000" w:themeColor="text1"/>
          <w:sz w:val="28"/>
          <w:szCs w:val="36"/>
          <w:highlight w:val="none"/>
          <w14:textFill>
            <w14:solidFill>
              <w14:schemeClr w14:val="tx1"/>
            </w14:solidFill>
          </w14:textFill>
        </w:rPr>
        <w:t>需要补充的其他内容</w:t>
      </w:r>
      <w:bookmarkEnd w:id="35"/>
    </w:p>
    <w:p w14:paraId="580D1EF2">
      <w:pPr>
        <w:overflowPunct/>
        <w:bidi w:val="0"/>
        <w:outlineLvl w:val="9"/>
        <w:rPr>
          <w:rFonts w:hint="eastAsia" w:ascii="宋体" w:hAnsi="宋体" w:eastAsia="宋体" w:cs="Times New Roman"/>
          <w:b/>
          <w:bCs/>
          <w:color w:val="000000" w:themeColor="text1"/>
          <w:sz w:val="28"/>
          <w:szCs w:val="36"/>
          <w:highlight w:val="none"/>
          <w14:textFill>
            <w14:solidFill>
              <w14:schemeClr w14:val="tx1"/>
            </w14:solidFill>
          </w14:textFill>
        </w:rPr>
      </w:pPr>
    </w:p>
    <w:p w14:paraId="3A6E6D67">
      <w:pPr>
        <w:overflowPunct/>
        <w:bidi w:val="0"/>
        <w:spacing w:line="360" w:lineRule="auto"/>
        <w:ind w:firstLine="420" w:firstLineChars="20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需要补充的其他内容：见</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w:t>
      </w:r>
    </w:p>
    <w:p w14:paraId="0EA2DE4C">
      <w:pPr>
        <w:keepNext w:val="0"/>
        <w:keepLines w:val="0"/>
        <w:pageBreakBefore w:val="0"/>
        <w:widowControl w:val="0"/>
        <w:kinsoku/>
        <w:wordWrap/>
        <w:overflowPunct/>
        <w:topLinePunct w:val="0"/>
        <w:autoSpaceDE/>
        <w:autoSpaceDN/>
        <w:bidi w:val="0"/>
        <w:adjustRightInd/>
        <w:snapToGrid/>
        <w:jc w:val="center"/>
        <w:textAlignment w:val="auto"/>
        <w:outlineLvl w:val="0"/>
        <w:rPr>
          <w:rFonts w:ascii="宋体" w:hAnsi="宋体"/>
          <w:b/>
          <w:color w:val="000000" w:themeColor="text1"/>
          <w:sz w:val="32"/>
          <w:szCs w:val="32"/>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br w:type="page"/>
      </w:r>
      <w:bookmarkStart w:id="36" w:name="_Toc30908"/>
      <w:bookmarkStart w:id="37" w:name="_Toc7816"/>
      <w:r>
        <w:rPr>
          <w:rFonts w:hint="eastAsia" w:ascii="宋体" w:hAnsi="宋体"/>
          <w:b/>
          <w:bCs/>
          <w:color w:val="000000" w:themeColor="text1"/>
          <w:sz w:val="36"/>
          <w:szCs w:val="36"/>
          <w:highlight w:val="none"/>
          <w:lang w:eastAsia="zh-CN"/>
          <w14:textFill>
            <w14:solidFill>
              <w14:schemeClr w14:val="tx1"/>
            </w14:solidFill>
          </w14:textFill>
        </w:rPr>
        <w:t>第二章</w:t>
      </w:r>
      <w:r>
        <w:rPr>
          <w:rFonts w:hint="eastAsia" w:ascii="宋体" w:hAnsi="宋体"/>
          <w:b/>
          <w:bCs/>
          <w:color w:val="000000" w:themeColor="text1"/>
          <w:sz w:val="36"/>
          <w:szCs w:val="36"/>
          <w:highlight w:val="none"/>
          <w:lang w:val="en-US" w:eastAsia="zh-CN"/>
          <w14:textFill>
            <w14:solidFill>
              <w14:schemeClr w14:val="tx1"/>
            </w14:solidFill>
          </w14:textFill>
        </w:rPr>
        <w:t xml:space="preserve"> </w:t>
      </w:r>
      <w:r>
        <w:rPr>
          <w:rFonts w:hint="eastAsia" w:eastAsia="宋体"/>
          <w:b/>
          <w:bCs/>
          <w:color w:val="000000" w:themeColor="text1"/>
          <w:sz w:val="36"/>
          <w:szCs w:val="36"/>
          <w:highlight w:val="none"/>
          <w:lang w:val="en-US" w:eastAsia="zh-CN"/>
          <w14:textFill>
            <w14:solidFill>
              <w14:schemeClr w14:val="tx1"/>
            </w14:solidFill>
          </w14:textFill>
        </w:rPr>
        <w:t>评审办法（综合评分法）</w:t>
      </w:r>
      <w:bookmarkEnd w:id="36"/>
      <w:bookmarkEnd w:id="37"/>
    </w:p>
    <w:p w14:paraId="3978C675">
      <w:pPr>
        <w:overflowPunct/>
        <w:bidi w:val="0"/>
        <w:spacing w:afterLines="50"/>
        <w:jc w:val="center"/>
        <w:outlineLvl w:val="9"/>
        <w:rPr>
          <w:rFonts w:ascii="宋体" w:hAnsi="宋体"/>
          <w:b/>
          <w:color w:val="000000" w:themeColor="text1"/>
          <w:sz w:val="32"/>
          <w:szCs w:val="32"/>
          <w:highlight w:val="none"/>
          <w14:textFill>
            <w14:solidFill>
              <w14:schemeClr w14:val="tx1"/>
            </w14:solidFill>
          </w14:textFill>
        </w:rPr>
      </w:pPr>
      <w:bookmarkStart w:id="38" w:name="_Toc184635093"/>
      <w:r>
        <w:rPr>
          <w:rFonts w:hint="eastAsia" w:ascii="宋体" w:hAnsi="宋体"/>
          <w:b/>
          <w:color w:val="000000" w:themeColor="text1"/>
          <w:sz w:val="32"/>
          <w:szCs w:val="32"/>
          <w:highlight w:val="none"/>
          <w14:textFill>
            <w14:solidFill>
              <w14:schemeClr w14:val="tx1"/>
            </w14:solidFill>
          </w14:textFill>
        </w:rPr>
        <w:t>评审办法前附表</w:t>
      </w:r>
    </w:p>
    <w:p w14:paraId="28F28640">
      <w:pPr>
        <w:overflowPunct/>
        <w:bidi w:val="0"/>
        <w:spacing w:afterLines="50"/>
        <w:jc w:val="center"/>
        <w:outlineLvl w:val="9"/>
        <w:rPr>
          <w:rFonts w:hint="eastAsia" w:ascii="宋体" w:hAnsi="宋体" w:eastAsia="宋体"/>
          <w:b/>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初步评审</w:t>
      </w:r>
      <w:r>
        <w:rPr>
          <w:rFonts w:hint="eastAsia" w:ascii="宋体" w:hAnsi="宋体"/>
          <w:b/>
          <w:color w:val="000000" w:themeColor="text1"/>
          <w:szCs w:val="21"/>
          <w:highlight w:val="none"/>
          <w:lang w:val="en-US" w:eastAsia="zh-CN"/>
          <w14:textFill>
            <w14:solidFill>
              <w14:schemeClr w14:val="tx1"/>
            </w14:solidFill>
          </w14:textFill>
        </w:rPr>
        <w:t>标准</w:t>
      </w:r>
    </w:p>
    <w:tbl>
      <w:tblPr>
        <w:tblStyle w:val="38"/>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039"/>
      </w:tblGrid>
      <w:tr w14:paraId="58E9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1890" w:type="dxa"/>
            <w:gridSpan w:val="2"/>
            <w:vAlign w:val="center"/>
          </w:tcPr>
          <w:p w14:paraId="1B9B4719">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条款号</w:t>
            </w:r>
          </w:p>
        </w:tc>
        <w:tc>
          <w:tcPr>
            <w:tcW w:w="1710" w:type="dxa"/>
            <w:vAlign w:val="center"/>
          </w:tcPr>
          <w:p w14:paraId="2D0DC9CF">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评审因素</w:t>
            </w:r>
          </w:p>
        </w:tc>
        <w:tc>
          <w:tcPr>
            <w:tcW w:w="6039" w:type="dxa"/>
            <w:vAlign w:val="center"/>
          </w:tcPr>
          <w:p w14:paraId="487FED17">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评审标准</w:t>
            </w:r>
          </w:p>
        </w:tc>
      </w:tr>
      <w:tr w14:paraId="1CA58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restart"/>
            <w:vAlign w:val="center"/>
          </w:tcPr>
          <w:p w14:paraId="5E748101">
            <w:pPr>
              <w:overflowPunct/>
              <w:bidi w:val="0"/>
              <w:jc w:val="center"/>
              <w:outlineLvl w:val="9"/>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1</w:t>
            </w:r>
          </w:p>
        </w:tc>
        <w:tc>
          <w:tcPr>
            <w:tcW w:w="1149" w:type="dxa"/>
            <w:vMerge w:val="restart"/>
            <w:vAlign w:val="center"/>
          </w:tcPr>
          <w:p w14:paraId="574EEB7F">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资格评审标  准</w:t>
            </w:r>
          </w:p>
        </w:tc>
        <w:tc>
          <w:tcPr>
            <w:tcW w:w="1710" w:type="dxa"/>
            <w:vAlign w:val="center"/>
          </w:tcPr>
          <w:p w14:paraId="7E5C4E6D">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营业执照</w:t>
            </w:r>
          </w:p>
        </w:tc>
        <w:tc>
          <w:tcPr>
            <w:tcW w:w="6039" w:type="dxa"/>
            <w:vAlign w:val="center"/>
          </w:tcPr>
          <w:p w14:paraId="47048385">
            <w:pPr>
              <w:overflowPunct/>
              <w:bidi w:val="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具备有效的营业执照</w:t>
            </w:r>
          </w:p>
          <w:p w14:paraId="5286A15E">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（提供营业执照副本</w:t>
            </w:r>
            <w:r>
              <w:rPr>
                <w:rFonts w:hint="eastAsia" w:ascii="宋体" w:hAnsi="宋体" w:eastAsia="宋体" w:cs="宋体"/>
                <w:color w:val="000000" w:themeColor="text1"/>
                <w:szCs w:val="21"/>
                <w:highlight w:val="none"/>
                <w:lang w:val="en-US" w:eastAsia="zh-CN"/>
                <w14:textFill>
                  <w14:solidFill>
                    <w14:schemeClr w14:val="tx1"/>
                  </w14:solidFill>
                </w14:textFill>
              </w:rPr>
              <w:t>复印件</w:t>
            </w:r>
            <w:r>
              <w:rPr>
                <w:rFonts w:hint="eastAsia" w:ascii="宋体" w:hAnsi="宋体" w:eastAsia="宋体" w:cs="宋体"/>
                <w:color w:val="000000" w:themeColor="text1"/>
                <w:szCs w:val="21"/>
                <w:highlight w:val="none"/>
                <w14:textFill>
                  <w14:solidFill>
                    <w14:schemeClr w14:val="tx1"/>
                  </w14:solidFill>
                </w14:textFill>
              </w:rPr>
              <w:t>加盖公章）。</w:t>
            </w:r>
          </w:p>
        </w:tc>
      </w:tr>
      <w:tr w14:paraId="1D4D5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trPr>
        <w:tc>
          <w:tcPr>
            <w:tcW w:w="741" w:type="dxa"/>
            <w:vMerge w:val="continue"/>
            <w:vAlign w:val="center"/>
          </w:tcPr>
          <w:p w14:paraId="02BC8B01">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1E35CA26">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202F48FD">
            <w:pPr>
              <w:pStyle w:val="106"/>
              <w:overflowPunct/>
              <w:bidi w:val="0"/>
              <w:spacing w:line="240" w:lineRule="auto"/>
              <w:jc w:val="center"/>
              <w:outlineLvl w:val="9"/>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落实政府采购政策需满足的资格要求</w:t>
            </w:r>
          </w:p>
        </w:tc>
        <w:tc>
          <w:tcPr>
            <w:tcW w:w="6039" w:type="dxa"/>
            <w:vAlign w:val="center"/>
          </w:tcPr>
          <w:p w14:paraId="15262C29">
            <w:pPr>
              <w:overflowPunct/>
              <w:autoSpaceDE w:val="0"/>
              <w:autoSpaceDN w:val="0"/>
              <w:bidi w:val="0"/>
              <w:adjustRightInd w:val="0"/>
              <w:spacing w:line="240" w:lineRule="auto"/>
              <w:jc w:val="both"/>
              <w:outlineLvl w:val="9"/>
              <w:rPr>
                <w:rFonts w:hint="eastAsia" w:ascii="宋体" w:hAnsi="宋体"/>
                <w:b w:val="0"/>
                <w:bCs w:val="0"/>
                <w:color w:val="000000" w:themeColor="text1"/>
                <w:highlight w:val="none"/>
                <w14:textFill>
                  <w14:solidFill>
                    <w14:schemeClr w14:val="tx1"/>
                  </w14:solidFill>
                </w14:textFill>
              </w:rPr>
            </w:pPr>
            <w:r>
              <w:rPr>
                <w:rFonts w:hint="eastAsia" w:ascii="宋体" w:hAnsi="宋体"/>
                <w:b w:val="0"/>
                <w:bCs w:val="0"/>
                <w:color w:val="000000" w:themeColor="text1"/>
                <w:highlight w:val="none"/>
                <w:lang w:val="en-US" w:eastAsia="zh-CN"/>
                <w14:textFill>
                  <w14:solidFill>
                    <w14:schemeClr w14:val="tx1"/>
                  </w14:solidFill>
                </w14:textFill>
              </w:rPr>
              <w:t>本项目专门面向中小企业采购，供应商须提供《中小企业声明函》，本项目对应的中小企业划分标准所属行业为“商务服务业”。</w:t>
            </w:r>
          </w:p>
        </w:tc>
      </w:tr>
      <w:tr w14:paraId="4B31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trPr>
        <w:tc>
          <w:tcPr>
            <w:tcW w:w="741" w:type="dxa"/>
            <w:vMerge w:val="continue"/>
            <w:vAlign w:val="center"/>
          </w:tcPr>
          <w:p w14:paraId="7A5A4A24">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271126B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shd w:val="clear" w:color="auto" w:fill="auto"/>
            <w:vAlign w:val="center"/>
          </w:tcPr>
          <w:p w14:paraId="2679E14A">
            <w:pPr>
              <w:pStyle w:val="106"/>
              <w:overflowPunct/>
              <w:bidi w:val="0"/>
              <w:spacing w:line="240" w:lineRule="auto"/>
              <w:jc w:val="center"/>
              <w:outlineLvl w:val="9"/>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资格条件承诺函及信用承诺书</w:t>
            </w:r>
          </w:p>
        </w:tc>
        <w:tc>
          <w:tcPr>
            <w:tcW w:w="6039" w:type="dxa"/>
            <w:shd w:val="clear" w:color="auto" w:fill="auto"/>
            <w:vAlign w:val="center"/>
          </w:tcPr>
          <w:p w14:paraId="171C055F">
            <w:pPr>
              <w:overflowPunct/>
              <w:autoSpaceDE w:val="0"/>
              <w:autoSpaceDN w:val="0"/>
              <w:bidi w:val="0"/>
              <w:adjustRightInd w:val="0"/>
              <w:spacing w:line="240" w:lineRule="auto"/>
              <w:jc w:val="both"/>
              <w:outlineLvl w:val="9"/>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hAnsi="宋体" w:cs="宋体"/>
                <w:color w:val="000000" w:themeColor="text1"/>
                <w:szCs w:val="21"/>
                <w:highlight w:val="none"/>
                <w:lang w:eastAsia="zh-CN"/>
                <w14:textFill>
                  <w14:solidFill>
                    <w14:schemeClr w14:val="tx1"/>
                  </w14:solidFill>
                </w14:textFill>
              </w:rPr>
              <w:t>供应商应按照磋商文件要求在响应文件中提交反映其财务状况、依法缴纳税收和社保保障资金情况的资格条件承诺函，并对资格条件承诺函有关内容的真实性、有效性、合法性负责</w:t>
            </w:r>
            <w:r>
              <w:rPr>
                <w:rFonts w:hint="eastAsia" w:ascii="宋体" w:hAnsi="宋体" w:cs="宋体"/>
                <w:color w:val="000000" w:themeColor="text1"/>
                <w:szCs w:val="21"/>
                <w:highlight w:val="none"/>
                <w:lang w:eastAsia="zh-CN"/>
                <w14:textFill>
                  <w14:solidFill>
                    <w14:schemeClr w14:val="tx1"/>
                  </w14:solidFill>
                </w14:textFill>
              </w:rPr>
              <w:t>；</w:t>
            </w:r>
          </w:p>
          <w:p w14:paraId="0B073058">
            <w:pPr>
              <w:overflowPunct/>
              <w:autoSpaceDE w:val="0"/>
              <w:autoSpaceDN w:val="0"/>
              <w:bidi w:val="0"/>
              <w:adjustRightInd w:val="0"/>
              <w:spacing w:line="240" w:lineRule="auto"/>
              <w:jc w:val="both"/>
              <w:outlineLvl w:val="9"/>
              <w:rPr>
                <w:rFonts w:hint="eastAsia" w:ascii="宋体" w:hAnsi="宋体" w:eastAsia="宋体" w:cs="Times New Roman"/>
                <w:b w:val="0"/>
                <w:bCs w:val="0"/>
                <w:color w:val="000000" w:themeColor="text1"/>
                <w:kern w:val="2"/>
                <w:sz w:val="21"/>
                <w:szCs w:val="24"/>
                <w:highlight w:val="none"/>
                <w:lang w:val="zh-CN" w:eastAsia="zh-CN" w:bidi="ar-SA"/>
                <w14:textFill>
                  <w14:solidFill>
                    <w14:schemeClr w14:val="tx1"/>
                  </w14:solidFill>
                </w14:textFill>
              </w:rPr>
            </w:pP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响应文件中提供由法定代表人或其授权委托人签字并加盖公章的</w:t>
            </w:r>
            <w:r>
              <w:rPr>
                <w:rFonts w:hint="eastAsia" w:hAnsi="宋体" w:cs="宋体"/>
                <w:b/>
                <w:bCs/>
                <w:color w:val="000000" w:themeColor="text1"/>
                <w:szCs w:val="21"/>
                <w:highlight w:val="none"/>
                <w:lang w:eastAsia="zh-CN"/>
                <w14:textFill>
                  <w14:solidFill>
                    <w14:schemeClr w14:val="tx1"/>
                  </w14:solidFill>
                </w14:textFill>
              </w:rPr>
              <w:t>资格条件承诺函及符合提供资格条件承诺函的信用承诺书</w:t>
            </w: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w:t>
            </w:r>
          </w:p>
        </w:tc>
      </w:tr>
      <w:tr w14:paraId="46051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41" w:type="dxa"/>
            <w:vMerge w:val="continue"/>
            <w:vAlign w:val="center"/>
          </w:tcPr>
          <w:p w14:paraId="3D8F087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372C110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3276B5F">
            <w:pPr>
              <w:tabs>
                <w:tab w:val="left" w:pos="200"/>
              </w:tabs>
              <w:overflowPunct/>
              <w:bidi w:val="0"/>
              <w:jc w:val="center"/>
              <w:outlineLvl w:val="9"/>
              <w:rPr>
                <w:rFonts w:hint="default" w:ascii="宋体" w:hAnsi="宋体" w:eastAsia="宋体"/>
                <w:color w:val="000000" w:themeColor="text1"/>
                <w:highlight w:val="none"/>
                <w:lang w:val="en-US" w:eastAsia="zh-CN"/>
                <w14:textFill>
                  <w14:solidFill>
                    <w14:schemeClr w14:val="tx1"/>
                  </w14:solidFill>
                </w14:textFill>
              </w:rPr>
            </w:pPr>
            <w:r>
              <w:rPr>
                <w:rFonts w:hint="eastAsia" w:ascii="宋体" w:hAnsi="宋体"/>
                <w:color w:val="000000" w:themeColor="text1"/>
                <w:highlight w:val="none"/>
                <w:lang w:val="en-US" w:eastAsia="zh-CN"/>
                <w14:textFill>
                  <w14:solidFill>
                    <w14:schemeClr w14:val="tx1"/>
                  </w14:solidFill>
                </w14:textFill>
              </w:rPr>
              <w:t>联合体要求</w:t>
            </w:r>
          </w:p>
        </w:tc>
        <w:tc>
          <w:tcPr>
            <w:tcW w:w="6039" w:type="dxa"/>
            <w:vAlign w:val="center"/>
          </w:tcPr>
          <w:p w14:paraId="270711EC">
            <w:pPr>
              <w:overflowPunct/>
              <w:bidi w:val="0"/>
              <w:outlineLvl w:val="9"/>
              <w:rPr>
                <w:rFonts w:hint="default" w:ascii="宋体" w:hAnsi="宋体" w:eastAsia="宋体"/>
                <w:b w:val="0"/>
                <w:bCs w:val="0"/>
                <w:color w:val="000000" w:themeColor="text1"/>
                <w:highlight w:val="none"/>
                <w:lang w:val="en-US" w:eastAsia="zh-CN"/>
                <w14:textFill>
                  <w14:solidFill>
                    <w14:schemeClr w14:val="tx1"/>
                  </w14:solidFill>
                </w14:textFill>
              </w:rPr>
            </w:pPr>
            <w:r>
              <w:rPr>
                <w:rFonts w:hint="eastAsia" w:ascii="宋体" w:hAnsi="宋体"/>
                <w:b w:val="0"/>
                <w:bCs w:val="0"/>
                <w:color w:val="000000" w:themeColor="text1"/>
                <w:highlight w:val="none"/>
                <w:lang w:val="en-US" w:eastAsia="zh-CN"/>
                <w14:textFill>
                  <w14:solidFill>
                    <w14:schemeClr w14:val="tx1"/>
                  </w14:solidFill>
                </w14:textFill>
              </w:rPr>
              <w:t>供应商不得为联合体</w:t>
            </w:r>
          </w:p>
        </w:tc>
      </w:tr>
      <w:tr w14:paraId="6BA17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741" w:type="dxa"/>
            <w:vMerge w:val="continue"/>
            <w:vAlign w:val="center"/>
          </w:tcPr>
          <w:p w14:paraId="39EA0813">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0DB6B15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173772B">
            <w:pPr>
              <w:overflowPunct/>
              <w:bidi w:val="0"/>
              <w:jc w:val="center"/>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信誉要求</w:t>
            </w:r>
          </w:p>
        </w:tc>
        <w:tc>
          <w:tcPr>
            <w:tcW w:w="6039" w:type="dxa"/>
            <w:vAlign w:val="center"/>
          </w:tcPr>
          <w:p w14:paraId="1C645084">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1.拒绝列入政府取消投标资格记录期间的企业或个人投标；</w:t>
            </w:r>
          </w:p>
          <w:p w14:paraId="24217E7E">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zh-CN" w:eastAsia="zh-CN"/>
                <w14:textFill>
                  <w14:solidFill>
                    <w14:schemeClr w14:val="tx1"/>
                  </w14:solidFill>
                </w14:textFill>
              </w:rPr>
              <w:t>响应文件中</w:t>
            </w:r>
            <w:r>
              <w:rPr>
                <w:rFonts w:hint="eastAsia" w:ascii="宋体" w:hAnsi="宋体" w:cs="宋体"/>
                <w:color w:val="000000" w:themeColor="text1"/>
                <w:szCs w:val="21"/>
                <w:highlight w:val="none"/>
                <w:lang w:val="en-US" w:eastAsia="zh-CN"/>
                <w14:textFill>
                  <w14:solidFill>
                    <w14:schemeClr w14:val="tx1"/>
                  </w14:solidFill>
                </w14:textFill>
              </w:rPr>
              <w:t>提供由法定代表人或其授权委托人签字并加盖公章的承诺书。</w:t>
            </w:r>
          </w:p>
          <w:p w14:paraId="024889C7">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供应商不得为“信用中国”网站（www.creditchina.gov.cn）中列入失信被执行人、重大税收违法失信主体和企业经营异常名录的供应商，不得为中国政府采购网（www.ccgp.gov.cn）政府采购严重违法失信行为记录名单中被财政部门禁止参加政府采购活动的供应商（在处罚决定规定的时间和地域范围内）（详见财库【2016】125 号），响应文件中提供相关证明材料截图并加盖单位公章。</w:t>
            </w:r>
          </w:p>
          <w:p w14:paraId="6336798C">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3.供应商需提供中国裁判文书网（http://wenshu.court.gov.cn/）的无行贿犯罪查询证明网站截图并加盖单位公章（提供的查询结果网页截图需体现企业及法定代表人）。</w:t>
            </w:r>
          </w:p>
          <w:p w14:paraId="428CA527">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4.供应商参加政府采购活动近3年内（2022年至今）在经营活动中没有重大违法记录。</w:t>
            </w:r>
            <w:r>
              <w:rPr>
                <w:rFonts w:hint="eastAsia" w:ascii="宋体" w:hAnsi="宋体" w:cs="宋体"/>
                <w:color w:val="000000" w:themeColor="text1"/>
                <w:szCs w:val="21"/>
                <w:highlight w:val="none"/>
                <w:lang w:val="zh-CN" w:eastAsia="zh-CN"/>
                <w14:textFill>
                  <w14:solidFill>
                    <w14:schemeClr w14:val="tx1"/>
                  </w14:solidFill>
                </w14:textFill>
              </w:rPr>
              <w:t>响应文件中</w:t>
            </w:r>
            <w:r>
              <w:rPr>
                <w:rFonts w:hint="eastAsia" w:ascii="宋体" w:hAnsi="宋体" w:cs="宋体"/>
                <w:color w:val="000000" w:themeColor="text1"/>
                <w:szCs w:val="21"/>
                <w:highlight w:val="none"/>
                <w:lang w:val="en-US" w:eastAsia="zh-CN"/>
                <w14:textFill>
                  <w14:solidFill>
                    <w14:schemeClr w14:val="tx1"/>
                  </w14:solidFill>
                </w14:textFill>
              </w:rPr>
              <w:t>提供由法定代表人或其授权委托人签字并加盖公章的承诺书。</w:t>
            </w:r>
          </w:p>
          <w:p w14:paraId="664F5D25">
            <w:pPr>
              <w:overflowPunct/>
              <w:autoSpaceDE w:val="0"/>
              <w:autoSpaceDN w:val="0"/>
              <w:bidi w:val="0"/>
              <w:adjustRightInd w:val="0"/>
              <w:spacing w:line="240" w:lineRule="auto"/>
              <w:jc w:val="both"/>
              <w:outlineLvl w:val="9"/>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不存在第二章“供应商须知”第1.4.2及1.4.3项规定的任何一种情形，</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p w14:paraId="3BA650FE">
            <w:pPr>
              <w:overflowPunct/>
              <w:bidi w:val="0"/>
              <w:jc w:val="left"/>
              <w:outlineLvl w:val="9"/>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val="zh-CN" w:eastAsia="zh-CN"/>
                <w14:textFill>
                  <w14:solidFill>
                    <w14:schemeClr w14:val="tx1"/>
                  </w14:solidFill>
                </w14:textFill>
              </w:rPr>
              <w:t>供应商</w:t>
            </w:r>
            <w:r>
              <w:rPr>
                <w:rFonts w:hint="eastAsia" w:ascii="宋体" w:hAnsi="宋体" w:eastAsia="宋体" w:cs="宋体"/>
                <w:color w:val="000000" w:themeColor="text1"/>
                <w:szCs w:val="21"/>
                <w:highlight w:val="none"/>
                <w:lang w:eastAsia="zh-CN"/>
                <w14:textFill>
                  <w14:solidFill>
                    <w14:schemeClr w14:val="tx1"/>
                  </w14:solidFill>
                </w14:textFill>
              </w:rPr>
              <w:t>需对公司材料和响应文件的真实性进行承诺，不得提供伪造、变造的材料，否则后果自负。</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tc>
      </w:tr>
      <w:tr w14:paraId="67A2A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restart"/>
            <w:vAlign w:val="center"/>
          </w:tcPr>
          <w:p w14:paraId="1DA6C15B">
            <w:pPr>
              <w:overflowPunct/>
              <w:bidi w:val="0"/>
              <w:jc w:val="center"/>
              <w:outlineLvl w:val="9"/>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2</w:t>
            </w:r>
          </w:p>
        </w:tc>
        <w:tc>
          <w:tcPr>
            <w:tcW w:w="1149" w:type="dxa"/>
            <w:vMerge w:val="restart"/>
            <w:vAlign w:val="center"/>
          </w:tcPr>
          <w:p w14:paraId="5749E3B8">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符合</w:t>
            </w:r>
            <w:r>
              <w:rPr>
                <w:rFonts w:hint="eastAsia" w:ascii="宋体" w:hAnsi="宋体"/>
                <w:color w:val="000000" w:themeColor="text1"/>
                <w:szCs w:val="21"/>
                <w:highlight w:val="none"/>
                <w14:textFill>
                  <w14:solidFill>
                    <w14:schemeClr w14:val="tx1"/>
                  </w14:solidFill>
                </w14:textFill>
              </w:rPr>
              <w:t>性</w:t>
            </w:r>
          </w:p>
          <w:p w14:paraId="36183D85">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评审标准</w:t>
            </w:r>
          </w:p>
        </w:tc>
        <w:tc>
          <w:tcPr>
            <w:tcW w:w="1710" w:type="dxa"/>
            <w:shd w:val="clear" w:color="auto" w:fill="auto"/>
            <w:vAlign w:val="center"/>
          </w:tcPr>
          <w:p w14:paraId="658FCBA7">
            <w:pPr>
              <w:overflowPunct/>
              <w:bidi w:val="0"/>
              <w:jc w:val="center"/>
              <w:outlineLvl w:val="9"/>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名称</w:t>
            </w:r>
          </w:p>
        </w:tc>
        <w:tc>
          <w:tcPr>
            <w:tcW w:w="6039" w:type="dxa"/>
            <w:shd w:val="clear" w:color="auto" w:fill="auto"/>
            <w:vAlign w:val="center"/>
          </w:tcPr>
          <w:p w14:paraId="1D5B0252">
            <w:pPr>
              <w:overflowPunct/>
              <w:bidi w:val="0"/>
              <w:outlineLvl w:val="9"/>
              <w:rPr>
                <w:rFonts w:hint="eastAsia" w:ascii="宋体" w:hAnsi="宋体" w:eastAsia="宋体" w:cs="Times New Roman"/>
                <w:b w:val="0"/>
                <w:bC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b w:val="0"/>
                <w:bCs w:val="0"/>
                <w:color w:val="000000" w:themeColor="text1"/>
                <w:kern w:val="2"/>
                <w:sz w:val="21"/>
                <w:szCs w:val="21"/>
                <w:highlight w:val="none"/>
                <w:lang w:val="en-US" w:eastAsia="zh-CN" w:bidi="ar-SA"/>
                <w14:textFill>
                  <w14:solidFill>
                    <w14:schemeClr w14:val="tx1"/>
                  </w14:solidFill>
                </w14:textFill>
              </w:rPr>
              <w:t>与营业执照、开户许可证（或基本存款账户信息）一致。</w:t>
            </w:r>
          </w:p>
        </w:tc>
      </w:tr>
      <w:tr w14:paraId="62AE8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02D49C5D">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6248FF59">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626A56EF">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磋商函签字盖章</w:t>
            </w:r>
          </w:p>
        </w:tc>
        <w:tc>
          <w:tcPr>
            <w:tcW w:w="6039" w:type="dxa"/>
            <w:vAlign w:val="center"/>
          </w:tcPr>
          <w:p w14:paraId="1C1389F2">
            <w:pPr>
              <w:overflowPunct/>
              <w:bidi w:val="0"/>
              <w:outlineLvl w:val="9"/>
              <w:rPr>
                <w:rFonts w:hint="eastAsia"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报价函均应加盖投标供应商印章并经法定代表人或其委托代理人签字或盖章。</w:t>
            </w:r>
          </w:p>
        </w:tc>
      </w:tr>
      <w:tr w14:paraId="13C1D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753946E0">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74733F33">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2CF85C42">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响应文件格式</w:t>
            </w:r>
          </w:p>
        </w:tc>
        <w:tc>
          <w:tcPr>
            <w:tcW w:w="6039" w:type="dxa"/>
            <w:vAlign w:val="center"/>
          </w:tcPr>
          <w:p w14:paraId="2CAE299F">
            <w:pPr>
              <w:overflowPunct/>
              <w:bidi w:val="0"/>
              <w:outlineLvl w:val="9"/>
              <w:rPr>
                <w:rFonts w:hint="eastAsia" w:ascii="宋体" w:hAnsi="宋体"/>
                <w:b w:val="0"/>
                <w:bCs w:val="0"/>
                <w:color w:val="000000" w:themeColor="text1"/>
                <w:szCs w:val="21"/>
                <w:highlight w:val="none"/>
                <w14:textFill>
                  <w14:solidFill>
                    <w14:schemeClr w14:val="tx1"/>
                  </w14:solidFill>
                </w14:textFill>
              </w:rPr>
            </w:pPr>
            <w:r>
              <w:rPr>
                <w:rFonts w:hint="eastAsia" w:ascii="宋体" w:hAnsi="宋体"/>
                <w:b w:val="0"/>
                <w:bCs w:val="0"/>
                <w:color w:val="000000" w:themeColor="text1"/>
                <w:szCs w:val="21"/>
                <w:highlight w:val="none"/>
                <w:lang w:val="zh-CN"/>
                <w14:textFill>
                  <w14:solidFill>
                    <w14:schemeClr w14:val="tx1"/>
                  </w14:solidFill>
                </w14:textFill>
              </w:rPr>
              <w:t>符合磋商文件中 “响应文件格式”的要求，按磋商文件的要求盖章、签署。</w:t>
            </w:r>
          </w:p>
        </w:tc>
      </w:tr>
      <w:tr w14:paraId="3D24B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6FD4B293">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149" w:type="dxa"/>
            <w:vMerge w:val="continue"/>
            <w:vAlign w:val="center"/>
          </w:tcPr>
          <w:p w14:paraId="50204D57">
            <w:pPr>
              <w:overflowPunct/>
              <w:bidi w:val="0"/>
              <w:jc w:val="center"/>
              <w:outlineLvl w:val="9"/>
              <w:rPr>
                <w:rFonts w:hint="eastAsia" w:ascii="宋体" w:hAnsi="宋体"/>
                <w:color w:val="000000" w:themeColor="text1"/>
                <w:szCs w:val="21"/>
                <w:highlight w:val="none"/>
                <w14:textFill>
                  <w14:solidFill>
                    <w14:schemeClr w14:val="tx1"/>
                  </w14:solidFill>
                </w14:textFill>
              </w:rPr>
            </w:pPr>
          </w:p>
        </w:tc>
        <w:tc>
          <w:tcPr>
            <w:tcW w:w="1710" w:type="dxa"/>
            <w:vAlign w:val="center"/>
          </w:tcPr>
          <w:p w14:paraId="48DE216E">
            <w:pPr>
              <w:overflowPunct/>
              <w:bidi w:val="0"/>
              <w:jc w:val="center"/>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报价唯一</w:t>
            </w:r>
          </w:p>
        </w:tc>
        <w:tc>
          <w:tcPr>
            <w:tcW w:w="6039" w:type="dxa"/>
            <w:vAlign w:val="center"/>
          </w:tcPr>
          <w:p w14:paraId="33AF8FC5">
            <w:pPr>
              <w:overflowPunct/>
              <w:bidi w:val="0"/>
              <w:outlineLvl w:val="9"/>
              <w:rPr>
                <w:rFonts w:hint="eastAsia" w:ascii="宋体" w:hAnsi="宋体" w:eastAsia="宋体"/>
                <w:b w:val="0"/>
                <w:bCs w:val="0"/>
                <w:color w:val="000000" w:themeColor="text1"/>
                <w:szCs w:val="21"/>
                <w:highlight w:val="none"/>
                <w:lang w:eastAsia="zh-CN"/>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只能有一个有效报价</w:t>
            </w:r>
            <w:r>
              <w:rPr>
                <w:rFonts w:hint="eastAsia" w:ascii="宋体" w:hAnsi="宋体"/>
                <w:b w:val="0"/>
                <w:bCs w:val="0"/>
                <w:color w:val="000000" w:themeColor="text1"/>
                <w:szCs w:val="21"/>
                <w:highlight w:val="none"/>
                <w:lang w:eastAsia="zh-CN"/>
                <w14:textFill>
                  <w14:solidFill>
                    <w14:schemeClr w14:val="tx1"/>
                  </w14:solidFill>
                </w14:textFill>
              </w:rPr>
              <w:t>。</w:t>
            </w:r>
          </w:p>
        </w:tc>
      </w:tr>
      <w:tr w14:paraId="01D4C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41" w:type="dxa"/>
            <w:vMerge w:val="continue"/>
            <w:vAlign w:val="center"/>
          </w:tcPr>
          <w:p w14:paraId="6832619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6CD1B3FF">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400E564A">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响应</w:t>
            </w:r>
            <w:r>
              <w:rPr>
                <w:rFonts w:hint="eastAsia" w:ascii="宋体" w:hAnsi="宋体"/>
                <w:color w:val="000000" w:themeColor="text1"/>
                <w:szCs w:val="21"/>
                <w:highlight w:val="none"/>
                <w14:textFill>
                  <w14:solidFill>
                    <w14:schemeClr w14:val="tx1"/>
                  </w14:solidFill>
                </w14:textFill>
              </w:rPr>
              <w:t>内容</w:t>
            </w:r>
          </w:p>
        </w:tc>
        <w:tc>
          <w:tcPr>
            <w:tcW w:w="6039" w:type="dxa"/>
            <w:vAlign w:val="center"/>
          </w:tcPr>
          <w:p w14:paraId="2F8C4E56">
            <w:pPr>
              <w:overflowPunct/>
              <w:bidi w:val="0"/>
              <w:spacing w:line="240" w:lineRule="exact"/>
              <w:outlineLvl w:val="9"/>
              <w:rPr>
                <w:rFonts w:hint="eastAsia" w:ascii="宋体" w:hAnsi="宋体" w:eastAsia="宋体"/>
                <w:b w:val="0"/>
                <w:bCs w:val="0"/>
                <w:color w:val="000000" w:themeColor="text1"/>
                <w:szCs w:val="21"/>
                <w:highlight w:val="none"/>
                <w:lang w:eastAsia="zh-CN"/>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符合磋商文件规定</w:t>
            </w:r>
            <w:r>
              <w:rPr>
                <w:rFonts w:hint="eastAsia" w:ascii="宋体" w:hAnsi="宋体"/>
                <w:b w:val="0"/>
                <w:bCs w:val="0"/>
                <w:color w:val="000000" w:themeColor="text1"/>
                <w:szCs w:val="21"/>
                <w:highlight w:val="none"/>
                <w:lang w:eastAsia="zh-CN"/>
                <w14:textFill>
                  <w14:solidFill>
                    <w14:schemeClr w14:val="tx1"/>
                  </w14:solidFill>
                </w14:textFill>
              </w:rPr>
              <w:t>。</w:t>
            </w:r>
          </w:p>
        </w:tc>
      </w:tr>
      <w:tr w14:paraId="0B789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741" w:type="dxa"/>
            <w:vMerge w:val="continue"/>
            <w:vAlign w:val="center"/>
          </w:tcPr>
          <w:p w14:paraId="180FE6BF">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1A4F4CF8">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0F555482">
            <w:pPr>
              <w:overflowPunct/>
              <w:bidi w:val="0"/>
              <w:jc w:val="center"/>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服务期限</w:t>
            </w:r>
          </w:p>
        </w:tc>
        <w:tc>
          <w:tcPr>
            <w:tcW w:w="6039" w:type="dxa"/>
            <w:vAlign w:val="center"/>
          </w:tcPr>
          <w:p w14:paraId="4C32F259">
            <w:pPr>
              <w:overflowPunct/>
              <w:bidi w:val="0"/>
              <w:outlineLvl w:val="9"/>
              <w:rPr>
                <w:rFonts w:ascii="宋体" w:hAnsi="宋体"/>
                <w:b w:val="0"/>
                <w:bCs w:val="0"/>
                <w:color w:val="000000" w:themeColor="text1"/>
                <w:szCs w:val="21"/>
                <w:highlight w:val="none"/>
                <w14:textFill>
                  <w14:solidFill>
                    <w14:schemeClr w14:val="tx1"/>
                  </w14:solidFill>
                </w14:textFill>
              </w:rPr>
            </w:pPr>
            <w:r>
              <w:rPr>
                <w:rFonts w:hint="eastAsia" w:ascii="宋体" w:hAnsi="宋体" w:cs="宋体"/>
                <w:b w:val="0"/>
                <w:bCs w:val="0"/>
                <w:highlight w:val="none"/>
                <w:u w:val="none"/>
                <w:lang w:val="en-US" w:eastAsia="zh-CN"/>
              </w:rPr>
              <w:t>自签订合同之日起一年</w:t>
            </w:r>
            <w:r>
              <w:rPr>
                <w:rStyle w:val="118"/>
                <w:rFonts w:hint="eastAsia" w:ascii="宋体" w:hAnsi="宋体" w:eastAsia="宋体" w:cs="宋体"/>
                <w:color w:val="auto"/>
                <w:sz w:val="21"/>
                <w:szCs w:val="21"/>
                <w:highlight w:val="none"/>
                <w:u w:val="none"/>
              </w:rPr>
              <w:t>。</w:t>
            </w:r>
          </w:p>
        </w:tc>
      </w:tr>
      <w:tr w14:paraId="7D348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1" w:type="dxa"/>
            <w:vMerge w:val="continue"/>
            <w:vAlign w:val="center"/>
          </w:tcPr>
          <w:p w14:paraId="67AD0870">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7E685D3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3159942D">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响应有效期</w:t>
            </w:r>
          </w:p>
        </w:tc>
        <w:tc>
          <w:tcPr>
            <w:tcW w:w="6039" w:type="dxa"/>
            <w:vAlign w:val="center"/>
          </w:tcPr>
          <w:p w14:paraId="1BFFDC0D">
            <w:pPr>
              <w:overflowPunct/>
              <w:bidi w:val="0"/>
              <w:outlineLvl w:val="9"/>
              <w:rPr>
                <w:rFonts w:hint="eastAsia" w:ascii="宋体" w:hAnsi="宋体" w:eastAsia="宋体"/>
                <w:b w:val="0"/>
                <w:bCs w:val="0"/>
                <w:color w:val="000000" w:themeColor="text1"/>
                <w:szCs w:val="21"/>
                <w:highlight w:val="none"/>
                <w:lang w:eastAsia="zh-CN"/>
                <w14:textFill>
                  <w14:solidFill>
                    <w14:schemeClr w14:val="tx1"/>
                  </w14:solidFill>
                </w14:textFill>
              </w:rPr>
            </w:pPr>
            <w:r>
              <w:rPr>
                <w:rFonts w:hint="eastAsia" w:ascii="宋体" w:hAnsi="宋体"/>
                <w:b w:val="0"/>
                <w:bCs w:val="0"/>
                <w:color w:val="000000" w:themeColor="text1"/>
                <w:szCs w:val="21"/>
                <w:highlight w:val="none"/>
                <w14:textFill>
                  <w14:solidFill>
                    <w14:schemeClr w14:val="tx1"/>
                  </w14:solidFill>
                </w14:textFill>
              </w:rPr>
              <w:t>投标截止之日后90天（日历天）</w:t>
            </w:r>
            <w:r>
              <w:rPr>
                <w:rFonts w:hint="eastAsia" w:ascii="宋体" w:hAnsi="宋体"/>
                <w:b w:val="0"/>
                <w:bCs w:val="0"/>
                <w:color w:val="000000" w:themeColor="text1"/>
                <w:szCs w:val="21"/>
                <w:highlight w:val="none"/>
                <w:lang w:eastAsia="zh-CN"/>
                <w14:textFill>
                  <w14:solidFill>
                    <w14:schemeClr w14:val="tx1"/>
                  </w14:solidFill>
                </w14:textFill>
              </w:rPr>
              <w:t>。</w:t>
            </w:r>
          </w:p>
        </w:tc>
      </w:tr>
      <w:tr w14:paraId="00FBB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vMerge w:val="continue"/>
            <w:vAlign w:val="center"/>
          </w:tcPr>
          <w:p w14:paraId="5F8BA905">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5C4C247B">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21BA3983">
            <w:pPr>
              <w:overflowPunct/>
              <w:bidi w:val="0"/>
              <w:jc w:val="center"/>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采购需</w:t>
            </w:r>
            <w:r>
              <w:rPr>
                <w:rFonts w:hint="eastAsia" w:ascii="宋体" w:hAnsi="宋体"/>
                <w:color w:val="000000" w:themeColor="text1"/>
                <w:szCs w:val="21"/>
                <w:highlight w:val="none"/>
                <w14:textFill>
                  <w14:solidFill>
                    <w14:schemeClr w14:val="tx1"/>
                  </w14:solidFill>
                </w14:textFill>
              </w:rPr>
              <w:t>求</w:t>
            </w:r>
          </w:p>
        </w:tc>
        <w:tc>
          <w:tcPr>
            <w:tcW w:w="6039" w:type="dxa"/>
            <w:vAlign w:val="center"/>
          </w:tcPr>
          <w:p w14:paraId="67D4BC69">
            <w:pPr>
              <w:overflowPunct/>
              <w:bidi w:val="0"/>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eastAsia="宋体"/>
                <w:color w:val="000000" w:themeColor="text1"/>
                <w:szCs w:val="21"/>
                <w:highlight w:val="none"/>
                <w:lang w:val="en-US" w:eastAsia="zh-CN"/>
                <w14:textFill>
                  <w14:solidFill>
                    <w14:schemeClr w14:val="tx1"/>
                  </w14:solidFill>
                </w14:textFill>
              </w:rPr>
              <w:t>响应文件响应招标人的采购需求。</w:t>
            </w:r>
          </w:p>
        </w:tc>
      </w:tr>
      <w:tr w14:paraId="14407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41" w:type="dxa"/>
            <w:vMerge w:val="continue"/>
            <w:vAlign w:val="center"/>
          </w:tcPr>
          <w:p w14:paraId="59740DA1">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149" w:type="dxa"/>
            <w:vMerge w:val="continue"/>
            <w:vAlign w:val="center"/>
          </w:tcPr>
          <w:p w14:paraId="481D0CCC">
            <w:pPr>
              <w:overflowPunct/>
              <w:bidi w:val="0"/>
              <w:jc w:val="center"/>
              <w:outlineLvl w:val="9"/>
              <w:rPr>
                <w:rFonts w:ascii="宋体" w:hAnsi="宋体"/>
                <w:color w:val="000000" w:themeColor="text1"/>
                <w:szCs w:val="21"/>
                <w:highlight w:val="none"/>
                <w14:textFill>
                  <w14:solidFill>
                    <w14:schemeClr w14:val="tx1"/>
                  </w14:solidFill>
                </w14:textFill>
              </w:rPr>
            </w:pPr>
          </w:p>
        </w:tc>
        <w:tc>
          <w:tcPr>
            <w:tcW w:w="1710" w:type="dxa"/>
            <w:vAlign w:val="center"/>
          </w:tcPr>
          <w:p w14:paraId="5EA1C6B8">
            <w:pPr>
              <w:overflowPunct/>
              <w:bidi w:val="0"/>
              <w:jc w:val="center"/>
              <w:outlineLvl w:val="9"/>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w:t>
            </w:r>
            <w:r>
              <w:rPr>
                <w:rFonts w:hint="eastAsia" w:ascii="宋体" w:hAnsi="宋体"/>
                <w:color w:val="000000" w:themeColor="text1"/>
                <w:szCs w:val="21"/>
                <w:highlight w:val="none"/>
                <w:lang w:val="en-US" w:eastAsia="zh-CN"/>
                <w14:textFill>
                  <w14:solidFill>
                    <w14:schemeClr w14:val="tx1"/>
                  </w14:solidFill>
                </w14:textFill>
              </w:rPr>
              <w:t>报价</w:t>
            </w:r>
          </w:p>
        </w:tc>
        <w:tc>
          <w:tcPr>
            <w:tcW w:w="6039" w:type="dxa"/>
            <w:vAlign w:val="center"/>
          </w:tcPr>
          <w:p w14:paraId="2787E378">
            <w:pPr>
              <w:overflowPunct/>
              <w:bidi w:val="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低于（含等于）第二章“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须知”前附表载明的</w:t>
            </w:r>
            <w:r>
              <w:rPr>
                <w:rFonts w:hint="eastAsia" w:ascii="宋体" w:hAnsi="宋体"/>
                <w:color w:val="000000" w:themeColor="text1"/>
                <w:szCs w:val="21"/>
                <w:highlight w:val="none"/>
                <w:lang w:eastAsia="zh-CN"/>
                <w14:textFill>
                  <w14:solidFill>
                    <w14:schemeClr w14:val="tx1"/>
                  </w14:solidFill>
                </w14:textFill>
              </w:rPr>
              <w:t>预算金额（最高限制价）</w:t>
            </w:r>
            <w:r>
              <w:rPr>
                <w:rFonts w:hint="eastAsia" w:ascii="宋体" w:hAnsi="宋体"/>
                <w:color w:val="000000" w:themeColor="text1"/>
                <w:szCs w:val="21"/>
                <w:highlight w:val="none"/>
                <w14:textFill>
                  <w14:solidFill>
                    <w14:schemeClr w14:val="tx1"/>
                  </w14:solidFill>
                </w14:textFill>
              </w:rPr>
              <w:t>。</w:t>
            </w:r>
          </w:p>
        </w:tc>
      </w:tr>
    </w:tbl>
    <w:p w14:paraId="64706281">
      <w:pPr>
        <w:overflowPunct/>
        <w:bidi w:val="0"/>
        <w:spacing w:beforeLines="100"/>
        <w:ind w:right="-496" w:rightChars="-236"/>
        <w:outlineLvl w:val="9"/>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sz w:val="18"/>
          <w:szCs w:val="18"/>
          <w:highlight w:val="none"/>
          <w:lang w:val="zh-CN"/>
          <w14:textFill>
            <w14:solidFill>
              <w14:schemeClr w14:val="tx1"/>
            </w14:solidFill>
          </w14:textFill>
        </w:rPr>
        <w:t>注：1</w:t>
      </w:r>
      <w:r>
        <w:rPr>
          <w:rFonts w:hint="eastAsia" w:ascii="宋体" w:hAnsi="宋体" w:cs="宋体"/>
          <w:b/>
          <w:bCs/>
          <w:color w:val="000000" w:themeColor="text1"/>
          <w:sz w:val="18"/>
          <w:szCs w:val="18"/>
          <w:highlight w:val="none"/>
          <w:lang w:val="en-US" w:eastAsia="zh-CN"/>
          <w14:textFill>
            <w14:solidFill>
              <w14:schemeClr w14:val="tx1"/>
            </w14:solidFill>
          </w14:textFill>
        </w:rPr>
        <w:t>.</w:t>
      </w:r>
      <w:r>
        <w:rPr>
          <w:rFonts w:hint="eastAsia" w:ascii="宋体" w:hAnsi="宋体" w:cs="宋体"/>
          <w:b/>
          <w:bCs/>
          <w:color w:val="000000" w:themeColor="text1"/>
          <w:sz w:val="18"/>
          <w:szCs w:val="18"/>
          <w:highlight w:val="none"/>
          <w:lang w:val="zh-CN"/>
          <w14:textFill>
            <w14:solidFill>
              <w14:schemeClr w14:val="tx1"/>
            </w14:solidFill>
          </w14:textFill>
        </w:rPr>
        <w:t>上述表中要求提供的证书、合同文件和相关证明文件等证件的复印件加盖公章装订在响应文件中。</w:t>
      </w:r>
    </w:p>
    <w:p w14:paraId="035CF559">
      <w:pPr>
        <w:overflowPunct/>
        <w:bidi w:val="0"/>
        <w:ind w:right="-496" w:rightChars="-236" w:firstLine="361" w:firstLineChars="200"/>
        <w:outlineLvl w:val="9"/>
        <w:rPr>
          <w:rFonts w:hint="eastAsia"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sz w:val="18"/>
          <w:szCs w:val="18"/>
          <w:highlight w:val="none"/>
          <w:lang w:val="zh-CN"/>
          <w14:textFill>
            <w14:solidFill>
              <w14:schemeClr w14:val="tx1"/>
            </w14:solidFill>
          </w14:textFill>
        </w:rPr>
        <w:t>2</w:t>
      </w:r>
      <w:r>
        <w:rPr>
          <w:rFonts w:hint="eastAsia" w:ascii="宋体" w:hAnsi="宋体" w:cs="宋体"/>
          <w:b/>
          <w:bCs/>
          <w:color w:val="000000" w:themeColor="text1"/>
          <w:sz w:val="18"/>
          <w:szCs w:val="18"/>
          <w:highlight w:val="none"/>
          <w:lang w:val="en-US" w:eastAsia="zh-CN"/>
          <w14:textFill>
            <w14:solidFill>
              <w14:schemeClr w14:val="tx1"/>
            </w14:solidFill>
          </w14:textFill>
        </w:rPr>
        <w:t>.</w:t>
      </w:r>
      <w:r>
        <w:rPr>
          <w:rFonts w:hint="eastAsia" w:ascii="宋体" w:hAnsi="宋体" w:cs="宋体"/>
          <w:b/>
          <w:bCs/>
          <w:color w:val="000000" w:themeColor="text1"/>
          <w:sz w:val="18"/>
          <w:szCs w:val="18"/>
          <w:highlight w:val="none"/>
          <w:lang w:val="zh-CN"/>
          <w14:textFill>
            <w14:solidFill>
              <w14:schemeClr w14:val="tx1"/>
            </w14:solidFill>
          </w14:textFill>
        </w:rPr>
        <w:t>上述内容中如某一证件正在年检或换证，需年检或换证部门出具有效证明方可确认。</w:t>
      </w:r>
    </w:p>
    <w:p w14:paraId="6D74671E">
      <w:pPr>
        <w:overflowPunct/>
        <w:bidi w:val="0"/>
        <w:ind w:firstLine="361"/>
        <w:outlineLvl w:val="9"/>
        <w:rPr>
          <w:rFonts w:hint="eastAsia" w:ascii="宋体" w:hAnsi="宋体" w:cs="宋体"/>
          <w:b/>
          <w:bCs/>
          <w:color w:val="000000" w:themeColor="text1"/>
          <w:sz w:val="18"/>
          <w:szCs w:val="18"/>
          <w:highlight w:val="none"/>
          <w:lang w:val="en-US" w:eastAsia="zh-CN"/>
          <w14:textFill>
            <w14:solidFill>
              <w14:schemeClr w14:val="tx1"/>
            </w14:solidFill>
          </w14:textFill>
        </w:rPr>
      </w:pPr>
      <w:r>
        <w:rPr>
          <w:rFonts w:hint="eastAsia" w:ascii="宋体" w:hAnsi="宋体" w:cs="宋体"/>
          <w:b/>
          <w:bCs/>
          <w:color w:val="000000" w:themeColor="text1"/>
          <w:sz w:val="18"/>
          <w:szCs w:val="18"/>
          <w:highlight w:val="none"/>
          <w:lang w:val="en-US" w:eastAsia="zh-CN"/>
          <w14:textFill>
            <w14:solidFill>
              <w14:schemeClr w14:val="tx1"/>
            </w14:solidFill>
          </w14:textFill>
        </w:rPr>
        <w:t>3.初步评审因素中有一项评审结果为不合格的，其响应作无效响应处理，不再进行下一步评审。</w:t>
      </w:r>
    </w:p>
    <w:p w14:paraId="07B50ECE">
      <w:pPr>
        <w:overflowPunct/>
        <w:bidi w:val="0"/>
        <w:ind w:firstLine="361"/>
        <w:outlineLvl w:val="9"/>
        <w:rPr>
          <w:rFonts w:hint="default" w:ascii="宋体" w:hAnsi="宋体" w:cs="宋体"/>
          <w:b/>
          <w:bCs/>
          <w:color w:val="000000" w:themeColor="text1"/>
          <w:sz w:val="18"/>
          <w:szCs w:val="18"/>
          <w:highlight w:val="none"/>
          <w:lang w:val="en-US" w:eastAsia="zh-CN"/>
          <w14:textFill>
            <w14:solidFill>
              <w14:schemeClr w14:val="tx1"/>
            </w14:solidFill>
          </w14:textFill>
        </w:rPr>
      </w:pPr>
    </w:p>
    <w:p w14:paraId="67AD9BA8">
      <w:pPr>
        <w:overflowPunct/>
        <w:bidi w:val="0"/>
        <w:outlineLvl w:val="9"/>
        <w:rPr>
          <w:rFonts w:ascii="宋体" w:hAnsi="宋体"/>
          <w:color w:val="000000" w:themeColor="text1"/>
          <w:highlight w:val="none"/>
          <w14:textFill>
            <w14:solidFill>
              <w14:schemeClr w14:val="tx1"/>
            </w14:solidFill>
          </w14:textFill>
        </w:rPr>
      </w:pPr>
      <w:r>
        <w:rPr>
          <w:rFonts w:ascii="宋体" w:hAnsi="宋体"/>
          <w:color w:val="000000" w:themeColor="text1"/>
          <w:highlight w:val="none"/>
          <w14:textFill>
            <w14:solidFill>
              <w14:schemeClr w14:val="tx1"/>
            </w14:solidFill>
          </w14:textFill>
        </w:rPr>
        <w:br w:type="page"/>
      </w:r>
    </w:p>
    <w:p w14:paraId="7665CC53">
      <w:pPr>
        <w:overflowPunct/>
        <w:bidi w:val="0"/>
        <w:spacing w:afterLines="50"/>
        <w:jc w:val="center"/>
        <w:outlineLvl w:val="9"/>
        <w:rPr>
          <w:rFonts w:hint="eastAsia" w:ascii="宋体" w:hAnsi="宋体" w:eastAsia="宋体"/>
          <w:b/>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详细评审</w:t>
      </w:r>
      <w:r>
        <w:rPr>
          <w:rFonts w:hint="eastAsia" w:ascii="宋体" w:hAnsi="宋体"/>
          <w:b/>
          <w:color w:val="000000" w:themeColor="text1"/>
          <w:szCs w:val="21"/>
          <w:highlight w:val="none"/>
          <w:lang w:val="en-US" w:eastAsia="zh-CN"/>
          <w14:textFill>
            <w14:solidFill>
              <w14:schemeClr w14:val="tx1"/>
            </w14:solidFill>
          </w14:textFill>
        </w:rPr>
        <w:t>标准</w:t>
      </w:r>
    </w:p>
    <w:tbl>
      <w:tblPr>
        <w:tblStyle w:val="38"/>
        <w:tblW w:w="9639"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0"/>
        <w:gridCol w:w="939"/>
        <w:gridCol w:w="1395"/>
        <w:gridCol w:w="5948"/>
        <w:gridCol w:w="657"/>
      </w:tblGrid>
      <w:tr w14:paraId="45609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1639" w:type="dxa"/>
            <w:gridSpan w:val="2"/>
            <w:vAlign w:val="center"/>
          </w:tcPr>
          <w:p w14:paraId="6C4C1734">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条款号</w:t>
            </w:r>
          </w:p>
        </w:tc>
        <w:tc>
          <w:tcPr>
            <w:tcW w:w="1395" w:type="dxa"/>
            <w:vAlign w:val="center"/>
          </w:tcPr>
          <w:p w14:paraId="03ED789C">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条款内容</w:t>
            </w:r>
          </w:p>
        </w:tc>
        <w:tc>
          <w:tcPr>
            <w:tcW w:w="6605" w:type="dxa"/>
            <w:gridSpan w:val="2"/>
            <w:vAlign w:val="center"/>
          </w:tcPr>
          <w:p w14:paraId="1ABEEB3F">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编列内容</w:t>
            </w:r>
          </w:p>
        </w:tc>
      </w:tr>
      <w:tr w14:paraId="4A4A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trPr>
        <w:tc>
          <w:tcPr>
            <w:tcW w:w="1639" w:type="dxa"/>
            <w:gridSpan w:val="2"/>
            <w:vAlign w:val="center"/>
          </w:tcPr>
          <w:p w14:paraId="3BB31DD7">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2.2.1</w:t>
            </w:r>
          </w:p>
        </w:tc>
        <w:tc>
          <w:tcPr>
            <w:tcW w:w="1395" w:type="dxa"/>
            <w:vAlign w:val="center"/>
          </w:tcPr>
          <w:p w14:paraId="2776CE65">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eastAsia="宋体" w:cs="微软雅黑"/>
                <w:color w:val="000000" w:themeColor="text1"/>
                <w:szCs w:val="21"/>
                <w:highlight w:val="none"/>
                <w:lang w:eastAsia="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分值构成</w:t>
            </w:r>
          </w:p>
          <w:p w14:paraId="70316368">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（总分100分）</w:t>
            </w:r>
          </w:p>
        </w:tc>
        <w:tc>
          <w:tcPr>
            <w:tcW w:w="6605" w:type="dxa"/>
            <w:gridSpan w:val="2"/>
            <w:vAlign w:val="center"/>
          </w:tcPr>
          <w:p w14:paraId="332228C9">
            <w:pPr>
              <w:keepNext w:val="0"/>
              <w:keepLines w:val="0"/>
              <w:pageBreakBefore w:val="0"/>
              <w:widowControl w:val="0"/>
              <w:numPr>
                <w:ilvl w:val="0"/>
                <w:numId w:val="6"/>
              </w:numPr>
              <w:kinsoku/>
              <w:wordWrap/>
              <w:overflowPunct/>
              <w:topLinePunct w:val="0"/>
              <w:bidi w:val="0"/>
              <w:snapToGrid/>
              <w:spacing w:line="0" w:lineRule="atLeast"/>
              <w:jc w:val="left"/>
              <w:outlineLvl w:val="9"/>
              <w:rPr>
                <w:rFonts w:ascii="宋体" w:hAnsi="宋体" w:cs="微软雅黑"/>
                <w:color w:val="000000" w:themeColor="text1"/>
                <w:szCs w:val="21"/>
                <w:highlight w:val="none"/>
                <w14:textFill>
                  <w14:solidFill>
                    <w14:schemeClr w14:val="tx1"/>
                  </w14:solidFill>
                </w14:textFill>
              </w:rPr>
            </w:pPr>
            <w:r>
              <w:rPr>
                <w:rFonts w:ascii="宋体" w:hAnsi="宋体" w:cs="微软雅黑"/>
                <w:color w:val="000000" w:themeColor="text1"/>
                <w:szCs w:val="21"/>
                <w:highlight w:val="none"/>
                <w:lang w:val="zh-CN"/>
                <w14:textFill>
                  <w14:solidFill>
                    <w14:schemeClr w14:val="tx1"/>
                  </w14:solidFill>
                </w14:textFill>
              </w:rPr>
              <w:t>投标报价：</w:t>
            </w:r>
            <w:r>
              <w:rPr>
                <w:rFonts w:hint="eastAsia" w:ascii="宋体" w:hAnsi="宋体" w:cs="微软雅黑"/>
                <w:color w:val="000000" w:themeColor="text1"/>
                <w:szCs w:val="21"/>
                <w:highlight w:val="none"/>
                <w:lang w:val="en-US" w:eastAsia="zh-CN"/>
                <w14:textFill>
                  <w14:solidFill>
                    <w14:schemeClr w14:val="tx1"/>
                  </w14:solidFill>
                </w14:textFill>
              </w:rPr>
              <w:t>10</w:t>
            </w:r>
            <w:r>
              <w:rPr>
                <w:rFonts w:ascii="宋体" w:hAnsi="宋体" w:cs="微软雅黑"/>
                <w:color w:val="000000" w:themeColor="text1"/>
                <w:szCs w:val="21"/>
                <w:highlight w:val="none"/>
                <w14:textFill>
                  <w14:solidFill>
                    <w14:schemeClr w14:val="tx1"/>
                  </w14:solidFill>
                </w14:textFill>
              </w:rPr>
              <w:t>分；</w:t>
            </w:r>
          </w:p>
          <w:p w14:paraId="14ED0F2C">
            <w:pPr>
              <w:keepNext w:val="0"/>
              <w:keepLines w:val="0"/>
              <w:pageBreakBefore w:val="0"/>
              <w:widowControl w:val="0"/>
              <w:numPr>
                <w:ilvl w:val="0"/>
                <w:numId w:val="6"/>
              </w:numPr>
              <w:kinsoku/>
              <w:wordWrap/>
              <w:overflowPunct/>
              <w:topLinePunct w:val="0"/>
              <w:bidi w:val="0"/>
              <w:snapToGrid/>
              <w:spacing w:line="0" w:lineRule="atLeast"/>
              <w:ind w:left="0" w:leftChars="0" w:firstLine="0" w:firstLineChars="0"/>
              <w:jc w:val="left"/>
              <w:outlineLvl w:val="9"/>
              <w:rPr>
                <w:rFonts w:ascii="宋体" w:hAnsi="宋体" w:cs="微软雅黑"/>
                <w:color w:val="000000" w:themeColor="text1"/>
                <w:szCs w:val="21"/>
                <w:highlight w:val="none"/>
                <w:lang w:val="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商务因素</w:t>
            </w:r>
            <w:r>
              <w:rPr>
                <w:rFonts w:ascii="宋体" w:hAnsi="宋体" w:cs="微软雅黑"/>
                <w:color w:val="000000" w:themeColor="text1"/>
                <w:szCs w:val="21"/>
                <w:highlight w:val="none"/>
                <w:lang w:val="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40</w:t>
            </w:r>
            <w:r>
              <w:rPr>
                <w:rFonts w:ascii="宋体" w:hAnsi="宋体" w:cs="微软雅黑"/>
                <w:color w:val="000000" w:themeColor="text1"/>
                <w:szCs w:val="21"/>
                <w:highlight w:val="none"/>
                <w:lang w:val="zh-CN"/>
                <w14:textFill>
                  <w14:solidFill>
                    <w14:schemeClr w14:val="tx1"/>
                  </w14:solidFill>
                </w14:textFill>
              </w:rPr>
              <w:t>分；</w:t>
            </w:r>
          </w:p>
          <w:p w14:paraId="1E6947DA">
            <w:pPr>
              <w:keepNext w:val="0"/>
              <w:keepLines w:val="0"/>
              <w:pageBreakBefore w:val="0"/>
              <w:widowControl w:val="0"/>
              <w:numPr>
                <w:ilvl w:val="0"/>
                <w:numId w:val="6"/>
              </w:numPr>
              <w:kinsoku/>
              <w:wordWrap/>
              <w:overflowPunct/>
              <w:topLinePunct w:val="0"/>
              <w:bidi w:val="0"/>
              <w:snapToGrid/>
              <w:spacing w:line="0" w:lineRule="atLeast"/>
              <w:ind w:left="0" w:leftChars="0" w:firstLine="0" w:firstLineChars="0"/>
              <w:jc w:val="left"/>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技术因素</w:t>
            </w:r>
            <w:r>
              <w:rPr>
                <w:rFonts w:ascii="宋体" w:hAnsi="宋体" w:cs="微软雅黑"/>
                <w:color w:val="000000" w:themeColor="text1"/>
                <w:szCs w:val="21"/>
                <w:highlight w:val="none"/>
                <w:lang w:val="zh-CN"/>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50</w:t>
            </w:r>
            <w:r>
              <w:rPr>
                <w:rFonts w:ascii="宋体" w:hAnsi="宋体" w:cs="微软雅黑"/>
                <w:color w:val="000000" w:themeColor="text1"/>
                <w:szCs w:val="21"/>
                <w:highlight w:val="none"/>
                <w:lang w:val="zh-CN"/>
                <w14:textFill>
                  <w14:solidFill>
                    <w14:schemeClr w14:val="tx1"/>
                  </w14:solidFill>
                </w14:textFill>
              </w:rPr>
              <w:t>分；</w:t>
            </w:r>
          </w:p>
        </w:tc>
      </w:tr>
      <w:tr w14:paraId="7EBF2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3" w:hRule="atLeast"/>
        </w:trPr>
        <w:tc>
          <w:tcPr>
            <w:tcW w:w="1639" w:type="dxa"/>
            <w:gridSpan w:val="2"/>
            <w:vAlign w:val="center"/>
          </w:tcPr>
          <w:p w14:paraId="73D8FBE8">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2.2.2</w:t>
            </w:r>
          </w:p>
        </w:tc>
        <w:tc>
          <w:tcPr>
            <w:tcW w:w="1395" w:type="dxa"/>
            <w:vAlign w:val="center"/>
          </w:tcPr>
          <w:p w14:paraId="298430E1">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基准价计算方法</w:t>
            </w:r>
          </w:p>
        </w:tc>
        <w:tc>
          <w:tcPr>
            <w:tcW w:w="6605" w:type="dxa"/>
            <w:gridSpan w:val="2"/>
            <w:shd w:val="clear" w:color="auto" w:fill="auto"/>
            <w:vAlign w:val="center"/>
          </w:tcPr>
          <w:p w14:paraId="6CDD5A34">
            <w:pPr>
              <w:pStyle w:val="37"/>
              <w:ind w:left="0" w:leftChars="0" w:firstLine="0" w:firstLineChars="0"/>
              <w:rPr>
                <w:rFonts w:hint="eastAsia" w:ascii="Calibri" w:hAnsi="Calibri" w:eastAsia="宋体" w:cs="Times New Roman"/>
                <w:color w:val="auto"/>
                <w:kern w:val="2"/>
                <w:sz w:val="21"/>
                <w:szCs w:val="24"/>
                <w:highlight w:val="none"/>
                <w:lang w:val="en-US" w:eastAsia="zh-CN" w:bidi="ar-SA"/>
              </w:rPr>
            </w:pPr>
            <w:r>
              <w:rPr>
                <w:rFonts w:hint="eastAsia" w:ascii="Calibri" w:hAnsi="Calibri" w:eastAsia="宋体" w:cs="Times New Roman"/>
                <w:color w:val="auto"/>
                <w:kern w:val="2"/>
                <w:sz w:val="21"/>
                <w:szCs w:val="24"/>
                <w:highlight w:val="none"/>
                <w:lang w:val="zh-CN" w:eastAsia="zh-CN" w:bidi="ar-SA"/>
              </w:rPr>
              <w:t>以满足</w:t>
            </w:r>
            <w:r>
              <w:rPr>
                <w:rFonts w:hint="eastAsia" w:eastAsia="宋体" w:cs="Times New Roman"/>
                <w:color w:val="auto"/>
                <w:kern w:val="2"/>
                <w:sz w:val="21"/>
                <w:szCs w:val="24"/>
                <w:highlight w:val="none"/>
                <w:lang w:val="zh-CN" w:eastAsia="zh-CN" w:bidi="ar-SA"/>
              </w:rPr>
              <w:t>磋商文件</w:t>
            </w:r>
            <w:r>
              <w:rPr>
                <w:rFonts w:hint="eastAsia" w:ascii="Calibri" w:hAnsi="Calibri" w:eastAsia="宋体" w:cs="Times New Roman"/>
                <w:color w:val="auto"/>
                <w:kern w:val="2"/>
                <w:sz w:val="21"/>
                <w:szCs w:val="24"/>
                <w:highlight w:val="none"/>
                <w:lang w:val="zh-CN" w:eastAsia="zh-CN" w:bidi="ar-SA"/>
              </w:rPr>
              <w:t>要求且有效投标价格的最低的投标报价为评标基准价</w:t>
            </w:r>
            <w:r>
              <w:rPr>
                <w:rFonts w:hint="eastAsia" w:ascii="Calibri" w:hAnsi="Calibri" w:eastAsia="宋体" w:cs="Times New Roman"/>
                <w:color w:val="auto"/>
                <w:kern w:val="2"/>
                <w:sz w:val="21"/>
                <w:szCs w:val="24"/>
                <w:highlight w:val="none"/>
                <w:lang w:val="en-US" w:eastAsia="zh-CN" w:bidi="ar-SA"/>
              </w:rPr>
              <w:t>，其得分为</w:t>
            </w:r>
            <w:r>
              <w:rPr>
                <w:rFonts w:hint="eastAsia" w:eastAsia="宋体" w:cs="Times New Roman"/>
                <w:color w:val="auto"/>
                <w:kern w:val="2"/>
                <w:sz w:val="21"/>
                <w:szCs w:val="24"/>
                <w:highlight w:val="none"/>
                <w:lang w:val="en-US" w:eastAsia="zh-CN" w:bidi="ar-SA"/>
              </w:rPr>
              <w:t>10</w:t>
            </w:r>
            <w:r>
              <w:rPr>
                <w:rFonts w:hint="eastAsia" w:ascii="Calibri" w:hAnsi="Calibri" w:eastAsia="宋体" w:cs="Times New Roman"/>
                <w:color w:val="auto"/>
                <w:kern w:val="2"/>
                <w:sz w:val="21"/>
                <w:szCs w:val="24"/>
                <w:highlight w:val="none"/>
                <w:lang w:val="en-US" w:eastAsia="zh-CN" w:bidi="ar-SA"/>
              </w:rPr>
              <w:t>分。其他供应商的得分统一按照下列公式计算：</w:t>
            </w:r>
            <w:r>
              <w:rPr>
                <w:rFonts w:hint="eastAsia" w:ascii="Calibri" w:hAnsi="Calibri" w:eastAsia="宋体" w:cs="Times New Roman"/>
                <w:color w:val="auto"/>
                <w:kern w:val="2"/>
                <w:sz w:val="21"/>
                <w:szCs w:val="24"/>
                <w:highlight w:val="none"/>
                <w:lang w:val="zh-CN" w:eastAsia="zh-CN" w:bidi="ar-SA"/>
              </w:rPr>
              <w:t>投标报价得分＝(评标基准价/有效投标报价)</w:t>
            </w:r>
            <w:r>
              <w:rPr>
                <w:rFonts w:hint="eastAsia" w:ascii="Calibri" w:hAnsi="Calibri" w:eastAsia="宋体" w:cs="Times New Roman"/>
                <w:color w:val="auto"/>
                <w:kern w:val="2"/>
                <w:sz w:val="21"/>
                <w:szCs w:val="24"/>
                <w:highlight w:val="none"/>
                <w:lang w:val="en-US" w:eastAsia="zh-CN" w:bidi="ar-SA"/>
              </w:rPr>
              <w:t>×</w:t>
            </w:r>
            <w:r>
              <w:rPr>
                <w:rFonts w:hint="eastAsia" w:eastAsia="宋体" w:cs="Times New Roman"/>
                <w:color w:val="auto"/>
                <w:kern w:val="2"/>
                <w:sz w:val="21"/>
                <w:szCs w:val="24"/>
                <w:highlight w:val="none"/>
                <w:lang w:val="en-US" w:eastAsia="zh-CN" w:bidi="ar-SA"/>
              </w:rPr>
              <w:t>10</w:t>
            </w:r>
            <w:r>
              <w:rPr>
                <w:rFonts w:hint="eastAsia" w:ascii="Calibri" w:hAnsi="Calibri" w:eastAsia="宋体" w:cs="Times New Roman"/>
                <w:color w:val="auto"/>
                <w:kern w:val="2"/>
                <w:sz w:val="21"/>
                <w:szCs w:val="24"/>
                <w:highlight w:val="none"/>
                <w:lang w:val="zh-CN" w:eastAsia="zh-CN" w:bidi="ar-SA"/>
              </w:rPr>
              <w:t>精确到小数点后二位)</w:t>
            </w:r>
            <w:r>
              <w:rPr>
                <w:rFonts w:hint="eastAsia" w:ascii="Calibri" w:hAnsi="Calibri" w:eastAsia="宋体" w:cs="Times New Roman"/>
                <w:color w:val="auto"/>
                <w:kern w:val="2"/>
                <w:sz w:val="21"/>
                <w:szCs w:val="24"/>
                <w:highlight w:val="none"/>
                <w:lang w:val="en-US" w:eastAsia="zh-CN" w:bidi="ar-SA"/>
              </w:rPr>
              <w:t>。</w:t>
            </w:r>
          </w:p>
          <w:p w14:paraId="02C9EE96">
            <w:pPr>
              <w:pStyle w:val="37"/>
              <w:ind w:left="0" w:leftChars="0" w:firstLine="0" w:firstLineChars="0"/>
              <w:rPr>
                <w:rFonts w:hint="eastAsia" w:ascii="Calibri" w:hAnsi="Calibri" w:eastAsia="宋体" w:cs="Times New Roman"/>
                <w:color w:val="auto"/>
                <w:kern w:val="2"/>
                <w:sz w:val="21"/>
                <w:szCs w:val="24"/>
                <w:highlight w:val="none"/>
                <w:lang w:val="en-US" w:eastAsia="zh-CN" w:bidi="ar-SA"/>
              </w:rPr>
            </w:pPr>
            <w:r>
              <w:rPr>
                <w:rFonts w:hint="eastAsia" w:ascii="Calibri" w:hAnsi="Calibri" w:eastAsia="宋体" w:cs="Times New Roman"/>
                <w:color w:val="auto"/>
                <w:kern w:val="2"/>
                <w:sz w:val="21"/>
                <w:szCs w:val="24"/>
                <w:highlight w:val="none"/>
                <w:lang w:val="en-US" w:eastAsia="zh-CN" w:bidi="ar-SA"/>
              </w:rPr>
              <w:t>注：报价得分根据二次所报的价格进行计算。</w:t>
            </w:r>
            <w:r>
              <w:rPr>
                <w:rFonts w:hint="eastAsia" w:eastAsia="宋体" w:cs="Times New Roman"/>
                <w:color w:val="auto"/>
                <w:kern w:val="2"/>
                <w:sz w:val="21"/>
                <w:szCs w:val="24"/>
                <w:highlight w:val="none"/>
                <w:lang w:val="en-US" w:eastAsia="zh-CN" w:bidi="ar-SA"/>
              </w:rPr>
              <w:t>（本项目专门面向中小企业，故不进行价格扣除）</w:t>
            </w:r>
          </w:p>
        </w:tc>
      </w:tr>
      <w:tr w14:paraId="32E4C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3" w:hRule="atLeast"/>
        </w:trPr>
        <w:tc>
          <w:tcPr>
            <w:tcW w:w="1639" w:type="dxa"/>
            <w:gridSpan w:val="2"/>
            <w:vAlign w:val="center"/>
          </w:tcPr>
          <w:p w14:paraId="2B6CF709">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条款号</w:t>
            </w:r>
          </w:p>
        </w:tc>
        <w:tc>
          <w:tcPr>
            <w:tcW w:w="1395" w:type="dxa"/>
            <w:vAlign w:val="center"/>
          </w:tcPr>
          <w:p w14:paraId="233BF754">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评分因素</w:t>
            </w:r>
          </w:p>
        </w:tc>
        <w:tc>
          <w:tcPr>
            <w:tcW w:w="5948" w:type="dxa"/>
            <w:vAlign w:val="center"/>
          </w:tcPr>
          <w:p w14:paraId="05A4234A">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评分标准</w:t>
            </w:r>
          </w:p>
        </w:tc>
        <w:tc>
          <w:tcPr>
            <w:tcW w:w="657" w:type="dxa"/>
            <w:vAlign w:val="center"/>
          </w:tcPr>
          <w:p w14:paraId="0B3519BB">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得分</w:t>
            </w:r>
          </w:p>
        </w:tc>
      </w:tr>
      <w:tr w14:paraId="20DE7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Align w:val="center"/>
          </w:tcPr>
          <w:p w14:paraId="2DD1F7D2">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2.2.3</w:t>
            </w:r>
          </w:p>
          <w:p w14:paraId="1DC3126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(1)</w:t>
            </w:r>
          </w:p>
        </w:tc>
        <w:tc>
          <w:tcPr>
            <w:tcW w:w="939" w:type="dxa"/>
            <w:vAlign w:val="center"/>
          </w:tcPr>
          <w:p w14:paraId="56D63098">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磋商报价</w:t>
            </w:r>
          </w:p>
          <w:p w14:paraId="363439FD">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评分标准</w:t>
            </w:r>
          </w:p>
          <w:p w14:paraId="08071715">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1</w:t>
            </w:r>
            <w:r>
              <w:rPr>
                <w:rFonts w:hint="eastAsia" w:ascii="宋体" w:hAnsi="宋体" w:cs="微软雅黑"/>
                <w:color w:val="000000" w:themeColor="text1"/>
                <w:szCs w:val="21"/>
                <w:highlight w:val="none"/>
                <w14:textFill>
                  <w14:solidFill>
                    <w14:schemeClr w14:val="tx1"/>
                  </w14:solidFill>
                </w14:textFill>
              </w:rPr>
              <w:t>0分</w:t>
            </w:r>
          </w:p>
        </w:tc>
        <w:tc>
          <w:tcPr>
            <w:tcW w:w="1395" w:type="dxa"/>
            <w:vAlign w:val="center"/>
          </w:tcPr>
          <w:p w14:paraId="2357E204">
            <w:pPr>
              <w:overflowPunct/>
              <w:bidi w:val="0"/>
              <w:spacing w:line="0" w:lineRule="atLeast"/>
              <w:ind w:right="69" w:rightChars="33" w:firstLine="100" w:firstLineChars="48"/>
              <w:jc w:val="center"/>
              <w:outlineLvl w:val="9"/>
              <w:rPr>
                <w:rFonts w:hint="eastAsia"/>
                <w:color w:val="000000" w:themeColor="text1"/>
                <w:sz w:val="21"/>
                <w:highlight w:val="none"/>
                <w:lang w:val="en-US"/>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磋商报价得分</w:t>
            </w:r>
          </w:p>
        </w:tc>
        <w:tc>
          <w:tcPr>
            <w:tcW w:w="5948" w:type="dxa"/>
            <w:vAlign w:val="center"/>
          </w:tcPr>
          <w:p w14:paraId="22A9C9BD">
            <w:pPr>
              <w:pStyle w:val="37"/>
              <w:ind w:left="0" w:leftChars="0" w:firstLine="0" w:firstLineChars="0"/>
              <w:rPr>
                <w:rFonts w:hint="eastAsia" w:ascii="宋体" w:hAnsi="宋体" w:eastAsia="宋体" w:cs="宋体"/>
                <w:b w:val="0"/>
                <w:bCs/>
                <w:sz w:val="21"/>
                <w:szCs w:val="21"/>
                <w:highlight w:val="none"/>
                <w:lang w:val="zh-CN"/>
              </w:rPr>
            </w:pPr>
            <w:r>
              <w:rPr>
                <w:rFonts w:hint="eastAsia" w:ascii="Calibri" w:hAnsi="Calibri" w:eastAsia="宋体" w:cs="Times New Roman"/>
                <w:color w:val="auto"/>
                <w:kern w:val="2"/>
                <w:sz w:val="21"/>
                <w:szCs w:val="24"/>
                <w:highlight w:val="none"/>
                <w:lang w:val="zh-CN" w:eastAsia="zh-CN" w:bidi="ar-SA"/>
              </w:rPr>
              <w:t>以满足</w:t>
            </w:r>
            <w:r>
              <w:rPr>
                <w:rFonts w:hint="eastAsia" w:eastAsia="宋体" w:cs="Times New Roman"/>
                <w:color w:val="auto"/>
                <w:kern w:val="2"/>
                <w:sz w:val="21"/>
                <w:szCs w:val="24"/>
                <w:highlight w:val="none"/>
                <w:lang w:val="zh-CN" w:eastAsia="zh-CN" w:bidi="ar-SA"/>
              </w:rPr>
              <w:t>磋商文件</w:t>
            </w:r>
            <w:r>
              <w:rPr>
                <w:rFonts w:hint="eastAsia" w:ascii="Calibri" w:hAnsi="Calibri" w:eastAsia="宋体" w:cs="Times New Roman"/>
                <w:color w:val="auto"/>
                <w:kern w:val="2"/>
                <w:sz w:val="21"/>
                <w:szCs w:val="24"/>
                <w:highlight w:val="none"/>
                <w:lang w:val="zh-CN" w:eastAsia="zh-CN" w:bidi="ar-SA"/>
              </w:rPr>
              <w:t>要求且有效投标价格的最低的投标报价为评标基准价</w:t>
            </w:r>
            <w:r>
              <w:rPr>
                <w:rFonts w:hint="eastAsia" w:ascii="Calibri" w:hAnsi="Calibri" w:eastAsia="宋体" w:cs="Times New Roman"/>
                <w:color w:val="auto"/>
                <w:kern w:val="2"/>
                <w:sz w:val="21"/>
                <w:szCs w:val="24"/>
                <w:highlight w:val="none"/>
                <w:lang w:val="en-US" w:eastAsia="zh-CN" w:bidi="ar-SA"/>
              </w:rPr>
              <w:t>，其得分为</w:t>
            </w:r>
            <w:r>
              <w:rPr>
                <w:rFonts w:hint="eastAsia" w:eastAsia="宋体" w:cs="Times New Roman"/>
                <w:color w:val="auto"/>
                <w:kern w:val="2"/>
                <w:sz w:val="21"/>
                <w:szCs w:val="24"/>
                <w:highlight w:val="none"/>
                <w:lang w:val="en-US" w:eastAsia="zh-CN" w:bidi="ar-SA"/>
              </w:rPr>
              <w:t>10</w:t>
            </w:r>
            <w:r>
              <w:rPr>
                <w:rFonts w:hint="eastAsia" w:ascii="Calibri" w:hAnsi="Calibri" w:eastAsia="宋体" w:cs="Times New Roman"/>
                <w:color w:val="auto"/>
                <w:kern w:val="2"/>
                <w:sz w:val="21"/>
                <w:szCs w:val="24"/>
                <w:highlight w:val="none"/>
                <w:lang w:val="en-US" w:eastAsia="zh-CN" w:bidi="ar-SA"/>
              </w:rPr>
              <w:t>分。其他供应商的得分统一按照下列公式计算：</w:t>
            </w:r>
            <w:r>
              <w:rPr>
                <w:rFonts w:hint="eastAsia" w:ascii="Calibri" w:hAnsi="Calibri" w:eastAsia="宋体" w:cs="Times New Roman"/>
                <w:color w:val="auto"/>
                <w:kern w:val="2"/>
                <w:sz w:val="21"/>
                <w:szCs w:val="24"/>
                <w:highlight w:val="none"/>
                <w:lang w:val="zh-CN" w:eastAsia="zh-CN" w:bidi="ar-SA"/>
              </w:rPr>
              <w:t>投标报价得分＝(评标基准价/有效投标报价)</w:t>
            </w:r>
            <w:r>
              <w:rPr>
                <w:rFonts w:hint="eastAsia" w:ascii="Calibri" w:hAnsi="Calibri" w:eastAsia="宋体" w:cs="Times New Roman"/>
                <w:color w:val="auto"/>
                <w:kern w:val="2"/>
                <w:sz w:val="21"/>
                <w:szCs w:val="24"/>
                <w:highlight w:val="none"/>
                <w:lang w:val="en-US" w:eastAsia="zh-CN" w:bidi="ar-SA"/>
              </w:rPr>
              <w:t>×</w:t>
            </w:r>
            <w:r>
              <w:rPr>
                <w:rFonts w:hint="eastAsia" w:eastAsia="宋体" w:cs="Times New Roman"/>
                <w:color w:val="auto"/>
                <w:kern w:val="2"/>
                <w:sz w:val="21"/>
                <w:szCs w:val="24"/>
                <w:highlight w:val="none"/>
                <w:lang w:val="en-US" w:eastAsia="zh-CN" w:bidi="ar-SA"/>
              </w:rPr>
              <w:t>10</w:t>
            </w:r>
            <w:r>
              <w:rPr>
                <w:rFonts w:hint="eastAsia" w:ascii="Calibri" w:hAnsi="Calibri" w:eastAsia="宋体" w:cs="Times New Roman"/>
                <w:color w:val="auto"/>
                <w:kern w:val="2"/>
                <w:sz w:val="21"/>
                <w:szCs w:val="24"/>
                <w:highlight w:val="none"/>
                <w:lang w:val="zh-CN" w:eastAsia="zh-CN" w:bidi="ar-SA"/>
              </w:rPr>
              <w:t>精确到小数点后二位)</w:t>
            </w:r>
            <w:r>
              <w:rPr>
                <w:rFonts w:hint="eastAsia" w:ascii="Calibri" w:hAnsi="Calibri" w:eastAsia="宋体" w:cs="Times New Roman"/>
                <w:color w:val="auto"/>
                <w:kern w:val="2"/>
                <w:sz w:val="21"/>
                <w:szCs w:val="24"/>
                <w:highlight w:val="none"/>
                <w:lang w:val="en-US" w:eastAsia="zh-CN" w:bidi="ar-SA"/>
              </w:rPr>
              <w:t>。</w:t>
            </w:r>
          </w:p>
        </w:tc>
        <w:tc>
          <w:tcPr>
            <w:tcW w:w="657" w:type="dxa"/>
            <w:vAlign w:val="center"/>
          </w:tcPr>
          <w:p w14:paraId="788E5725">
            <w:pPr>
              <w:overflowPunct/>
              <w:bidi w:val="0"/>
              <w:spacing w:line="0" w:lineRule="atLeast"/>
              <w:ind w:right="84" w:rightChars="40" w:firstLine="54" w:firstLineChars="26"/>
              <w:jc w:val="center"/>
              <w:outlineLvl w:val="9"/>
              <w:rPr>
                <w:rFonts w:hint="eastAsia"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1</w:t>
            </w:r>
            <w:r>
              <w:rPr>
                <w:rFonts w:hint="eastAsia" w:ascii="宋体" w:hAnsi="宋体" w:cs="微软雅黑"/>
                <w:color w:val="000000" w:themeColor="text1"/>
                <w:szCs w:val="21"/>
                <w:highlight w:val="none"/>
                <w14:textFill>
                  <w14:solidFill>
                    <w14:schemeClr w14:val="tx1"/>
                  </w14:solidFill>
                </w14:textFill>
              </w:rPr>
              <w:t>0</w:t>
            </w:r>
            <w:r>
              <w:rPr>
                <w:rFonts w:hint="eastAsia" w:ascii="宋体" w:hAnsi="宋体" w:cs="微软雅黑"/>
                <w:color w:val="000000" w:themeColor="text1"/>
                <w:szCs w:val="21"/>
                <w:highlight w:val="none"/>
                <w:lang w:val="en-US" w:eastAsia="zh-CN"/>
                <w14:textFill>
                  <w14:solidFill>
                    <w14:schemeClr w14:val="tx1"/>
                  </w14:solidFill>
                </w14:textFill>
              </w:rPr>
              <w:t>分</w:t>
            </w:r>
          </w:p>
        </w:tc>
      </w:tr>
      <w:tr w14:paraId="16A56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restart"/>
            <w:vAlign w:val="center"/>
          </w:tcPr>
          <w:p w14:paraId="186BED4A">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2.2.3</w:t>
            </w:r>
          </w:p>
          <w:p w14:paraId="3161BE67">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2</w:t>
            </w:r>
            <w:r>
              <w:rPr>
                <w:rFonts w:hint="eastAsia" w:ascii="宋体" w:hAnsi="宋体" w:cs="微软雅黑"/>
                <w:color w:val="000000" w:themeColor="text1"/>
                <w:szCs w:val="21"/>
                <w:highlight w:val="none"/>
                <w14:textFill>
                  <w14:solidFill>
                    <w14:schemeClr w14:val="tx1"/>
                  </w14:solidFill>
                </w14:textFill>
              </w:rPr>
              <w:t>)</w:t>
            </w:r>
          </w:p>
        </w:tc>
        <w:tc>
          <w:tcPr>
            <w:tcW w:w="939" w:type="dxa"/>
            <w:vMerge w:val="restart"/>
            <w:vAlign w:val="center"/>
          </w:tcPr>
          <w:p w14:paraId="5DA1942D">
            <w:pPr>
              <w:keepNext w:val="0"/>
              <w:keepLines w:val="0"/>
              <w:pageBreakBefore w:val="0"/>
              <w:widowControl w:val="0"/>
              <w:kinsoku/>
              <w:wordWrap/>
              <w:overflowPunct/>
              <w:topLinePunct w:val="0"/>
              <w:bidi w:val="0"/>
              <w:snapToGrid/>
              <w:spacing w:line="0" w:lineRule="atLeast"/>
              <w:jc w:val="center"/>
              <w:outlineLvl w:val="9"/>
              <w:rPr>
                <w:rFonts w:hint="default" w:ascii="宋体" w:hAnsi="宋体" w:eastAsia="宋体" w:cs="微软雅黑"/>
                <w:color w:val="000000" w:themeColor="text1"/>
                <w:szCs w:val="21"/>
                <w:highlight w:val="none"/>
                <w:lang w:val="en-US" w:eastAsia="zh-CN"/>
                <w14:textFill>
                  <w14:solidFill>
                    <w14:schemeClr w14:val="tx1"/>
                  </w14:solidFill>
                </w14:textFill>
              </w:rPr>
            </w:pPr>
            <w:r>
              <w:rPr>
                <w:rFonts w:hint="eastAsia" w:ascii="宋体" w:hAnsi="宋体" w:cs="微软雅黑"/>
                <w:color w:val="000000" w:themeColor="text1"/>
                <w:szCs w:val="21"/>
                <w:highlight w:val="none"/>
                <w:lang w:val="en-US" w:eastAsia="zh-CN"/>
                <w14:textFill>
                  <w14:solidFill>
                    <w14:schemeClr w14:val="tx1"/>
                  </w14:solidFill>
                </w14:textFill>
              </w:rPr>
              <w:t>商务因素40分</w:t>
            </w:r>
          </w:p>
        </w:tc>
        <w:tc>
          <w:tcPr>
            <w:tcW w:w="1395" w:type="dxa"/>
            <w:shd w:val="clear" w:color="auto" w:fill="auto"/>
            <w:vAlign w:val="center"/>
          </w:tcPr>
          <w:p w14:paraId="5B9F5622">
            <w:pPr>
              <w:pageBreakBefore w:val="0"/>
              <w:kinsoku/>
              <w:wordWrap/>
              <w:overflowPunct/>
              <w:topLinePunct w:val="0"/>
              <w:autoSpaceDE/>
              <w:autoSpaceDN/>
              <w:bidi w:val="0"/>
              <w:spacing w:line="312" w:lineRule="auto"/>
              <w:jc w:val="center"/>
              <w:rPr>
                <w:rFonts w:hint="eastAsia" w:ascii="Calibri" w:hAnsi="Calibri" w:eastAsia="宋体" w:cs="Times New Roman"/>
                <w:color w:val="auto"/>
                <w:kern w:val="2"/>
                <w:sz w:val="21"/>
                <w:szCs w:val="24"/>
                <w:highlight w:val="none"/>
                <w:lang w:val="en-US" w:eastAsia="zh-CN" w:bidi="ar-SA"/>
              </w:rPr>
            </w:pPr>
            <w:r>
              <w:rPr>
                <w:rFonts w:hint="eastAsia" w:ascii="宋体" w:hAnsi="宋体" w:eastAsia="宋体" w:cs="宋体"/>
                <w:b w:val="0"/>
                <w:bCs/>
                <w:sz w:val="21"/>
                <w:szCs w:val="21"/>
                <w:highlight w:val="none"/>
                <w:lang w:val="zh-CN"/>
              </w:rPr>
              <w:t>企业业绩</w:t>
            </w:r>
          </w:p>
        </w:tc>
        <w:tc>
          <w:tcPr>
            <w:tcW w:w="5948" w:type="dxa"/>
            <w:shd w:val="clear" w:color="auto" w:fill="auto"/>
            <w:vAlign w:val="center"/>
          </w:tcPr>
          <w:p w14:paraId="571CFB1C">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近三年（20</w:t>
            </w:r>
            <w:r>
              <w:rPr>
                <w:rFonts w:hint="eastAsia" w:ascii="宋体" w:hAnsi="宋体" w:eastAsia="宋体" w:cs="宋体"/>
                <w:b w:val="0"/>
                <w:bCs/>
                <w:sz w:val="21"/>
                <w:szCs w:val="21"/>
                <w:highlight w:val="none"/>
                <w:lang w:val="en-US" w:eastAsia="zh-CN"/>
              </w:rPr>
              <w:t>22年</w:t>
            </w:r>
            <w:r>
              <w:rPr>
                <w:rFonts w:hint="eastAsia" w:ascii="宋体" w:hAnsi="宋体" w:eastAsia="宋体" w:cs="宋体"/>
                <w:b w:val="0"/>
                <w:bCs/>
                <w:sz w:val="21"/>
                <w:szCs w:val="21"/>
                <w:highlight w:val="none"/>
                <w:lang w:val="zh-CN"/>
              </w:rPr>
              <w:t>至今）类似业绩，每有一项得</w:t>
            </w: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lang w:val="zh-CN"/>
              </w:rPr>
              <w:t>分，最多得</w:t>
            </w:r>
            <w:r>
              <w:rPr>
                <w:rFonts w:hint="eastAsia" w:ascii="宋体" w:hAnsi="宋体" w:cs="宋体"/>
                <w:b w:val="0"/>
                <w:bCs/>
                <w:sz w:val="21"/>
                <w:szCs w:val="21"/>
                <w:highlight w:val="none"/>
                <w:lang w:val="en-US" w:eastAsia="zh-CN"/>
              </w:rPr>
              <w:t>5</w:t>
            </w:r>
            <w:r>
              <w:rPr>
                <w:rFonts w:hint="eastAsia" w:ascii="宋体" w:hAnsi="宋体" w:eastAsia="宋体" w:cs="宋体"/>
                <w:b w:val="0"/>
                <w:bCs/>
                <w:sz w:val="21"/>
                <w:szCs w:val="21"/>
                <w:highlight w:val="none"/>
                <w:lang w:val="zh-CN"/>
              </w:rPr>
              <w:t>分。</w:t>
            </w:r>
          </w:p>
          <w:p w14:paraId="79D8AA92">
            <w:pPr>
              <w:keepNext w:val="0"/>
              <w:keepLines w:val="0"/>
              <w:pageBreakBefore w:val="0"/>
              <w:kinsoku/>
              <w:wordWrap/>
              <w:overflowPunct/>
              <w:topLinePunct w:val="0"/>
              <w:autoSpaceDE/>
              <w:autoSpaceDN/>
              <w:bidi w:val="0"/>
              <w:spacing w:line="340" w:lineRule="atLeast"/>
              <w:jc w:val="left"/>
              <w:rPr>
                <w:rFonts w:hint="eastAsia" w:ascii="Calibri" w:hAnsi="Calibri" w:eastAsia="宋体" w:cs="Times New Roman"/>
                <w:color w:val="auto"/>
                <w:kern w:val="2"/>
                <w:sz w:val="21"/>
                <w:szCs w:val="24"/>
                <w:highlight w:val="none"/>
                <w:lang w:val="en-US" w:eastAsia="zh-CN" w:bidi="ar-SA"/>
              </w:rPr>
            </w:pPr>
            <w:r>
              <w:rPr>
                <w:rFonts w:hint="eastAsia" w:ascii="宋体" w:hAnsi="宋体" w:eastAsia="宋体" w:cs="宋体"/>
                <w:b/>
                <w:bCs w:val="0"/>
                <w:sz w:val="21"/>
                <w:szCs w:val="21"/>
                <w:highlight w:val="none"/>
                <w:lang w:val="zh-CN"/>
              </w:rPr>
              <w:t>（提供委托文件或合同</w:t>
            </w:r>
            <w:r>
              <w:rPr>
                <w:rFonts w:hint="eastAsia" w:ascii="宋体" w:hAnsi="宋体" w:eastAsia="宋体" w:cs="宋体"/>
                <w:b/>
                <w:bCs w:val="0"/>
                <w:sz w:val="21"/>
                <w:szCs w:val="21"/>
                <w:highlight w:val="none"/>
                <w:lang w:val="en-US" w:eastAsia="zh-CN"/>
              </w:rPr>
              <w:t>复印件或中标通知书</w:t>
            </w:r>
            <w:r>
              <w:rPr>
                <w:rFonts w:hint="eastAsia" w:ascii="宋体" w:hAnsi="宋体" w:eastAsia="宋体" w:cs="宋体"/>
                <w:b/>
                <w:bCs w:val="0"/>
                <w:sz w:val="21"/>
                <w:szCs w:val="21"/>
                <w:highlight w:val="none"/>
                <w:lang w:val="zh-CN"/>
              </w:rPr>
              <w:t>，响应文件附复印件并加盖</w:t>
            </w:r>
            <w:r>
              <w:rPr>
                <w:rFonts w:hint="eastAsia" w:ascii="宋体" w:hAnsi="宋体" w:eastAsia="宋体" w:cs="宋体"/>
                <w:b/>
                <w:bCs w:val="0"/>
                <w:sz w:val="21"/>
                <w:szCs w:val="21"/>
                <w:highlight w:val="none"/>
                <w:lang w:val="zh-CN" w:eastAsia="zh-CN"/>
              </w:rPr>
              <w:t>公章。</w:t>
            </w:r>
            <w:r>
              <w:rPr>
                <w:rFonts w:hint="eastAsia" w:ascii="宋体" w:hAnsi="宋体" w:eastAsia="宋体" w:cs="宋体"/>
                <w:b/>
                <w:bCs w:val="0"/>
                <w:sz w:val="21"/>
                <w:szCs w:val="21"/>
                <w:highlight w:val="none"/>
                <w:lang w:val="en-US" w:eastAsia="zh-CN"/>
              </w:rPr>
              <w:t>)</w:t>
            </w:r>
          </w:p>
        </w:tc>
        <w:tc>
          <w:tcPr>
            <w:tcW w:w="657" w:type="dxa"/>
            <w:vAlign w:val="center"/>
          </w:tcPr>
          <w:p w14:paraId="3C119E20">
            <w:pPr>
              <w:jc w:val="center"/>
              <w:rPr>
                <w:rFonts w:hint="default" w:ascii="宋体" w:hAnsi="宋体" w:eastAsia="宋体" w:cs="微软雅黑"/>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sz w:val="21"/>
                <w:szCs w:val="21"/>
              </w:rPr>
              <w:t>0-</w:t>
            </w:r>
            <w:r>
              <w:rPr>
                <w:rFonts w:hint="eastAsia" w:ascii="宋体" w:hAnsi="宋体" w:cs="宋体"/>
                <w:sz w:val="21"/>
                <w:szCs w:val="21"/>
                <w:lang w:val="en-US" w:eastAsia="zh-CN"/>
              </w:rPr>
              <w:t>5</w:t>
            </w:r>
            <w:r>
              <w:rPr>
                <w:rFonts w:hint="eastAsia" w:ascii="宋体" w:hAnsi="宋体" w:eastAsia="宋体" w:cs="宋体"/>
                <w:sz w:val="21"/>
                <w:szCs w:val="21"/>
              </w:rPr>
              <w:t>分</w:t>
            </w:r>
          </w:p>
        </w:tc>
      </w:tr>
      <w:tr w14:paraId="4CCEA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0DCC41A7">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0A8EFA5F">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395" w:type="dxa"/>
            <w:shd w:val="clear" w:color="auto" w:fill="auto"/>
            <w:vAlign w:val="center"/>
          </w:tcPr>
          <w:p w14:paraId="16A7942D">
            <w:pPr>
              <w:pageBreakBefore w:val="0"/>
              <w:numPr>
                <w:ilvl w:val="0"/>
                <w:numId w:val="0"/>
              </w:numPr>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项目经理</w:t>
            </w:r>
          </w:p>
        </w:tc>
        <w:tc>
          <w:tcPr>
            <w:tcW w:w="5948" w:type="dxa"/>
            <w:shd w:val="clear" w:color="auto" w:fill="auto"/>
            <w:vAlign w:val="top"/>
          </w:tcPr>
          <w:p w14:paraId="693BF190">
            <w:pPr>
              <w:keepNext w:val="0"/>
              <w:keepLines w:val="0"/>
              <w:pageBreakBefore w:val="0"/>
              <w:kinsoku/>
              <w:wordWrap/>
              <w:overflowPunct/>
              <w:topLinePunct w:val="0"/>
              <w:autoSpaceDE/>
              <w:autoSpaceDN/>
              <w:bidi w:val="0"/>
              <w:adjustRightInd w:val="0"/>
              <w:snapToGrid w:val="0"/>
              <w:spacing w:line="340" w:lineRule="atLeast"/>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项目经理</w:t>
            </w:r>
            <w:r>
              <w:rPr>
                <w:rFonts w:hint="eastAsia" w:ascii="宋体" w:hAnsi="宋体" w:eastAsia="宋体" w:cs="宋体"/>
                <w:color w:val="auto"/>
                <w:sz w:val="21"/>
                <w:szCs w:val="21"/>
                <w:highlight w:val="none"/>
              </w:rPr>
              <w:t>具有</w:t>
            </w:r>
            <w:r>
              <w:rPr>
                <w:rFonts w:hint="eastAsia" w:ascii="宋体" w:hAnsi="宋体" w:eastAsia="宋体" w:cs="宋体"/>
                <w:color w:val="auto"/>
                <w:sz w:val="21"/>
                <w:szCs w:val="21"/>
                <w:highlight w:val="none"/>
                <w:lang w:eastAsia="zh-CN"/>
              </w:rPr>
              <w:t>相关专业的</w:t>
            </w:r>
            <w:r>
              <w:rPr>
                <w:rFonts w:hint="eastAsia" w:ascii="宋体" w:hAnsi="宋体" w:eastAsia="宋体" w:cs="宋体"/>
                <w:color w:val="auto"/>
                <w:sz w:val="21"/>
                <w:szCs w:val="21"/>
                <w:highlight w:val="none"/>
              </w:rPr>
              <w:t>高级职称，得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否则不得分。</w:t>
            </w:r>
          </w:p>
          <w:p w14:paraId="0C561CD6">
            <w:pPr>
              <w:keepNext w:val="0"/>
              <w:keepLines w:val="0"/>
              <w:pageBreakBefore w:val="0"/>
              <w:kinsoku/>
              <w:wordWrap/>
              <w:overflowPunct/>
              <w:topLinePunct w:val="0"/>
              <w:autoSpaceDE/>
              <w:autoSpaceDN/>
              <w:bidi w:val="0"/>
              <w:adjustRightInd w:val="0"/>
              <w:snapToGrid w:val="0"/>
              <w:spacing w:line="340" w:lineRule="atLeast"/>
              <w:ind w:left="0" w:leftChars="0" w:firstLine="0" w:firstLine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（提供</w:t>
            </w:r>
            <w:r>
              <w:rPr>
                <w:rFonts w:hint="eastAsia" w:ascii="宋体" w:hAnsi="宋体" w:cs="宋体"/>
                <w:b/>
                <w:bCs/>
                <w:color w:val="auto"/>
                <w:sz w:val="21"/>
                <w:szCs w:val="21"/>
                <w:highlight w:val="none"/>
                <w:lang w:val="en-US" w:eastAsia="zh-CN"/>
              </w:rPr>
              <w:t>社保证明</w:t>
            </w:r>
            <w:r>
              <w:rPr>
                <w:rFonts w:hint="eastAsia" w:ascii="宋体" w:hAnsi="宋体" w:eastAsia="宋体" w:cs="宋体"/>
                <w:b/>
                <w:bCs/>
                <w:color w:val="auto"/>
                <w:sz w:val="21"/>
                <w:szCs w:val="21"/>
                <w:highlight w:val="none"/>
              </w:rPr>
              <w:t>和职称证书，不提供不得分）</w:t>
            </w:r>
          </w:p>
          <w:p w14:paraId="152AAF13">
            <w:pPr>
              <w:keepNext w:val="0"/>
              <w:keepLines w:val="0"/>
              <w:pageBreakBefore w:val="0"/>
              <w:kinsoku/>
              <w:wordWrap/>
              <w:overflowPunct/>
              <w:topLinePunct w:val="0"/>
              <w:autoSpaceDE/>
              <w:autoSpaceDN/>
              <w:bidi w:val="0"/>
              <w:adjustRightInd w:val="0"/>
              <w:snapToGrid w:val="0"/>
              <w:spacing w:line="340" w:lineRule="atLeast"/>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项目经理具有</w:t>
            </w:r>
            <w:r>
              <w:rPr>
                <w:rFonts w:hint="eastAsia" w:ascii="宋体" w:hAnsi="宋体" w:cs="宋体"/>
                <w:color w:val="auto"/>
                <w:sz w:val="21"/>
                <w:szCs w:val="21"/>
                <w:highlight w:val="none"/>
                <w:lang w:val="en-US" w:eastAsia="zh-CN"/>
              </w:rPr>
              <w:t>省</w:t>
            </w:r>
            <w:r>
              <w:rPr>
                <w:rFonts w:hint="eastAsia" w:ascii="宋体" w:hAnsi="宋体" w:eastAsia="宋体" w:cs="宋体"/>
                <w:color w:val="auto"/>
                <w:sz w:val="21"/>
                <w:szCs w:val="21"/>
                <w:highlight w:val="none"/>
                <w:lang w:val="en-US" w:eastAsia="zh-CN"/>
              </w:rPr>
              <w:t>级实验室资质认定评审员资格（CMA评审员）得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分；否则不得分。</w:t>
            </w:r>
          </w:p>
          <w:p w14:paraId="758F66E7">
            <w:pPr>
              <w:keepNext w:val="0"/>
              <w:keepLines w:val="0"/>
              <w:pageBreakBefore w:val="0"/>
              <w:kinsoku/>
              <w:wordWrap/>
              <w:overflowPunct/>
              <w:topLinePunct w:val="0"/>
              <w:autoSpaceDE/>
              <w:autoSpaceDN/>
              <w:bidi w:val="0"/>
              <w:adjustRightInd w:val="0"/>
              <w:snapToGrid w:val="0"/>
              <w:spacing w:line="340" w:lineRule="atLeast"/>
              <w:ind w:left="0" w:leftChars="0" w:firstLine="0" w:firstLineChars="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（提供评审员证书或网页截图，不提供不得分）</w:t>
            </w:r>
          </w:p>
          <w:p w14:paraId="33B2C6DB">
            <w:pPr>
              <w:keepNext w:val="0"/>
              <w:keepLines w:val="0"/>
              <w:pageBreakBefore w:val="0"/>
              <w:kinsoku/>
              <w:wordWrap/>
              <w:overflowPunct/>
              <w:topLinePunct w:val="0"/>
              <w:autoSpaceDE/>
              <w:autoSpaceDN/>
              <w:bidi w:val="0"/>
              <w:adjustRightInd w:val="0"/>
              <w:snapToGrid w:val="0"/>
              <w:spacing w:line="340" w:lineRule="atLeast"/>
              <w:ind w:left="0" w:leftChars="0" w:firstLine="0" w:firstLineChars="0"/>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注：本项目仅允许拟投入一位</w:t>
            </w:r>
            <w:r>
              <w:rPr>
                <w:rFonts w:hint="eastAsia" w:ascii="宋体" w:hAnsi="宋体" w:eastAsia="宋体" w:cs="宋体"/>
                <w:b/>
                <w:bCs/>
                <w:color w:val="auto"/>
                <w:sz w:val="21"/>
                <w:szCs w:val="21"/>
                <w:highlight w:val="none"/>
                <w:lang w:eastAsia="zh-CN"/>
              </w:rPr>
              <w:t>项目经理</w:t>
            </w:r>
          </w:p>
        </w:tc>
        <w:tc>
          <w:tcPr>
            <w:tcW w:w="657" w:type="dxa"/>
            <w:vAlign w:val="center"/>
          </w:tcPr>
          <w:p w14:paraId="48915A3C">
            <w:p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0-4分</w:t>
            </w:r>
          </w:p>
        </w:tc>
      </w:tr>
      <w:tr w14:paraId="0F67E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29DE115A">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59804C92">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395" w:type="dxa"/>
            <w:shd w:val="clear" w:color="auto" w:fill="auto"/>
            <w:vAlign w:val="center"/>
          </w:tcPr>
          <w:p w14:paraId="093EA029">
            <w:pPr>
              <w:pageBreakBefore w:val="0"/>
              <w:numPr>
                <w:ilvl w:val="0"/>
                <w:numId w:val="0"/>
              </w:numPr>
              <w:kinsoku/>
              <w:wordWrap/>
              <w:overflowPunct/>
              <w:topLinePunct w:val="0"/>
              <w:autoSpaceDE/>
              <w:autoSpaceDN/>
              <w:bidi w:val="0"/>
              <w:spacing w:line="312" w:lineRule="auto"/>
              <w:ind w:left="0" w:leftChars="0" w:firstLine="0" w:firstLineChars="0"/>
              <w:jc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从业人员配备</w:t>
            </w:r>
          </w:p>
        </w:tc>
        <w:tc>
          <w:tcPr>
            <w:tcW w:w="5948" w:type="dxa"/>
            <w:shd w:val="clear" w:color="auto" w:fill="auto"/>
            <w:vAlign w:val="center"/>
          </w:tcPr>
          <w:p w14:paraId="3C566BC1">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拟投入本项目的人员中具有中级技术职称（含）以上的人员数量：</w:t>
            </w:r>
          </w:p>
          <w:p w14:paraId="79C53433">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lang w:val="en-US" w:eastAsia="zh-CN"/>
              </w:rPr>
              <w:t>5</w:t>
            </w:r>
            <w:r>
              <w:rPr>
                <w:rFonts w:hint="eastAsia" w:ascii="宋体" w:hAnsi="宋体" w:eastAsia="宋体" w:cs="宋体"/>
                <w:color w:val="auto"/>
                <w:sz w:val="21"/>
                <w:szCs w:val="21"/>
                <w:highlight w:val="none"/>
                <w:lang w:val="en-US" w:eastAsia="zh-CN"/>
              </w:rPr>
              <w:t>人以上：</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p w14:paraId="0AB0D879">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4-2人：</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2305119F">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en-US" w:eastAsia="zh-CN"/>
              </w:rPr>
              <w:t>2人以下：</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en-US" w:eastAsia="zh-CN"/>
              </w:rPr>
              <w:t>分</w:t>
            </w:r>
            <w:r>
              <w:rPr>
                <w:rFonts w:hint="eastAsia" w:ascii="宋体" w:hAnsi="宋体" w:cs="宋体"/>
                <w:sz w:val="21"/>
                <w:szCs w:val="21"/>
                <w:highlight w:val="none"/>
                <w:lang w:val="en-US" w:eastAsia="zh-CN"/>
              </w:rPr>
              <w:t>；</w:t>
            </w:r>
          </w:p>
          <w:p w14:paraId="237E1F80">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未提供不得分。</w:t>
            </w:r>
          </w:p>
          <w:p w14:paraId="33C7271B">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kern w:val="2"/>
                <w:sz w:val="21"/>
                <w:szCs w:val="21"/>
                <w:highlight w:val="none"/>
                <w:lang w:val="en-US" w:eastAsia="zh-CN" w:bidi="ar-SA"/>
              </w:rPr>
            </w:pPr>
            <w:r>
              <w:rPr>
                <w:rFonts w:hint="eastAsia" w:ascii="宋体" w:hAnsi="宋体" w:eastAsia="宋体" w:cs="宋体"/>
                <w:b/>
                <w:bCs/>
                <w:sz w:val="21"/>
                <w:szCs w:val="21"/>
                <w:highlight w:val="none"/>
                <w:lang w:val="en-US" w:eastAsia="zh-CN"/>
              </w:rPr>
              <w:t>（提供人员参保证明及相关人员的技术职称证明，不提供不得分）</w:t>
            </w:r>
          </w:p>
        </w:tc>
        <w:tc>
          <w:tcPr>
            <w:tcW w:w="657" w:type="dxa"/>
            <w:vAlign w:val="center"/>
          </w:tcPr>
          <w:p w14:paraId="06411DBE">
            <w:pPr>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tc>
      </w:tr>
      <w:tr w14:paraId="43256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24" w:hRule="atLeast"/>
        </w:trPr>
        <w:tc>
          <w:tcPr>
            <w:tcW w:w="700" w:type="dxa"/>
            <w:vMerge w:val="continue"/>
            <w:vAlign w:val="center"/>
          </w:tcPr>
          <w:p w14:paraId="370375EA">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6BD2D27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395" w:type="dxa"/>
            <w:shd w:val="clear" w:color="auto" w:fill="auto"/>
            <w:vAlign w:val="center"/>
          </w:tcPr>
          <w:p w14:paraId="38C064AA">
            <w:pPr>
              <w:pageBreakBefore w:val="0"/>
              <w:kinsoku/>
              <w:wordWrap/>
              <w:overflowPunct/>
              <w:topLinePunct w:val="0"/>
              <w:autoSpaceDE/>
              <w:autoSpaceDN/>
              <w:bidi w:val="0"/>
              <w:spacing w:line="312" w:lineRule="auto"/>
              <w:jc w:val="center"/>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sz w:val="21"/>
                <w:szCs w:val="21"/>
                <w:highlight w:val="none"/>
              </w:rPr>
              <w:t>项目团队能力</w:t>
            </w:r>
          </w:p>
        </w:tc>
        <w:tc>
          <w:tcPr>
            <w:tcW w:w="5948" w:type="dxa"/>
            <w:shd w:val="clear" w:color="auto" w:fill="auto"/>
            <w:vAlign w:val="center"/>
          </w:tcPr>
          <w:p w14:paraId="37C26324">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项目团队人员为本单位人员，拟派出本项目服务人员资历经验、人员安排：具备专业的故障处理队伍，故障处理队伍；综合比较项目团队能力，项目组人员专业齐全、配备完善，除项目</w:t>
            </w:r>
            <w:r>
              <w:rPr>
                <w:rFonts w:hint="eastAsia" w:ascii="宋体" w:hAnsi="宋体" w:eastAsia="宋体" w:cs="宋体"/>
                <w:b w:val="0"/>
                <w:bCs/>
                <w:sz w:val="21"/>
                <w:szCs w:val="21"/>
                <w:highlight w:val="none"/>
                <w:lang w:eastAsia="zh-CN"/>
              </w:rPr>
              <w:t>经理</w:t>
            </w:r>
            <w:r>
              <w:rPr>
                <w:rFonts w:hint="eastAsia" w:ascii="宋体" w:hAnsi="宋体" w:eastAsia="宋体" w:cs="宋体"/>
                <w:b w:val="0"/>
                <w:bCs/>
                <w:sz w:val="21"/>
                <w:szCs w:val="21"/>
                <w:highlight w:val="none"/>
              </w:rPr>
              <w:t>人外，每增加</w:t>
            </w: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rPr>
              <w:t>名</w:t>
            </w:r>
            <w:r>
              <w:rPr>
                <w:rFonts w:hint="eastAsia" w:ascii="宋体" w:hAnsi="宋体" w:eastAsia="宋体" w:cs="宋体"/>
                <w:b w:val="0"/>
                <w:bCs/>
                <w:sz w:val="21"/>
                <w:szCs w:val="21"/>
                <w:highlight w:val="none"/>
                <w:lang w:eastAsia="zh-CN"/>
              </w:rPr>
              <w:t>检测</w:t>
            </w:r>
            <w:r>
              <w:rPr>
                <w:rFonts w:hint="eastAsia" w:ascii="宋体" w:hAnsi="宋体" w:eastAsia="宋体" w:cs="宋体"/>
                <w:b w:val="0"/>
                <w:bCs/>
                <w:sz w:val="21"/>
                <w:szCs w:val="21"/>
                <w:highlight w:val="none"/>
              </w:rPr>
              <w:t>人员得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rPr>
              <w:t>分，最多得</w:t>
            </w:r>
            <w:r>
              <w:rPr>
                <w:rFonts w:hint="eastAsia" w:ascii="宋体" w:hAnsi="宋体" w:cs="宋体"/>
                <w:b w:val="0"/>
                <w:bCs/>
                <w:sz w:val="21"/>
                <w:szCs w:val="21"/>
                <w:highlight w:val="none"/>
                <w:lang w:val="en-US" w:eastAsia="zh-CN"/>
              </w:rPr>
              <w:t>10</w:t>
            </w:r>
            <w:r>
              <w:rPr>
                <w:rFonts w:hint="eastAsia" w:ascii="宋体" w:hAnsi="宋体" w:eastAsia="宋体" w:cs="宋体"/>
                <w:b w:val="0"/>
                <w:bCs/>
                <w:sz w:val="21"/>
                <w:szCs w:val="21"/>
                <w:highlight w:val="none"/>
              </w:rPr>
              <w:t>分。</w:t>
            </w:r>
          </w:p>
          <w:p w14:paraId="0DDC2A2E">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bCs/>
                <w:kern w:val="0"/>
                <w:sz w:val="21"/>
                <w:szCs w:val="21"/>
                <w:highlight w:val="none"/>
                <w:lang w:val="en-US" w:eastAsia="zh-CN" w:bidi="ar-SA"/>
              </w:rPr>
            </w:pPr>
            <w:r>
              <w:rPr>
                <w:rFonts w:hint="eastAsia" w:ascii="宋体" w:hAnsi="宋体" w:eastAsia="宋体" w:cs="宋体"/>
                <w:b/>
                <w:bCs/>
                <w:sz w:val="21"/>
                <w:szCs w:val="21"/>
                <w:highlight w:val="none"/>
                <w:lang w:val="en-US" w:eastAsia="zh-CN"/>
              </w:rPr>
              <w:t>（提供人员参保证明及相关人员身份证正反面，</w:t>
            </w:r>
            <w:r>
              <w:rPr>
                <w:rFonts w:hint="eastAsia" w:ascii="宋体" w:hAnsi="宋体" w:eastAsia="宋体" w:cs="宋体"/>
                <w:b/>
                <w:bCs w:val="0"/>
                <w:sz w:val="21"/>
                <w:szCs w:val="21"/>
                <w:highlight w:val="none"/>
                <w:lang w:val="zh-CN"/>
              </w:rPr>
              <w:t>响应文件附复印件并加盖</w:t>
            </w:r>
            <w:r>
              <w:rPr>
                <w:rFonts w:hint="eastAsia" w:ascii="宋体" w:hAnsi="宋体" w:eastAsia="宋体" w:cs="宋体"/>
                <w:b/>
                <w:bCs w:val="0"/>
                <w:sz w:val="21"/>
                <w:szCs w:val="21"/>
                <w:highlight w:val="none"/>
                <w:lang w:val="zh-CN" w:eastAsia="zh-CN"/>
              </w:rPr>
              <w:t>公章，</w:t>
            </w:r>
            <w:r>
              <w:rPr>
                <w:rFonts w:hint="eastAsia" w:ascii="宋体" w:hAnsi="宋体" w:eastAsia="宋体" w:cs="宋体"/>
                <w:b/>
                <w:bCs/>
                <w:sz w:val="21"/>
                <w:szCs w:val="21"/>
                <w:highlight w:val="none"/>
                <w:lang w:val="en-US" w:eastAsia="zh-CN"/>
              </w:rPr>
              <w:t>不提供不得分。）</w:t>
            </w:r>
          </w:p>
        </w:tc>
        <w:tc>
          <w:tcPr>
            <w:tcW w:w="657" w:type="dxa"/>
            <w:vAlign w:val="center"/>
          </w:tcPr>
          <w:p w14:paraId="10DF1A36">
            <w:pPr>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0-10分</w:t>
            </w:r>
          </w:p>
        </w:tc>
      </w:tr>
      <w:tr w14:paraId="72A99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9" w:hRule="atLeast"/>
        </w:trPr>
        <w:tc>
          <w:tcPr>
            <w:tcW w:w="700" w:type="dxa"/>
            <w:vMerge w:val="continue"/>
            <w:vAlign w:val="center"/>
          </w:tcPr>
          <w:p w14:paraId="7605D83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3F85EE18">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395" w:type="dxa"/>
            <w:shd w:val="clear" w:color="auto" w:fill="auto"/>
            <w:vAlign w:val="center"/>
          </w:tcPr>
          <w:p w14:paraId="41198B7E">
            <w:pPr>
              <w:keepNext w:val="0"/>
              <w:keepLines w:val="0"/>
              <w:pageBreakBefore w:val="0"/>
              <w:widowControl/>
              <w:suppressLineNumbers w:val="0"/>
              <w:kinsoku/>
              <w:wordWrap/>
              <w:overflowPunct/>
              <w:topLinePunct w:val="0"/>
              <w:autoSpaceDE/>
              <w:autoSpaceDN/>
              <w:bidi w:val="0"/>
              <w:spacing w:line="312" w:lineRule="auto"/>
              <w:ind w:left="0" w:leftChars="0" w:firstLine="0" w:firstLineChars="0"/>
              <w:jc w:val="center"/>
              <w:textAlignment w:val="center"/>
              <w:rPr>
                <w:rFonts w:hint="eastAsia" w:ascii="宋体" w:hAnsi="宋体" w:eastAsia="宋体" w:cs="宋体"/>
                <w:i w:val="0"/>
                <w:color w:val="auto"/>
                <w:sz w:val="21"/>
                <w:szCs w:val="21"/>
                <w:highlight w:val="none"/>
                <w:u w:val="none"/>
                <w:lang w:eastAsia="zh-CN"/>
              </w:rPr>
            </w:pPr>
            <w:r>
              <w:rPr>
                <w:rFonts w:hint="eastAsia" w:ascii="宋体" w:hAnsi="宋体" w:eastAsia="宋体" w:cs="宋体"/>
                <w:i w:val="0"/>
                <w:color w:val="auto"/>
                <w:sz w:val="21"/>
                <w:szCs w:val="21"/>
                <w:highlight w:val="none"/>
                <w:u w:val="none"/>
                <w:lang w:eastAsia="zh-CN"/>
              </w:rPr>
              <w:t>实验室条件</w:t>
            </w:r>
          </w:p>
        </w:tc>
        <w:tc>
          <w:tcPr>
            <w:tcW w:w="5948" w:type="dxa"/>
            <w:shd w:val="clear" w:color="auto" w:fill="auto"/>
            <w:vAlign w:val="center"/>
          </w:tcPr>
          <w:p w14:paraId="5F0EEE8E">
            <w:pPr>
              <w:keepNext w:val="0"/>
              <w:keepLines w:val="0"/>
              <w:pageBreakBefore w:val="0"/>
              <w:widowControl/>
              <w:suppressLineNumbers w:val="0"/>
              <w:tabs>
                <w:tab w:val="left" w:pos="2015"/>
              </w:tabs>
              <w:kinsoku/>
              <w:wordWrap/>
              <w:overflowPunct/>
              <w:topLinePunct w:val="0"/>
              <w:autoSpaceDE/>
              <w:autoSpaceDN/>
              <w:bidi w:val="0"/>
              <w:adjustRightInd/>
              <w:snapToGrid/>
              <w:spacing w:line="340" w:lineRule="atLeast"/>
              <w:ind w:left="0" w:leftChars="0" w:firstLine="0" w:firstLineChars="0"/>
              <w:jc w:val="left"/>
              <w:textAlignment w:val="center"/>
              <w:rPr>
                <w:rFonts w:hint="eastAsia" w:eastAsia="宋体" w:cs="Times New Roman"/>
                <w:b/>
                <w:bCs/>
                <w:color w:val="auto"/>
                <w:kern w:val="2"/>
                <w:sz w:val="21"/>
                <w:szCs w:val="24"/>
                <w:highlight w:val="none"/>
                <w:lang w:val="en-US" w:eastAsia="zh-CN" w:bidi="ar-SA"/>
              </w:rPr>
            </w:pPr>
            <w:r>
              <w:rPr>
                <w:rFonts w:hint="eastAsia" w:cs="Times New Roman"/>
                <w:b w:val="0"/>
                <w:bCs w:val="0"/>
                <w:color w:val="auto"/>
                <w:kern w:val="2"/>
                <w:sz w:val="21"/>
                <w:szCs w:val="24"/>
                <w:highlight w:val="none"/>
                <w:lang w:val="en-US" w:eastAsia="zh-CN" w:bidi="ar-SA"/>
              </w:rPr>
              <w:t>为</w:t>
            </w:r>
            <w:r>
              <w:rPr>
                <w:rFonts w:hint="eastAsia" w:ascii="宋体" w:hAnsi="宋体" w:eastAsia="宋体" w:cs="宋体"/>
                <w:b w:val="0"/>
                <w:bCs/>
                <w:sz w:val="21"/>
                <w:szCs w:val="21"/>
                <w:highlight w:val="none"/>
                <w:lang w:val="en-US" w:eastAsia="zh-CN"/>
              </w:rPr>
              <w:t>本项目拟提供开展食品安全抽检工作的实验室面积:低于</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000平方米得2分，</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000及以上的得4分(评审依据:须提供实验室详细地址、场地所有权证明或房屋租赁使用合同复印件)</w:t>
            </w:r>
          </w:p>
        </w:tc>
        <w:tc>
          <w:tcPr>
            <w:tcW w:w="657" w:type="dxa"/>
            <w:vAlign w:val="center"/>
          </w:tcPr>
          <w:p w14:paraId="4029E14A">
            <w:pPr>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0-4分</w:t>
            </w:r>
          </w:p>
        </w:tc>
      </w:tr>
      <w:tr w14:paraId="7E730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9" w:hRule="atLeast"/>
        </w:trPr>
        <w:tc>
          <w:tcPr>
            <w:tcW w:w="700" w:type="dxa"/>
            <w:vMerge w:val="continue"/>
            <w:vAlign w:val="center"/>
          </w:tcPr>
          <w:p w14:paraId="76CEBF83">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36EFEF13">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p>
        </w:tc>
        <w:tc>
          <w:tcPr>
            <w:tcW w:w="1395" w:type="dxa"/>
            <w:shd w:val="clear" w:color="auto" w:fill="auto"/>
            <w:vAlign w:val="center"/>
          </w:tcPr>
          <w:p w14:paraId="6B2533B0">
            <w:pPr>
              <w:keepNext w:val="0"/>
              <w:keepLines w:val="0"/>
              <w:pageBreakBefore w:val="0"/>
              <w:widowControl/>
              <w:suppressLineNumbers w:val="0"/>
              <w:kinsoku/>
              <w:wordWrap/>
              <w:overflowPunct/>
              <w:topLinePunct w:val="0"/>
              <w:autoSpaceDE/>
              <w:autoSpaceDN/>
              <w:bidi w:val="0"/>
              <w:spacing w:line="312" w:lineRule="auto"/>
              <w:ind w:left="0" w:leftChars="0" w:firstLine="0" w:firstLineChars="0"/>
              <w:jc w:val="center"/>
              <w:textAlignment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 w:val="0"/>
                <w:color w:val="auto"/>
                <w:sz w:val="21"/>
                <w:szCs w:val="21"/>
                <w:highlight w:val="none"/>
                <w:u w:val="none"/>
                <w:lang w:eastAsia="zh-CN"/>
              </w:rPr>
              <w:t>实验室</w:t>
            </w:r>
            <w:r>
              <w:rPr>
                <w:rFonts w:hint="eastAsia" w:ascii="宋体" w:hAnsi="宋体" w:eastAsia="宋体" w:cs="宋体"/>
                <w:i w:val="0"/>
                <w:color w:val="auto"/>
                <w:sz w:val="21"/>
                <w:szCs w:val="21"/>
                <w:highlight w:val="none"/>
                <w:u w:val="none"/>
              </w:rPr>
              <w:t>检测设备</w:t>
            </w:r>
            <w:r>
              <w:rPr>
                <w:rFonts w:hint="eastAsia" w:ascii="宋体" w:hAnsi="宋体" w:eastAsia="宋体" w:cs="宋体"/>
                <w:i w:val="0"/>
                <w:color w:val="auto"/>
                <w:sz w:val="21"/>
                <w:szCs w:val="21"/>
                <w:highlight w:val="none"/>
                <w:u w:val="none"/>
                <w:lang w:eastAsia="zh-CN"/>
              </w:rPr>
              <w:t>配备</w:t>
            </w:r>
          </w:p>
        </w:tc>
        <w:tc>
          <w:tcPr>
            <w:tcW w:w="5948" w:type="dxa"/>
            <w:shd w:val="clear" w:color="auto" w:fill="auto"/>
            <w:vAlign w:val="center"/>
          </w:tcPr>
          <w:p w14:paraId="59F2BBEB">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1.供应商拥有1台HPLC(高效液相色谱仪)得2分。</w:t>
            </w:r>
          </w:p>
          <w:p w14:paraId="7CE3EA8D">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2.供应商拥有1台GC(气相色谱仪)得2分。</w:t>
            </w:r>
          </w:p>
          <w:p w14:paraId="60F4B16B">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3.供应商拥有1台GC-MS(气相色谱/质谱联用仪)得2分。</w:t>
            </w:r>
          </w:p>
          <w:p w14:paraId="65DB8637">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4.供应商拥有1台微波消解仪得2分。</w:t>
            </w:r>
          </w:p>
          <w:p w14:paraId="3EAEE0EF">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5.供应商拥有1台LC-MS-MS(液相色谱/质谱/质谱联用仪)得2分。</w:t>
            </w:r>
          </w:p>
          <w:p w14:paraId="7400F3ED">
            <w:pPr>
              <w:pStyle w:val="37"/>
              <w:keepNext w:val="0"/>
              <w:keepLines w:val="0"/>
              <w:pageBreakBefore w:val="0"/>
              <w:kinsoku/>
              <w:wordWrap/>
              <w:overflowPunct/>
              <w:topLinePunct w:val="0"/>
              <w:autoSpaceDE/>
              <w:autoSpaceDN/>
              <w:bidi w:val="0"/>
              <w:spacing w:line="340" w:lineRule="atLeast"/>
              <w:ind w:left="0" w:leftChars="0" w:firstLine="0" w:firstLineChars="0"/>
              <w:jc w:val="left"/>
              <w:rPr>
                <w:rFonts w:hint="eastAsia" w:eastAsia="宋体" w:cs="Times New Roman"/>
                <w:color w:val="auto"/>
                <w:kern w:val="2"/>
                <w:sz w:val="21"/>
                <w:szCs w:val="24"/>
                <w:highlight w:val="none"/>
                <w:lang w:val="en-US" w:eastAsia="zh-CN" w:bidi="ar-SA"/>
              </w:rPr>
            </w:pPr>
            <w:r>
              <w:rPr>
                <w:rFonts w:hint="eastAsia" w:eastAsia="宋体" w:cs="Times New Roman"/>
                <w:color w:val="auto"/>
                <w:kern w:val="2"/>
                <w:sz w:val="21"/>
                <w:szCs w:val="24"/>
                <w:highlight w:val="none"/>
                <w:lang w:val="en-US" w:eastAsia="zh-CN" w:bidi="ar-SA"/>
              </w:rPr>
              <w:t>6供应商拥有1台离子色谱仪得1分。</w:t>
            </w:r>
          </w:p>
          <w:p w14:paraId="57A1C49C">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kern w:val="2"/>
                <w:sz w:val="21"/>
                <w:szCs w:val="21"/>
                <w:highlight w:val="none"/>
                <w:lang w:val="en-US" w:eastAsia="zh-CN" w:bidi="ar-SA"/>
              </w:rPr>
            </w:pPr>
            <w:r>
              <w:rPr>
                <w:rFonts w:hint="eastAsia" w:eastAsia="宋体" w:cs="Times New Roman"/>
                <w:b/>
                <w:bCs/>
                <w:color w:val="auto"/>
                <w:kern w:val="2"/>
                <w:sz w:val="21"/>
                <w:szCs w:val="24"/>
                <w:highlight w:val="none"/>
                <w:lang w:val="en-US" w:eastAsia="zh-CN" w:bidi="ar-SA"/>
              </w:rPr>
              <w:t>注:提供每台仪器的实物照片、名称、品牌型号、功能等介绍材料、购进发票(复印件并加盖公章)。</w:t>
            </w:r>
          </w:p>
        </w:tc>
        <w:tc>
          <w:tcPr>
            <w:tcW w:w="657" w:type="dxa"/>
            <w:vAlign w:val="center"/>
          </w:tcPr>
          <w:p w14:paraId="6869DE17">
            <w:pPr>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0-12分</w:t>
            </w:r>
          </w:p>
        </w:tc>
      </w:tr>
      <w:tr w14:paraId="7B04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83" w:hRule="atLeast"/>
        </w:trPr>
        <w:tc>
          <w:tcPr>
            <w:tcW w:w="700" w:type="dxa"/>
            <w:vMerge w:val="restart"/>
            <w:vAlign w:val="center"/>
          </w:tcPr>
          <w:p w14:paraId="1ACF8A3C">
            <w:pPr>
              <w:keepNext w:val="0"/>
              <w:keepLines w:val="0"/>
              <w:pageBreakBefore w:val="0"/>
              <w:widowControl w:val="0"/>
              <w:kinsoku/>
              <w:wordWrap/>
              <w:overflowPunct/>
              <w:topLinePunct w:val="0"/>
              <w:bidi w:val="0"/>
              <w:snapToGrid/>
              <w:spacing w:line="0" w:lineRule="atLeast"/>
              <w:jc w:val="center"/>
              <w:outlineLvl w:val="9"/>
              <w:rPr>
                <w:rFonts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2.2.3</w:t>
            </w:r>
          </w:p>
          <w:p w14:paraId="414CA83E">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r>
              <w:rPr>
                <w:rFonts w:hint="eastAsia" w:ascii="宋体" w:hAnsi="宋体" w:cs="微软雅黑"/>
                <w:color w:val="000000" w:themeColor="text1"/>
                <w:szCs w:val="21"/>
                <w:highlight w:val="none"/>
                <w14:textFill>
                  <w14:solidFill>
                    <w14:schemeClr w14:val="tx1"/>
                  </w14:solidFill>
                </w14:textFill>
              </w:rPr>
              <w:t>(</w:t>
            </w:r>
            <w:r>
              <w:rPr>
                <w:rFonts w:hint="eastAsia" w:ascii="宋体" w:hAnsi="宋体" w:cs="微软雅黑"/>
                <w:color w:val="000000" w:themeColor="text1"/>
                <w:szCs w:val="21"/>
                <w:highlight w:val="none"/>
                <w:lang w:val="en-US" w:eastAsia="zh-CN"/>
                <w14:textFill>
                  <w14:solidFill>
                    <w14:schemeClr w14:val="tx1"/>
                  </w14:solidFill>
                </w14:textFill>
              </w:rPr>
              <w:t>3</w:t>
            </w:r>
            <w:r>
              <w:rPr>
                <w:rFonts w:hint="eastAsia" w:ascii="宋体" w:hAnsi="宋体" w:cs="微软雅黑"/>
                <w:color w:val="000000" w:themeColor="text1"/>
                <w:szCs w:val="21"/>
                <w:highlight w:val="none"/>
                <w14:textFill>
                  <w14:solidFill>
                    <w14:schemeClr w14:val="tx1"/>
                  </w14:solidFill>
                </w14:textFill>
              </w:rPr>
              <w:t>)</w:t>
            </w:r>
          </w:p>
        </w:tc>
        <w:tc>
          <w:tcPr>
            <w:tcW w:w="939" w:type="dxa"/>
            <w:vMerge w:val="restart"/>
            <w:vAlign w:val="center"/>
          </w:tcPr>
          <w:p w14:paraId="00B8B983">
            <w:pPr>
              <w:jc w:val="center"/>
              <w:rPr>
                <w:rFonts w:hint="eastAsia" w:ascii="宋体" w:hAnsi="宋体" w:eastAsia="宋体" w:cs="宋体"/>
                <w:sz w:val="21"/>
                <w:szCs w:val="21"/>
              </w:rPr>
            </w:pPr>
            <w:r>
              <w:rPr>
                <w:rFonts w:hint="eastAsia" w:ascii="宋体" w:hAnsi="宋体" w:eastAsia="宋体" w:cs="宋体"/>
                <w:sz w:val="21"/>
                <w:szCs w:val="21"/>
              </w:rPr>
              <w:t>技术</w:t>
            </w:r>
          </w:p>
          <w:p w14:paraId="28BFD42B">
            <w:pPr>
              <w:jc w:val="center"/>
              <w:rPr>
                <w:rFonts w:hint="eastAsia" w:ascii="宋体" w:hAnsi="宋体" w:eastAsia="宋体" w:cs="宋体"/>
                <w:sz w:val="21"/>
                <w:szCs w:val="21"/>
              </w:rPr>
            </w:pPr>
            <w:r>
              <w:rPr>
                <w:rFonts w:hint="eastAsia" w:ascii="宋体" w:hAnsi="宋体" w:eastAsia="宋体" w:cs="宋体"/>
                <w:sz w:val="21"/>
                <w:szCs w:val="21"/>
              </w:rPr>
              <w:t>部分</w:t>
            </w:r>
          </w:p>
          <w:p w14:paraId="415A172C">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lang w:val="en-US" w:eastAsia="zh-CN"/>
                <w14:textFill>
                  <w14:solidFill>
                    <w14:schemeClr w14:val="tx1"/>
                  </w14:solidFill>
                </w14:textFill>
              </w:rPr>
            </w:pPr>
            <w:r>
              <w:rPr>
                <w:rFonts w:hint="eastAsia" w:ascii="宋体" w:hAnsi="宋体" w:cs="宋体"/>
                <w:sz w:val="21"/>
                <w:szCs w:val="21"/>
                <w:lang w:val="en-US" w:eastAsia="zh-CN"/>
              </w:rPr>
              <w:t>50</w:t>
            </w:r>
            <w:r>
              <w:rPr>
                <w:rFonts w:hint="eastAsia" w:ascii="宋体" w:hAnsi="宋体" w:eastAsia="宋体" w:cs="宋体"/>
                <w:sz w:val="21"/>
                <w:szCs w:val="21"/>
              </w:rPr>
              <w:t>分</w:t>
            </w:r>
          </w:p>
        </w:tc>
        <w:tc>
          <w:tcPr>
            <w:tcW w:w="1395" w:type="dxa"/>
            <w:shd w:val="clear" w:color="auto" w:fill="auto"/>
            <w:vAlign w:val="center"/>
          </w:tcPr>
          <w:p w14:paraId="0A9D2F03">
            <w:pPr>
              <w:pageBreakBefore w:val="0"/>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技术方案</w:t>
            </w:r>
          </w:p>
        </w:tc>
        <w:tc>
          <w:tcPr>
            <w:tcW w:w="5948" w:type="dxa"/>
            <w:shd w:val="clear" w:color="auto" w:fill="auto"/>
            <w:vAlign w:val="top"/>
          </w:tcPr>
          <w:p w14:paraId="321E6145">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根据投标人工作方案内容、可操作性及满足招标人的需求情况进行综合评审：</w:t>
            </w:r>
          </w:p>
          <w:p w14:paraId="195F15EE">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方案内容非常完整且详细，科学合理，针对性和可操作性充分满足项目需求的，得10分；</w:t>
            </w:r>
          </w:p>
          <w:p w14:paraId="69EC2FE7">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方案内容较详细，具有一定的科学合理性和可操作性的，得8分；</w:t>
            </w:r>
          </w:p>
          <w:p w14:paraId="225B14E6">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方案内容针对性和可操作性基本满足采购文件要求的，得6分；</w:t>
            </w:r>
          </w:p>
          <w:p w14:paraId="7F77C590">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方案内容一般详细、可操作性一般满足项目需求的得4分；</w:t>
            </w:r>
          </w:p>
          <w:p w14:paraId="1ED49DEA">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方案内容针对性、可操作性较差的，得2分；</w:t>
            </w:r>
          </w:p>
          <w:p w14:paraId="1DEDF9E7">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lang w:val="zh-CN" w:eastAsia="zh-CN"/>
              </w:rPr>
            </w:pPr>
            <w:r>
              <w:rPr>
                <w:rFonts w:hint="eastAsia"/>
                <w:lang w:val="zh-CN" w:eastAsia="zh-CN"/>
              </w:rPr>
              <w:t>未提供的不得分。</w:t>
            </w:r>
          </w:p>
        </w:tc>
        <w:tc>
          <w:tcPr>
            <w:tcW w:w="657" w:type="dxa"/>
            <w:shd w:val="clear" w:color="auto" w:fill="auto"/>
            <w:vAlign w:val="center"/>
          </w:tcPr>
          <w:p w14:paraId="7BBD9524">
            <w:pPr>
              <w:jc w:val="center"/>
              <w:rPr>
                <w:rFonts w:hint="eastAsia" w:ascii="宋体" w:hAnsi="宋体" w:eastAsia="宋体" w:cs="微软雅黑"/>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sz w:val="21"/>
                <w:szCs w:val="21"/>
                <w:highlight w:val="none"/>
                <w:lang w:val="en-US" w:eastAsia="zh-CN"/>
              </w:rPr>
              <w:t>0-10分</w:t>
            </w:r>
          </w:p>
        </w:tc>
      </w:tr>
      <w:tr w14:paraId="27920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6002A49A">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7C0E735B">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宋体"/>
                <w:sz w:val="21"/>
                <w:szCs w:val="21"/>
                <w:lang w:val="en-US" w:eastAsia="zh-CN"/>
              </w:rPr>
            </w:pPr>
          </w:p>
        </w:tc>
        <w:tc>
          <w:tcPr>
            <w:tcW w:w="1395" w:type="dxa"/>
            <w:shd w:val="clear" w:color="auto" w:fill="auto"/>
            <w:vAlign w:val="center"/>
          </w:tcPr>
          <w:p w14:paraId="2CE38A2C">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center"/>
              <w:textAlignment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应急处置方案</w:t>
            </w:r>
          </w:p>
        </w:tc>
        <w:tc>
          <w:tcPr>
            <w:tcW w:w="5948" w:type="dxa"/>
            <w:shd w:val="clear" w:color="auto" w:fill="auto"/>
            <w:vAlign w:val="center"/>
          </w:tcPr>
          <w:p w14:paraId="2B8D1375">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针对本项目有可能出现的突发状况（如台风、暴雨等天气影响，重大接待任务，重大节假日或活动等特殊情况制定应急处置方案，包括传达机制、人员和设备调配、责任分工），制定相应的应急措施,对措施的合理可行性、针对性等方面进行综合评审：</w:t>
            </w:r>
          </w:p>
          <w:p w14:paraId="1A3AF0E1">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应急处置方案科学、合理可行、针对性强的得10分；</w:t>
            </w:r>
          </w:p>
          <w:p w14:paraId="4591EA9C">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应急处置方案科学、合理可行、较有针对性的得8分；</w:t>
            </w:r>
          </w:p>
          <w:p w14:paraId="5FB4C0AB">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应急处置方案基本满足且合理可行的得6分；</w:t>
            </w:r>
          </w:p>
          <w:p w14:paraId="5867EC9B">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应急处置方案可行、有针对性得4分；</w:t>
            </w:r>
          </w:p>
          <w:p w14:paraId="456905E2">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应急处置方案较差的得2分；</w:t>
            </w:r>
          </w:p>
          <w:p w14:paraId="133D8211">
            <w:pPr>
              <w:keepNext w:val="0"/>
              <w:keepLines w:val="0"/>
              <w:pageBreakBefore w:val="0"/>
              <w:widowControl/>
              <w:suppressLineNumbers w:val="0"/>
              <w:kinsoku/>
              <w:wordWrap/>
              <w:overflowPunct/>
              <w:topLinePunct w:val="0"/>
              <w:autoSpaceDE/>
              <w:autoSpaceDN/>
              <w:bidi w:val="0"/>
              <w:adjustRightInd/>
              <w:snapToGrid/>
              <w:spacing w:line="340" w:lineRule="atLeast"/>
              <w:ind w:left="0" w:leftChars="0" w:firstLine="0" w:firstLineChars="0"/>
              <w:jc w:val="left"/>
              <w:textAlignment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未提供的不得分。</w:t>
            </w:r>
          </w:p>
        </w:tc>
        <w:tc>
          <w:tcPr>
            <w:tcW w:w="657" w:type="dxa"/>
            <w:shd w:val="clear" w:color="auto" w:fill="auto"/>
            <w:vAlign w:val="center"/>
          </w:tcPr>
          <w:p w14:paraId="26DBDE2B">
            <w:pPr>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0-10分</w:t>
            </w:r>
          </w:p>
        </w:tc>
      </w:tr>
      <w:tr w14:paraId="1C4B7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3A73C8A4">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491C23D4">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宋体"/>
                <w:sz w:val="21"/>
                <w:szCs w:val="21"/>
                <w:lang w:val="en-US" w:eastAsia="zh-CN"/>
              </w:rPr>
            </w:pPr>
          </w:p>
        </w:tc>
        <w:tc>
          <w:tcPr>
            <w:tcW w:w="1395" w:type="dxa"/>
            <w:shd w:val="clear" w:color="auto" w:fill="auto"/>
            <w:vAlign w:val="center"/>
          </w:tcPr>
          <w:p w14:paraId="5741F1DF">
            <w:pPr>
              <w:pageBreakBefore w:val="0"/>
              <w:kinsoku/>
              <w:wordWrap/>
              <w:overflowPunct/>
              <w:topLinePunct w:val="0"/>
              <w:autoSpaceDE/>
              <w:autoSpaceDN/>
              <w:bidi w:val="0"/>
              <w:spacing w:line="312" w:lineRule="auto"/>
              <w:jc w:val="center"/>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sz w:val="21"/>
                <w:szCs w:val="21"/>
                <w:highlight w:val="none"/>
              </w:rPr>
              <w:t>服务装配配备方案</w:t>
            </w:r>
          </w:p>
        </w:tc>
        <w:tc>
          <w:tcPr>
            <w:tcW w:w="5948" w:type="dxa"/>
            <w:shd w:val="clear" w:color="auto" w:fill="auto"/>
            <w:vAlign w:val="center"/>
          </w:tcPr>
          <w:p w14:paraId="4FE07E93">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bCs w:val="0"/>
                <w:sz w:val="21"/>
                <w:szCs w:val="21"/>
                <w:highlight w:val="none"/>
              </w:rPr>
            </w:pPr>
            <w:r>
              <w:rPr>
                <w:rFonts w:hint="eastAsia" w:ascii="宋体" w:hAnsi="宋体" w:eastAsia="宋体" w:cs="宋体"/>
                <w:b/>
                <w:bCs w:val="0"/>
                <w:sz w:val="21"/>
                <w:szCs w:val="21"/>
                <w:highlight w:val="none"/>
              </w:rPr>
              <w:t>供应商</w:t>
            </w:r>
            <w:r>
              <w:rPr>
                <w:rFonts w:hint="eastAsia" w:ascii="宋体" w:hAnsi="宋体" w:eastAsia="宋体" w:cs="宋体"/>
                <w:b/>
                <w:bCs w:val="0"/>
                <w:sz w:val="21"/>
                <w:szCs w:val="21"/>
                <w:highlight w:val="none"/>
                <w:lang w:val="zh-CN"/>
              </w:rPr>
              <w:t>能够</w:t>
            </w:r>
            <w:r>
              <w:rPr>
                <w:rFonts w:hint="eastAsia" w:ascii="宋体" w:hAnsi="宋体" w:eastAsia="宋体" w:cs="宋体"/>
                <w:b/>
                <w:bCs w:val="0"/>
                <w:sz w:val="21"/>
                <w:szCs w:val="21"/>
                <w:highlight w:val="none"/>
              </w:rPr>
              <w:t>有维护的专用车辆、</w:t>
            </w:r>
            <w:r>
              <w:rPr>
                <w:rFonts w:hint="eastAsia" w:ascii="宋体" w:hAnsi="宋体" w:eastAsia="宋体" w:cs="宋体"/>
                <w:b/>
                <w:bCs w:val="0"/>
                <w:sz w:val="21"/>
                <w:szCs w:val="21"/>
                <w:highlight w:val="none"/>
                <w:lang w:eastAsia="zh-CN"/>
              </w:rPr>
              <w:t>专业检测</w:t>
            </w:r>
            <w:r>
              <w:rPr>
                <w:rFonts w:hint="eastAsia" w:ascii="宋体" w:hAnsi="宋体" w:eastAsia="宋体" w:cs="宋体"/>
                <w:b/>
                <w:bCs w:val="0"/>
                <w:sz w:val="21"/>
                <w:szCs w:val="21"/>
                <w:highlight w:val="none"/>
              </w:rPr>
              <w:t>工具、测试的仪器仪表、清洁的专用工具、办公用品等；各类保障的管理制度、办法、运行流程、考核办法；各类故障处理的反馈单、工程调度单、要有各类相关记录等，是否符合项目服务装备需求进行综合</w:t>
            </w:r>
            <w:r>
              <w:rPr>
                <w:rFonts w:hint="eastAsia" w:ascii="宋体" w:hAnsi="宋体" w:cs="宋体"/>
                <w:b/>
                <w:bCs w:val="0"/>
                <w:sz w:val="21"/>
                <w:szCs w:val="21"/>
                <w:highlight w:val="none"/>
                <w:lang w:eastAsia="zh-CN"/>
              </w:rPr>
              <w:t>评审</w:t>
            </w:r>
            <w:r>
              <w:rPr>
                <w:rFonts w:hint="eastAsia" w:ascii="宋体" w:hAnsi="宋体" w:eastAsia="宋体" w:cs="宋体"/>
                <w:b/>
                <w:bCs w:val="0"/>
                <w:sz w:val="21"/>
                <w:szCs w:val="21"/>
                <w:highlight w:val="none"/>
              </w:rPr>
              <w:t>：</w:t>
            </w:r>
          </w:p>
          <w:p w14:paraId="389E5E2D">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zh-CN"/>
              </w:rPr>
              <w:t>方案非常完整、详细、符合项目实际需求</w:t>
            </w:r>
            <w:r>
              <w:rPr>
                <w:rFonts w:hint="eastAsia" w:ascii="宋体" w:hAnsi="宋体" w:eastAsia="宋体" w:cs="宋体"/>
                <w:b w:val="0"/>
                <w:bCs/>
                <w:sz w:val="21"/>
                <w:szCs w:val="21"/>
                <w:highlight w:val="none"/>
              </w:rPr>
              <w:t>得1</w:t>
            </w:r>
            <w:r>
              <w:rPr>
                <w:rFonts w:hint="eastAsia" w:ascii="宋体" w:hAnsi="宋体" w:eastAsia="宋体" w:cs="宋体"/>
                <w:b w:val="0"/>
                <w:bCs/>
                <w:sz w:val="21"/>
                <w:szCs w:val="21"/>
                <w:highlight w:val="none"/>
                <w:lang w:val="en-US" w:eastAsia="zh-CN"/>
              </w:rPr>
              <w:t>0</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57912765">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zh-CN"/>
              </w:rPr>
              <w:t>方案完整、详细、符合项目实际需求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8</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5FDBA10E">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zh-CN"/>
              </w:rPr>
              <w:t>方案</w:t>
            </w:r>
            <w:r>
              <w:rPr>
                <w:rFonts w:hint="eastAsia" w:ascii="宋体" w:hAnsi="宋体" w:eastAsia="宋体" w:cs="宋体"/>
                <w:b w:val="0"/>
                <w:bCs/>
                <w:sz w:val="21"/>
                <w:szCs w:val="21"/>
                <w:highlight w:val="none"/>
              </w:rPr>
              <w:t>较</w:t>
            </w:r>
            <w:r>
              <w:rPr>
                <w:rFonts w:hint="eastAsia" w:ascii="宋体" w:hAnsi="宋体" w:eastAsia="宋体" w:cs="宋体"/>
                <w:b w:val="0"/>
                <w:bCs/>
                <w:sz w:val="21"/>
                <w:szCs w:val="21"/>
                <w:highlight w:val="none"/>
                <w:lang w:val="zh-CN"/>
              </w:rPr>
              <w:t>完整、</w:t>
            </w:r>
            <w:r>
              <w:rPr>
                <w:rFonts w:hint="eastAsia" w:ascii="宋体" w:hAnsi="宋体" w:eastAsia="宋体" w:cs="宋体"/>
                <w:b w:val="0"/>
                <w:bCs/>
                <w:sz w:val="21"/>
                <w:szCs w:val="21"/>
                <w:highlight w:val="none"/>
              </w:rPr>
              <w:t>较</w:t>
            </w:r>
            <w:r>
              <w:rPr>
                <w:rFonts w:hint="eastAsia" w:ascii="宋体" w:hAnsi="宋体" w:eastAsia="宋体" w:cs="宋体"/>
                <w:b w:val="0"/>
                <w:bCs/>
                <w:sz w:val="21"/>
                <w:szCs w:val="21"/>
                <w:highlight w:val="none"/>
                <w:lang w:val="zh-CN"/>
              </w:rPr>
              <w:t>详细、符合项目实际建设需求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3ACB5AC8">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zh-CN"/>
              </w:rPr>
              <w:t>方案</w:t>
            </w:r>
            <w:r>
              <w:rPr>
                <w:rFonts w:hint="eastAsia" w:ascii="宋体" w:hAnsi="宋体" w:eastAsia="宋体" w:cs="宋体"/>
                <w:b w:val="0"/>
                <w:bCs/>
                <w:sz w:val="21"/>
                <w:szCs w:val="21"/>
                <w:highlight w:val="none"/>
              </w:rPr>
              <w:t>基本</w:t>
            </w:r>
            <w:r>
              <w:rPr>
                <w:rFonts w:hint="eastAsia" w:ascii="宋体" w:hAnsi="宋体" w:eastAsia="宋体" w:cs="宋体"/>
                <w:b w:val="0"/>
                <w:bCs/>
                <w:sz w:val="21"/>
                <w:szCs w:val="21"/>
                <w:highlight w:val="none"/>
                <w:lang w:val="zh-CN"/>
              </w:rPr>
              <w:t>完整、</w:t>
            </w:r>
            <w:r>
              <w:rPr>
                <w:rFonts w:hint="eastAsia" w:ascii="宋体" w:hAnsi="宋体" w:eastAsia="宋体" w:cs="宋体"/>
                <w:b w:val="0"/>
                <w:bCs/>
                <w:sz w:val="21"/>
                <w:szCs w:val="21"/>
                <w:highlight w:val="none"/>
              </w:rPr>
              <w:t>基本</w:t>
            </w:r>
            <w:r>
              <w:rPr>
                <w:rFonts w:hint="eastAsia" w:ascii="宋体" w:hAnsi="宋体" w:eastAsia="宋体" w:cs="宋体"/>
                <w:b w:val="0"/>
                <w:bCs/>
                <w:sz w:val="21"/>
                <w:szCs w:val="21"/>
                <w:highlight w:val="none"/>
                <w:lang w:val="zh-CN"/>
              </w:rPr>
              <w:t>符合项目实际建设需求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399586BD">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zh-CN"/>
              </w:rPr>
              <w:t>方案一般得</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lang w:val="zh-CN"/>
              </w:rPr>
              <w:t>分</w:t>
            </w:r>
            <w:r>
              <w:rPr>
                <w:rFonts w:hint="eastAsia" w:ascii="宋体" w:hAnsi="宋体" w:eastAsia="宋体" w:cs="宋体"/>
                <w:b w:val="0"/>
                <w:bCs/>
                <w:sz w:val="21"/>
                <w:szCs w:val="21"/>
                <w:highlight w:val="none"/>
                <w:lang w:eastAsia="zh-CN"/>
              </w:rPr>
              <w:t>；</w:t>
            </w:r>
          </w:p>
          <w:p w14:paraId="36831744">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sz w:val="21"/>
                <w:szCs w:val="21"/>
                <w:highlight w:val="none"/>
              </w:rPr>
              <w:t>未提供的不得分。</w:t>
            </w:r>
          </w:p>
        </w:tc>
        <w:tc>
          <w:tcPr>
            <w:tcW w:w="657" w:type="dxa"/>
            <w:shd w:val="clear" w:color="auto" w:fill="auto"/>
            <w:vAlign w:val="center"/>
          </w:tcPr>
          <w:p w14:paraId="1932CC19">
            <w:pPr>
              <w:jc w:val="center"/>
              <w:rPr>
                <w:rFonts w:hint="eastAsia" w:ascii="宋体" w:hAnsi="宋体" w:eastAsia="宋体" w:cs="宋体"/>
                <w:sz w:val="21"/>
                <w:szCs w:val="21"/>
              </w:rPr>
            </w:pPr>
            <w:r>
              <w:rPr>
                <w:rFonts w:hint="eastAsia" w:ascii="宋体" w:hAnsi="宋体" w:cs="宋体"/>
                <w:sz w:val="21"/>
                <w:szCs w:val="21"/>
                <w:highlight w:val="none"/>
                <w:lang w:val="en-US" w:eastAsia="zh-CN"/>
              </w:rPr>
              <w:t>0-10分</w:t>
            </w:r>
          </w:p>
        </w:tc>
      </w:tr>
      <w:tr w14:paraId="6633F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0A1309FE">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296FB615">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宋体"/>
                <w:sz w:val="21"/>
                <w:szCs w:val="21"/>
                <w:lang w:val="en-US" w:eastAsia="zh-CN"/>
              </w:rPr>
            </w:pPr>
          </w:p>
        </w:tc>
        <w:tc>
          <w:tcPr>
            <w:tcW w:w="1395" w:type="dxa"/>
            <w:shd w:val="clear" w:color="auto" w:fill="auto"/>
            <w:vAlign w:val="center"/>
          </w:tcPr>
          <w:p w14:paraId="10F7CE57">
            <w:pPr>
              <w:pageBreakBefore w:val="0"/>
              <w:kinsoku/>
              <w:wordWrap/>
              <w:overflowPunct/>
              <w:topLinePunct w:val="0"/>
              <w:autoSpaceDE/>
              <w:autoSpaceDN/>
              <w:bidi w:val="0"/>
              <w:spacing w:line="312" w:lineRule="auto"/>
              <w:jc w:val="center"/>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sz w:val="21"/>
                <w:szCs w:val="21"/>
                <w:highlight w:val="none"/>
              </w:rPr>
              <w:t>质量管理措施</w:t>
            </w:r>
          </w:p>
        </w:tc>
        <w:tc>
          <w:tcPr>
            <w:tcW w:w="5948" w:type="dxa"/>
            <w:shd w:val="clear" w:color="auto" w:fill="auto"/>
            <w:vAlign w:val="center"/>
          </w:tcPr>
          <w:p w14:paraId="5E1914E9">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综合比较质量保证措施：</w:t>
            </w:r>
          </w:p>
          <w:p w14:paraId="29B28D56">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w:t>
            </w:r>
            <w:r>
              <w:rPr>
                <w:rFonts w:hint="eastAsia" w:ascii="宋体" w:hAnsi="宋体" w:eastAsia="宋体" w:cs="宋体"/>
                <w:b w:val="0"/>
                <w:bCs/>
                <w:sz w:val="21"/>
                <w:szCs w:val="21"/>
                <w:highlight w:val="none"/>
                <w:lang w:eastAsia="zh-CN"/>
              </w:rPr>
              <w:t>非常</w:t>
            </w:r>
            <w:r>
              <w:rPr>
                <w:rFonts w:hint="eastAsia" w:ascii="宋体" w:hAnsi="宋体" w:eastAsia="宋体" w:cs="宋体"/>
                <w:b w:val="0"/>
                <w:bCs/>
                <w:sz w:val="21"/>
                <w:szCs w:val="21"/>
                <w:highlight w:val="none"/>
              </w:rPr>
              <w:t>全面详尽、科学合理，</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得10分</w:t>
            </w:r>
            <w:r>
              <w:rPr>
                <w:rFonts w:hint="eastAsia" w:ascii="宋体" w:hAnsi="宋体" w:eastAsia="宋体" w:cs="宋体"/>
                <w:b w:val="0"/>
                <w:bCs/>
                <w:sz w:val="21"/>
                <w:szCs w:val="21"/>
                <w:highlight w:val="none"/>
                <w:lang w:eastAsia="zh-CN"/>
              </w:rPr>
              <w:t>；</w:t>
            </w:r>
          </w:p>
          <w:p w14:paraId="42724214">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措施全面详尽、科学合理，</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8</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37D5C57F">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w:t>
            </w:r>
            <w:r>
              <w:rPr>
                <w:rFonts w:hint="eastAsia" w:ascii="宋体" w:hAnsi="宋体" w:eastAsia="宋体" w:cs="宋体"/>
                <w:b w:val="0"/>
                <w:bCs/>
                <w:sz w:val="21"/>
                <w:szCs w:val="21"/>
                <w:highlight w:val="none"/>
                <w:lang w:eastAsia="zh-CN"/>
              </w:rPr>
              <w:t>较</w:t>
            </w:r>
            <w:r>
              <w:rPr>
                <w:rFonts w:hint="eastAsia" w:ascii="宋体" w:hAnsi="宋体" w:eastAsia="宋体" w:cs="宋体"/>
                <w:b w:val="0"/>
                <w:bCs/>
                <w:sz w:val="21"/>
                <w:szCs w:val="21"/>
                <w:highlight w:val="none"/>
              </w:rPr>
              <w:t>全面详尽、科学合理</w:t>
            </w:r>
            <w:bookmarkStart w:id="83" w:name="_GoBack"/>
            <w:bookmarkEnd w:id="83"/>
            <w:r>
              <w:rPr>
                <w:rFonts w:hint="eastAsia" w:ascii="宋体" w:hAnsi="宋体" w:eastAsia="宋体" w:cs="宋体"/>
                <w:b w:val="0"/>
                <w:bCs/>
                <w:sz w:val="21"/>
                <w:szCs w:val="21"/>
                <w:highlight w:val="none"/>
              </w:rPr>
              <w:t>，</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44EF2138">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措施基本合理、可行、</w:t>
            </w:r>
            <w:r>
              <w:rPr>
                <w:rFonts w:hint="eastAsia" w:ascii="宋体" w:hAnsi="宋体" w:eastAsia="宋体" w:cs="宋体"/>
                <w:b w:val="0"/>
                <w:bCs/>
                <w:sz w:val="21"/>
                <w:szCs w:val="21"/>
                <w:highlight w:val="none"/>
                <w:lang w:val="zh-CN"/>
              </w:rPr>
              <w:t>符合项目需求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7BDD2350">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措施内容较少，仅满足项目需求得</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6DAC28DA">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sz w:val="21"/>
                <w:szCs w:val="21"/>
                <w:highlight w:val="none"/>
              </w:rPr>
              <w:t>未提供的不得分。</w:t>
            </w:r>
          </w:p>
        </w:tc>
        <w:tc>
          <w:tcPr>
            <w:tcW w:w="657" w:type="dxa"/>
            <w:shd w:val="clear" w:color="auto" w:fill="auto"/>
            <w:vAlign w:val="center"/>
          </w:tcPr>
          <w:p w14:paraId="30B0B514">
            <w:pPr>
              <w:jc w:val="center"/>
              <w:rPr>
                <w:rFonts w:hint="eastAsia" w:ascii="宋体" w:hAnsi="宋体" w:eastAsia="宋体" w:cs="宋体"/>
                <w:sz w:val="21"/>
                <w:szCs w:val="21"/>
              </w:rPr>
            </w:pPr>
            <w:r>
              <w:rPr>
                <w:rFonts w:hint="eastAsia" w:ascii="宋体" w:hAnsi="宋体" w:cs="宋体"/>
                <w:sz w:val="21"/>
                <w:szCs w:val="21"/>
                <w:highlight w:val="none"/>
                <w:lang w:val="en-US" w:eastAsia="zh-CN"/>
              </w:rPr>
              <w:t>0-10分</w:t>
            </w:r>
          </w:p>
        </w:tc>
      </w:tr>
      <w:tr w14:paraId="16B7A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2" w:hRule="atLeast"/>
        </w:trPr>
        <w:tc>
          <w:tcPr>
            <w:tcW w:w="700" w:type="dxa"/>
            <w:vMerge w:val="continue"/>
            <w:vAlign w:val="center"/>
          </w:tcPr>
          <w:p w14:paraId="0275432D">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微软雅黑"/>
                <w:color w:val="000000" w:themeColor="text1"/>
                <w:szCs w:val="21"/>
                <w:highlight w:val="none"/>
                <w14:textFill>
                  <w14:solidFill>
                    <w14:schemeClr w14:val="tx1"/>
                  </w14:solidFill>
                </w14:textFill>
              </w:rPr>
            </w:pPr>
          </w:p>
        </w:tc>
        <w:tc>
          <w:tcPr>
            <w:tcW w:w="939" w:type="dxa"/>
            <w:vMerge w:val="continue"/>
            <w:vAlign w:val="center"/>
          </w:tcPr>
          <w:p w14:paraId="34C11113">
            <w:pPr>
              <w:keepNext w:val="0"/>
              <w:keepLines w:val="0"/>
              <w:pageBreakBefore w:val="0"/>
              <w:widowControl w:val="0"/>
              <w:kinsoku/>
              <w:wordWrap/>
              <w:overflowPunct/>
              <w:topLinePunct w:val="0"/>
              <w:bidi w:val="0"/>
              <w:snapToGrid/>
              <w:spacing w:line="0" w:lineRule="atLeast"/>
              <w:jc w:val="center"/>
              <w:outlineLvl w:val="9"/>
              <w:rPr>
                <w:rFonts w:hint="eastAsia" w:ascii="宋体" w:hAnsi="宋体" w:cs="宋体"/>
                <w:sz w:val="21"/>
                <w:szCs w:val="21"/>
                <w:lang w:val="en-US" w:eastAsia="zh-CN"/>
              </w:rPr>
            </w:pPr>
          </w:p>
        </w:tc>
        <w:tc>
          <w:tcPr>
            <w:tcW w:w="1395" w:type="dxa"/>
            <w:shd w:val="clear" w:color="auto" w:fill="auto"/>
            <w:vAlign w:val="center"/>
          </w:tcPr>
          <w:p w14:paraId="5BC3CD3E">
            <w:pPr>
              <w:pageBreakBefore w:val="0"/>
              <w:kinsoku/>
              <w:wordWrap/>
              <w:overflowPunct/>
              <w:topLinePunct w:val="0"/>
              <w:autoSpaceDE/>
              <w:autoSpaceDN/>
              <w:bidi w:val="0"/>
              <w:spacing w:line="312" w:lineRule="auto"/>
              <w:jc w:val="center"/>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进度安排及工作计划保证措施</w:t>
            </w:r>
          </w:p>
          <w:p w14:paraId="571FCF61">
            <w:pPr>
              <w:pageBreakBefore w:val="0"/>
              <w:kinsoku/>
              <w:wordWrap/>
              <w:overflowPunct/>
              <w:topLinePunct w:val="0"/>
              <w:autoSpaceDE/>
              <w:autoSpaceDN/>
              <w:bidi w:val="0"/>
              <w:spacing w:line="312" w:lineRule="auto"/>
              <w:jc w:val="center"/>
              <w:rPr>
                <w:rFonts w:hint="eastAsia" w:ascii="宋体" w:hAnsi="宋体" w:eastAsia="宋体" w:cs="宋体"/>
                <w:b w:val="0"/>
                <w:bCs/>
                <w:kern w:val="2"/>
                <w:sz w:val="21"/>
                <w:szCs w:val="21"/>
                <w:highlight w:val="none"/>
                <w:lang w:val="en-US" w:eastAsia="zh-CN" w:bidi="ar-SA"/>
              </w:rPr>
            </w:pPr>
          </w:p>
        </w:tc>
        <w:tc>
          <w:tcPr>
            <w:tcW w:w="5948" w:type="dxa"/>
            <w:shd w:val="clear" w:color="auto" w:fill="auto"/>
            <w:vAlign w:val="center"/>
          </w:tcPr>
          <w:p w14:paraId="33A6358F">
            <w:pPr>
              <w:keepNext w:val="0"/>
              <w:keepLines w:val="0"/>
              <w:pageBreakBefore w:val="0"/>
              <w:widowControl w:val="0"/>
              <w:kinsoku/>
              <w:wordWrap/>
              <w:overflowPunct/>
              <w:topLinePunct w:val="0"/>
              <w:autoSpaceDE/>
              <w:autoSpaceDN/>
              <w:bidi w:val="0"/>
              <w:adjustRightInd/>
              <w:snapToGrid/>
              <w:spacing w:line="340" w:lineRule="atLeast"/>
              <w:jc w:val="left"/>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综合比较各</w:t>
            </w:r>
            <w:r>
              <w:rPr>
                <w:rFonts w:hint="eastAsia" w:ascii="宋体" w:hAnsi="宋体" w:eastAsia="宋体" w:cs="宋体"/>
                <w:b/>
                <w:bCs/>
                <w:color w:val="auto"/>
                <w:sz w:val="21"/>
                <w:szCs w:val="21"/>
                <w:highlight w:val="none"/>
                <w:lang w:eastAsia="zh-CN"/>
              </w:rPr>
              <w:t>供应商</w:t>
            </w:r>
            <w:r>
              <w:rPr>
                <w:rFonts w:hint="eastAsia" w:ascii="宋体" w:hAnsi="宋体" w:eastAsia="宋体" w:cs="宋体"/>
                <w:b/>
                <w:bCs/>
                <w:color w:val="auto"/>
                <w:sz w:val="21"/>
                <w:szCs w:val="21"/>
                <w:highlight w:val="none"/>
              </w:rPr>
              <w:t>编制的</w:t>
            </w:r>
            <w:r>
              <w:rPr>
                <w:rFonts w:hint="eastAsia" w:ascii="宋体" w:hAnsi="宋体" w:eastAsia="宋体" w:cs="宋体"/>
                <w:b/>
                <w:bCs/>
                <w:color w:val="auto"/>
                <w:sz w:val="21"/>
                <w:szCs w:val="21"/>
                <w:highlight w:val="none"/>
                <w:lang w:val="en-US" w:eastAsia="zh-CN"/>
              </w:rPr>
              <w:t>进度安排及工作计划保证措施（方案内容应包括服务流程计划、人员分工、工作进度安排等）</w:t>
            </w:r>
            <w:r>
              <w:rPr>
                <w:rFonts w:hint="eastAsia" w:ascii="宋体" w:hAnsi="宋体" w:eastAsia="宋体" w:cs="宋体"/>
                <w:b/>
                <w:bCs/>
                <w:sz w:val="21"/>
                <w:szCs w:val="21"/>
                <w:highlight w:val="none"/>
              </w:rPr>
              <w:t>进行综合</w:t>
            </w:r>
            <w:r>
              <w:rPr>
                <w:rFonts w:hint="eastAsia" w:ascii="宋体" w:hAnsi="宋体" w:cs="宋体"/>
                <w:b/>
                <w:bCs/>
                <w:sz w:val="21"/>
                <w:szCs w:val="21"/>
                <w:highlight w:val="none"/>
                <w:lang w:eastAsia="zh-CN"/>
              </w:rPr>
              <w:t>评审：</w:t>
            </w:r>
          </w:p>
          <w:p w14:paraId="280DA880">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w:t>
            </w:r>
            <w:r>
              <w:rPr>
                <w:rFonts w:hint="eastAsia" w:ascii="宋体" w:hAnsi="宋体" w:eastAsia="宋体" w:cs="宋体"/>
                <w:b w:val="0"/>
                <w:bCs/>
                <w:sz w:val="21"/>
                <w:szCs w:val="21"/>
                <w:highlight w:val="none"/>
                <w:lang w:eastAsia="zh-CN"/>
              </w:rPr>
              <w:t>非常</w:t>
            </w:r>
            <w:r>
              <w:rPr>
                <w:rFonts w:hint="eastAsia" w:ascii="宋体" w:hAnsi="宋体" w:eastAsia="宋体" w:cs="宋体"/>
                <w:b w:val="0"/>
                <w:bCs/>
                <w:sz w:val="21"/>
                <w:szCs w:val="21"/>
                <w:highlight w:val="none"/>
              </w:rPr>
              <w:t>全面详尽、科学合理，</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得10分</w:t>
            </w:r>
            <w:r>
              <w:rPr>
                <w:rFonts w:hint="eastAsia" w:ascii="宋体" w:hAnsi="宋体" w:eastAsia="宋体" w:cs="宋体"/>
                <w:b w:val="0"/>
                <w:bCs/>
                <w:sz w:val="21"/>
                <w:szCs w:val="21"/>
                <w:highlight w:val="none"/>
                <w:lang w:eastAsia="zh-CN"/>
              </w:rPr>
              <w:t>；</w:t>
            </w:r>
          </w:p>
          <w:p w14:paraId="325FB357">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措施全面详尽、科学合理，</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8</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0C2D2AC0">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w:t>
            </w:r>
            <w:r>
              <w:rPr>
                <w:rFonts w:hint="eastAsia" w:ascii="宋体" w:hAnsi="宋体" w:eastAsia="宋体" w:cs="宋体"/>
                <w:b w:val="0"/>
                <w:bCs/>
                <w:sz w:val="21"/>
                <w:szCs w:val="21"/>
                <w:highlight w:val="none"/>
                <w:lang w:eastAsia="zh-CN"/>
              </w:rPr>
              <w:t>较</w:t>
            </w:r>
            <w:r>
              <w:rPr>
                <w:rFonts w:hint="eastAsia" w:ascii="宋体" w:hAnsi="宋体" w:eastAsia="宋体" w:cs="宋体"/>
                <w:b w:val="0"/>
                <w:bCs/>
                <w:sz w:val="21"/>
                <w:szCs w:val="21"/>
                <w:highlight w:val="none"/>
              </w:rPr>
              <w:t>全面详尽、科学合理，</w:t>
            </w:r>
            <w:r>
              <w:rPr>
                <w:rFonts w:hint="eastAsia" w:ascii="宋体" w:hAnsi="宋体" w:eastAsia="宋体" w:cs="宋体"/>
                <w:b w:val="0"/>
                <w:bCs/>
                <w:sz w:val="21"/>
                <w:szCs w:val="21"/>
                <w:highlight w:val="none"/>
                <w:lang w:val="zh-CN"/>
              </w:rPr>
              <w:t>符合项目实际需求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6</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30D915FD">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措施基本合理、可行、</w:t>
            </w:r>
            <w:r>
              <w:rPr>
                <w:rFonts w:hint="eastAsia" w:ascii="宋体" w:hAnsi="宋体" w:eastAsia="宋体" w:cs="宋体"/>
                <w:b w:val="0"/>
                <w:bCs/>
                <w:sz w:val="21"/>
                <w:szCs w:val="21"/>
                <w:highlight w:val="none"/>
                <w:lang w:val="zh-CN"/>
              </w:rPr>
              <w:t>符合项目需求</w:t>
            </w:r>
            <w:r>
              <w:rPr>
                <w:rFonts w:hint="eastAsia" w:ascii="宋体" w:hAnsi="宋体" w:eastAsia="宋体" w:cs="宋体"/>
                <w:b w:val="0"/>
                <w:bCs/>
                <w:sz w:val="21"/>
                <w:szCs w:val="21"/>
                <w:highlight w:val="none"/>
              </w:rPr>
              <w:t>得</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4E42DEE2">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措施内容较少，仅满足项目需求得</w:t>
            </w:r>
            <w:r>
              <w:rPr>
                <w:rFonts w:hint="eastAsia" w:ascii="宋体" w:hAnsi="宋体" w:eastAsia="宋体" w:cs="宋体"/>
                <w:b w:val="0"/>
                <w:bCs/>
                <w:sz w:val="21"/>
                <w:szCs w:val="21"/>
                <w:highlight w:val="none"/>
                <w:lang w:val="en-US" w:eastAsia="zh-CN"/>
              </w:rPr>
              <w:t>2</w:t>
            </w:r>
            <w:r>
              <w:rPr>
                <w:rFonts w:hint="eastAsia" w:ascii="宋体" w:hAnsi="宋体" w:eastAsia="宋体" w:cs="宋体"/>
                <w:b w:val="0"/>
                <w:bCs/>
                <w:sz w:val="21"/>
                <w:szCs w:val="21"/>
                <w:highlight w:val="none"/>
              </w:rPr>
              <w:t>分</w:t>
            </w:r>
            <w:r>
              <w:rPr>
                <w:rFonts w:hint="eastAsia" w:ascii="宋体" w:hAnsi="宋体" w:eastAsia="宋体" w:cs="宋体"/>
                <w:b w:val="0"/>
                <w:bCs/>
                <w:sz w:val="21"/>
                <w:szCs w:val="21"/>
                <w:highlight w:val="none"/>
                <w:lang w:eastAsia="zh-CN"/>
              </w:rPr>
              <w:t>；</w:t>
            </w:r>
          </w:p>
          <w:p w14:paraId="759FBAE7">
            <w:pPr>
              <w:keepNext w:val="0"/>
              <w:keepLines w:val="0"/>
              <w:pageBreakBefore w:val="0"/>
              <w:kinsoku/>
              <w:wordWrap/>
              <w:overflowPunct/>
              <w:topLinePunct w:val="0"/>
              <w:autoSpaceDE/>
              <w:autoSpaceDN/>
              <w:bidi w:val="0"/>
              <w:spacing w:line="340" w:lineRule="atLeast"/>
              <w:jc w:val="left"/>
              <w:rPr>
                <w:rFonts w:hint="eastAsia" w:ascii="宋体" w:hAnsi="宋体" w:eastAsia="宋体" w:cs="宋体"/>
                <w:b/>
                <w:bCs/>
                <w:kern w:val="0"/>
                <w:sz w:val="21"/>
                <w:szCs w:val="21"/>
                <w:highlight w:val="none"/>
                <w:lang w:val="en-US" w:eastAsia="zh-CN" w:bidi="ar-SA"/>
              </w:rPr>
            </w:pPr>
            <w:r>
              <w:rPr>
                <w:rFonts w:hint="eastAsia" w:ascii="宋体" w:hAnsi="宋体" w:eastAsia="宋体" w:cs="宋体"/>
                <w:b w:val="0"/>
                <w:bCs/>
                <w:sz w:val="21"/>
                <w:szCs w:val="21"/>
                <w:highlight w:val="none"/>
              </w:rPr>
              <w:t>未提供的不得分</w:t>
            </w:r>
            <w:r>
              <w:rPr>
                <w:rFonts w:hint="eastAsia" w:ascii="宋体" w:hAnsi="宋体" w:eastAsia="宋体" w:cs="宋体"/>
                <w:b w:val="0"/>
                <w:bCs/>
                <w:sz w:val="21"/>
                <w:szCs w:val="21"/>
                <w:highlight w:val="none"/>
                <w:lang w:eastAsia="zh-CN"/>
              </w:rPr>
              <w:t>。</w:t>
            </w:r>
          </w:p>
        </w:tc>
        <w:tc>
          <w:tcPr>
            <w:tcW w:w="657" w:type="dxa"/>
            <w:shd w:val="clear" w:color="auto" w:fill="auto"/>
            <w:vAlign w:val="center"/>
          </w:tcPr>
          <w:p w14:paraId="0D826600">
            <w:pPr>
              <w:jc w:val="center"/>
              <w:rPr>
                <w:rFonts w:hint="default" w:ascii="宋体" w:hAnsi="宋体" w:eastAsia="宋体" w:cs="宋体"/>
                <w:sz w:val="21"/>
                <w:szCs w:val="21"/>
                <w:lang w:val="en-US" w:eastAsia="zh-CN"/>
              </w:rPr>
            </w:pPr>
            <w:r>
              <w:rPr>
                <w:rFonts w:hint="eastAsia" w:ascii="宋体" w:hAnsi="宋体" w:cs="宋体"/>
                <w:sz w:val="21"/>
                <w:szCs w:val="21"/>
                <w:highlight w:val="none"/>
                <w:lang w:val="en-US" w:eastAsia="zh-CN"/>
              </w:rPr>
              <w:t>0-10分</w:t>
            </w:r>
          </w:p>
        </w:tc>
      </w:tr>
    </w:tbl>
    <w:p w14:paraId="7FEA2CD0">
      <w:pPr>
        <w:overflowPunct/>
        <w:bidi w:val="0"/>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注：</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 xml:space="preserve"> </w:t>
      </w:r>
    </w:p>
    <w:p w14:paraId="3B37DFC1">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1、 按最终得分由高到低的顺序推荐预中标候选人3名，最终推荐排名第1名的为中标候选人。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解密投标文件时间先后顺序（以递交投标文件登记表为准）排列。分包采购的，每包评标结果按上述规则排列。</w:t>
      </w:r>
    </w:p>
    <w:p w14:paraId="7D5D962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sectPr>
          <w:pgSz w:w="11906" w:h="16838"/>
          <w:pgMar w:top="1134" w:right="1134" w:bottom="1134" w:left="1134" w:header="851" w:footer="851" w:gutter="0"/>
          <w:pgBorders>
            <w:top w:val="none" w:sz="0" w:space="0"/>
            <w:left w:val="none" w:sz="0" w:space="0"/>
            <w:bottom w:val="none" w:sz="0" w:space="0"/>
            <w:right w:val="none" w:sz="0" w:space="0"/>
          </w:pgBorders>
          <w:pgNumType w:fmt="decimal"/>
          <w:cols w:space="720" w:num="1"/>
          <w:docGrid w:linePitch="312" w:charSpace="0"/>
        </w:sectPr>
      </w:pPr>
      <w:bookmarkStart w:id="39" w:name="_Toc11273"/>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投标单位的投标报价明显低于其他通过符合性审查投标人的报价，有可能影响产品质量或者不能诚信履约的，须提供成本构成表及相应证明材料，内容包括但不限于生产成本（如原材成本、设备损耗成本等），管理成本（人员工资、福利、社保等），交通成本（汽油、过路费等），税费等，并列明计算过程。投标人不能证明其报价合理性的，未提供或内容不全面无法支持成本构成的，由评标委员会认定该投标人是否以低于成本价竞标，如果是，其报价分不得分。超过采购预算的投标报价将否决其投标。</w:t>
      </w:r>
      <w:bookmarkEnd w:id="39"/>
    </w:p>
    <w:p w14:paraId="64C7E8D5">
      <w:pPr>
        <w:overflowPunct/>
        <w:bidi w:val="0"/>
        <w:outlineLvl w:val="9"/>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评审方法</w:t>
      </w:r>
      <w:bookmarkEnd w:id="38"/>
    </w:p>
    <w:p w14:paraId="2810E26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本次评审办法采用综合评分法。磋商小组对满足磋商文件实质性要求的响应文件，按照本章第2.2 款规定的评分标准进行打分，并按得分由高到低顺序推荐成交候选人，或根据采购人授权直接确定中标成交单位，但磋商报价低于其成本的除外。评审得分相同的，按照最后报价由低到高的顺序推荐。评审得分且最后报价相同的，按照技术指标优劣顺序推荐。</w:t>
      </w:r>
    </w:p>
    <w:p w14:paraId="2BDE6A51">
      <w:pPr>
        <w:overflowPunct/>
        <w:bidi w:val="0"/>
        <w:outlineLvl w:val="9"/>
        <w:rPr>
          <w:rFonts w:ascii="宋体" w:hAnsi="宋体"/>
          <w:color w:val="000000" w:themeColor="text1"/>
          <w:highlight w:val="none"/>
          <w14:textFill>
            <w14:solidFill>
              <w14:schemeClr w14:val="tx1"/>
            </w14:solidFill>
          </w14:textFill>
        </w:rPr>
      </w:pPr>
      <w:bookmarkStart w:id="40" w:name="_Toc184635094"/>
      <w:r>
        <w:rPr>
          <w:rFonts w:hint="eastAsia" w:ascii="宋体" w:hAnsi="宋体"/>
          <w:color w:val="000000" w:themeColor="text1"/>
          <w:highlight w:val="none"/>
          <w14:textFill>
            <w14:solidFill>
              <w14:schemeClr w14:val="tx1"/>
            </w14:solidFill>
          </w14:textFill>
        </w:rPr>
        <w:t>2</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评审标准</w:t>
      </w:r>
      <w:bookmarkEnd w:id="40"/>
    </w:p>
    <w:p w14:paraId="65F5898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2.1 初步评审标准</w:t>
      </w:r>
    </w:p>
    <w:p w14:paraId="0E60C4F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 xml:space="preserve"> 资格评审标准：见评审办法前附表。</w:t>
      </w:r>
    </w:p>
    <w:p w14:paraId="43EE719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2.1.</w:t>
      </w:r>
      <w:r>
        <w:rPr>
          <w:rFonts w:hint="eastAsia" w:ascii="宋体" w:hAnsi="宋体"/>
          <w:color w:val="000000" w:themeColor="text1"/>
          <w:szCs w:val="21"/>
          <w:highlight w:val="none"/>
          <w:lang w:val="en-US" w:eastAsia="zh-CN"/>
          <w14:textFill>
            <w14:solidFill>
              <w14:schemeClr w14:val="tx1"/>
            </w14:solidFill>
          </w14:textFill>
        </w:rPr>
        <w:t>2符合</w:t>
      </w:r>
      <w:r>
        <w:rPr>
          <w:rFonts w:hint="eastAsia" w:ascii="宋体" w:hAnsi="宋体"/>
          <w:color w:val="000000" w:themeColor="text1"/>
          <w:szCs w:val="21"/>
          <w:highlight w:val="none"/>
          <w14:textFill>
            <w14:solidFill>
              <w14:schemeClr w14:val="tx1"/>
            </w14:solidFill>
          </w14:textFill>
        </w:rPr>
        <w:t>性评审标准：见评审办法前附表。</w:t>
      </w:r>
    </w:p>
    <w:p w14:paraId="645D6DA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2.2 分值构成与评分标准</w:t>
      </w:r>
    </w:p>
    <w:p w14:paraId="2B0A4888">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2.2.1 分值构成</w:t>
      </w:r>
    </w:p>
    <w:p w14:paraId="48F880D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：见评审办法前附表；</w:t>
      </w:r>
    </w:p>
    <w:p w14:paraId="19A1EDF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(2）磋商报价：见评审办法前附表；</w:t>
      </w:r>
    </w:p>
    <w:p w14:paraId="67D4FCC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：见评审办法前附表；</w:t>
      </w:r>
    </w:p>
    <w:p w14:paraId="73723C1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(4）其他因素：见评审办法前附表。</w:t>
      </w:r>
    </w:p>
    <w:p w14:paraId="20739F69">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2.2.2 评审基准价计算</w:t>
      </w:r>
    </w:p>
    <w:p w14:paraId="56FC123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评审基准价计算方法：见评审办法前附表。</w:t>
      </w:r>
    </w:p>
    <w:p w14:paraId="10446C4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2.2.3 磋商报价计算公式</w:t>
      </w:r>
    </w:p>
    <w:p w14:paraId="55429BC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磋商报价计算公式：见评审办法前附表。</w:t>
      </w:r>
    </w:p>
    <w:p w14:paraId="594EA99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2.2.4 评分标准</w:t>
      </w:r>
    </w:p>
    <w:p w14:paraId="20DC460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评分标准：见评审办法前附表；</w:t>
      </w:r>
    </w:p>
    <w:p w14:paraId="6A83A2A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(2）磋商报价评分标准：见评审办法前附表；</w:t>
      </w:r>
    </w:p>
    <w:p w14:paraId="3B1FAC0B">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评分标准：见评审办法前附表；</w:t>
      </w:r>
    </w:p>
    <w:p w14:paraId="725BDB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(4）其他因素评分标准：见评审办法前附表。</w:t>
      </w:r>
    </w:p>
    <w:p w14:paraId="15CE5906">
      <w:pPr>
        <w:overflowPunct/>
        <w:bidi w:val="0"/>
        <w:outlineLvl w:val="9"/>
        <w:rPr>
          <w:rFonts w:ascii="宋体" w:hAnsi="宋体"/>
          <w:color w:val="000000" w:themeColor="text1"/>
          <w:highlight w:val="none"/>
          <w14:textFill>
            <w14:solidFill>
              <w14:schemeClr w14:val="tx1"/>
            </w14:solidFill>
          </w14:textFill>
        </w:rPr>
      </w:pPr>
      <w:bookmarkStart w:id="41" w:name="_Toc184635095"/>
      <w:r>
        <w:rPr>
          <w:rFonts w:hint="eastAsia" w:ascii="宋体" w:hAnsi="宋体"/>
          <w:color w:val="000000" w:themeColor="text1"/>
          <w:highlight w:val="none"/>
          <w14:textFill>
            <w14:solidFill>
              <w14:schemeClr w14:val="tx1"/>
            </w14:solidFill>
          </w14:textFill>
        </w:rPr>
        <w:t>3</w:t>
      </w:r>
      <w:r>
        <w:rPr>
          <w:rFonts w:hint="eastAsia" w:ascii="宋体" w:hAnsi="宋体"/>
          <w:color w:val="000000" w:themeColor="text1"/>
          <w:highlight w:val="none"/>
          <w:lang w:eastAsia="zh-CN"/>
          <w14:textFill>
            <w14:solidFill>
              <w14:schemeClr w14:val="tx1"/>
            </w14:solidFill>
          </w14:textFill>
        </w:rPr>
        <w:t>.</w:t>
      </w:r>
      <w:r>
        <w:rPr>
          <w:rFonts w:hint="eastAsia" w:ascii="宋体" w:hAnsi="宋体"/>
          <w:color w:val="000000" w:themeColor="text1"/>
          <w:highlight w:val="none"/>
          <w14:textFill>
            <w14:solidFill>
              <w14:schemeClr w14:val="tx1"/>
            </w14:solidFill>
          </w14:textFill>
        </w:rPr>
        <w:t>评审工作程序</w:t>
      </w:r>
      <w:bookmarkEnd w:id="41"/>
    </w:p>
    <w:p w14:paraId="4B131CD4">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3.1 初步评审</w:t>
      </w:r>
    </w:p>
    <w:p w14:paraId="2147C703">
      <w:pPr>
        <w:overflowPunct/>
        <w:bidi w:val="0"/>
        <w:spacing w:line="360" w:lineRule="auto"/>
        <w:ind w:firstLine="420" w:firstLineChars="200"/>
        <w:outlineLvl w:val="9"/>
        <w:rPr>
          <w:rFonts w:ascii="宋体" w:hAnsi="宋体"/>
          <w:bCs/>
          <w:color w:val="000000" w:themeColor="text1"/>
          <w:szCs w:val="21"/>
          <w:highlight w:val="none"/>
          <w:lang w:val="zh-CN"/>
          <w14:textFill>
            <w14:solidFill>
              <w14:schemeClr w14:val="tx1"/>
            </w14:solidFill>
          </w14:textFill>
        </w:rPr>
      </w:pPr>
      <w:r>
        <w:rPr>
          <w:rFonts w:ascii="宋体" w:hAnsi="宋体"/>
          <w:bCs/>
          <w:color w:val="000000" w:themeColor="text1"/>
          <w:szCs w:val="21"/>
          <w:highlight w:val="none"/>
          <w:lang w:val="zh-CN"/>
          <w14:textFill>
            <w14:solidFill>
              <w14:schemeClr w14:val="tx1"/>
            </w14:solidFill>
          </w14:textFill>
        </w:rPr>
        <w:t>3.1.1</w:t>
      </w:r>
      <w:r>
        <w:rPr>
          <w:rFonts w:hint="eastAsia" w:ascii="宋体" w:hAnsi="宋体"/>
          <w:bCs/>
          <w:color w:val="000000" w:themeColor="text1"/>
          <w:szCs w:val="21"/>
          <w:highlight w:val="none"/>
          <w:lang w:val="zh-CN"/>
          <w14:textFill>
            <w14:solidFill>
              <w14:schemeClr w14:val="tx1"/>
            </w14:solidFill>
          </w14:textFill>
        </w:rPr>
        <w:t xml:space="preserve"> 磋商小组依据本章第</w:t>
      </w:r>
      <w:r>
        <w:rPr>
          <w:rFonts w:ascii="宋体" w:hAnsi="宋体"/>
          <w:bCs/>
          <w:color w:val="000000" w:themeColor="text1"/>
          <w:szCs w:val="21"/>
          <w:highlight w:val="none"/>
          <w:lang w:val="zh-CN"/>
          <w14:textFill>
            <w14:solidFill>
              <w14:schemeClr w14:val="tx1"/>
            </w14:solidFill>
          </w14:textFill>
        </w:rPr>
        <w:t>2.1</w:t>
      </w:r>
      <w:r>
        <w:rPr>
          <w:rFonts w:hint="eastAsia" w:ascii="宋体" w:hAnsi="宋体"/>
          <w:bCs/>
          <w:color w:val="000000" w:themeColor="text1"/>
          <w:szCs w:val="21"/>
          <w:highlight w:val="none"/>
          <w:lang w:val="zh-CN"/>
          <w14:textFill>
            <w14:solidFill>
              <w14:schemeClr w14:val="tx1"/>
            </w14:solidFill>
          </w14:textFill>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招标。</w:t>
      </w:r>
    </w:p>
    <w:p w14:paraId="3B65E6A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3.1.2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有以下情形之一的，其投标作废标处理：</w:t>
      </w:r>
    </w:p>
    <w:p w14:paraId="26923743">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(l）第二章“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须知”第1.4.3 项规定的任何一种情形的：</w:t>
      </w:r>
    </w:p>
    <w:p w14:paraId="3E8DC2D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(2）串通投标或弄虚作假或有其他违法行为的；</w:t>
      </w:r>
    </w:p>
    <w:p w14:paraId="1BC376D7">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(3）不按磋商小组要求澄清、说明或补正的。</w:t>
      </w:r>
    </w:p>
    <w:p w14:paraId="386FE55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3.1.3 磋商报价有算术错误的，磋商小组按以下原则对磋商报价进行修正，修正的价格经</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书面确认后具有约束力。</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不接受修正价格的，其投标作废标处理。</w:t>
      </w:r>
    </w:p>
    <w:p w14:paraId="519812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(1）响应文件中的大写金额与小写金额不一致的，以大写金额为准；</w:t>
      </w:r>
    </w:p>
    <w:p w14:paraId="23020929">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(2）总价金额与依据单价计算出的结果不一致的，以单价金额为准修正总价，但单价金额小数点有明显错误的除外。</w:t>
      </w:r>
    </w:p>
    <w:p w14:paraId="26E330FD">
      <w:pPr>
        <w:overflowPunct/>
        <w:bidi w:val="0"/>
        <w:spacing w:line="360" w:lineRule="auto"/>
        <w:ind w:firstLine="420" w:firstLineChars="200"/>
        <w:outlineLvl w:val="9"/>
        <w:rPr>
          <w:rFonts w:hint="eastAsia"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lang w:val="en-US" w:eastAsia="zh-CN"/>
          <w14:textFill>
            <w14:solidFill>
              <w14:schemeClr w14:val="tx1"/>
            </w14:solidFill>
          </w14:textFill>
        </w:rPr>
        <w:t>报价算术修正规则</w:t>
      </w:r>
    </w:p>
    <w:p w14:paraId="3E656C66">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非最终报价环节中，供应商的报价因明显的小数点位置错误或计价单位错误等原因超出了最高限价的，磋商小组可要求该供应商现场进行书面澄清，供应商拒绝澄清的，磋商小组应当将其作为无效报价处理。</w:t>
      </w:r>
    </w:p>
    <w:p w14:paraId="64CBED94">
      <w:pPr>
        <w:overflowPunct/>
        <w:bidi w:val="0"/>
        <w:outlineLvl w:val="9"/>
        <w:rPr>
          <w:rFonts w:ascii="宋体" w:hAnsi="宋体" w:eastAsia="宋体"/>
          <w:color w:val="000000" w:themeColor="text1"/>
          <w:highlight w:val="none"/>
          <w14:textFill>
            <w14:solidFill>
              <w14:schemeClr w14:val="tx1"/>
            </w14:solidFill>
          </w14:textFill>
        </w:rPr>
      </w:pPr>
      <w:bookmarkStart w:id="42" w:name="_Toc447010080"/>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2</w:t>
      </w:r>
      <w:r>
        <w:rPr>
          <w:rFonts w:hint="eastAsia" w:ascii="宋体" w:hAnsi="宋体" w:eastAsia="宋体"/>
          <w:color w:val="000000" w:themeColor="text1"/>
          <w:highlight w:val="none"/>
          <w14:textFill>
            <w14:solidFill>
              <w14:schemeClr w14:val="tx1"/>
            </w14:solidFill>
          </w14:textFill>
        </w:rPr>
        <w:t>响应文件的澄清</w:t>
      </w:r>
      <w:bookmarkEnd w:id="42"/>
    </w:p>
    <w:p w14:paraId="18998E5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在评审过程中，磋商小组可以书面形式，要求</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对所提交的响应文件中不明确的内容进行必要的澄清或说明。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的澄清或说明采用书面形式，并不得改变响应文件的实质性内容。</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的澄清和说明内容属于响应文件的组成部分。采购人和磋商小组不接受</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主动提出的澄清或说明。</w:t>
      </w:r>
    </w:p>
    <w:p w14:paraId="66D0745E">
      <w:pPr>
        <w:overflowPunct/>
        <w:bidi w:val="0"/>
        <w:outlineLvl w:val="9"/>
        <w:rPr>
          <w:rFonts w:ascii="宋体" w:hAnsi="宋体" w:eastAsia="宋体"/>
          <w:color w:val="000000" w:themeColor="text1"/>
          <w:highlight w:val="none"/>
          <w14:textFill>
            <w14:solidFill>
              <w14:schemeClr w14:val="tx1"/>
            </w14:solidFill>
          </w14:textFill>
        </w:rPr>
      </w:pPr>
      <w:bookmarkStart w:id="43" w:name="_Toc447010081"/>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3</w:t>
      </w:r>
      <w:r>
        <w:rPr>
          <w:rFonts w:hint="eastAsia" w:ascii="宋体" w:hAnsi="宋体" w:eastAsia="宋体"/>
          <w:color w:val="000000" w:themeColor="text1"/>
          <w:highlight w:val="none"/>
          <w14:textFill>
            <w14:solidFill>
              <w14:schemeClr w14:val="tx1"/>
            </w14:solidFill>
          </w14:textFill>
        </w:rPr>
        <w:t>确定最终采购需求方案</w:t>
      </w:r>
      <w:bookmarkEnd w:id="43"/>
    </w:p>
    <w:p w14:paraId="0C6A266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磋商小组可以与</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进行多轮磋商，磋商过程中可实质性修订磋商文件的技术、服务要求以及合同草案条款，</w:t>
      </w:r>
      <w:r>
        <w:rPr>
          <w:rFonts w:hint="eastAsia" w:ascii="宋体" w:hAnsi="宋体" w:cs="宋体"/>
          <w:color w:val="000000" w:themeColor="text1"/>
          <w:highlight w:val="none"/>
          <w14:textFill>
            <w14:solidFill>
              <w14:schemeClr w14:val="tx1"/>
            </w14:solidFill>
          </w14:textFill>
        </w:rPr>
        <w:t>但不得变动磋商文件中的其他内容。实质性变动的内容，须经采购人代表确认，</w:t>
      </w:r>
      <w:r>
        <w:rPr>
          <w:rFonts w:hint="eastAsia" w:ascii="宋体" w:hAnsi="宋体"/>
          <w:color w:val="000000" w:themeColor="text1"/>
          <w:szCs w:val="21"/>
          <w:highlight w:val="none"/>
          <w14:textFill>
            <w14:solidFill>
              <w14:schemeClr w14:val="tx1"/>
            </w14:solidFill>
          </w14:textFill>
        </w:rPr>
        <w:t>并及时以书面形式同时通知所有参与磋商的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w:t>
      </w:r>
    </w:p>
    <w:p w14:paraId="1AC7D72C">
      <w:pPr>
        <w:overflowPunct/>
        <w:bidi w:val="0"/>
        <w:outlineLvl w:val="9"/>
        <w:rPr>
          <w:rFonts w:ascii="宋体" w:hAnsi="宋体" w:eastAsia="宋体"/>
          <w:color w:val="000000" w:themeColor="text1"/>
          <w:highlight w:val="none"/>
          <w14:textFill>
            <w14:solidFill>
              <w14:schemeClr w14:val="tx1"/>
            </w14:solidFill>
          </w14:textFill>
        </w:rPr>
      </w:pPr>
      <w:bookmarkStart w:id="44" w:name="_Toc447010082"/>
      <w:r>
        <w:rPr>
          <w:rFonts w:hint="eastAsia" w:ascii="宋体" w:hAnsi="宋体" w:eastAsia="宋体"/>
          <w:color w:val="000000" w:themeColor="text1"/>
          <w:highlight w:val="none"/>
          <w14:textFill>
            <w14:solidFill>
              <w14:schemeClr w14:val="tx1"/>
            </w14:solidFill>
          </w14:textFill>
        </w:rPr>
        <w:t>3.</w:t>
      </w:r>
      <w:r>
        <w:rPr>
          <w:rFonts w:ascii="宋体" w:hAnsi="宋体" w:eastAsia="宋体"/>
          <w:color w:val="000000" w:themeColor="text1"/>
          <w:highlight w:val="none"/>
          <w14:textFill>
            <w14:solidFill>
              <w14:schemeClr w14:val="tx1"/>
            </w14:solidFill>
          </w14:textFill>
        </w:rPr>
        <w:t>4</w:t>
      </w:r>
      <w:r>
        <w:rPr>
          <w:rFonts w:hint="eastAsia" w:ascii="宋体" w:hAnsi="宋体" w:eastAsia="宋体"/>
          <w:color w:val="000000" w:themeColor="text1"/>
          <w:highlight w:val="none"/>
          <w14:textFill>
            <w14:solidFill>
              <w14:schemeClr w14:val="tx1"/>
            </w14:solidFill>
          </w14:textFill>
        </w:rPr>
        <w:t>重新提交响应文件和最后报价</w:t>
      </w:r>
      <w:bookmarkEnd w:id="44"/>
    </w:p>
    <w:p w14:paraId="24D3129E">
      <w:pPr>
        <w:overflowPunct/>
        <w:topLine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ascii="宋体" w:hAnsi="宋体"/>
          <w:color w:val="000000" w:themeColor="text1"/>
          <w:szCs w:val="21"/>
          <w:highlight w:val="none"/>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为自然人的，应当由本人签字并附身份证明</w:t>
      </w:r>
      <w:r>
        <w:rPr>
          <w:rFonts w:hint="eastAsia" w:ascii="宋体" w:hAnsi="宋体"/>
          <w:color w:val="000000" w:themeColor="text1"/>
          <w:szCs w:val="21"/>
          <w:highlight w:val="none"/>
          <w:lang w:val="en-US" w:eastAsia="zh-CN"/>
          <w14:textFill>
            <w14:solidFill>
              <w14:schemeClr w14:val="tx1"/>
            </w14:solidFill>
          </w14:textFill>
        </w:rPr>
        <w:t>扫描件</w:t>
      </w:r>
      <w:r>
        <w:rPr>
          <w:rFonts w:hint="eastAsia" w:ascii="宋体" w:hAnsi="宋体"/>
          <w:color w:val="000000" w:themeColor="text1"/>
          <w:szCs w:val="21"/>
          <w:highlight w:val="none"/>
          <w14:textFill>
            <w14:solidFill>
              <w14:schemeClr w14:val="tx1"/>
            </w14:solidFill>
          </w14:textFill>
        </w:rPr>
        <w:t>。</w:t>
      </w:r>
    </w:p>
    <w:p w14:paraId="2AB2E1BC">
      <w:pPr>
        <w:overflowPunct/>
        <w:topLinePunct/>
        <w:bidi w:val="0"/>
        <w:spacing w:line="40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r>
        <w:rPr>
          <w:rFonts w:ascii="宋体" w:hAnsi="宋体"/>
          <w:color w:val="000000" w:themeColor="text1"/>
          <w:szCs w:val="21"/>
          <w:highlight w:val="none"/>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磋商结束后，磋商小组应当要求所有实质性响应的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在规定时间内提交最后报价。</w:t>
      </w:r>
    </w:p>
    <w:p w14:paraId="2271284A">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3.5详细评审</w:t>
      </w:r>
    </w:p>
    <w:p w14:paraId="69AA10B5">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3.5.1最后报价结束后，磋商小组依据本章第2.2款规定的标准，对提交最后报价的</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的响应文件和最后报价进行综合评分。</w:t>
      </w:r>
    </w:p>
    <w:p w14:paraId="0AF2FC14">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(1）按本章第2.2.4(1）目规定的评审因素和分值对</w:t>
      </w:r>
      <w:r>
        <w:rPr>
          <w:rFonts w:hint="eastAsia" w:ascii="宋体" w:hAnsi="宋体"/>
          <w:color w:val="000000" w:themeColor="text1"/>
          <w:szCs w:val="21"/>
          <w:highlight w:val="none"/>
          <w:lang w:val="en-US" w:eastAsia="zh-CN"/>
          <w14:textFill>
            <w14:solidFill>
              <w14:schemeClr w14:val="tx1"/>
            </w14:solidFill>
          </w14:textFill>
        </w:rPr>
        <w:t>商务因素</w:t>
      </w:r>
      <w:r>
        <w:rPr>
          <w:rFonts w:hint="eastAsia" w:ascii="宋体" w:hAnsi="宋体"/>
          <w:color w:val="000000" w:themeColor="text1"/>
          <w:szCs w:val="21"/>
          <w:highlight w:val="none"/>
          <w14:textFill>
            <w14:solidFill>
              <w14:schemeClr w14:val="tx1"/>
            </w14:solidFill>
          </w14:textFill>
        </w:rPr>
        <w:t>计算出得分A ；</w:t>
      </w:r>
    </w:p>
    <w:p w14:paraId="2EAA95F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(2）按本章第2.2.4(2）目规定的评审因素和分值对</w:t>
      </w:r>
      <w:r>
        <w:rPr>
          <w:rFonts w:hint="eastAsia" w:ascii="宋体" w:hAnsi="宋体"/>
          <w:color w:val="000000" w:themeColor="text1"/>
          <w:szCs w:val="21"/>
          <w:highlight w:val="none"/>
          <w:lang w:val="en-US" w:eastAsia="zh-CN"/>
          <w14:textFill>
            <w14:solidFill>
              <w14:schemeClr w14:val="tx1"/>
            </w14:solidFill>
          </w14:textFill>
        </w:rPr>
        <w:t>磋商报价</w:t>
      </w:r>
      <w:r>
        <w:rPr>
          <w:rFonts w:hint="eastAsia" w:ascii="宋体" w:hAnsi="宋体"/>
          <w:color w:val="000000" w:themeColor="text1"/>
          <w:szCs w:val="21"/>
          <w:highlight w:val="none"/>
          <w14:textFill>
            <w14:solidFill>
              <w14:schemeClr w14:val="tx1"/>
            </w14:solidFill>
          </w14:textFill>
        </w:rPr>
        <w:t>计算出得分B；</w:t>
      </w:r>
    </w:p>
    <w:p w14:paraId="0F305C7A">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(3）按本章第2.2.4(3）目规定的评审因素和分值对</w:t>
      </w:r>
      <w:r>
        <w:rPr>
          <w:rFonts w:hint="eastAsia" w:ascii="宋体" w:hAnsi="宋体"/>
          <w:color w:val="000000" w:themeColor="text1"/>
          <w:szCs w:val="21"/>
          <w:highlight w:val="none"/>
          <w:lang w:val="en-US" w:eastAsia="zh-CN"/>
          <w14:textFill>
            <w14:solidFill>
              <w14:schemeClr w14:val="tx1"/>
            </w14:solidFill>
          </w14:textFill>
        </w:rPr>
        <w:t>技术因素</w:t>
      </w:r>
      <w:r>
        <w:rPr>
          <w:rFonts w:hint="eastAsia" w:ascii="宋体" w:hAnsi="宋体"/>
          <w:color w:val="000000" w:themeColor="text1"/>
          <w:szCs w:val="21"/>
          <w:highlight w:val="none"/>
          <w14:textFill>
            <w14:solidFill>
              <w14:schemeClr w14:val="tx1"/>
            </w14:solidFill>
          </w14:textFill>
        </w:rPr>
        <w:t>计算出得分C；</w:t>
      </w:r>
    </w:p>
    <w:p w14:paraId="09C472A0">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(4）按本章第2.2.4(4）目规定的评审因素和分值对其他</w:t>
      </w:r>
      <w:r>
        <w:rPr>
          <w:rFonts w:hint="eastAsia" w:ascii="宋体" w:hAnsi="宋体"/>
          <w:color w:val="000000" w:themeColor="text1"/>
          <w:szCs w:val="21"/>
          <w:highlight w:val="none"/>
          <w:lang w:val="en-US" w:eastAsia="zh-CN"/>
          <w14:textFill>
            <w14:solidFill>
              <w14:schemeClr w14:val="tx1"/>
            </w14:solidFill>
          </w14:textFill>
        </w:rPr>
        <w:t>因素</w:t>
      </w:r>
      <w:r>
        <w:rPr>
          <w:rFonts w:hint="eastAsia" w:ascii="宋体" w:hAnsi="宋体"/>
          <w:color w:val="000000" w:themeColor="text1"/>
          <w:szCs w:val="21"/>
          <w:highlight w:val="none"/>
          <w14:textFill>
            <w14:solidFill>
              <w14:schemeClr w14:val="tx1"/>
            </w14:solidFill>
          </w14:textFill>
        </w:rPr>
        <w:t>计算出得分D 。</w:t>
      </w:r>
    </w:p>
    <w:p w14:paraId="7DB8302E">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3.5.2 评分分值计算保留小数点后两位，小数点后第三位“四舍五入”。</w:t>
      </w:r>
    </w:p>
    <w:p w14:paraId="721D6194">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3.5.3 </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得分=A十B十C十D 。</w:t>
      </w:r>
    </w:p>
    <w:p w14:paraId="4B674B6C">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3.5.4 依据财政部第87号令第60条：评标委员会发现供应商的报价明显低于其他通过符合性审查供应商的报价，有可能影响产品质量或者不能诚信履约的，应当要求该供应商在评标现场四十分钟内作出书面说明证明其报价的合理性并提供相应的证明材料。供应商不能合理说明其报价的合理性或者不能提供相应证明材料的，由评标委员会认定该供应商以恶意畸低报价竞标，其投标将被否决。</w:t>
      </w:r>
    </w:p>
    <w:p w14:paraId="4B12B2E9">
      <w:pPr>
        <w:overflowPunct/>
        <w:bidi w:val="0"/>
        <w:outlineLvl w:val="9"/>
        <w:rPr>
          <w:rFonts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t>3.4 评审结果</w:t>
      </w:r>
    </w:p>
    <w:p w14:paraId="562B0951">
      <w:pPr>
        <w:overflowPunct/>
        <w:bidi w:val="0"/>
        <w:spacing w:line="360" w:lineRule="auto"/>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3.4.1 除第二章“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须知”前附表授权直接确定中标成交单位外，磋商小组按照得分高到低的顺序推荐成交候选人。</w:t>
      </w:r>
    </w:p>
    <w:p w14:paraId="476E2698">
      <w:pPr>
        <w:overflowPunct/>
        <w:bidi w:val="0"/>
        <w:spacing w:line="360" w:lineRule="auto"/>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3.4.2 磋商小组完成评审工作后，应当向采购人提交书面评审报告。</w:t>
      </w:r>
    </w:p>
    <w:p w14:paraId="375A6D88">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36"/>
          <w:szCs w:val="36"/>
          <w:highlight w:val="none"/>
          <w:lang w:val="en-US" w:eastAsia="zh-CN"/>
          <w14:textFill>
            <w14:solidFill>
              <w14:schemeClr w14:val="tx1"/>
            </w14:solidFill>
          </w14:textFill>
        </w:rPr>
      </w:pPr>
      <w:bookmarkStart w:id="45" w:name="_Toc25189"/>
      <w:bookmarkStart w:id="46" w:name="_Toc5702"/>
      <w:r>
        <w:rPr>
          <w:rFonts w:hint="eastAsia"/>
          <w:b/>
          <w:bCs/>
          <w:color w:val="000000" w:themeColor="text1"/>
          <w:sz w:val="36"/>
          <w:szCs w:val="36"/>
          <w:highlight w:val="none"/>
          <w:lang w:val="en-US" w:eastAsia="zh-CN"/>
          <w14:textFill>
            <w14:solidFill>
              <w14:schemeClr w14:val="tx1"/>
            </w14:solidFill>
          </w14:textFill>
        </w:rPr>
        <w:t>第三章 合同条款及格式</w:t>
      </w:r>
      <w:bookmarkEnd w:id="45"/>
      <w:bookmarkEnd w:id="46"/>
    </w:p>
    <w:p w14:paraId="2B8BD7EC">
      <w:pPr>
        <w:pStyle w:val="16"/>
        <w:overflowPunct/>
        <w:bidi w:val="0"/>
        <w:spacing w:line="360" w:lineRule="auto"/>
        <w:ind w:left="0" w:leftChars="0" w:firstLine="0" w:firstLineChars="0"/>
        <w:jc w:val="both"/>
        <w:outlineLvl w:val="9"/>
        <w:rPr>
          <w:color w:val="000000" w:themeColor="text1"/>
          <w:highlight w:val="none"/>
          <w14:textFill>
            <w14:solidFill>
              <w14:schemeClr w14:val="tx1"/>
            </w14:solidFill>
          </w14:textFill>
        </w:rPr>
      </w:pPr>
    </w:p>
    <w:p w14:paraId="2E51D829">
      <w:pPr>
        <w:keepNext/>
        <w:keepLines/>
        <w:pageBreakBefore w:val="0"/>
        <w:widowControl/>
        <w:kinsoku/>
        <w:wordWrap/>
        <w:overflowPunct/>
        <w:topLinePunct w:val="0"/>
        <w:autoSpaceDE/>
        <w:autoSpaceDN/>
        <w:bidi w:val="0"/>
        <w:adjustRightInd/>
        <w:snapToGrid/>
        <w:spacing w:before="0" w:after="0" w:line="360" w:lineRule="auto"/>
        <w:jc w:val="center"/>
        <w:textAlignment w:val="auto"/>
        <w:outlineLvl w:val="9"/>
        <w:rPr>
          <w:rFonts w:hint="eastAsia" w:ascii="宋体" w:hAnsi="宋体" w:eastAsia="宋体" w:cs="宋体"/>
          <w:color w:val="000000" w:themeColor="text1"/>
          <w:sz w:val="36"/>
          <w:szCs w:val="36"/>
          <w:highlight w:val="none"/>
          <w:lang w:eastAsia="zh-CN"/>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政府采购合同条款及格式</w:t>
      </w:r>
      <w:r>
        <w:rPr>
          <w:rFonts w:hint="eastAsia" w:ascii="宋体" w:hAnsi="宋体" w:eastAsia="宋体" w:cs="宋体"/>
          <w:color w:val="000000" w:themeColor="text1"/>
          <w:sz w:val="36"/>
          <w:szCs w:val="36"/>
          <w:highlight w:val="none"/>
          <w:lang w:eastAsia="zh-CN"/>
          <w14:textFill>
            <w14:solidFill>
              <w14:schemeClr w14:val="tx1"/>
            </w14:solidFill>
          </w14:textFill>
        </w:rPr>
        <w:t>（参考）</w:t>
      </w:r>
    </w:p>
    <w:p w14:paraId="35312B6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合同编号：</w:t>
      </w:r>
    </w:p>
    <w:p w14:paraId="47B8F69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签订地点： </w:t>
      </w:r>
    </w:p>
    <w:p w14:paraId="25C3172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签订日期：</w:t>
      </w:r>
    </w:p>
    <w:p w14:paraId="13BA406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采购任务编号：</w:t>
      </w:r>
    </w:p>
    <w:p w14:paraId="7529E28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（需方）需求的“             ”（货物名称）经        以编号为      的招标文件在国内公开招标，经评标委员会评定                        （供方）（包号）为中标单位。供需双方按照《中华人民共和国</w:t>
      </w:r>
      <w:r>
        <w:rPr>
          <w:rFonts w:hint="eastAsia" w:ascii="宋体" w:hAnsi="宋体" w:cs="Times New Roman"/>
          <w:color w:val="000000" w:themeColor="text1"/>
          <w:szCs w:val="21"/>
          <w:highlight w:val="none"/>
          <w:lang w:eastAsia="zh-CN"/>
          <w14:textFill>
            <w14:solidFill>
              <w14:schemeClr w14:val="tx1"/>
            </w14:solidFill>
          </w14:textFill>
        </w:rPr>
        <w:t>民法典</w:t>
      </w:r>
      <w:r>
        <w:rPr>
          <w:rFonts w:hint="eastAsia" w:ascii="宋体" w:hAnsi="宋体" w:eastAsia="宋体" w:cs="Times New Roman"/>
          <w:color w:val="000000" w:themeColor="text1"/>
          <w:szCs w:val="21"/>
          <w:highlight w:val="none"/>
          <w14:textFill>
            <w14:solidFill>
              <w14:schemeClr w14:val="tx1"/>
            </w14:solidFill>
          </w14:textFill>
        </w:rPr>
        <w:t>》和有关法律法规，遵循平等、自愿、公平和诚实信用原则，同意按照下面的条款和条件订立本合同，共同信守。</w:t>
      </w:r>
    </w:p>
    <w:p w14:paraId="7A486EFA">
      <w:pPr>
        <w:overflowPunct/>
        <w:bidi w:val="0"/>
        <w:spacing w:line="360" w:lineRule="auto"/>
        <w:ind w:firstLine="420" w:firstLineChars="200"/>
        <w:outlineLvl w:val="9"/>
        <w:rPr>
          <w:rFonts w:hint="eastAsia" w:ascii="宋体" w:hAnsi="宋体" w:eastAsia="宋体" w:cs="Times New Roman"/>
          <w:color w:val="000000" w:themeColor="text1"/>
          <w:szCs w:val="21"/>
          <w:highlight w:val="none"/>
          <w:lang w:eastAsia="zh-CN"/>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一、货物名称、品牌、规格、数量</w:t>
      </w:r>
      <w:r>
        <w:rPr>
          <w:rFonts w:hint="eastAsia" w:ascii="宋体" w:hAnsi="宋体" w:cs="Times New Roman"/>
          <w:color w:val="000000" w:themeColor="text1"/>
          <w:szCs w:val="21"/>
          <w:highlight w:val="none"/>
          <w:lang w:eastAsia="zh-CN"/>
          <w14:textFill>
            <w14:solidFill>
              <w14:schemeClr w14:val="tx1"/>
            </w14:solidFill>
          </w14:textFill>
        </w:rPr>
        <w:t>（服务类别）</w:t>
      </w:r>
    </w:p>
    <w:tbl>
      <w:tblPr>
        <w:tblStyle w:val="38"/>
        <w:tblW w:w="0" w:type="auto"/>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14:paraId="2E7692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5" w:hRule="atLeast"/>
        </w:trPr>
        <w:tc>
          <w:tcPr>
            <w:tcW w:w="1548" w:type="dxa"/>
            <w:vAlign w:val="center"/>
          </w:tcPr>
          <w:p w14:paraId="1A146AB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货物名称</w:t>
            </w:r>
          </w:p>
        </w:tc>
        <w:tc>
          <w:tcPr>
            <w:tcW w:w="1152" w:type="dxa"/>
            <w:vAlign w:val="center"/>
          </w:tcPr>
          <w:p w14:paraId="0D217E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品牌</w:t>
            </w:r>
          </w:p>
        </w:tc>
        <w:tc>
          <w:tcPr>
            <w:tcW w:w="2520" w:type="dxa"/>
            <w:vAlign w:val="center"/>
          </w:tcPr>
          <w:p w14:paraId="65F9A4F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规格型号及配置</w:t>
            </w:r>
          </w:p>
        </w:tc>
        <w:tc>
          <w:tcPr>
            <w:tcW w:w="900" w:type="dxa"/>
            <w:vAlign w:val="center"/>
          </w:tcPr>
          <w:p w14:paraId="33329C6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数量</w:t>
            </w:r>
          </w:p>
        </w:tc>
        <w:tc>
          <w:tcPr>
            <w:tcW w:w="1260" w:type="dxa"/>
            <w:vAlign w:val="center"/>
          </w:tcPr>
          <w:p w14:paraId="29C18F9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单价(元)</w:t>
            </w:r>
          </w:p>
        </w:tc>
        <w:tc>
          <w:tcPr>
            <w:tcW w:w="2004" w:type="dxa"/>
            <w:vAlign w:val="center"/>
          </w:tcPr>
          <w:p w14:paraId="5B4B96E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小计金额(元)</w:t>
            </w:r>
          </w:p>
        </w:tc>
      </w:tr>
      <w:tr w14:paraId="513AC6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160EFB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6ECD9C5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1325210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0255967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631A4D0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4023358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r w14:paraId="6B0A08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8779F0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0BFB306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6E0F7E5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4A70E2F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371E269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5D7CACA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r w14:paraId="689625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477BDE4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152" w:type="dxa"/>
            <w:vAlign w:val="center"/>
          </w:tcPr>
          <w:p w14:paraId="551A9ED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520" w:type="dxa"/>
            <w:vAlign w:val="center"/>
          </w:tcPr>
          <w:p w14:paraId="784C7A0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900" w:type="dxa"/>
            <w:vAlign w:val="center"/>
          </w:tcPr>
          <w:p w14:paraId="15A25E7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1260" w:type="dxa"/>
            <w:vAlign w:val="center"/>
          </w:tcPr>
          <w:p w14:paraId="3E6D7A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c>
          <w:tcPr>
            <w:tcW w:w="2004" w:type="dxa"/>
            <w:vAlign w:val="center"/>
          </w:tcPr>
          <w:p w14:paraId="31AD368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p>
        </w:tc>
      </w:tr>
    </w:tbl>
    <w:p w14:paraId="0D1FA9F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二、合同价款</w:t>
      </w:r>
    </w:p>
    <w:p w14:paraId="3852122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2.1合同总价：人民币（大写）              元，（小写）            元。</w:t>
      </w:r>
    </w:p>
    <w:p w14:paraId="6471904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三、交货地点及交货时间</w:t>
      </w:r>
    </w:p>
    <w:p w14:paraId="456CBC6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合同订立后   个工作日内，将相关设备送至需方指定位置，并负责相关要求安装调试。</w:t>
      </w:r>
      <w:r>
        <w:rPr>
          <w:rFonts w:hint="eastAsia" w:ascii="宋体" w:hAnsi="宋体" w:eastAsia="宋体" w:cs="Times New Roman"/>
          <w:color w:val="000000" w:themeColor="text1"/>
          <w:szCs w:val="21"/>
          <w:highlight w:val="none"/>
          <w:lang w:val="zh-CN"/>
          <w14:textFill>
            <w14:solidFill>
              <w14:schemeClr w14:val="tx1"/>
            </w14:solidFill>
          </w14:textFill>
        </w:rPr>
        <w:t>如果供方没有按照合同规定的时间交货和提供服务，供方应向需方支付误期赔偿费。误期赔偿费每天按迟交货物的交货价或延期服务的服务费用的百分之一（1%）计收，直至交货或提供服务为止。一天按24小时计算，不足一天按一天计算。但误期赔偿费的最高限额不超过合同价的百分之五（5%）。</w:t>
      </w:r>
    </w:p>
    <w:p w14:paraId="04C608E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付款 </w:t>
      </w:r>
    </w:p>
    <w:p w14:paraId="77469BB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w:t>
      </w:r>
      <w:r>
        <w:rPr>
          <w:rFonts w:hint="eastAsia" w:ascii="宋体" w:hAnsi="宋体" w:eastAsia="宋体" w:cs="Times New Roman"/>
          <w:color w:val="000000" w:themeColor="text1"/>
          <w:szCs w:val="21"/>
          <w:highlight w:val="none"/>
          <w:lang w:val="zh-CN"/>
          <w14:textFill>
            <w14:solidFill>
              <w14:schemeClr w14:val="tx1"/>
            </w14:solidFill>
          </w14:textFill>
        </w:rPr>
        <w:t xml:space="preserve"> 4.1</w:t>
      </w:r>
      <w:r>
        <w:rPr>
          <w:rFonts w:hint="eastAsia" w:ascii="宋体" w:hAnsi="宋体" w:eastAsia="宋体" w:cs="Times New Roman"/>
          <w:color w:val="000000" w:themeColor="text1"/>
          <w:szCs w:val="21"/>
          <w:highlight w:val="none"/>
          <w14:textFill>
            <w14:solidFill>
              <w14:schemeClr w14:val="tx1"/>
            </w14:solidFill>
          </w14:textFill>
        </w:rPr>
        <w:t xml:space="preserve"> </w:t>
      </w:r>
      <w:r>
        <w:rPr>
          <w:rFonts w:hint="eastAsia" w:ascii="宋体" w:hAnsi="宋体" w:eastAsia="宋体" w:cs="Times New Roman"/>
          <w:color w:val="000000" w:themeColor="text1"/>
          <w:szCs w:val="21"/>
          <w:highlight w:val="none"/>
          <w:lang w:val="zh-CN"/>
          <w14:textFill>
            <w14:solidFill>
              <w14:schemeClr w14:val="tx1"/>
            </w14:solidFill>
          </w14:textFill>
        </w:rPr>
        <w:t>货到验收合格后付</w:t>
      </w:r>
      <w:r>
        <w:rPr>
          <w:rFonts w:hint="eastAsia" w:ascii="宋体" w:hAnsi="宋体" w:eastAsia="宋体" w:cs="Times New Roman"/>
          <w:color w:val="000000" w:themeColor="text1"/>
          <w:szCs w:val="21"/>
          <w:highlight w:val="none"/>
          <w14:textFill>
            <w14:solidFill>
              <w14:schemeClr w14:val="tx1"/>
            </w14:solidFill>
          </w14:textFill>
        </w:rPr>
        <w:t xml:space="preserve">          货款</w:t>
      </w:r>
      <w:r>
        <w:rPr>
          <w:rFonts w:hint="eastAsia" w:ascii="宋体" w:hAnsi="宋体" w:eastAsia="宋体" w:cs="Times New Roman"/>
          <w:color w:val="000000" w:themeColor="text1"/>
          <w:szCs w:val="21"/>
          <w:highlight w:val="none"/>
          <w:lang w:val="zh-CN"/>
          <w14:textFill>
            <w14:solidFill>
              <w14:schemeClr w14:val="tx1"/>
            </w14:solidFill>
          </w14:textFill>
        </w:rPr>
        <w:t>。</w:t>
      </w:r>
    </w:p>
    <w:p w14:paraId="562D643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五、施工</w:t>
      </w:r>
    </w:p>
    <w:p w14:paraId="38381BF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六、验收（严格执行国家相关标准和招标文件要求）。</w:t>
      </w:r>
    </w:p>
    <w:p w14:paraId="3FAFA45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七、知识产权及有关规定</w:t>
      </w:r>
    </w:p>
    <w:p w14:paraId="280631E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7.1 供方应保证需方在使用本合同项下的货物或其任何一部分时免受第三方提出侵犯其知识产权、商标权或工业设计权的起诉。如果发生此类问题，供方应负责交涉并承担一切费用和责任。</w:t>
      </w:r>
    </w:p>
    <w:p w14:paraId="4C3F975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7.2 供方应保证所供货物符合国家的有关规定。</w:t>
      </w:r>
    </w:p>
    <w:p w14:paraId="2F8F8B3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八、伴随服务</w:t>
      </w:r>
    </w:p>
    <w:p w14:paraId="24BC0E7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8.1供方应提供所交付货物的全套技术文件资料，包括产品目录、图纸、操作手册、使用说明、维护手册和服务指南等。</w:t>
      </w:r>
    </w:p>
    <w:p w14:paraId="0C42A9E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8.2供方还应提供下列服务：货物的运输、集成和试运行；提供货物组装和维修所需的工具；在质量保证期内对所交付货物提供运行监督、维修、保养等；在制造厂家和/或在项目现场就货物的安装调试、运行、维护等对需方人员进行培训。</w:t>
      </w:r>
    </w:p>
    <w:p w14:paraId="00AD641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8.3上述伴随服务的费用应包含在合同价中，不单独进行支付。</w:t>
      </w:r>
    </w:p>
    <w:p w14:paraId="40AF6DA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九、质量保证期及售后服务</w:t>
      </w:r>
    </w:p>
    <w:p w14:paraId="5D54CFB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9.1 质量保证期：  </w:t>
      </w:r>
    </w:p>
    <w:p w14:paraId="09D3D05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9.2 售后服务要求：</w:t>
      </w:r>
    </w:p>
    <w:p w14:paraId="58E647B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十、质量保证</w:t>
      </w:r>
    </w:p>
    <w:p w14:paraId="47D06F8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10.1 供方应保证所提供的货物是原制造厂商制造的、经过合法销售渠道取得的、全新的、未使用过的，并完全符合合同规定的品牌、规格型号、技术性能、配置、质量、数量等要求。供方应保证其所提供的货物在正常使用和保养条件下，在其使用寿命期内具有满意的性能。在货物最终验收合格交付后不少于本合同第八条约定的质量保证期内，供方应对其交付的货物由于设计、工艺或材料的缺陷而产生的故障负责。</w:t>
      </w:r>
    </w:p>
    <w:p w14:paraId="238A34D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10.2 在质量保证期内，如果货物的规格型号、技术性能、原产地及制造厂商以及其他质量技术指标与合同约定不符，或证实货物是有缺陷的，包括潜在的缺陷或使用不符合要求的材料等，需方应尽快以书面形式向供方提出本保证下的索赔。</w:t>
      </w:r>
    </w:p>
    <w:p w14:paraId="3A23DEA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10.3在质量保证期内，供方在接到需方的通知后，应在本合同第八条约定的响应时间内,免费维修和/或更换有缺陷的货物或部件。</w:t>
      </w:r>
    </w:p>
    <w:p w14:paraId="2214090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10.4 如果供方在接到需方通知后，在本合同第八条约定的响应时间内没有弥补缺陷，需方可采取必要的补救措施，但其风险和费用将由供方负担，并且需方根据合同规定对供方行使的其他权利不受影响。</w:t>
      </w:r>
    </w:p>
    <w:p w14:paraId="0EDAC26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十一、索赔</w:t>
      </w:r>
    </w:p>
    <w:p w14:paraId="7056E1D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11.1需方有权根据当地国家技术监督局、进出口商品检验局或其他具有法定资格的质检机构出具的检验证书向供方提出索赔。</w:t>
      </w:r>
    </w:p>
    <w:p w14:paraId="01D1E4C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11.2如果供方对缺陷负有责任而需方提出索赔，供方应按照需方同意的下列一种或多种方式解决索赔事宜：</w:t>
      </w:r>
    </w:p>
    <w:p w14:paraId="144FF48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（1）供方同意退货并用合同规定的货币将货款退还给需方，并承担由此发生的一切损失和费用，包括利息、银行手续费、运费、保险费、检验费、仓储费、装卸费以及为保护退回货物所需的其他必要费用。</w:t>
      </w:r>
    </w:p>
    <w:p w14:paraId="1F927D9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（2）根据货物低劣、损坏程度以及需方所遭受损失的金额，经过供需双方商定降低货物的价格。</w:t>
      </w:r>
    </w:p>
    <w:p w14:paraId="61D8741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用符合合同规定的规格、质量和性能要求的新零件、部件和／或设备来更换有缺陷的部分和／或修补缺陷部分，供方应承担一切费用和风险，并负担需方蒙受的全部直接损失。供方应同时按合同第八条的规定，相应延长修补和／或更换件的质量保证期。</w:t>
      </w:r>
    </w:p>
    <w:p w14:paraId="3212586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11.3如果在需方发出索赔通知后十天内，供方未作答复，上述索赔应视为已被供方接受。如供方未能在接到需方索赔通知后十天内或需方同意的延长期限内，按照本合同第10.2条规定的任何一种或多种方式解决索赔事宜并征得需方同意，需方有权通过采购方从应付货款或从供方提交的履约保证金中扣回索赔金额，并拥有对赔偿不足部分进一步索赔的权利。</w:t>
      </w:r>
    </w:p>
    <w:p w14:paraId="5A60FBF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十二、供方履约延误</w:t>
      </w:r>
    </w:p>
    <w:p w14:paraId="212F0F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12.1 供方应按照合同规定的时间、地点交货和提供服务。</w:t>
      </w:r>
    </w:p>
    <w:p w14:paraId="730979F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12.2 如供方无正当理由拖延交货或不按投标文件提供服务，将受到以下制裁：没收履约保证金、加收误期赔偿和／或违约终止合同。</w:t>
      </w:r>
    </w:p>
    <w:p w14:paraId="1DD50C9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12.3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14:paraId="0B7259F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十三、误期赔偿</w:t>
      </w:r>
    </w:p>
    <w:p w14:paraId="696187E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14:paraId="1D6CC94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13.2误期赔偿费可从应付货款和/或履约保证金中扣除。</w:t>
      </w:r>
    </w:p>
    <w:p w14:paraId="3F72BE3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13.3收取误期赔偿费不影响需方采取合同规定的其他补救措施的权利。</w:t>
      </w:r>
    </w:p>
    <w:p w14:paraId="4480921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13.4供方如未能按本合同第九条规定进行售后服务，在收到需方县级远程办书面故障处理通知之日起一个月内仍未能解决故障，需方将按出现故障设备供货价格扣除质量保证金。</w:t>
      </w:r>
    </w:p>
    <w:p w14:paraId="10FD817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13.5在收取误期赔偿费期间，需方有权决定是否终止合同。</w:t>
      </w:r>
    </w:p>
    <w:p w14:paraId="1F21674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十四、履约保证金</w:t>
      </w:r>
    </w:p>
    <w:p w14:paraId="2434399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14.1 中标供应商接到中标通知书后，合同签订前向采购人缴纳中标金额的5%做为履约保证金。</w:t>
      </w:r>
    </w:p>
    <w:p w14:paraId="65FE52A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14.2 履约金返还的时间和条件：</w:t>
      </w:r>
      <w:r>
        <w:rPr>
          <w:rFonts w:hint="eastAsia" w:ascii="宋体" w:hAnsi="宋体" w:eastAsia="宋体" w:cs="Times New Roman"/>
          <w:color w:val="000000" w:themeColor="text1"/>
          <w:szCs w:val="21"/>
          <w:highlight w:val="none"/>
          <w:lang w:val="en-US" w:eastAsia="zh-CN"/>
          <w14:textFill>
            <w14:solidFill>
              <w14:schemeClr w14:val="tx1"/>
            </w14:solidFill>
          </w14:textFill>
        </w:rPr>
        <w:t>按相关规定执行</w:t>
      </w:r>
      <w:r>
        <w:rPr>
          <w:rFonts w:hint="eastAsia" w:ascii="宋体" w:hAnsi="宋体" w:eastAsia="宋体" w:cs="Times New Roman"/>
          <w:color w:val="000000" w:themeColor="text1"/>
          <w:szCs w:val="21"/>
          <w:highlight w:val="none"/>
          <w14:textFill>
            <w14:solidFill>
              <w14:schemeClr w14:val="tx1"/>
            </w14:solidFill>
          </w14:textFill>
        </w:rPr>
        <w:t>。</w:t>
      </w:r>
    </w:p>
    <w:p w14:paraId="580C1F3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十五、不可抗力</w:t>
      </w:r>
    </w:p>
    <w:p w14:paraId="6F1DBD7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15.1 如果供需双方因不可抗力而导致合同实施延误或不能履行合同义务，不应该承担误期赔偿或不能履行合同义务的责任。</w:t>
      </w:r>
    </w:p>
    <w:p w14:paraId="082A149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15.2 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14:paraId="55C6144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15.3 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1BFE23A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十六、税费</w:t>
      </w:r>
    </w:p>
    <w:p w14:paraId="747F402E">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16.1 根据现行法律规定对需方征收的与本合同有关的一切税费均由需方负担。</w:t>
      </w:r>
    </w:p>
    <w:p w14:paraId="2B37FCF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16.2 根据现行法律规定对供方征收的与本合同有关的一切税费均由供方负担。</w:t>
      </w:r>
    </w:p>
    <w:p w14:paraId="124C5D9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16.3 在中国境外发生的与执行本合同有关的一切税费均由供方负担。</w:t>
      </w:r>
    </w:p>
    <w:p w14:paraId="15FFD27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十七、争端的解决</w:t>
      </w:r>
    </w:p>
    <w:p w14:paraId="09B3C54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17.1 供需双方应通过友好协商，解决在执行本合同过程中所发生的或与本合同有关的一切争端。如从协商开始十（10）天内仍不能解决，可以向有关合同管理部门提请调解。</w:t>
      </w:r>
    </w:p>
    <w:p w14:paraId="0225B57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17.2 如果调解不成，供需双方的任何一方可以向人民法院提起诉讼。诉讼由合同签订地人民法院管辖。</w:t>
      </w:r>
    </w:p>
    <w:p w14:paraId="393E19A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17.3诉讼费除法院另有裁决外均由败诉方负担。</w:t>
      </w:r>
    </w:p>
    <w:p w14:paraId="0C1C095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17.4在诉讼期间，除正在进行诉讼的部分外，本合同的其它部分应继续执行。</w:t>
      </w:r>
    </w:p>
    <w:p w14:paraId="34AA23A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十八、违约终止合同</w:t>
      </w:r>
    </w:p>
    <w:p w14:paraId="157AAC7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18.1 在需方因供方违约而按合同约定采取的任何补救措施不受影响的情况下，需方可在下列情况下向供方发出书面通知，提出终止部分或全部合同。</w:t>
      </w:r>
    </w:p>
    <w:p w14:paraId="75B6997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（1）如果供方未能在合同规定的限期或需方同意延长的限期内提供部分或全部货物和服务。</w:t>
      </w:r>
    </w:p>
    <w:p w14:paraId="55CEAB8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（2）如果供方未能履行合同规定的其它任何义务。</w:t>
      </w:r>
    </w:p>
    <w:p w14:paraId="39B5B67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1AF3932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3A0430F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十九、破产终止合同</w:t>
      </w:r>
    </w:p>
    <w:p w14:paraId="625D4F6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19.1 如果供方破产或丧失清偿能力，需方可在任何时候以书面形式通知供方终止合同而不给供方补偿。该终止合同将不损害或影响需方已经采取或将要采取任何补救措施的权力。</w:t>
      </w:r>
    </w:p>
    <w:p w14:paraId="53E21BF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二十、合同转让和分包</w:t>
      </w:r>
    </w:p>
    <w:p w14:paraId="4659EEB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20.1 供方不得部分转让和分包或全部转让和分包其应履行的合同义务。</w:t>
      </w:r>
    </w:p>
    <w:p w14:paraId="465BBAB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二十一、需要补充的合同条款</w:t>
      </w:r>
    </w:p>
    <w:p w14:paraId="116F8EF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21.1 根据评标过程中或者商务谈判时商定的条款和条件在订立合同时标明。</w:t>
      </w:r>
    </w:p>
    <w:p w14:paraId="03C1C6B7">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二十二、适用法律</w:t>
      </w:r>
    </w:p>
    <w:p w14:paraId="06C607F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22.1 本合同按照中华人民共和国的现行法律进行解释。</w:t>
      </w:r>
    </w:p>
    <w:p w14:paraId="6727100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二十三、合同生效</w:t>
      </w:r>
    </w:p>
    <w:p w14:paraId="292BF1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    23.1 本合同在供需双方法定代表人或其授权代理人签字并加盖公章并且采购方收到供方提交的履约保证金后生效。 </w:t>
      </w:r>
    </w:p>
    <w:p w14:paraId="6B82265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二十四、合同附件</w:t>
      </w:r>
    </w:p>
    <w:p w14:paraId="39377C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24.1下列文件构成本合同不可分割的组成部分，与本合同具有同等法律效力：</w:t>
      </w:r>
    </w:p>
    <w:p w14:paraId="2101BADF">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1、招标文件及澄清、补充文件；</w:t>
      </w:r>
    </w:p>
    <w:p w14:paraId="73278EA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2、供方的投标文件、在投标期间的书面承诺文件和售后服务承诺书；        </w:t>
      </w:r>
    </w:p>
    <w:p w14:paraId="151D759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3、产品样本、说明书、图纸（与合同配置不符之处，以合同为准）；</w:t>
      </w:r>
    </w:p>
    <w:p w14:paraId="30502AC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4、中标通知书；</w:t>
      </w:r>
    </w:p>
    <w:p w14:paraId="12F7C34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5、政府采购验收报告单；</w:t>
      </w:r>
    </w:p>
    <w:p w14:paraId="31AD9619">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6、合同的其他附件：</w:t>
      </w:r>
    </w:p>
    <w:p w14:paraId="526D6316">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上述合同附件如果有不一致之处，以日期在后的和对需方有利的为准。</w:t>
      </w:r>
    </w:p>
    <w:p w14:paraId="0B40F91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二十五、合同修改</w:t>
      </w:r>
    </w:p>
    <w:p w14:paraId="73815C0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25.1除供需双方和采购方签署书面修改、补充协议，并成为本合同不可分割的一部分之外，本合同条件不得有任何变化或修改。</w:t>
      </w:r>
    </w:p>
    <w:p w14:paraId="5EA426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二十六、合同备案</w:t>
      </w:r>
    </w:p>
    <w:p w14:paraId="48AF431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26.1自本合同订立之日起七个工作日内，向本级政府采购监督管理部门备案。</w:t>
      </w:r>
    </w:p>
    <w:p w14:paraId="2FCD466D">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二十七、政府采购法对政府采购合同变更终止的规定：“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14:paraId="20D8A31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需方：                                  供方：</w:t>
      </w:r>
    </w:p>
    <w:p w14:paraId="52C21E33">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地址：                                  地址：</w:t>
      </w:r>
    </w:p>
    <w:p w14:paraId="3A54A7E4">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 xml:space="preserve">法定代表人 ：                           法定代表人 :              </w:t>
      </w:r>
    </w:p>
    <w:p w14:paraId="6D4C01C0">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或授权委托人：                          或授权代理人：</w:t>
      </w:r>
    </w:p>
    <w:p w14:paraId="7D3AFD35">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签字日期：                              签字日期：</w:t>
      </w:r>
    </w:p>
    <w:p w14:paraId="150315A1">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邮政编码：                              邮政编码：</w:t>
      </w:r>
    </w:p>
    <w:p w14:paraId="4D370BBC">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电话：                                  电话：</w:t>
      </w:r>
    </w:p>
    <w:p w14:paraId="6426CF72">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传真：                                  传真：</w:t>
      </w:r>
    </w:p>
    <w:p w14:paraId="43E7BDA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联系人：                                联系人：</w:t>
      </w:r>
    </w:p>
    <w:p w14:paraId="465147CB">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开户银行：                              开户银行：</w:t>
      </w:r>
    </w:p>
    <w:p w14:paraId="32694568">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帐户名称:                               帐户名称：</w:t>
      </w:r>
    </w:p>
    <w:p w14:paraId="7344D90A">
      <w:pPr>
        <w:overflowPunct/>
        <w:bidi w:val="0"/>
        <w:spacing w:line="360" w:lineRule="auto"/>
        <w:ind w:firstLine="420" w:firstLineChars="200"/>
        <w:outlineLvl w:val="9"/>
        <w:rPr>
          <w:rFonts w:hint="eastAsia" w:ascii="宋体" w:hAnsi="宋体" w:eastAsia="宋体" w:cs="Times New Roman"/>
          <w:color w:val="000000" w:themeColor="text1"/>
          <w:szCs w:val="21"/>
          <w:highlight w:val="none"/>
          <w14:textFill>
            <w14:solidFill>
              <w14:schemeClr w14:val="tx1"/>
            </w14:solidFill>
          </w14:textFill>
        </w:rPr>
      </w:pPr>
      <w:r>
        <w:rPr>
          <w:rFonts w:hint="eastAsia" w:ascii="宋体" w:hAnsi="宋体" w:eastAsia="宋体" w:cs="Times New Roman"/>
          <w:color w:val="000000" w:themeColor="text1"/>
          <w:szCs w:val="21"/>
          <w:highlight w:val="none"/>
          <w14:textFill>
            <w14:solidFill>
              <w14:schemeClr w14:val="tx1"/>
            </w14:solidFill>
          </w14:textFill>
        </w:rPr>
        <w:t>帐号：                                  帐号：</w:t>
      </w:r>
    </w:p>
    <w:p w14:paraId="6220158C">
      <w:pPr>
        <w:overflowPunct/>
        <w:bidi w:val="0"/>
        <w:outlineLvl w:val="9"/>
        <w:rPr>
          <w:rFonts w:hint="eastAsia" w:ascii="宋体" w:hAnsi="宋体" w:eastAsia="宋体" w:cs="宋体"/>
          <w:b/>
          <w:color w:val="000000" w:themeColor="text1"/>
          <w:kern w:val="44"/>
          <w:sz w:val="24"/>
          <w:szCs w:val="24"/>
          <w:highlight w:val="none"/>
          <w:lang w:eastAsia="zh-CN"/>
          <w14:textFill>
            <w14:solidFill>
              <w14:schemeClr w14:val="tx1"/>
            </w14:solidFill>
          </w14:textFill>
        </w:rPr>
      </w:pPr>
      <w:r>
        <w:rPr>
          <w:rFonts w:hint="eastAsia" w:ascii="宋体" w:hAnsi="宋体" w:eastAsia="宋体" w:cs="宋体"/>
          <w:b/>
          <w:color w:val="000000" w:themeColor="text1"/>
          <w:kern w:val="44"/>
          <w:sz w:val="24"/>
          <w:szCs w:val="24"/>
          <w:highlight w:val="none"/>
          <w:lang w:val="en-US" w:eastAsia="zh-CN"/>
          <w14:textFill>
            <w14:solidFill>
              <w14:schemeClr w14:val="tx1"/>
            </w14:solidFill>
          </w14:textFill>
        </w:rPr>
        <w:t>本合同为参考范本，</w:t>
      </w:r>
      <w:r>
        <w:rPr>
          <w:rFonts w:hint="eastAsia" w:ascii="宋体" w:hAnsi="宋体" w:eastAsia="宋体" w:cs="宋体"/>
          <w:b/>
          <w:color w:val="000000" w:themeColor="text1"/>
          <w:kern w:val="44"/>
          <w:sz w:val="24"/>
          <w:szCs w:val="24"/>
          <w:highlight w:val="none"/>
          <w:lang w:eastAsia="zh-CN"/>
          <w14:textFill>
            <w14:solidFill>
              <w14:schemeClr w14:val="tx1"/>
            </w14:solidFill>
          </w14:textFill>
        </w:rPr>
        <w:t>合同协议条款将由采购人（甲方）与成交人（乙方）结合磋商文件、响应文件和本项目具体情况协商后签订。具体以实际签订合同为准。</w:t>
      </w:r>
    </w:p>
    <w:p w14:paraId="696EAE3F">
      <w:pPr>
        <w:overflowPunct/>
        <w:bidi w:val="0"/>
        <w:outlineLvl w:val="9"/>
        <w:rPr>
          <w:rFonts w:hint="eastAsia" w:ascii="宋体" w:hAnsi="宋体" w:eastAsia="宋体" w:cs="宋体"/>
          <w:b/>
          <w:color w:val="000000" w:themeColor="text1"/>
          <w:kern w:val="44"/>
          <w:sz w:val="24"/>
          <w:szCs w:val="24"/>
          <w:highlight w:val="none"/>
          <w:lang w:eastAsia="zh-CN"/>
          <w14:textFill>
            <w14:solidFill>
              <w14:schemeClr w14:val="tx1"/>
            </w14:solidFill>
          </w14:textFill>
        </w:rPr>
      </w:pPr>
    </w:p>
    <w:p w14:paraId="3E1F8535">
      <w:pPr>
        <w:overflowPunct/>
        <w:bidi w:val="0"/>
        <w:spacing w:line="420" w:lineRule="exact"/>
        <w:jc w:val="center"/>
        <w:outlineLvl w:val="9"/>
        <w:rPr>
          <w:rFonts w:ascii="宋体" w:hAnsi="宋体"/>
          <w:color w:val="000000" w:themeColor="text1"/>
          <w:highlight w:val="none"/>
          <w14:textFill>
            <w14:solidFill>
              <w14:schemeClr w14:val="tx1"/>
            </w14:solidFill>
          </w14:textFill>
        </w:rPr>
      </w:pPr>
    </w:p>
    <w:p w14:paraId="3C1FA8F8">
      <w:pPr>
        <w:overflowPunct/>
        <w:bidi w:val="0"/>
        <w:outlineLvl w:val="9"/>
        <w:rPr>
          <w:rFonts w:hint="eastAsia"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br w:type="page"/>
      </w:r>
    </w:p>
    <w:p w14:paraId="2D0ECC07">
      <w:pPr>
        <w:keepNext w:val="0"/>
        <w:keepLines w:val="0"/>
        <w:pageBreakBefore w:val="0"/>
        <w:widowControl w:val="0"/>
        <w:numPr>
          <w:ilvl w:val="0"/>
          <w:numId w:val="7"/>
        </w:numPr>
        <w:kinsoku/>
        <w:wordWrap/>
        <w:overflowPunct/>
        <w:topLinePunct w:val="0"/>
        <w:autoSpaceDE/>
        <w:autoSpaceDN/>
        <w:bidi w:val="0"/>
        <w:adjustRightInd/>
        <w:snapToGrid/>
        <w:jc w:val="center"/>
        <w:textAlignment w:val="auto"/>
        <w:outlineLvl w:val="0"/>
        <w:rPr>
          <w:rFonts w:hint="eastAsia" w:eastAsia="宋体"/>
          <w:b/>
          <w:bCs/>
          <w:color w:val="000000" w:themeColor="text1"/>
          <w:sz w:val="36"/>
          <w:szCs w:val="36"/>
          <w:highlight w:val="none"/>
          <w:lang w:val="en-US" w:eastAsia="zh-CN"/>
          <w14:textFill>
            <w14:solidFill>
              <w14:schemeClr w14:val="tx1"/>
            </w14:solidFill>
          </w14:textFill>
        </w:rPr>
      </w:pPr>
      <w:bookmarkStart w:id="47" w:name="_Toc32019"/>
      <w:bookmarkStart w:id="48" w:name="_Toc9679"/>
      <w:r>
        <w:rPr>
          <w:rFonts w:hint="eastAsia" w:eastAsia="宋体"/>
          <w:b/>
          <w:bCs/>
          <w:color w:val="000000" w:themeColor="text1"/>
          <w:sz w:val="36"/>
          <w:szCs w:val="36"/>
          <w:highlight w:val="none"/>
          <w:lang w:val="en-US" w:eastAsia="zh-CN"/>
          <w14:textFill>
            <w14:solidFill>
              <w14:schemeClr w14:val="tx1"/>
            </w14:solidFill>
          </w14:textFill>
        </w:rPr>
        <w:t>采购需求</w:t>
      </w:r>
      <w:bookmarkEnd w:id="47"/>
      <w:bookmarkEnd w:id="48"/>
    </w:p>
    <w:p w14:paraId="4608A0EB">
      <w:pPr>
        <w:pageBreakBefore w:val="0"/>
        <w:kinsoku/>
        <w:wordWrap/>
        <w:overflowPunct/>
        <w:topLinePunct w:val="0"/>
        <w:bidi w:val="0"/>
        <w:snapToGrid w:val="0"/>
        <w:spacing w:line="360" w:lineRule="auto"/>
        <w:ind w:firstLine="482" w:firstLineChars="200"/>
        <w:outlineLvl w:val="9"/>
        <w:rPr>
          <w:rFonts w:hint="default" w:ascii="宋体" w:hAnsi="宋体" w:eastAsia="宋体" w:cs="Times New Roman"/>
          <w:b/>
          <w:bCs/>
          <w:sz w:val="24"/>
          <w:highlight w:val="none"/>
          <w:lang w:val="en-US" w:eastAsia="zh-CN"/>
        </w:rPr>
      </w:pPr>
    </w:p>
    <w:p w14:paraId="6BC03977">
      <w:pPr>
        <w:pageBreakBefore w:val="0"/>
        <w:kinsoku/>
        <w:wordWrap/>
        <w:overflowPunct/>
        <w:topLinePunct w:val="0"/>
        <w:bidi w:val="0"/>
        <w:snapToGrid w:val="0"/>
        <w:spacing w:line="360" w:lineRule="auto"/>
        <w:ind w:firstLine="482" w:firstLineChars="200"/>
        <w:outlineLvl w:val="9"/>
        <w:rPr>
          <w:rFonts w:hint="default" w:ascii="宋体" w:hAnsi="宋体" w:eastAsia="宋体" w:cs="Times New Roman"/>
          <w:b/>
          <w:bCs/>
          <w:sz w:val="24"/>
          <w:highlight w:val="none"/>
          <w:lang w:val="en-US" w:eastAsia="zh-CN"/>
        </w:rPr>
      </w:pPr>
      <w:r>
        <w:rPr>
          <w:rFonts w:hint="default" w:ascii="宋体" w:hAnsi="宋体" w:eastAsia="宋体" w:cs="Times New Roman"/>
          <w:b/>
          <w:bCs/>
          <w:sz w:val="24"/>
          <w:highlight w:val="none"/>
          <w:lang w:val="en-US" w:eastAsia="zh-CN"/>
        </w:rPr>
        <w:t>一标段食用农产品检测：</w:t>
      </w:r>
      <w:r>
        <w:rPr>
          <w:rFonts w:hint="eastAsia" w:ascii="宋体" w:hAnsi="宋体" w:eastAsia="宋体" w:cs="Times New Roman"/>
          <w:b/>
          <w:bCs/>
          <w:sz w:val="24"/>
          <w:highlight w:val="none"/>
          <w:lang w:val="en-US" w:eastAsia="zh-CN"/>
        </w:rPr>
        <w:t>530000</w:t>
      </w:r>
      <w:r>
        <w:rPr>
          <w:rFonts w:hint="default" w:ascii="宋体" w:hAnsi="宋体" w:eastAsia="宋体" w:cs="Times New Roman"/>
          <w:b/>
          <w:bCs/>
          <w:sz w:val="24"/>
          <w:highlight w:val="none"/>
          <w:lang w:val="en-US" w:eastAsia="zh-CN"/>
        </w:rPr>
        <w:t>.00元</w:t>
      </w:r>
    </w:p>
    <w:p w14:paraId="666DB33D">
      <w:pPr>
        <w:pStyle w:val="120"/>
        <w:ind w:firstLine="482" w:firstLineChars="200"/>
        <w:rPr>
          <w:rFonts w:hint="default"/>
          <w:lang w:val="en-US" w:eastAsia="zh-CN"/>
        </w:rPr>
      </w:pPr>
      <w:r>
        <w:rPr>
          <w:rFonts w:hint="eastAsia" w:ascii="宋体" w:hAnsi="宋体" w:eastAsia="宋体" w:cs="Times New Roman"/>
          <w:b/>
          <w:bCs/>
          <w:sz w:val="24"/>
          <w:highlight w:val="none"/>
          <w:lang w:val="en-US" w:eastAsia="zh-CN"/>
        </w:rPr>
        <w:t>以下为一标段检测需求：</w:t>
      </w:r>
    </w:p>
    <w:p w14:paraId="1CB2A66D">
      <w:pPr>
        <w:spacing w:line="360" w:lineRule="auto"/>
        <w:jc w:val="left"/>
        <w:rPr>
          <w:rFonts w:hint="eastAsia" w:ascii="宋体" w:hAnsi="宋体"/>
          <w:szCs w:val="21"/>
          <w:highlight w:val="none"/>
        </w:rPr>
      </w:pPr>
    </w:p>
    <w:tbl>
      <w:tblPr>
        <w:tblStyle w:val="38"/>
        <w:tblW w:w="910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0"/>
        <w:gridCol w:w="794"/>
        <w:gridCol w:w="735"/>
        <w:gridCol w:w="735"/>
        <w:gridCol w:w="765"/>
        <w:gridCol w:w="480"/>
        <w:gridCol w:w="4395"/>
        <w:gridCol w:w="720"/>
      </w:tblGrid>
      <w:tr w14:paraId="7A258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D87A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7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1189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食品大类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（一级）</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C328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食品亚类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（二级）</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3781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食品品种</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（三级）</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E08A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食品细类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（四级）</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7476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风险等级</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F98A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抽检项目</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068B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抽检批次</w:t>
            </w:r>
          </w:p>
        </w:tc>
      </w:tr>
      <w:tr w14:paraId="1BDDC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480" w:type="dxa"/>
            <w:vMerge w:val="restart"/>
            <w:tcBorders>
              <w:top w:val="single" w:color="000000" w:sz="4" w:space="0"/>
              <w:left w:val="single" w:color="000000" w:sz="4" w:space="0"/>
              <w:right w:val="nil"/>
            </w:tcBorders>
            <w:shd w:val="clear" w:color="auto" w:fill="auto"/>
            <w:vAlign w:val="center"/>
          </w:tcPr>
          <w:p w14:paraId="7645980E">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w:t>
            </w:r>
          </w:p>
        </w:tc>
        <w:tc>
          <w:tcPr>
            <w:tcW w:w="7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304A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食用农产品</w:t>
            </w: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4BD6BC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畜禽肉及副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产品</w:t>
            </w: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30B376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畜肉</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37A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猪肉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3A0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F478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克伦特罗、莱克多巴胺、沙丁胺醇、</w:t>
            </w:r>
            <w:r>
              <w:rPr>
                <w:rFonts w:hint="eastAsia" w:ascii="宋体" w:hAnsi="宋体" w:eastAsia="宋体" w:cs="宋体"/>
                <w:i w:val="0"/>
                <w:iCs w:val="0"/>
                <w:color w:val="FF0000"/>
                <w:kern w:val="0"/>
                <w:sz w:val="20"/>
                <w:szCs w:val="20"/>
                <w:u w:val="none"/>
                <w:lang w:val="en-US" w:eastAsia="zh-CN" w:bidi="ar"/>
              </w:rPr>
              <w:t>恩诺沙星、替米考星、磺胺类(总量)</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131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1290E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80" w:type="dxa"/>
            <w:vMerge w:val="continue"/>
            <w:tcBorders>
              <w:left w:val="single" w:color="000000" w:sz="4" w:space="0"/>
              <w:right w:val="nil"/>
            </w:tcBorders>
            <w:shd w:val="clear" w:color="auto" w:fill="auto"/>
            <w:vAlign w:val="center"/>
          </w:tcPr>
          <w:p w14:paraId="1A5AD5D6">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548C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8F9A1D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0D6CA24">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92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牛肉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7BD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2EA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氯霉素、</w:t>
            </w:r>
            <w:r>
              <w:rPr>
                <w:rFonts w:hint="eastAsia" w:ascii="宋体" w:hAnsi="宋体" w:eastAsia="宋体" w:cs="宋体"/>
                <w:i w:val="0"/>
                <w:iCs w:val="0"/>
                <w:color w:val="FF0000"/>
                <w:kern w:val="0"/>
                <w:sz w:val="20"/>
                <w:szCs w:val="20"/>
                <w:u w:val="none"/>
                <w:lang w:val="en-US" w:eastAsia="zh-CN" w:bidi="ar"/>
              </w:rPr>
              <w:t>克伦特罗</w:t>
            </w:r>
            <w:r>
              <w:rPr>
                <w:rStyle w:val="121"/>
                <w:lang w:val="en-US" w:eastAsia="zh-CN" w:bidi="ar"/>
              </w:rPr>
              <w:t>、莱克多巴胺、沙丁胺醇、</w:t>
            </w:r>
            <w:r>
              <w:rPr>
                <w:rFonts w:hint="eastAsia" w:ascii="宋体" w:hAnsi="宋体" w:eastAsia="宋体" w:cs="宋体"/>
                <w:i w:val="0"/>
                <w:iCs w:val="0"/>
                <w:color w:val="FF0000"/>
                <w:kern w:val="0"/>
                <w:sz w:val="20"/>
                <w:szCs w:val="20"/>
                <w:u w:val="none"/>
                <w:lang w:val="en-US" w:eastAsia="zh-CN" w:bidi="ar"/>
              </w:rPr>
              <w:t>恩诺沙星</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磺胺类(总量)</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地塞米松</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043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489B9F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80" w:type="dxa"/>
            <w:vMerge w:val="continue"/>
            <w:tcBorders>
              <w:left w:val="single" w:color="000000" w:sz="4" w:space="0"/>
              <w:right w:val="nil"/>
            </w:tcBorders>
            <w:shd w:val="clear" w:color="auto" w:fill="auto"/>
            <w:vAlign w:val="center"/>
          </w:tcPr>
          <w:p w14:paraId="5A1FCD4C">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36F1A6">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8E037C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8C59BCE">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AF3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羊肉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AE3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A6752">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氯霉素</w:t>
            </w:r>
            <w:r>
              <w:rPr>
                <w:rStyle w:val="121"/>
                <w:lang w:val="en-US" w:eastAsia="zh-CN" w:bidi="ar"/>
              </w:rPr>
              <w:t>、克伦特罗、</w:t>
            </w:r>
            <w:r>
              <w:rPr>
                <w:rFonts w:hint="eastAsia" w:ascii="宋体" w:hAnsi="宋体" w:eastAsia="宋体" w:cs="宋体"/>
                <w:i w:val="0"/>
                <w:iCs w:val="0"/>
                <w:color w:val="FF0000"/>
                <w:kern w:val="0"/>
                <w:sz w:val="20"/>
                <w:szCs w:val="20"/>
                <w:u w:val="none"/>
                <w:lang w:val="en-US" w:eastAsia="zh-CN" w:bidi="ar"/>
              </w:rPr>
              <w:t>恩诺沙星、磺胺类(总量)</w:t>
            </w:r>
            <w:r>
              <w:rPr>
                <w:rStyle w:val="121"/>
                <w:lang w:val="en-US" w:eastAsia="zh-CN" w:bidi="ar"/>
              </w:rPr>
              <w:t>、氟苯尼考</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E32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4C216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80" w:type="dxa"/>
            <w:vMerge w:val="continue"/>
            <w:tcBorders>
              <w:left w:val="single" w:color="000000" w:sz="4" w:space="0"/>
              <w:right w:val="nil"/>
            </w:tcBorders>
            <w:shd w:val="clear" w:color="auto" w:fill="auto"/>
            <w:vAlign w:val="center"/>
          </w:tcPr>
          <w:p w14:paraId="689DAC6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99482D">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C1AF9D0">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144FFE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禽肉</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B9F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鸡肉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CE0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B28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氯霉素、恩诺沙星、磺胺类(总量)、氟苯尼考</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408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349A9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400C048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3A2FE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8D9879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5BD27FD">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84F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鸭肉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8BC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015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呋喃唑酮代谢物、呋喃妥因代谢物、氯霉素、恩诺沙星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BDE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35429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15C0188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B7AFF7">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508BCA4">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7F1CBB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畜副产品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4CC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猪肝</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A5B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F93A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氯霉素、克伦特罗、莱克多巴胺、沙丁胺醇</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282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5671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7CFDBB53">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EB1BA1">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B3D554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6C0C01D">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214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牛肝</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361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BAB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克伦特罗、莱克多巴胺、沙丁胺醇</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F4F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13317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264229E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B1E8C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1F0612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753100F">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BF0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羊肝</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8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17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克伦特罗、莱克多巴胺、沙丁胺醇</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43F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690E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8E9E9E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C34E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F42885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F9C7B3A">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746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猪肾</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314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C90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呋喃西林代谢物、氯霉素、克伦特罗、恩诺沙星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968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7E97C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234FA370">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55BB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D968E1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D141F7F">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2D0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牛肾</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A76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7EB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克伦特罗、莱克多巴胺、沙丁胺醇、恩诺沙星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A5A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05B05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24912263">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289C7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AE14B86">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037F6B3">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F9F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羊肾</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D7A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0661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镉(以Cd计)、克伦特罗、恩诺沙星、环丙氨嗪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38D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63681B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5E08523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513B1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FFB8EB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C9EE597">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F11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其他畜副产品</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A03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1EA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呋喃唑酮代谢物、呋喃西林代谢物、氯霉素、克伦特罗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961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245C5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1406851B">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3F3F5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CB41612">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7D0625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禽副产品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B69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鸡肝</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39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0AF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呋喃唑酮代谢物、呋喃西林代谢物、氯霉素</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099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AF74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bottom w:val="single" w:color="000000" w:sz="4" w:space="0"/>
              <w:right w:val="nil"/>
            </w:tcBorders>
            <w:shd w:val="clear" w:color="auto" w:fill="auto"/>
            <w:vAlign w:val="center"/>
          </w:tcPr>
          <w:p w14:paraId="5BD6DC36">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28FFE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4905F2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E088404">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BD4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其他禽副产品</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EC6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18E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呋喃唑酮代谢物、呋喃西林代谢物、氯霉素</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F59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55A0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restart"/>
            <w:tcBorders>
              <w:top w:val="single" w:color="000000" w:sz="4" w:space="0"/>
              <w:left w:val="single" w:color="000000" w:sz="4" w:space="0"/>
              <w:right w:val="nil"/>
            </w:tcBorders>
            <w:shd w:val="clear" w:color="auto" w:fill="auto"/>
            <w:vAlign w:val="center"/>
          </w:tcPr>
          <w:p w14:paraId="6C756DEF">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2</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D1072">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09A727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489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豆芽</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696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豆芽</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1B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1F8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铅(以Pb计)、总汞(以Hg计)、</w:t>
            </w:r>
            <w:r>
              <w:rPr>
                <w:rFonts w:hint="eastAsia" w:ascii="宋体" w:hAnsi="宋体" w:eastAsia="宋体" w:cs="宋体"/>
                <w:i w:val="0"/>
                <w:iCs w:val="0"/>
                <w:color w:val="FF0000"/>
                <w:kern w:val="0"/>
                <w:sz w:val="20"/>
                <w:szCs w:val="20"/>
                <w:u w:val="none"/>
                <w:lang w:val="en-US" w:eastAsia="zh-CN" w:bidi="ar"/>
              </w:rPr>
              <w:t>4-氯苯氧乙酸钠(以4-氯苯氧乙酸计)</w:t>
            </w:r>
            <w:r>
              <w:rPr>
                <w:rStyle w:val="121"/>
                <w:lang w:val="en-US" w:eastAsia="zh-CN" w:bidi="ar"/>
              </w:rPr>
              <w:t>、6-苄基腺嘌呤(6-BA)</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5D3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494D4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06B52E3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9D2C2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DB30615">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C3B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鲜食用菌</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6C2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鲜食用菌</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B8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620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镉(以Cd计)、无机砷(以As计)、百菌清、除虫脲</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FBB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1FC13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480" w:type="dxa"/>
            <w:vMerge w:val="continue"/>
            <w:tcBorders>
              <w:left w:val="single" w:color="000000" w:sz="4" w:space="0"/>
              <w:right w:val="nil"/>
            </w:tcBorders>
            <w:shd w:val="clear" w:color="auto" w:fill="auto"/>
            <w:vAlign w:val="center"/>
          </w:tcPr>
          <w:p w14:paraId="0A8BDB3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F7AA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8341463">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46E1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鳞茎类蔬菜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EBF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韭菜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3C7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9D1C2">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毒死蜱、</w:t>
            </w:r>
            <w:r>
              <w:rPr>
                <w:rStyle w:val="121"/>
                <w:lang w:val="en-US" w:eastAsia="zh-CN" w:bidi="ar"/>
              </w:rPr>
              <w:t>氟虫腈、腐霉利、</w:t>
            </w:r>
            <w:r>
              <w:rPr>
                <w:rFonts w:hint="eastAsia" w:ascii="宋体" w:hAnsi="宋体" w:eastAsia="宋体" w:cs="宋体"/>
                <w:i w:val="0"/>
                <w:iCs w:val="0"/>
                <w:color w:val="FF0000"/>
                <w:kern w:val="0"/>
                <w:sz w:val="20"/>
                <w:szCs w:val="20"/>
                <w:u w:val="none"/>
                <w:lang w:val="en-US" w:eastAsia="zh-CN" w:bidi="ar"/>
              </w:rPr>
              <w:t>氯氟氰菊酯和高效氯氟氰菊酯</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949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7CB69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480" w:type="dxa"/>
            <w:vMerge w:val="continue"/>
            <w:tcBorders>
              <w:left w:val="single" w:color="000000" w:sz="4" w:space="0"/>
              <w:right w:val="nil"/>
            </w:tcBorders>
            <w:shd w:val="clear" w:color="auto" w:fill="auto"/>
            <w:vAlign w:val="center"/>
          </w:tcPr>
          <w:p w14:paraId="3940EA8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3FA39C">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BC79E9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BEC1F9">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D5D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葱</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CDC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61C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毒死蜱、甲拌磷、</w:t>
            </w:r>
            <w:r>
              <w:rPr>
                <w:rFonts w:hint="eastAsia" w:ascii="宋体" w:hAnsi="宋体" w:eastAsia="宋体" w:cs="宋体"/>
                <w:i w:val="0"/>
                <w:iCs w:val="0"/>
                <w:color w:val="FF0000"/>
                <w:kern w:val="0"/>
                <w:sz w:val="20"/>
                <w:szCs w:val="20"/>
                <w:u w:val="none"/>
                <w:lang w:val="en-US" w:eastAsia="zh-CN" w:bidi="ar"/>
              </w:rPr>
              <w:t>甲基异柳磷</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54A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68350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66A2553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DEF6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15F58776">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361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芸薹属类蔬菜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C32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菜薹</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300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AFF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镉(以Cd计)、吡虫啉、啶虫脒</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F0A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591A7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480" w:type="dxa"/>
            <w:vMerge w:val="continue"/>
            <w:tcBorders>
              <w:left w:val="single" w:color="000000" w:sz="4" w:space="0"/>
              <w:right w:val="nil"/>
            </w:tcBorders>
            <w:shd w:val="clear" w:color="auto" w:fill="auto"/>
            <w:vAlign w:val="center"/>
          </w:tcPr>
          <w:p w14:paraId="6E3A07B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03216">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7AEC6A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79CA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叶菜类蔬菜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E3B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菠菜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1CD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412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毒死蜱、氟虫腈、腐霉利、甲拌磷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1F2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2CCE7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6E664AA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71B39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F51A14D">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B5C5CB">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8EF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大白菜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689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82A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吡虫啉、毒死蜱、氟虫腈、甲拌磷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32D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54877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480" w:type="dxa"/>
            <w:vMerge w:val="continue"/>
            <w:tcBorders>
              <w:left w:val="single" w:color="000000" w:sz="4" w:space="0"/>
              <w:right w:val="nil"/>
            </w:tcBorders>
            <w:shd w:val="clear" w:color="auto" w:fill="auto"/>
            <w:vAlign w:val="center"/>
          </w:tcPr>
          <w:p w14:paraId="3FD0093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FD8A0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CB6AA8D">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415500">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CE7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普通白菜(小白菜、小油菜、青菜 )</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C97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286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啶虫脒、</w:t>
            </w:r>
            <w:r>
              <w:rPr>
                <w:rFonts w:hint="eastAsia" w:ascii="宋体" w:hAnsi="宋体" w:eastAsia="宋体" w:cs="宋体"/>
                <w:i w:val="0"/>
                <w:iCs w:val="0"/>
                <w:color w:val="FF0000"/>
                <w:kern w:val="0"/>
                <w:sz w:val="20"/>
                <w:szCs w:val="20"/>
                <w:u w:val="none"/>
                <w:lang w:val="en-US" w:eastAsia="zh-CN" w:bidi="ar"/>
              </w:rPr>
              <w:t>毒死蜱</w:t>
            </w:r>
            <w:r>
              <w:rPr>
                <w:rStyle w:val="121"/>
                <w:lang w:val="en-US" w:eastAsia="zh-CN" w:bidi="ar"/>
              </w:rPr>
              <w:t>、氟虫腈、氟氯氰菊酯和高效氟氯氰菊酯</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10C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282B4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480" w:type="dxa"/>
            <w:vMerge w:val="continue"/>
            <w:tcBorders>
              <w:left w:val="single" w:color="000000" w:sz="4" w:space="0"/>
              <w:right w:val="nil"/>
            </w:tcBorders>
            <w:shd w:val="clear" w:color="auto" w:fill="auto"/>
            <w:vAlign w:val="center"/>
          </w:tcPr>
          <w:p w14:paraId="3DB8740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9180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4AE1AD1">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F41F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叶菜类蔬菜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CD2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芹菜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8B3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CF2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啶虫脒、</w:t>
            </w:r>
            <w:r>
              <w:rPr>
                <w:rFonts w:hint="eastAsia" w:ascii="宋体" w:hAnsi="宋体" w:eastAsia="宋体" w:cs="宋体"/>
                <w:i w:val="0"/>
                <w:iCs w:val="0"/>
                <w:color w:val="FF0000"/>
                <w:kern w:val="0"/>
                <w:sz w:val="20"/>
                <w:szCs w:val="20"/>
                <w:u w:val="none"/>
                <w:lang w:val="en-US" w:eastAsia="zh-CN" w:bidi="ar"/>
              </w:rPr>
              <w:t>毒死蜱</w:t>
            </w:r>
            <w:r>
              <w:rPr>
                <w:rStyle w:val="121"/>
                <w:lang w:val="en-US" w:eastAsia="zh-CN" w:bidi="ar"/>
              </w:rPr>
              <w:t>、氟虫腈、</w:t>
            </w:r>
            <w:r>
              <w:rPr>
                <w:rFonts w:hint="eastAsia" w:ascii="宋体" w:hAnsi="宋体" w:eastAsia="宋体" w:cs="宋体"/>
                <w:i w:val="0"/>
                <w:iCs w:val="0"/>
                <w:color w:val="FF0000"/>
                <w:kern w:val="0"/>
                <w:sz w:val="20"/>
                <w:szCs w:val="20"/>
                <w:u w:val="none"/>
                <w:lang w:val="en-US" w:eastAsia="zh-CN" w:bidi="ar"/>
              </w:rPr>
              <w:t>噻虫胺</w:t>
            </w:r>
            <w:r>
              <w:rPr>
                <w:rStyle w:val="121"/>
                <w:lang w:val="en-US" w:eastAsia="zh-CN" w:bidi="ar"/>
              </w:rPr>
              <w:t>、噻虫嗪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E5F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2CE45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480" w:type="dxa"/>
            <w:vMerge w:val="continue"/>
            <w:tcBorders>
              <w:left w:val="single" w:color="000000" w:sz="4" w:space="0"/>
              <w:right w:val="nil"/>
            </w:tcBorders>
            <w:shd w:val="clear" w:color="auto" w:fill="auto"/>
            <w:vAlign w:val="center"/>
          </w:tcPr>
          <w:p w14:paraId="0C9D4FA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0BA5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5F2E2E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452E24">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831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油麦菜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15B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06F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吡虫啉、啶虫脒、毒死蜱、噻虫嗪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7AE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3D5CF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480" w:type="dxa"/>
            <w:vMerge w:val="continue"/>
            <w:tcBorders>
              <w:left w:val="single" w:color="000000" w:sz="4" w:space="0"/>
              <w:right w:val="nil"/>
            </w:tcBorders>
            <w:shd w:val="clear" w:color="auto" w:fill="auto"/>
            <w:vAlign w:val="center"/>
          </w:tcPr>
          <w:p w14:paraId="3FA73C42">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9A00BC">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EDFEBAE">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F46A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茄果类蔬菜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FB9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茄子</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355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6F6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甲拌磷、克百威、噻虫胺、噻虫嗪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A95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7A6AE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80" w:type="dxa"/>
            <w:vMerge w:val="continue"/>
            <w:tcBorders>
              <w:left w:val="single" w:color="000000" w:sz="4" w:space="0"/>
              <w:right w:val="nil"/>
            </w:tcBorders>
            <w:shd w:val="clear" w:color="auto" w:fill="auto"/>
            <w:vAlign w:val="center"/>
          </w:tcPr>
          <w:p w14:paraId="4D871336">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8201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CE2AD9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60F300">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17E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辣椒</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85C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90F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倍硫磷、吡虫啉、毒死蜱、</w:t>
            </w:r>
            <w:r>
              <w:rPr>
                <w:rFonts w:hint="eastAsia" w:ascii="宋体" w:hAnsi="宋体" w:eastAsia="宋体" w:cs="宋体"/>
                <w:i w:val="0"/>
                <w:iCs w:val="0"/>
                <w:color w:val="FF0000"/>
                <w:kern w:val="0"/>
                <w:sz w:val="20"/>
                <w:szCs w:val="20"/>
                <w:u w:val="none"/>
                <w:lang w:val="en-US" w:eastAsia="zh-CN" w:bidi="ar"/>
              </w:rPr>
              <w:t>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A7D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50C8C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10D26A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CC08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E7DFEC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6A3AB">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C2A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甜椒</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452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3C2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毒死蜱、克百威、</w:t>
            </w:r>
            <w:r>
              <w:rPr>
                <w:rFonts w:hint="eastAsia" w:ascii="宋体" w:hAnsi="宋体" w:eastAsia="宋体" w:cs="宋体"/>
                <w:i w:val="0"/>
                <w:iCs w:val="0"/>
                <w:color w:val="FF0000"/>
                <w:kern w:val="0"/>
                <w:sz w:val="20"/>
                <w:szCs w:val="20"/>
                <w:u w:val="none"/>
                <w:lang w:val="en-US" w:eastAsia="zh-CN" w:bidi="ar"/>
              </w:rPr>
              <w:t>噻虫胺</w:t>
            </w:r>
            <w:r>
              <w:rPr>
                <w:rStyle w:val="121"/>
                <w:lang w:val="en-US" w:eastAsia="zh-CN" w:bidi="ar"/>
              </w:rPr>
              <w:t>、噻虫嗪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B36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6FCEA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6D4BB512">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2A289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C106AF1">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3E6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瓜类蔬菜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956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F1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739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、敌敌畏、毒死蜱、腐霉利、甲拌磷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4D5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0927E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480" w:type="dxa"/>
            <w:vMerge w:val="continue"/>
            <w:tcBorders>
              <w:left w:val="single" w:color="000000" w:sz="4" w:space="0"/>
              <w:right w:val="nil"/>
            </w:tcBorders>
            <w:shd w:val="clear" w:color="auto" w:fill="auto"/>
            <w:vAlign w:val="center"/>
          </w:tcPr>
          <w:p w14:paraId="42ED096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15423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8944DB4">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F786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469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豇豆</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C0E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4A0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倍硫磷、啶虫脒、</w:t>
            </w:r>
            <w:r>
              <w:rPr>
                <w:rFonts w:hint="eastAsia" w:ascii="宋体" w:hAnsi="宋体" w:eastAsia="宋体" w:cs="宋体"/>
                <w:i w:val="0"/>
                <w:iCs w:val="0"/>
                <w:color w:val="FF0000"/>
                <w:kern w:val="0"/>
                <w:sz w:val="20"/>
                <w:szCs w:val="20"/>
                <w:u w:val="none"/>
                <w:lang w:val="en-US" w:eastAsia="zh-CN" w:bidi="ar"/>
              </w:rPr>
              <w:t>毒死蜱</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CD4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44660F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480" w:type="dxa"/>
            <w:vMerge w:val="continue"/>
            <w:tcBorders>
              <w:left w:val="single" w:color="000000" w:sz="4" w:space="0"/>
              <w:right w:val="nil"/>
            </w:tcBorders>
            <w:shd w:val="clear" w:color="auto" w:fill="auto"/>
            <w:vAlign w:val="center"/>
          </w:tcPr>
          <w:p w14:paraId="5156209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A1CF14">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A37F00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7DFD74">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C4B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菜豆</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59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C89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倍硫磷、吡虫啉、毒死蜱、</w:t>
            </w:r>
            <w:r>
              <w:rPr>
                <w:rFonts w:hint="eastAsia" w:ascii="宋体" w:hAnsi="宋体" w:eastAsia="宋体" w:cs="宋体"/>
                <w:i w:val="0"/>
                <w:iCs w:val="0"/>
                <w:color w:val="FF0000"/>
                <w:kern w:val="0"/>
                <w:sz w:val="20"/>
                <w:szCs w:val="20"/>
                <w:u w:val="none"/>
                <w:lang w:val="en-US" w:eastAsia="zh-CN" w:bidi="ar"/>
              </w:rPr>
              <w:t>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8A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47139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33A20A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895F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FE40574">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BAF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03C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食荚豌豆</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E77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F3E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阿维菌素、</w:t>
            </w:r>
            <w:r>
              <w:rPr>
                <w:rFonts w:hint="eastAsia" w:ascii="宋体" w:hAnsi="宋体" w:eastAsia="宋体" w:cs="宋体"/>
                <w:i w:val="0"/>
                <w:iCs w:val="0"/>
                <w:color w:val="FF0000"/>
                <w:kern w:val="0"/>
                <w:sz w:val="20"/>
                <w:szCs w:val="20"/>
                <w:u w:val="none"/>
                <w:lang w:val="en-US" w:eastAsia="zh-CN" w:bidi="ar"/>
              </w:rPr>
              <w:t>吡唑醚菌酯</w:t>
            </w:r>
            <w:r>
              <w:rPr>
                <w:rStyle w:val="121"/>
                <w:lang w:val="en-US" w:eastAsia="zh-CN" w:bidi="ar"/>
              </w:rPr>
              <w:t>、毒死蜱、</w:t>
            </w:r>
            <w:r>
              <w:rPr>
                <w:rFonts w:hint="eastAsia" w:ascii="宋体" w:hAnsi="宋体" w:eastAsia="宋体" w:cs="宋体"/>
                <w:i w:val="0"/>
                <w:iCs w:val="0"/>
                <w:color w:val="FF0000"/>
                <w:kern w:val="0"/>
                <w:sz w:val="20"/>
                <w:szCs w:val="20"/>
                <w:u w:val="none"/>
                <w:lang w:val="en-US" w:eastAsia="zh-CN" w:bidi="ar"/>
              </w:rPr>
              <w:t>多菌灵</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噻虫胺</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烯酰吗啉</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43E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3497E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44C593D6">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20C019">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6AB347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8DCA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根茎类和薯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芋类蔬菜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39E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马铃薯</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D5F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708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毒死蜱、甲拌磷、氯氟氰菊酯和高效氯氟氰菊酯、噻虫嗪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949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3355E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66485D5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8B634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1CFEF1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33BFAF">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DA9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甘薯</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A0A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C7A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毒死蜱、氟虫腈、甲拌磷、噻虫嗪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B77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13B9F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673340F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BA471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22E25F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76339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E36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山药</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541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D89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铅(以Pb计)、氯氟氰菊酯和高效氯氟氰菊酯、</w:t>
            </w:r>
            <w:r>
              <w:rPr>
                <w:rFonts w:hint="eastAsia" w:ascii="宋体" w:hAnsi="宋体" w:eastAsia="宋体" w:cs="宋体"/>
                <w:i w:val="0"/>
                <w:iCs w:val="0"/>
                <w:color w:val="FF0000"/>
                <w:kern w:val="0"/>
                <w:sz w:val="20"/>
                <w:szCs w:val="20"/>
                <w:u w:val="none"/>
                <w:lang w:val="en-US" w:eastAsia="zh-CN" w:bidi="ar"/>
              </w:rPr>
              <w:t>咪鲜胺和咪鲜胺锰盐</w:t>
            </w:r>
            <w:r>
              <w:rPr>
                <w:rStyle w:val="121"/>
                <w:lang w:val="en-US" w:eastAsia="zh-CN" w:bidi="ar"/>
              </w:rPr>
              <w:t>、涕灭威</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379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63B8C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54108B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F7F5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1D13F9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E9F753">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613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胡萝卜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05C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CB1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甲拌磷、氯氟氰菊酯和高效氯氟氰菊酯、</w:t>
            </w:r>
            <w:r>
              <w:rPr>
                <w:rFonts w:hint="eastAsia" w:ascii="宋体" w:hAnsi="宋体" w:eastAsia="宋体" w:cs="宋体"/>
                <w:i w:val="0"/>
                <w:iCs w:val="0"/>
                <w:color w:val="FF0000"/>
                <w:kern w:val="0"/>
                <w:sz w:val="20"/>
                <w:szCs w:val="20"/>
                <w:u w:val="none"/>
                <w:lang w:val="en-US" w:eastAsia="zh-CN" w:bidi="ar"/>
              </w:rPr>
              <w:t>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CAA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2E8007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57E13CD2">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992641">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707109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94335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F9A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萝卜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70E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95F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毒死蜱、甲胺磷、甲拌磷、噻虫嗪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680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0A9C56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480" w:type="dxa"/>
            <w:vMerge w:val="continue"/>
            <w:tcBorders>
              <w:left w:val="single" w:color="000000" w:sz="4" w:space="0"/>
              <w:bottom w:val="single" w:color="000000" w:sz="4" w:space="0"/>
              <w:right w:val="nil"/>
            </w:tcBorders>
            <w:shd w:val="clear" w:color="auto" w:fill="auto"/>
            <w:vAlign w:val="center"/>
          </w:tcPr>
          <w:p w14:paraId="3BB9189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586EC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ECEFBA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D942DD">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100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41F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172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铅(以Pb计)、吡虫啉、甲胺磷、</w:t>
            </w:r>
            <w:r>
              <w:rPr>
                <w:rFonts w:hint="eastAsia" w:ascii="宋体" w:hAnsi="宋体" w:eastAsia="宋体" w:cs="宋体"/>
                <w:i w:val="0"/>
                <w:iCs w:val="0"/>
                <w:color w:val="FF0000"/>
                <w:kern w:val="0"/>
                <w:sz w:val="20"/>
                <w:szCs w:val="20"/>
                <w:u w:val="none"/>
                <w:lang w:val="en-US" w:eastAsia="zh-CN" w:bidi="ar"/>
              </w:rPr>
              <w:t>噻虫胺、噻虫嗪、二氧化硫残留量</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5CF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18AEC9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80" w:type="dxa"/>
            <w:vMerge w:val="restart"/>
            <w:tcBorders>
              <w:top w:val="single" w:color="000000" w:sz="4" w:space="0"/>
              <w:left w:val="single" w:color="000000" w:sz="4" w:space="0"/>
              <w:right w:val="nil"/>
            </w:tcBorders>
            <w:shd w:val="clear" w:color="auto" w:fill="auto"/>
            <w:vAlign w:val="center"/>
          </w:tcPr>
          <w:p w14:paraId="4F680C48">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3</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E6AECF">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586D55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水产品</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9749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淡水产品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05A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淡水鱼</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11F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7F1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氯霉素、五氯酚酸钠(以五氯酚计)、</w:t>
            </w:r>
            <w:r>
              <w:rPr>
                <w:rFonts w:hint="eastAsia" w:ascii="宋体" w:hAnsi="宋体" w:eastAsia="宋体" w:cs="宋体"/>
                <w:i w:val="0"/>
                <w:iCs w:val="0"/>
                <w:color w:val="FF0000"/>
                <w:kern w:val="0"/>
                <w:sz w:val="20"/>
                <w:szCs w:val="20"/>
                <w:u w:val="none"/>
                <w:lang w:val="en-US" w:eastAsia="zh-CN" w:bidi="ar"/>
              </w:rPr>
              <w:t>恩诺沙星</w:t>
            </w:r>
            <w:r>
              <w:rPr>
                <w:rStyle w:val="121"/>
                <w:lang w:val="en-US" w:eastAsia="zh-CN" w:bidi="ar"/>
              </w:rPr>
              <w:t>、磺胺类(总量)、</w:t>
            </w:r>
            <w:r>
              <w:rPr>
                <w:rFonts w:hint="eastAsia" w:ascii="宋体" w:hAnsi="宋体" w:eastAsia="宋体" w:cs="宋体"/>
                <w:i w:val="0"/>
                <w:iCs w:val="0"/>
                <w:color w:val="FF0000"/>
                <w:kern w:val="0"/>
                <w:sz w:val="20"/>
                <w:szCs w:val="20"/>
                <w:u w:val="none"/>
                <w:lang w:val="en-US" w:eastAsia="zh-CN" w:bidi="ar"/>
              </w:rPr>
              <w:t>地西泮</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1FF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460DC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480" w:type="dxa"/>
            <w:vMerge w:val="continue"/>
            <w:tcBorders>
              <w:left w:val="single" w:color="000000" w:sz="4" w:space="0"/>
              <w:right w:val="nil"/>
            </w:tcBorders>
            <w:shd w:val="clear" w:color="auto" w:fill="auto"/>
            <w:vAlign w:val="center"/>
          </w:tcPr>
          <w:p w14:paraId="79FCD1CB">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E77A17">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0807097">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71805B">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60A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淡水虾</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44B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FF2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镉(以Cd计)、孔雀石绿、氯霉素、呋喃唑酮代谢物</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594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02D64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475E8BF8">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73C8A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EFFAA8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3DE5F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5EA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淡水蟹</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C24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827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镉(以Cd计)、孔雀石绿、氯霉素、五氯酚酸钠(以五氯酚计)</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7F3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43AF8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480" w:type="dxa"/>
            <w:vMerge w:val="continue"/>
            <w:tcBorders>
              <w:left w:val="single" w:color="000000" w:sz="4" w:space="0"/>
              <w:right w:val="nil"/>
            </w:tcBorders>
            <w:shd w:val="clear" w:color="auto" w:fill="auto"/>
            <w:vAlign w:val="center"/>
          </w:tcPr>
          <w:p w14:paraId="09CF30AA">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5C446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A8F8E65">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98C4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海水产品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AC6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海水鱼</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00B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9BF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组胺、镉(以Cd计)、孔雀石绿、</w:t>
            </w:r>
            <w:r>
              <w:rPr>
                <w:rFonts w:hint="eastAsia" w:ascii="宋体" w:hAnsi="宋体" w:eastAsia="宋体" w:cs="宋体"/>
                <w:i w:val="0"/>
                <w:iCs w:val="0"/>
                <w:color w:val="FF0000"/>
                <w:kern w:val="0"/>
                <w:sz w:val="20"/>
                <w:szCs w:val="20"/>
                <w:u w:val="none"/>
                <w:lang w:val="en-US" w:eastAsia="zh-CN" w:bidi="ar"/>
              </w:rPr>
              <w:t>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471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14:paraId="4A060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480" w:type="dxa"/>
            <w:vMerge w:val="continue"/>
            <w:tcBorders>
              <w:left w:val="single" w:color="000000" w:sz="4" w:space="0"/>
              <w:right w:val="nil"/>
            </w:tcBorders>
            <w:shd w:val="clear" w:color="auto" w:fill="auto"/>
            <w:vAlign w:val="center"/>
          </w:tcPr>
          <w:p w14:paraId="69F0AF02">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281A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B60119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C7727">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733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海水虾</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A6D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6C3BC">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镉(以Cd计)、二氧化硫残留量</w:t>
            </w:r>
            <w:r>
              <w:rPr>
                <w:rStyle w:val="121"/>
                <w:lang w:val="en-US" w:eastAsia="zh-CN" w:bidi="ar"/>
              </w:rPr>
              <w:t>、孔雀石绿、氯霉素</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853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14:paraId="78B52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7FBC5179">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8E8FD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5489A55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D87789">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243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海水蟹</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291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B4B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镉(以Cd计)、二氧化硫残留量、氯霉素、呋喃妥因代谢物</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9BF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14:paraId="7DB31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480" w:type="dxa"/>
            <w:vMerge w:val="continue"/>
            <w:tcBorders>
              <w:left w:val="single" w:color="000000" w:sz="4" w:space="0"/>
              <w:right w:val="nil"/>
            </w:tcBorders>
            <w:shd w:val="clear" w:color="auto" w:fill="auto"/>
            <w:vAlign w:val="center"/>
          </w:tcPr>
          <w:p w14:paraId="50F3BF70">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9E6E81">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967159C">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62C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贝类</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566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贝类</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C89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01244">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镉(以Cd计)</w:t>
            </w:r>
            <w:r>
              <w:rPr>
                <w:rStyle w:val="121"/>
                <w:lang w:val="en-US" w:eastAsia="zh-CN" w:bidi="ar"/>
              </w:rPr>
              <w:t>、孔雀石绿、氯霉素、呋喃唑酮代谢物</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12A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445A9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5" w:hRule="atLeast"/>
        </w:trPr>
        <w:tc>
          <w:tcPr>
            <w:tcW w:w="480" w:type="dxa"/>
            <w:vMerge w:val="continue"/>
            <w:tcBorders>
              <w:left w:val="single" w:color="000000" w:sz="4" w:space="0"/>
              <w:bottom w:val="single" w:color="000000" w:sz="4" w:space="0"/>
              <w:right w:val="nil"/>
            </w:tcBorders>
            <w:shd w:val="clear" w:color="auto" w:fill="auto"/>
            <w:vAlign w:val="center"/>
          </w:tcPr>
          <w:p w14:paraId="00A1B78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8843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B3C6F78">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82D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其他水产品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ED3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其他水产品</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29E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25351">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镉(以Cd计)</w:t>
            </w:r>
            <w:r>
              <w:rPr>
                <w:rStyle w:val="121"/>
                <w:lang w:val="en-US" w:eastAsia="zh-CN" w:bidi="ar"/>
              </w:rPr>
              <w:t>、孔雀石绿、氯霉素、</w:t>
            </w:r>
            <w:r>
              <w:rPr>
                <w:rFonts w:hint="eastAsia" w:ascii="宋体" w:hAnsi="宋体" w:eastAsia="宋体" w:cs="宋体"/>
                <w:i w:val="0"/>
                <w:iCs w:val="0"/>
                <w:color w:val="FF0000"/>
                <w:kern w:val="0"/>
                <w:sz w:val="20"/>
                <w:szCs w:val="20"/>
                <w:u w:val="none"/>
                <w:lang w:val="en-US" w:eastAsia="zh-CN" w:bidi="ar"/>
              </w:rPr>
              <w:t>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D71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45BCC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restart"/>
            <w:tcBorders>
              <w:top w:val="single" w:color="000000" w:sz="4" w:space="0"/>
              <w:left w:val="single" w:color="000000" w:sz="4" w:space="0"/>
              <w:right w:val="nil"/>
            </w:tcBorders>
            <w:shd w:val="clear" w:color="auto" w:fill="auto"/>
            <w:vAlign w:val="center"/>
          </w:tcPr>
          <w:p w14:paraId="4670D251">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4</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806E2B">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184C77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水果类</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AA2D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仁果类水果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1B0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苹果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391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FE9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敌敌畏、啶虫脒、毒死蜱、甲拌磷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68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125EB3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8" w:hRule="atLeast"/>
        </w:trPr>
        <w:tc>
          <w:tcPr>
            <w:tcW w:w="480" w:type="dxa"/>
            <w:vMerge w:val="continue"/>
            <w:tcBorders>
              <w:left w:val="single" w:color="000000" w:sz="4" w:space="0"/>
              <w:right w:val="nil"/>
            </w:tcBorders>
            <w:shd w:val="clear" w:color="auto" w:fill="auto"/>
            <w:vAlign w:val="center"/>
          </w:tcPr>
          <w:p w14:paraId="4DC18BE0">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5E3ED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A4EDB1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8E106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8E0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梨</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8C5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5E3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吡虫啉、敌敌畏、毒死蜱、多菌灵</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5C7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r>
      <w:tr w14:paraId="39F5E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683D1393">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44A01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5038E73">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F52A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核果类水果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82C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枣</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A81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B95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多菌灵、氟虫腈、氰戊菊酯和S-氰戊菊酯、氧乐果、糖精钠(以糖精计)</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D2B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35B2E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051857D8">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948625">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1225850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E6AC40">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E7A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桃</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F56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A65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苯醚甲环唑、敌敌畏、多菌灵、氟硅唑、甲胺磷、克百威、氧乐果、溴氰菊酯、吡虫啉、氯氟氰菊酯和高效氯氟氰菊酯、噻虫胺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A2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1E62D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5B70EE4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E2DD86">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AF7E4B6">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57D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核果类水果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097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油桃</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B01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0F2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甲胺磷、克百威、氧乐果、敌敌畏、苯醚甲环唑、噻虫胺</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04A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5FFB9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480" w:type="dxa"/>
            <w:vMerge w:val="continue"/>
            <w:tcBorders>
              <w:left w:val="single" w:color="000000" w:sz="4" w:space="0"/>
              <w:right w:val="nil"/>
            </w:tcBorders>
            <w:shd w:val="clear" w:color="auto" w:fill="auto"/>
            <w:vAlign w:val="center"/>
          </w:tcPr>
          <w:p w14:paraId="46804A2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E3933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48C23AB">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9F0D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柑橘类水果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555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柑、橘</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731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2C8D3">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苯醚甲环唑</w:t>
            </w:r>
            <w:r>
              <w:rPr>
                <w:rStyle w:val="121"/>
                <w:lang w:val="en-US" w:eastAsia="zh-CN" w:bidi="ar"/>
              </w:rPr>
              <w:t>、丙溴磷、克百威、</w:t>
            </w:r>
            <w:r>
              <w:rPr>
                <w:rFonts w:hint="eastAsia" w:ascii="宋体" w:hAnsi="宋体" w:eastAsia="宋体" w:cs="宋体"/>
                <w:i w:val="0"/>
                <w:iCs w:val="0"/>
                <w:color w:val="FF0000"/>
                <w:kern w:val="0"/>
                <w:sz w:val="20"/>
                <w:szCs w:val="20"/>
                <w:u w:val="none"/>
                <w:lang w:val="en-US" w:eastAsia="zh-CN" w:bidi="ar"/>
              </w:rPr>
              <w:t>联苯菊酯</w:t>
            </w:r>
            <w:r>
              <w:rPr>
                <w:rStyle w:val="121"/>
                <w:lang w:val="en-US" w:eastAsia="zh-CN" w:bidi="ar"/>
              </w:rPr>
              <w:t>、氯唑磷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BF5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421FE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41978D83">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0A6AE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50CA8B6">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EA272">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8FA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柚</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79F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041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水胺硫磷、联苯菊酯、氯氟氰菊酯和高效氯氟氰菊酯</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2DB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1F605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46EC92A5">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95F03C">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EAA1B4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814362">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74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柠檬</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C82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AFE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多菌灵、克百威、联苯菊酯、水胺硫磷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CD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575DC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480" w:type="dxa"/>
            <w:vMerge w:val="continue"/>
            <w:tcBorders>
              <w:left w:val="single" w:color="000000" w:sz="4" w:space="0"/>
              <w:right w:val="nil"/>
            </w:tcBorders>
            <w:shd w:val="clear" w:color="auto" w:fill="auto"/>
            <w:vAlign w:val="center"/>
          </w:tcPr>
          <w:p w14:paraId="18308038">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E2C9B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36A671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5B75A">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5AA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橙</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4D3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DE0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丙溴磷、苯醚甲环唑、氯氟氰菊酯和高效氯氟氰菊酯、乙酰甲胺磷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C2A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33960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0" w:hRule="atLeast"/>
        </w:trPr>
        <w:tc>
          <w:tcPr>
            <w:tcW w:w="480" w:type="dxa"/>
            <w:vMerge w:val="continue"/>
            <w:tcBorders>
              <w:left w:val="single" w:color="000000" w:sz="4" w:space="0"/>
              <w:right w:val="nil"/>
            </w:tcBorders>
            <w:shd w:val="clear" w:color="auto" w:fill="auto"/>
            <w:vAlign w:val="center"/>
          </w:tcPr>
          <w:p w14:paraId="52995279">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799BA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5E14217">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5E77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浆果和其他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小型水果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FD1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葡萄</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E84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CEF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苯醚甲环唑、霜霉威和霜霉威盐酸盐、氧乐果、氯氟氰菊酯和高效氯氟氰菊酯</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E55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47DB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FAB578F">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3CA5C7">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3778B6A1">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7B769F">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DC9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草莓</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D09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9DB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敌敌畏、多菌灵、克百威、乙酰甲胺磷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909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1BA70B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3715816E">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C3BB04">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7590A8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7CA637">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287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猕猴桃</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6E2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68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敌敌畏、多菌灵、氯吡脲、氧乐果</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D38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D04E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80" w:type="dxa"/>
            <w:vMerge w:val="continue"/>
            <w:tcBorders>
              <w:left w:val="single" w:color="000000" w:sz="4" w:space="0"/>
              <w:right w:val="nil"/>
            </w:tcBorders>
            <w:shd w:val="clear" w:color="auto" w:fill="auto"/>
            <w:vAlign w:val="center"/>
          </w:tcPr>
          <w:p w14:paraId="18EA07FC">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B1521D">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40D98CD">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8727C">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6C7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桑葚</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F72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DBA86">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脱氢乙酸及其钠盐(以脱氢乙酸计)</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糖精钠(以糖精计)、</w:t>
            </w:r>
            <w:r>
              <w:rPr>
                <w:rStyle w:val="121"/>
                <w:lang w:val="en-US" w:eastAsia="zh-CN" w:bidi="ar"/>
              </w:rPr>
              <w:t>三氯蔗糖、</w:t>
            </w:r>
            <w:r>
              <w:rPr>
                <w:rFonts w:hint="eastAsia" w:ascii="宋体" w:hAnsi="宋体" w:eastAsia="宋体" w:cs="宋体"/>
                <w:i w:val="0"/>
                <w:iCs w:val="0"/>
                <w:color w:val="FF0000"/>
                <w:kern w:val="0"/>
                <w:sz w:val="20"/>
                <w:szCs w:val="20"/>
                <w:u w:val="none"/>
                <w:lang w:val="en-US" w:eastAsia="zh-CN" w:bidi="ar"/>
              </w:rPr>
              <w:t>甜蜜素(以环己基氨基磺酸计)、</w:t>
            </w:r>
            <w:r>
              <w:rPr>
                <w:rStyle w:val="121"/>
                <w:lang w:val="en-US" w:eastAsia="zh-CN" w:bidi="ar"/>
              </w:rPr>
              <w:t>多菌灵</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73F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423CA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2F53DF91">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809A1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DE278A2">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E97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热带和亚热带水果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A02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香蕉</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4A3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856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甲拌磷、腈苯唑、</w:t>
            </w:r>
            <w:r>
              <w:rPr>
                <w:rFonts w:hint="eastAsia" w:ascii="宋体" w:hAnsi="宋体" w:eastAsia="宋体" w:cs="宋体"/>
                <w:i w:val="0"/>
                <w:iCs w:val="0"/>
                <w:color w:val="FF0000"/>
                <w:kern w:val="0"/>
                <w:sz w:val="20"/>
                <w:szCs w:val="20"/>
                <w:u w:val="none"/>
                <w:lang w:val="en-US" w:eastAsia="zh-CN" w:bidi="ar"/>
              </w:rPr>
              <w:t>吡虫啉、噻虫胺、噻虫嗪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0EF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07F74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80" w:type="dxa"/>
            <w:vMerge w:val="continue"/>
            <w:tcBorders>
              <w:left w:val="single" w:color="000000" w:sz="4" w:space="0"/>
              <w:right w:val="nil"/>
            </w:tcBorders>
            <w:shd w:val="clear" w:color="auto" w:fill="auto"/>
            <w:vAlign w:val="center"/>
          </w:tcPr>
          <w:p w14:paraId="3B198E9C">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11259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1F0494AF">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B3F0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热带和亚热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带水果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FE1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芒果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A06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4F756">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吡唑醚菌酯</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噻虫胺</w:t>
            </w:r>
            <w:r>
              <w:rPr>
                <w:rStyle w:val="121"/>
                <w:lang w:val="en-US" w:eastAsia="zh-CN" w:bidi="ar"/>
              </w:rPr>
              <w:t>、吡虫啉、噻虫嗪、</w:t>
            </w:r>
            <w:r>
              <w:rPr>
                <w:rFonts w:hint="eastAsia" w:ascii="宋体" w:hAnsi="宋体" w:eastAsia="宋体" w:cs="宋体"/>
                <w:i w:val="0"/>
                <w:iCs w:val="0"/>
                <w:color w:val="FF0000"/>
                <w:kern w:val="0"/>
                <w:sz w:val="20"/>
                <w:szCs w:val="20"/>
                <w:u w:val="none"/>
                <w:lang w:val="en-US" w:eastAsia="zh-CN" w:bidi="ar"/>
              </w:rPr>
              <w:t>噻嗪酮</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108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r>
      <w:tr w14:paraId="77B57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68C1E57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D374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DA4100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C95032">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700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火龙果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6F1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EB6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氟虫腈、甲胺磷、克百威、氧乐果</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577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r>
      <w:tr w14:paraId="1B8D4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480" w:type="dxa"/>
            <w:vMerge w:val="continue"/>
            <w:tcBorders>
              <w:left w:val="single" w:color="000000" w:sz="4" w:space="0"/>
              <w:right w:val="nil"/>
            </w:tcBorders>
            <w:shd w:val="clear" w:color="auto" w:fill="auto"/>
            <w:vAlign w:val="center"/>
          </w:tcPr>
          <w:p w14:paraId="45DFCEA6">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F86000">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0286EB4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94BE5">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B17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荔枝</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042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B4D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多菌灵、氧乐果、毒死蜱、</w:t>
            </w:r>
            <w:r>
              <w:rPr>
                <w:rFonts w:hint="eastAsia" w:ascii="宋体" w:hAnsi="宋体" w:eastAsia="宋体" w:cs="宋体"/>
                <w:i w:val="0"/>
                <w:iCs w:val="0"/>
                <w:color w:val="FF0000"/>
                <w:kern w:val="0"/>
                <w:sz w:val="20"/>
                <w:szCs w:val="20"/>
                <w:u w:val="none"/>
                <w:lang w:val="en-US" w:eastAsia="zh-CN" w:bidi="ar"/>
              </w:rPr>
              <w:t>氯氟氰菊酯和高效氯氟氰菊酯</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吡唑醚菌酯</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D0E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18A66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480" w:type="dxa"/>
            <w:vMerge w:val="continue"/>
            <w:tcBorders>
              <w:left w:val="single" w:color="000000" w:sz="4" w:space="0"/>
              <w:right w:val="nil"/>
            </w:tcBorders>
            <w:shd w:val="clear" w:color="auto" w:fill="auto"/>
            <w:vAlign w:val="center"/>
          </w:tcPr>
          <w:p w14:paraId="4AAFAF8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412EA">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31AB54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7A0AA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FB9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杨梅</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4D0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F23C3">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脱氢乙酸及其钠盐(以脱氢乙酸计)</w:t>
            </w:r>
            <w:r>
              <w:rPr>
                <w:rStyle w:val="121"/>
                <w:lang w:val="en-US" w:eastAsia="zh-CN" w:bidi="ar"/>
              </w:rPr>
              <w:t>、</w:t>
            </w:r>
            <w:r>
              <w:rPr>
                <w:rFonts w:hint="eastAsia" w:ascii="宋体" w:hAnsi="宋体" w:eastAsia="宋体" w:cs="宋体"/>
                <w:i w:val="0"/>
                <w:iCs w:val="0"/>
                <w:color w:val="FF0000"/>
                <w:kern w:val="0"/>
                <w:sz w:val="20"/>
                <w:szCs w:val="20"/>
                <w:u w:val="none"/>
                <w:lang w:val="en-US" w:eastAsia="zh-CN" w:bidi="ar"/>
              </w:rPr>
              <w:t>糖精钠(以糖精计)、</w:t>
            </w:r>
            <w:r>
              <w:rPr>
                <w:rStyle w:val="121"/>
                <w:lang w:val="en-US" w:eastAsia="zh-CN" w:bidi="ar"/>
              </w:rPr>
              <w:t>三氯蔗糖、甜蜜素(以环己基氨基磺酸计)</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61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640E4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09AA3A4B">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2B79F8">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1BAADC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水果类</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1070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热带和亚热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带水果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FC1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龙眼</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D6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6FD92">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二氧化硫残留量</w:t>
            </w:r>
            <w:r>
              <w:rPr>
                <w:rStyle w:val="121"/>
                <w:lang w:val="en-US" w:eastAsia="zh-CN" w:bidi="ar"/>
              </w:rPr>
              <w:t>、克百威、氯氰菊酯和高效氯氰菊酯、氧乐果</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F2D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34DC4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480" w:type="dxa"/>
            <w:vMerge w:val="continue"/>
            <w:tcBorders>
              <w:left w:val="single" w:color="000000" w:sz="4" w:space="0"/>
              <w:right w:val="nil"/>
            </w:tcBorders>
            <w:shd w:val="clear" w:color="auto" w:fill="auto"/>
            <w:vAlign w:val="center"/>
          </w:tcPr>
          <w:p w14:paraId="7DAF929C">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974852">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2180274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810F6">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19D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番木瓜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940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D0ADE">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噻虫胺、噻虫嗪</w:t>
            </w:r>
            <w:r>
              <w:rPr>
                <w:rStyle w:val="121"/>
                <w:lang w:val="en-US" w:eastAsia="zh-CN" w:bidi="ar"/>
              </w:rPr>
              <w:t>、乙酰甲胺磷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0C1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281677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right w:val="nil"/>
            </w:tcBorders>
            <w:shd w:val="clear" w:color="auto" w:fill="auto"/>
            <w:vAlign w:val="center"/>
          </w:tcPr>
          <w:p w14:paraId="3E77B7E5">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D653CE">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8167F50">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46AC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瓜果类水果</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10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43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1C4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克百威、噻虫嗪、氧乐果、乙酰甲胺磷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6A9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3A88D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continue"/>
            <w:tcBorders>
              <w:left w:val="single" w:color="000000" w:sz="4" w:space="0"/>
              <w:bottom w:val="single" w:color="000000" w:sz="4" w:space="0"/>
              <w:right w:val="nil"/>
            </w:tcBorders>
            <w:shd w:val="clear" w:color="auto" w:fill="auto"/>
            <w:vAlign w:val="center"/>
          </w:tcPr>
          <w:p w14:paraId="12AB24A7">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8F7E49">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720B137F">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C6BA8E">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D8A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甜瓜类</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AC1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611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克百威、烯酰吗啉、氧乐果、乙酰甲胺磷</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BE7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r>
      <w:tr w14:paraId="5E3DE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80" w:type="dxa"/>
            <w:vMerge w:val="restart"/>
            <w:tcBorders>
              <w:top w:val="single" w:color="000000" w:sz="4" w:space="0"/>
              <w:left w:val="single" w:color="000000" w:sz="4" w:space="0"/>
              <w:right w:val="nil"/>
            </w:tcBorders>
            <w:shd w:val="clear" w:color="auto" w:fill="auto"/>
            <w:vAlign w:val="center"/>
          </w:tcPr>
          <w:p w14:paraId="2FEA96B6">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5</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0FF58B">
            <w:pPr>
              <w:jc w:val="center"/>
              <w:rPr>
                <w:rFonts w:hint="eastAsia" w:ascii="宋体" w:hAnsi="宋体" w:eastAsia="宋体" w:cs="宋体"/>
                <w:i w:val="0"/>
                <w:iCs w:val="0"/>
                <w:color w:val="000000"/>
                <w:sz w:val="20"/>
                <w:szCs w:val="20"/>
                <w:u w:val="none"/>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6CB434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鲜蛋</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4139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鲜蛋</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9E9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鸡蛋</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7C3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009AD">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甲硝唑、地美硝唑、</w:t>
            </w:r>
            <w:r>
              <w:rPr>
                <w:rStyle w:val="121"/>
                <w:lang w:val="en-US" w:eastAsia="zh-CN" w:bidi="ar"/>
              </w:rPr>
              <w:t>呋喃唑酮代谢物、氯霉素、恩诺沙星</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ED8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r>
      <w:tr w14:paraId="7A744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80" w:type="dxa"/>
            <w:vMerge w:val="continue"/>
            <w:tcBorders>
              <w:left w:val="single" w:color="000000" w:sz="4" w:space="0"/>
              <w:bottom w:val="single" w:color="000000" w:sz="4" w:space="0"/>
              <w:right w:val="nil"/>
            </w:tcBorders>
            <w:shd w:val="clear" w:color="auto" w:fill="auto"/>
            <w:vAlign w:val="center"/>
          </w:tcPr>
          <w:p w14:paraId="6F1DF921">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B9DC3">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43997B8B">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ABFD0">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B7A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其他禽蛋</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1FA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EDE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呋喃唑酮代谢物、磺胺类(总量)、多西环素</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E54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7C787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tcBorders>
              <w:top w:val="single" w:color="000000" w:sz="4" w:space="0"/>
              <w:left w:val="single" w:color="000000" w:sz="4" w:space="0"/>
              <w:bottom w:val="single" w:color="000000" w:sz="4" w:space="0"/>
              <w:right w:val="nil"/>
            </w:tcBorders>
            <w:shd w:val="clear" w:color="auto" w:fill="auto"/>
            <w:vAlign w:val="center"/>
          </w:tcPr>
          <w:p w14:paraId="1194B419">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6</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0C31C4">
            <w:pPr>
              <w:jc w:val="center"/>
              <w:rPr>
                <w:rFonts w:hint="eastAsia" w:ascii="宋体" w:hAnsi="宋体" w:eastAsia="宋体" w:cs="宋体"/>
                <w:i w:val="0"/>
                <w:iCs w:val="0"/>
                <w:color w:val="000000"/>
                <w:sz w:val="20"/>
                <w:szCs w:val="20"/>
                <w:u w:val="none"/>
              </w:rPr>
            </w:pPr>
          </w:p>
        </w:tc>
        <w:tc>
          <w:tcPr>
            <w:tcW w:w="735" w:type="dxa"/>
            <w:tcBorders>
              <w:top w:val="single" w:color="000000" w:sz="4" w:space="0"/>
              <w:left w:val="nil"/>
              <w:bottom w:val="single" w:color="000000" w:sz="4" w:space="0"/>
              <w:right w:val="single" w:color="000000" w:sz="4" w:space="0"/>
            </w:tcBorders>
            <w:shd w:val="clear" w:color="auto" w:fill="auto"/>
            <w:vAlign w:val="center"/>
          </w:tcPr>
          <w:p w14:paraId="6D511A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豆类</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F9F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豆类</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EBF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豆类</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5B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417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铅(以Pb计)、赭曲霉毒素A、吡虫啉、环丙唑醇</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D87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2A371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80" w:type="dxa"/>
            <w:vMerge w:val="restart"/>
            <w:tcBorders>
              <w:top w:val="single" w:color="000000" w:sz="4" w:space="0"/>
              <w:left w:val="single" w:color="000000" w:sz="4" w:space="0"/>
              <w:right w:val="nil"/>
            </w:tcBorders>
            <w:shd w:val="clear" w:color="auto" w:fill="auto"/>
            <w:vAlign w:val="center"/>
          </w:tcPr>
          <w:p w14:paraId="4E43473E">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7</w:t>
            </w: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B86EFD">
            <w:pPr>
              <w:jc w:val="center"/>
              <w:rPr>
                <w:rFonts w:hint="eastAsia" w:ascii="宋体" w:hAnsi="宋体" w:eastAsia="宋体" w:cs="宋体"/>
                <w:i w:val="0"/>
                <w:iCs w:val="0"/>
                <w:color w:val="000000"/>
                <w:sz w:val="20"/>
                <w:szCs w:val="20"/>
                <w:u w:val="none"/>
                <w:lang w:val="en-US" w:eastAsia="zh-CN"/>
              </w:rPr>
            </w:pPr>
          </w:p>
        </w:tc>
        <w:tc>
          <w:tcPr>
            <w:tcW w:w="735" w:type="dxa"/>
            <w:vMerge w:val="restart"/>
            <w:tcBorders>
              <w:top w:val="single" w:color="000000" w:sz="4" w:space="0"/>
              <w:left w:val="nil"/>
              <w:bottom w:val="single" w:color="000000" w:sz="4" w:space="0"/>
              <w:right w:val="single" w:color="000000" w:sz="4" w:space="0"/>
            </w:tcBorders>
            <w:shd w:val="clear" w:color="auto" w:fill="auto"/>
            <w:vAlign w:val="center"/>
          </w:tcPr>
          <w:p w14:paraId="07262E3B">
            <w:pPr>
              <w:jc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生干坚果与</w:t>
            </w:r>
            <w:r>
              <w:rPr>
                <w:rFonts w:hint="eastAsia" w:ascii="宋体" w:hAnsi="宋体" w:eastAsia="宋体" w:cs="宋体"/>
                <w:i w:val="0"/>
                <w:iCs w:val="0"/>
                <w:color w:val="000000"/>
                <w:sz w:val="20"/>
                <w:szCs w:val="20"/>
                <w:u w:val="none"/>
                <w:lang w:val="en-US" w:eastAsia="zh-CN"/>
              </w:rPr>
              <w:br w:type="textWrapping"/>
            </w:r>
            <w:r>
              <w:rPr>
                <w:rFonts w:hint="eastAsia" w:ascii="宋体" w:hAnsi="宋体" w:eastAsia="宋体" w:cs="宋体"/>
                <w:i w:val="0"/>
                <w:iCs w:val="0"/>
                <w:color w:val="000000"/>
                <w:sz w:val="20"/>
                <w:szCs w:val="20"/>
                <w:u w:val="none"/>
                <w:lang w:val="en-US" w:eastAsia="zh-CN"/>
              </w:rPr>
              <w:t>籽类食品</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B95E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生干坚果与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籽类食品</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AF7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生干坚果</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F20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9F7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酸价(以脂肪计)(KOH)、过氧化值(以脂肪计)、二氧化硫残留量</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F60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19037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vMerge w:val="continue"/>
            <w:tcBorders>
              <w:left w:val="single" w:color="000000" w:sz="4" w:space="0"/>
              <w:right w:val="nil"/>
            </w:tcBorders>
            <w:shd w:val="clear" w:color="auto" w:fill="auto"/>
            <w:vAlign w:val="center"/>
          </w:tcPr>
          <w:p w14:paraId="5CDB9D7D">
            <w:pPr>
              <w:jc w:val="center"/>
              <w:rPr>
                <w:rFonts w:hint="eastAsia" w:ascii="宋体" w:hAnsi="宋体" w:eastAsia="宋体" w:cs="宋体"/>
                <w:i w:val="0"/>
                <w:iCs w:val="0"/>
                <w:color w:val="000000"/>
                <w:sz w:val="20"/>
                <w:szCs w:val="20"/>
                <w:u w:val="none"/>
              </w:rPr>
            </w:pPr>
          </w:p>
        </w:tc>
        <w:tc>
          <w:tcPr>
            <w:tcW w:w="7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4B0316">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nil"/>
              <w:bottom w:val="single" w:color="000000" w:sz="4" w:space="0"/>
              <w:right w:val="single" w:color="000000" w:sz="4" w:space="0"/>
            </w:tcBorders>
            <w:shd w:val="clear" w:color="auto" w:fill="auto"/>
            <w:vAlign w:val="center"/>
          </w:tcPr>
          <w:p w14:paraId="63FF9558">
            <w:pPr>
              <w:jc w:val="center"/>
              <w:rPr>
                <w:rFonts w:hint="eastAsia" w:ascii="宋体" w:hAnsi="宋体" w:eastAsia="宋体" w:cs="宋体"/>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2D6D4F">
            <w:pPr>
              <w:jc w:val="center"/>
              <w:rPr>
                <w:rFonts w:hint="eastAsia" w:ascii="宋体" w:hAnsi="宋体" w:eastAsia="宋体" w:cs="宋体"/>
                <w:i w:val="0"/>
                <w:iCs w:val="0"/>
                <w:color w:val="000000"/>
                <w:sz w:val="20"/>
                <w:szCs w:val="20"/>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A57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生干籽类</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49A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6D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酸价(以脂肪计)(KOH)、过氧化值(以脂肪计)、黄曲霉毒素B</w:t>
            </w:r>
            <w:r>
              <w:rPr>
                <w:rStyle w:val="122"/>
                <w:rFonts w:eastAsia="宋体"/>
                <w:lang w:val="en-US" w:eastAsia="zh-CN" w:bidi="ar"/>
              </w:rPr>
              <w:t>₁</w:t>
            </w:r>
            <w:r>
              <w:rPr>
                <w:rStyle w:val="121"/>
                <w:lang w:val="en-US" w:eastAsia="zh-CN" w:bidi="ar"/>
              </w:rPr>
              <w:t xml:space="preserve"> </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C5E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r>
      <w:tr w14:paraId="599F9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384" w:type="dxa"/>
            <w:gridSpan w:val="7"/>
            <w:tcBorders>
              <w:left w:val="single" w:color="000000" w:sz="4" w:space="0"/>
              <w:bottom w:val="single" w:color="000000" w:sz="4" w:space="0"/>
              <w:right w:val="single" w:color="000000" w:sz="4" w:space="0"/>
            </w:tcBorders>
            <w:shd w:val="clear" w:color="auto" w:fill="auto"/>
            <w:vAlign w:val="center"/>
          </w:tcPr>
          <w:p w14:paraId="0E5A5199">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合计</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B2AD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1373</w:t>
            </w:r>
          </w:p>
        </w:tc>
      </w:tr>
    </w:tbl>
    <w:p w14:paraId="3D2C5174">
      <w:pPr>
        <w:spacing w:line="360" w:lineRule="auto"/>
        <w:jc w:val="left"/>
        <w:rPr>
          <w:rFonts w:hint="eastAsia" w:ascii="宋体" w:hAnsi="宋体"/>
          <w:szCs w:val="21"/>
          <w:highlight w:val="none"/>
        </w:rPr>
      </w:pPr>
    </w:p>
    <w:p w14:paraId="3E17515B">
      <w:pPr>
        <w:pageBreakBefore w:val="0"/>
        <w:kinsoku/>
        <w:wordWrap/>
        <w:overflowPunct/>
        <w:topLinePunct w:val="0"/>
        <w:bidi w:val="0"/>
        <w:snapToGrid w:val="0"/>
        <w:spacing w:line="360" w:lineRule="auto"/>
        <w:ind w:firstLine="482" w:firstLineChars="200"/>
        <w:outlineLvl w:val="9"/>
        <w:rPr>
          <w:rFonts w:hint="default" w:ascii="宋体" w:hAnsi="宋体" w:eastAsia="宋体" w:cs="Times New Roman"/>
          <w:b/>
          <w:bCs/>
          <w:sz w:val="24"/>
          <w:highlight w:val="none"/>
          <w:lang w:val="en-US" w:eastAsia="zh-CN"/>
        </w:rPr>
      </w:pPr>
      <w:r>
        <w:rPr>
          <w:rFonts w:hint="default" w:ascii="宋体" w:hAnsi="宋体" w:eastAsia="宋体" w:cs="Times New Roman"/>
          <w:b/>
          <w:bCs/>
          <w:sz w:val="24"/>
          <w:highlight w:val="none"/>
          <w:lang w:val="en-US" w:eastAsia="zh-CN"/>
        </w:rPr>
        <w:t>二标段</w:t>
      </w:r>
      <w:r>
        <w:rPr>
          <w:rFonts w:hint="eastAsia" w:ascii="宋体" w:hAnsi="宋体" w:eastAsia="宋体" w:cs="Times New Roman"/>
          <w:b/>
          <w:bCs/>
          <w:sz w:val="24"/>
          <w:highlight w:val="none"/>
          <w:lang w:val="en-US" w:eastAsia="zh-CN"/>
        </w:rPr>
        <w:t>普通食品抽检</w:t>
      </w:r>
      <w:r>
        <w:rPr>
          <w:rFonts w:hint="default" w:ascii="宋体" w:hAnsi="宋体" w:eastAsia="宋体" w:cs="Times New Roman"/>
          <w:b/>
          <w:bCs/>
          <w:sz w:val="24"/>
          <w:highlight w:val="none"/>
          <w:lang w:val="en-US" w:eastAsia="zh-CN"/>
        </w:rPr>
        <w:t>：</w:t>
      </w:r>
      <w:r>
        <w:rPr>
          <w:rFonts w:hint="eastAsia" w:ascii="宋体" w:hAnsi="宋体" w:eastAsia="宋体" w:cs="Times New Roman"/>
          <w:b/>
          <w:bCs/>
          <w:sz w:val="24"/>
          <w:highlight w:val="none"/>
          <w:lang w:val="en-US" w:eastAsia="zh-CN"/>
        </w:rPr>
        <w:t>450000</w:t>
      </w:r>
      <w:r>
        <w:rPr>
          <w:rFonts w:hint="default" w:ascii="宋体" w:hAnsi="宋体" w:eastAsia="宋体" w:cs="Times New Roman"/>
          <w:b/>
          <w:bCs/>
          <w:sz w:val="24"/>
          <w:highlight w:val="none"/>
          <w:lang w:val="en-US" w:eastAsia="zh-CN"/>
        </w:rPr>
        <w:t>.00元</w:t>
      </w:r>
    </w:p>
    <w:p w14:paraId="504B6A32">
      <w:pPr>
        <w:spacing w:line="360" w:lineRule="auto"/>
        <w:ind w:firstLine="482" w:firstLineChars="200"/>
        <w:jc w:val="left"/>
        <w:rPr>
          <w:rFonts w:hint="eastAsia" w:ascii="宋体" w:hAnsi="宋体"/>
          <w:szCs w:val="21"/>
          <w:highlight w:val="none"/>
        </w:rPr>
      </w:pPr>
      <w:r>
        <w:rPr>
          <w:rFonts w:hint="eastAsia" w:ascii="宋体" w:hAnsi="宋体" w:eastAsia="宋体" w:cs="Times New Roman"/>
          <w:b/>
          <w:bCs/>
          <w:sz w:val="24"/>
          <w:highlight w:val="none"/>
          <w:lang w:val="en-US" w:eastAsia="zh-CN"/>
        </w:rPr>
        <w:t>以下为二标段检测需求：</w:t>
      </w:r>
    </w:p>
    <w:tbl>
      <w:tblPr>
        <w:tblStyle w:val="38"/>
        <w:tblW w:w="926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17"/>
        <w:gridCol w:w="737"/>
        <w:gridCol w:w="675"/>
        <w:gridCol w:w="705"/>
        <w:gridCol w:w="975"/>
        <w:gridCol w:w="510"/>
        <w:gridCol w:w="4140"/>
        <w:gridCol w:w="630"/>
        <w:gridCol w:w="480"/>
      </w:tblGrid>
      <w:tr w14:paraId="796CB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7446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FA2A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食品大类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（一级）</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6670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食品亚类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（二级）</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6087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食品品种</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（三级）</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FE0F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食品细类</w:t>
            </w:r>
            <w:r>
              <w:rPr>
                <w:rFonts w:hint="eastAsia" w:ascii="宋体" w:hAnsi="宋体" w:eastAsia="宋体" w:cs="宋体"/>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（四级）</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2E5F3">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风险等级</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0CE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抽检项目</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65C23">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抽检批次</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637C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备注</w:t>
            </w:r>
          </w:p>
        </w:tc>
      </w:tr>
      <w:tr w14:paraId="79BD1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C19F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3480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粮食加工品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D84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小麦粉</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47A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小麦粉</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10A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小麦粉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496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7D3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镉(以Cd计)、脱氧雪腐镰刀菌烯醇、赭曲霉毒素A、黄曲霉毒素B</w:t>
            </w:r>
            <w:r>
              <w:rPr>
                <w:rFonts w:hint="default" w:ascii="Times New Roman" w:hAnsi="Times New Roman" w:eastAsia="宋体" w:cs="Times New Roman"/>
                <w:i w:val="0"/>
                <w:iCs w:val="0"/>
                <w:color w:val="000000"/>
                <w:kern w:val="0"/>
                <w:sz w:val="20"/>
                <w:szCs w:val="20"/>
                <w:u w:val="none"/>
                <w:lang w:val="en-US" w:eastAsia="zh-CN" w:bidi="ar"/>
              </w:rPr>
              <w:t>₁</w:t>
            </w:r>
            <w:r>
              <w:rPr>
                <w:rStyle w:val="123"/>
                <w:lang w:val="en-US" w:eastAsia="zh-CN" w:bidi="ar"/>
              </w:rPr>
              <w:t>、偶氮甲酰胺、过氧化苯甲酰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FB2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ABA739E">
            <w:pPr>
              <w:jc w:val="left"/>
              <w:rPr>
                <w:rFonts w:hint="eastAsia" w:ascii="宋体" w:hAnsi="宋体" w:eastAsia="宋体" w:cs="宋体"/>
                <w:i w:val="0"/>
                <w:iCs w:val="0"/>
                <w:color w:val="000000"/>
                <w:sz w:val="20"/>
                <w:szCs w:val="20"/>
                <w:u w:val="none"/>
              </w:rPr>
            </w:pPr>
          </w:p>
        </w:tc>
      </w:tr>
      <w:tr w14:paraId="1838B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482D9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F94446">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B80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大米</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1EF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大米</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F72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大米</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80A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C2C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镉(以Cd计)、苯并[a]芘、黄曲霉毒素B</w:t>
            </w:r>
            <w:r>
              <w:rPr>
                <w:rStyle w:val="124"/>
                <w:rFonts w:eastAsia="宋体"/>
                <w:lang w:val="en-US" w:eastAsia="zh-CN" w:bidi="ar"/>
              </w:rPr>
              <w:t>₁</w:t>
            </w:r>
            <w:r>
              <w:rPr>
                <w:rStyle w:val="123"/>
                <w:lang w:val="en-US" w:eastAsia="zh-CN" w:bidi="ar"/>
              </w:rPr>
              <w:t xml:space="preserve"> 、赭曲霉毒素A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247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2964F0E">
            <w:pPr>
              <w:jc w:val="left"/>
              <w:rPr>
                <w:rFonts w:hint="eastAsia" w:ascii="宋体" w:hAnsi="宋体" w:eastAsia="宋体" w:cs="宋体"/>
                <w:i w:val="0"/>
                <w:iCs w:val="0"/>
                <w:color w:val="000000"/>
                <w:sz w:val="20"/>
                <w:szCs w:val="20"/>
                <w:u w:val="none"/>
              </w:rPr>
            </w:pPr>
          </w:p>
        </w:tc>
      </w:tr>
      <w:tr w14:paraId="50FF9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42AC0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D847FE">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FB0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挂面</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6EB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挂面</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ADF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挂面</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D5E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509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铅(以Pb计)、黄曲霉毒素B</w:t>
            </w:r>
            <w:r>
              <w:rPr>
                <w:rStyle w:val="124"/>
                <w:rFonts w:eastAsia="宋体"/>
                <w:lang w:val="en-US" w:eastAsia="zh-CN" w:bidi="ar"/>
              </w:rPr>
              <w:t>₁</w:t>
            </w:r>
            <w:r>
              <w:rPr>
                <w:rStyle w:val="123"/>
                <w:lang w:val="en-US" w:eastAsia="zh-CN" w:bidi="ar"/>
              </w:rPr>
              <w:t xml:space="preserve"> 、脱氢乙酸及其钠盐(以脱氢乙酸计)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B95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55D690D">
            <w:pPr>
              <w:jc w:val="left"/>
              <w:rPr>
                <w:rFonts w:hint="eastAsia" w:ascii="宋体" w:hAnsi="宋体" w:eastAsia="宋体" w:cs="宋体"/>
                <w:i w:val="0"/>
                <w:iCs w:val="0"/>
                <w:color w:val="000000"/>
                <w:sz w:val="20"/>
                <w:szCs w:val="20"/>
                <w:u w:val="none"/>
              </w:rPr>
            </w:pPr>
          </w:p>
        </w:tc>
      </w:tr>
      <w:tr w14:paraId="6A5D7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FD211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3EFAE8">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D078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其他粮食加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BBF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谷物加工品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FE3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谷物加工品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93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352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23"/>
                <w:lang w:val="en-US" w:eastAsia="zh-CN" w:bidi="ar"/>
              </w:rPr>
              <w:t>铅(以Pb计)、镉(以Cd计)、黄曲霉毒素B</w:t>
            </w:r>
            <w:r>
              <w:rPr>
                <w:rStyle w:val="124"/>
                <w:rFonts w:eastAsia="宋体"/>
                <w:lang w:val="en-US" w:eastAsia="zh-CN" w:bidi="ar"/>
              </w:rPr>
              <w:t>₁</w:t>
            </w:r>
            <w:r>
              <w:rPr>
                <w:rStyle w:val="123"/>
                <w:lang w:val="en-US" w:eastAsia="zh-CN" w:bidi="ar"/>
              </w:rPr>
              <w:t xml:space="preserve"> 、赭曲霉毒素A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87D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F5FA406">
            <w:pPr>
              <w:jc w:val="left"/>
              <w:rPr>
                <w:rFonts w:hint="eastAsia" w:ascii="宋体" w:hAnsi="宋体" w:eastAsia="宋体" w:cs="宋体"/>
                <w:i w:val="0"/>
                <w:iCs w:val="0"/>
                <w:color w:val="000000"/>
                <w:sz w:val="20"/>
                <w:szCs w:val="20"/>
                <w:u w:val="none"/>
              </w:rPr>
            </w:pPr>
          </w:p>
        </w:tc>
      </w:tr>
      <w:tr w14:paraId="62F52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1AAEF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6C7DC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F69A58">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8BC5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谷物碾磨加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工品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DEE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玉米粉(片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、渣)</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F0C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086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黄曲霉毒素B</w:t>
            </w:r>
            <w:r>
              <w:rPr>
                <w:rStyle w:val="124"/>
                <w:rFonts w:eastAsia="宋体"/>
                <w:lang w:val="en-US" w:eastAsia="zh-CN" w:bidi="ar"/>
              </w:rPr>
              <w:t>₁</w:t>
            </w:r>
            <w:r>
              <w:rPr>
                <w:rStyle w:val="123"/>
                <w:lang w:val="en-US" w:eastAsia="zh-CN" w:bidi="ar"/>
              </w:rPr>
              <w:t xml:space="preserve"> 、赭曲霉毒素A、玉米赤霉烯酮、脱氧雪腐镰刀菌烯醇</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451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DBFD738">
            <w:pPr>
              <w:jc w:val="left"/>
              <w:rPr>
                <w:rFonts w:hint="eastAsia" w:ascii="宋体" w:hAnsi="宋体" w:eastAsia="宋体" w:cs="宋体"/>
                <w:i w:val="0"/>
                <w:iCs w:val="0"/>
                <w:color w:val="000000"/>
                <w:sz w:val="20"/>
                <w:szCs w:val="20"/>
                <w:u w:val="none"/>
              </w:rPr>
            </w:pPr>
          </w:p>
        </w:tc>
      </w:tr>
      <w:tr w14:paraId="21BA8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7AA3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048DBC">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63992F">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77585F">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78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F4E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6FA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铅(以Pb计)、镉(以Cd计)、总汞(以Hg计)、苯并[a]芘</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52D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5B9B03F">
            <w:pPr>
              <w:jc w:val="left"/>
              <w:rPr>
                <w:rFonts w:hint="eastAsia" w:ascii="宋体" w:hAnsi="宋体" w:eastAsia="宋体" w:cs="宋体"/>
                <w:i w:val="0"/>
                <w:iCs w:val="0"/>
                <w:color w:val="000000"/>
                <w:sz w:val="20"/>
                <w:szCs w:val="20"/>
                <w:u w:val="none"/>
              </w:rPr>
            </w:pPr>
          </w:p>
        </w:tc>
      </w:tr>
      <w:tr w14:paraId="173A7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A4C59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C95B2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387B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84D3EC">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C0F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其他谷物碾</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磨加工品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316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CB5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铅(以Pb计)、铬(以Cr计)、赭曲霉毒素A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99C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99D085C">
            <w:pPr>
              <w:jc w:val="left"/>
              <w:rPr>
                <w:rFonts w:hint="eastAsia" w:ascii="宋体" w:hAnsi="宋体" w:eastAsia="宋体" w:cs="宋体"/>
                <w:i w:val="0"/>
                <w:iCs w:val="0"/>
                <w:color w:val="000000"/>
                <w:sz w:val="20"/>
                <w:szCs w:val="20"/>
                <w:u w:val="none"/>
              </w:rPr>
            </w:pPr>
          </w:p>
        </w:tc>
      </w:tr>
      <w:tr w14:paraId="2EBD7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81A88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9A270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672E0F">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6FB3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谷物粉类制成品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B8E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生湿面制品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D6C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69D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铅(以Pb计)、山梨酸及其钾盐(以山梨酸计)、脱氢乙酸及其钠盐(以脱氢乙酸计)、二氧化硫残留量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A1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D7FFEF9">
            <w:pPr>
              <w:jc w:val="left"/>
              <w:rPr>
                <w:rFonts w:hint="eastAsia" w:ascii="宋体" w:hAnsi="宋体" w:eastAsia="宋体" w:cs="宋体"/>
                <w:i w:val="0"/>
                <w:iCs w:val="0"/>
                <w:color w:val="000000"/>
                <w:sz w:val="20"/>
                <w:szCs w:val="20"/>
                <w:u w:val="none"/>
              </w:rPr>
            </w:pPr>
          </w:p>
        </w:tc>
      </w:tr>
      <w:tr w14:paraId="45325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22555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564B6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491ECC">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FE09E6">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11A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发酵面制品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697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F78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E25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A2584E6">
            <w:pPr>
              <w:jc w:val="left"/>
              <w:rPr>
                <w:rFonts w:hint="eastAsia" w:ascii="宋体" w:hAnsi="宋体" w:eastAsia="宋体" w:cs="宋体"/>
                <w:i w:val="0"/>
                <w:iCs w:val="0"/>
                <w:color w:val="000000"/>
                <w:sz w:val="20"/>
                <w:szCs w:val="20"/>
                <w:u w:val="none"/>
              </w:rPr>
            </w:pPr>
          </w:p>
        </w:tc>
      </w:tr>
      <w:tr w14:paraId="1CFFA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D3929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27FC96">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29579C">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E68375">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05B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米粉制品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146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BE0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脱氢乙酸及其钠盐(以脱氢乙酸计)、二氧化硫残留量、菌落总数、大肠菌群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AB8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C40AEA6">
            <w:pPr>
              <w:jc w:val="left"/>
              <w:rPr>
                <w:rFonts w:hint="eastAsia" w:ascii="宋体" w:hAnsi="宋体" w:eastAsia="宋体" w:cs="宋体"/>
                <w:i w:val="0"/>
                <w:iCs w:val="0"/>
                <w:color w:val="000000"/>
                <w:sz w:val="20"/>
                <w:szCs w:val="20"/>
                <w:u w:val="none"/>
              </w:rPr>
            </w:pPr>
          </w:p>
        </w:tc>
      </w:tr>
      <w:tr w14:paraId="18C6E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5FCE2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5DB9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A5F23">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DCB453">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454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其他谷物粉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类制成品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2AB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CF7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黄曲霉毒素B</w:t>
            </w:r>
            <w:r>
              <w:rPr>
                <w:rStyle w:val="124"/>
                <w:rFonts w:eastAsia="宋体"/>
                <w:lang w:val="en-US" w:eastAsia="zh-CN" w:bidi="ar"/>
              </w:rPr>
              <w:t>₁</w:t>
            </w:r>
            <w:r>
              <w:rPr>
                <w:rStyle w:val="123"/>
                <w:lang w:val="en-US" w:eastAsia="zh-CN" w:bidi="ar"/>
              </w:rPr>
              <w:t xml:space="preserve"> 、山梨酸及其钾盐(以山梨酸计)、脱氢乙酸及其钠盐(以脱氢乙酸计)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821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19B638D">
            <w:pPr>
              <w:jc w:val="left"/>
              <w:rPr>
                <w:rFonts w:hint="eastAsia" w:ascii="宋体" w:hAnsi="宋体" w:eastAsia="宋体" w:cs="宋体"/>
                <w:i w:val="0"/>
                <w:iCs w:val="0"/>
                <w:color w:val="000000"/>
                <w:sz w:val="20"/>
                <w:szCs w:val="20"/>
                <w:u w:val="none"/>
              </w:rPr>
            </w:pPr>
          </w:p>
        </w:tc>
      </w:tr>
      <w:tr w14:paraId="4DE72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D87E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D109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食用油、油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脂及其制品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A620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食用植物油</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1DA0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食用植物油</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910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花生油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328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05A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酸值/酸价、过氧化值、黄曲霉毒素B</w:t>
            </w:r>
            <w:r>
              <w:rPr>
                <w:rStyle w:val="124"/>
                <w:rFonts w:eastAsia="宋体"/>
                <w:lang w:val="en-US" w:eastAsia="zh-CN" w:bidi="ar"/>
              </w:rPr>
              <w:t>₁</w:t>
            </w:r>
            <w:r>
              <w:rPr>
                <w:rStyle w:val="123"/>
                <w:lang w:val="en-US" w:eastAsia="zh-CN" w:bidi="ar"/>
              </w:rPr>
              <w:t xml:space="preserve"> 、苯并[a]芘</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0CF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2F136C3">
            <w:pPr>
              <w:jc w:val="left"/>
              <w:rPr>
                <w:rFonts w:hint="eastAsia" w:ascii="宋体" w:hAnsi="宋体" w:eastAsia="宋体" w:cs="宋体"/>
                <w:i w:val="0"/>
                <w:iCs w:val="0"/>
                <w:color w:val="000000"/>
                <w:sz w:val="20"/>
                <w:szCs w:val="20"/>
                <w:u w:val="none"/>
              </w:rPr>
            </w:pPr>
          </w:p>
        </w:tc>
      </w:tr>
      <w:tr w14:paraId="4A845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95EAA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340C1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5629F">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51185D">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A63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玉米油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713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387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酸值/酸价、过氧化值、黄曲霉毒素B</w:t>
            </w:r>
            <w:r>
              <w:rPr>
                <w:rStyle w:val="124"/>
                <w:rFonts w:eastAsia="宋体"/>
                <w:lang w:val="en-US" w:eastAsia="zh-CN" w:bidi="ar"/>
              </w:rPr>
              <w:t>₁</w:t>
            </w:r>
            <w:r>
              <w:rPr>
                <w:rStyle w:val="123"/>
                <w:lang w:val="en-US" w:eastAsia="zh-CN" w:bidi="ar"/>
              </w:rPr>
              <w:t xml:space="preserve"> 、特丁基对苯二酚(TBHQ)</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E33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0AE3401">
            <w:pPr>
              <w:jc w:val="left"/>
              <w:rPr>
                <w:rFonts w:hint="eastAsia" w:ascii="宋体" w:hAnsi="宋体" w:eastAsia="宋体" w:cs="宋体"/>
                <w:i w:val="0"/>
                <w:iCs w:val="0"/>
                <w:color w:val="000000"/>
                <w:sz w:val="20"/>
                <w:szCs w:val="20"/>
                <w:u w:val="none"/>
              </w:rPr>
            </w:pPr>
          </w:p>
        </w:tc>
      </w:tr>
      <w:tr w14:paraId="6E8FA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F3A7A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F37F1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12F934">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A01E56">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7D9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芝麻油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B57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F09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酸值/酸价、过氧化值、苯并[a]芘、乙基麦芽酚</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A36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25E8599">
            <w:pPr>
              <w:jc w:val="left"/>
              <w:rPr>
                <w:rFonts w:hint="eastAsia" w:ascii="宋体" w:hAnsi="宋体" w:eastAsia="宋体" w:cs="宋体"/>
                <w:i w:val="0"/>
                <w:iCs w:val="0"/>
                <w:color w:val="000000"/>
                <w:sz w:val="20"/>
                <w:szCs w:val="20"/>
                <w:u w:val="none"/>
              </w:rPr>
            </w:pPr>
          </w:p>
        </w:tc>
      </w:tr>
      <w:tr w14:paraId="6C443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1CBDF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46629C">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BFA94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DED3B3">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3FC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橄榄油、油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橄榄果渣油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DA5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01B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酸值/酸价、过氧化值、溶剂残留量、特丁基对苯二酚(TBHQ)</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FE1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3651F81">
            <w:pPr>
              <w:jc w:val="left"/>
              <w:rPr>
                <w:rFonts w:hint="eastAsia" w:ascii="宋体" w:hAnsi="宋体" w:eastAsia="宋体" w:cs="宋体"/>
                <w:i w:val="0"/>
                <w:iCs w:val="0"/>
                <w:color w:val="000000"/>
                <w:sz w:val="20"/>
                <w:szCs w:val="20"/>
                <w:u w:val="none"/>
              </w:rPr>
            </w:pPr>
          </w:p>
        </w:tc>
      </w:tr>
      <w:tr w14:paraId="45BDF7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89DE9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853EC5">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F8B9E4">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9A3DC8">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006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菜籽油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528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7E0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酸值/酸价、过氧化值、特丁基对苯二酚(TBHQ)、乙基麦芽酚</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6AC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78608C9">
            <w:pPr>
              <w:jc w:val="left"/>
              <w:rPr>
                <w:rFonts w:hint="eastAsia" w:ascii="宋体" w:hAnsi="宋体" w:eastAsia="宋体" w:cs="宋体"/>
                <w:i w:val="0"/>
                <w:iCs w:val="0"/>
                <w:color w:val="000000"/>
                <w:sz w:val="20"/>
                <w:szCs w:val="20"/>
                <w:u w:val="none"/>
              </w:rPr>
            </w:pPr>
          </w:p>
        </w:tc>
      </w:tr>
      <w:tr w14:paraId="338C9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4A21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C249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食用油、油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脂及其制品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A326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食用植物油</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054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食用植物油</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A41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大豆油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E89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4EE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酸值/酸价、过氧化值、苯并[a]芘、溶剂残留量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5F6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B55F77C">
            <w:pPr>
              <w:jc w:val="left"/>
              <w:rPr>
                <w:rFonts w:hint="eastAsia" w:ascii="宋体" w:hAnsi="宋体" w:eastAsia="宋体" w:cs="宋体"/>
                <w:i w:val="0"/>
                <w:iCs w:val="0"/>
                <w:color w:val="000000"/>
                <w:sz w:val="20"/>
                <w:szCs w:val="20"/>
                <w:u w:val="none"/>
              </w:rPr>
            </w:pPr>
          </w:p>
        </w:tc>
      </w:tr>
      <w:tr w14:paraId="1AC63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3A929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634BE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09AD83">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7D2749">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05C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食用植物调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和油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3B8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DA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酸价、过氧化值、苯并[a]芘、乙基麦芽酚</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189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22CCF31">
            <w:pPr>
              <w:jc w:val="left"/>
              <w:rPr>
                <w:rFonts w:hint="eastAsia" w:ascii="宋体" w:hAnsi="宋体" w:eastAsia="宋体" w:cs="宋体"/>
                <w:i w:val="0"/>
                <w:iCs w:val="0"/>
                <w:color w:val="000000"/>
                <w:sz w:val="20"/>
                <w:szCs w:val="20"/>
                <w:u w:val="none"/>
              </w:rPr>
            </w:pPr>
          </w:p>
        </w:tc>
      </w:tr>
      <w:tr w14:paraId="55A3D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D3E1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37F43">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C1E6B2">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3D6038">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7F8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其他食用植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物油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49B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78E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酸值/酸价、过氧化值、苯并[a]芘、特丁基对苯二酚(TBHQ)</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9A1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06DAC5B">
            <w:pPr>
              <w:jc w:val="left"/>
              <w:rPr>
                <w:rFonts w:hint="eastAsia" w:ascii="宋体" w:hAnsi="宋体" w:eastAsia="宋体" w:cs="宋体"/>
                <w:i w:val="0"/>
                <w:iCs w:val="0"/>
                <w:color w:val="000000"/>
                <w:sz w:val="20"/>
                <w:szCs w:val="20"/>
                <w:u w:val="none"/>
              </w:rPr>
            </w:pPr>
          </w:p>
        </w:tc>
      </w:tr>
      <w:tr w14:paraId="130C3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5"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8E94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42FF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D3F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574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酱油</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F25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6B6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747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氨基酸态氮、苯甲酸及其钠盐(以苯甲酸计)、脱氢乙酸及其钠盐(以脱氢乙酸计)、对羟基苯甲酸酯类及其钠盐(以对羟基苯甲酸计)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77C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C61CF83">
            <w:pPr>
              <w:jc w:val="left"/>
              <w:rPr>
                <w:rFonts w:hint="eastAsia" w:ascii="宋体" w:hAnsi="宋体" w:eastAsia="宋体" w:cs="宋体"/>
                <w:i w:val="0"/>
                <w:iCs w:val="0"/>
                <w:color w:val="000000"/>
                <w:sz w:val="20"/>
                <w:szCs w:val="20"/>
                <w:u w:val="none"/>
              </w:rPr>
            </w:pPr>
          </w:p>
        </w:tc>
      </w:tr>
      <w:tr w14:paraId="5CF96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F8BBC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119FB">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8FA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食醋</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7EF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食醋</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3C7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食醋</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869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093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总酸(以乙酸计)、山梨酸及其钾盐(以山梨酸计)、脱氢乙酸及其钠盐(以脱氢乙酸计)、对羟基苯甲酸酯类及其钠盐(以对羟基苯甲酸计)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708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3F0E492">
            <w:pPr>
              <w:jc w:val="left"/>
              <w:rPr>
                <w:rFonts w:hint="eastAsia" w:ascii="宋体" w:hAnsi="宋体" w:eastAsia="宋体" w:cs="宋体"/>
                <w:i w:val="0"/>
                <w:iCs w:val="0"/>
                <w:color w:val="000000"/>
                <w:sz w:val="20"/>
                <w:szCs w:val="20"/>
                <w:u w:val="none"/>
              </w:rPr>
            </w:pPr>
          </w:p>
        </w:tc>
      </w:tr>
      <w:tr w14:paraId="3492A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39E5E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994294">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06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酱类</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876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酿造酱</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440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黄豆酱、甜面酱等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A44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232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氨基酸态氮、黄曲霉毒素B</w:t>
            </w:r>
            <w:r>
              <w:rPr>
                <w:rStyle w:val="124"/>
                <w:rFonts w:eastAsia="宋体"/>
                <w:lang w:val="en-US" w:eastAsia="zh-CN" w:bidi="ar"/>
              </w:rPr>
              <w:t>₁</w:t>
            </w:r>
            <w:r>
              <w:rPr>
                <w:rStyle w:val="123"/>
                <w:lang w:val="en-US" w:eastAsia="zh-CN" w:bidi="ar"/>
              </w:rPr>
              <w:t xml:space="preserve"> 、苯甲酸及其钠盐(以苯甲酸计)、山梨酸及其钾盐(以山梨酸计)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D6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27D777E">
            <w:pPr>
              <w:jc w:val="left"/>
              <w:rPr>
                <w:rFonts w:hint="eastAsia" w:ascii="宋体" w:hAnsi="宋体" w:eastAsia="宋体" w:cs="宋体"/>
                <w:i w:val="0"/>
                <w:iCs w:val="0"/>
                <w:color w:val="000000"/>
                <w:sz w:val="20"/>
                <w:szCs w:val="20"/>
                <w:u w:val="none"/>
              </w:rPr>
            </w:pPr>
          </w:p>
        </w:tc>
      </w:tr>
      <w:tr w14:paraId="7858A9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A1873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F0B99E">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444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调味料酒</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5C9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B8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料酒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3F9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8C6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氨基酸态氮(以氮计)、山梨酸及其钾盐(以山梨酸计)、脱氢乙酸及其钠盐(以脱氢乙酸计)、甜蜜素(以环己基氨基磺酸计)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61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1A28C3D">
            <w:pPr>
              <w:jc w:val="left"/>
              <w:rPr>
                <w:rFonts w:hint="eastAsia" w:ascii="宋体" w:hAnsi="宋体" w:eastAsia="宋体" w:cs="宋体"/>
                <w:i w:val="0"/>
                <w:iCs w:val="0"/>
                <w:color w:val="000000"/>
                <w:sz w:val="20"/>
                <w:szCs w:val="20"/>
                <w:u w:val="none"/>
              </w:rPr>
            </w:pPr>
          </w:p>
        </w:tc>
      </w:tr>
      <w:tr w14:paraId="72425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7EC26E">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DAC118">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875A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香辛料类</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8FCB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香辛料类</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B16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香辛料调味油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3C1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4CB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酸价/酸值、过氧化值、铅(以Pb计)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5E8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3B3A841">
            <w:pPr>
              <w:jc w:val="left"/>
              <w:rPr>
                <w:rFonts w:hint="eastAsia" w:ascii="宋体" w:hAnsi="宋体" w:eastAsia="宋体" w:cs="宋体"/>
                <w:i w:val="0"/>
                <w:iCs w:val="0"/>
                <w:color w:val="000000"/>
                <w:sz w:val="20"/>
                <w:szCs w:val="20"/>
                <w:u w:val="none"/>
              </w:rPr>
            </w:pPr>
          </w:p>
        </w:tc>
      </w:tr>
      <w:tr w14:paraId="0DAA7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AAB2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7A81E5">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F12EB1">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2435E7">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2E1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辣椒、花椒</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、辣椒粉、花椒粉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BAE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76D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铅(以Pb计)、罗丹明B、二氧化硫残留量、合成着色剂(柠檬黄、日落黄、胭脂红)</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878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D457A52">
            <w:pPr>
              <w:jc w:val="left"/>
              <w:rPr>
                <w:rFonts w:hint="eastAsia" w:ascii="宋体" w:hAnsi="宋体" w:eastAsia="宋体" w:cs="宋体"/>
                <w:i w:val="0"/>
                <w:iCs w:val="0"/>
                <w:color w:val="000000"/>
                <w:sz w:val="20"/>
                <w:szCs w:val="20"/>
                <w:u w:val="none"/>
              </w:rPr>
            </w:pPr>
          </w:p>
        </w:tc>
      </w:tr>
      <w:tr w14:paraId="185411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1CAF8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506BF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251EA0">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FFEBD5">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D71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其他香辛料调味品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DE3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9C17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铅(以Pb计)、脱氢乙酸及其钠盐(以脱氢乙酸计)、二氧化硫残留量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A07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4268131">
            <w:pPr>
              <w:jc w:val="left"/>
              <w:rPr>
                <w:rFonts w:hint="eastAsia" w:ascii="宋体" w:hAnsi="宋体" w:eastAsia="宋体" w:cs="宋体"/>
                <w:i w:val="0"/>
                <w:iCs w:val="0"/>
                <w:color w:val="000000"/>
                <w:sz w:val="20"/>
                <w:szCs w:val="20"/>
                <w:u w:val="none"/>
              </w:rPr>
            </w:pPr>
          </w:p>
        </w:tc>
      </w:tr>
      <w:tr w14:paraId="52268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7"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7BD1F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38DF1B">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B08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AC6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固体复合调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味料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719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鸡粉、鸡精调味料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5D1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5B0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谷氨酸钠、呈味核苷酸二钠、铅(以Pb计)、糖精钠(以糖精计)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25E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E5B7C91">
            <w:pPr>
              <w:jc w:val="left"/>
              <w:rPr>
                <w:rFonts w:hint="eastAsia" w:ascii="宋体" w:hAnsi="宋体" w:eastAsia="宋体" w:cs="宋体"/>
                <w:i w:val="0"/>
                <w:iCs w:val="0"/>
                <w:color w:val="000000"/>
                <w:sz w:val="20"/>
                <w:szCs w:val="20"/>
                <w:u w:val="none"/>
              </w:rPr>
            </w:pPr>
          </w:p>
        </w:tc>
      </w:tr>
      <w:tr w14:paraId="08EBC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5" w:hRule="atLeast"/>
        </w:trPr>
        <w:tc>
          <w:tcPr>
            <w:tcW w:w="417" w:type="dxa"/>
            <w:vMerge w:val="restart"/>
            <w:tcBorders>
              <w:top w:val="single" w:color="000000" w:sz="4" w:space="0"/>
              <w:left w:val="single" w:color="000000" w:sz="4" w:space="0"/>
              <w:bottom w:val="nil"/>
              <w:right w:val="single" w:color="000000" w:sz="4" w:space="0"/>
            </w:tcBorders>
            <w:shd w:val="clear" w:color="auto" w:fill="auto"/>
            <w:vAlign w:val="center"/>
          </w:tcPr>
          <w:p w14:paraId="4EB52A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 </w:t>
            </w:r>
          </w:p>
        </w:tc>
        <w:tc>
          <w:tcPr>
            <w:tcW w:w="737" w:type="dxa"/>
            <w:vMerge w:val="restart"/>
            <w:tcBorders>
              <w:top w:val="single" w:color="000000" w:sz="4" w:space="0"/>
              <w:left w:val="nil"/>
              <w:bottom w:val="nil"/>
              <w:right w:val="single" w:color="000000" w:sz="4" w:space="0"/>
            </w:tcBorders>
            <w:shd w:val="clear" w:color="auto" w:fill="auto"/>
            <w:vAlign w:val="center"/>
          </w:tcPr>
          <w:p w14:paraId="12395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E7FD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0F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固体复合调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味料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FA9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其他固体调味料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037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AF7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罂粟碱、吗啡、可待因、那可丁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2B6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17DE9B5">
            <w:pPr>
              <w:jc w:val="left"/>
              <w:rPr>
                <w:rFonts w:hint="eastAsia" w:ascii="宋体" w:hAnsi="宋体" w:eastAsia="宋体" w:cs="宋体"/>
                <w:i w:val="0"/>
                <w:iCs w:val="0"/>
                <w:color w:val="000000"/>
                <w:sz w:val="20"/>
                <w:szCs w:val="20"/>
                <w:u w:val="none"/>
              </w:rPr>
            </w:pPr>
          </w:p>
        </w:tc>
      </w:tr>
      <w:tr w14:paraId="2B8D3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2844866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5A996D2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33987F">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A45A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半固体复合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调味料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5C4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蛋黄酱、沙拉酱</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159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55E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二氧化钛</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D83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404673D">
            <w:pPr>
              <w:jc w:val="left"/>
              <w:rPr>
                <w:rFonts w:hint="eastAsia" w:ascii="宋体" w:hAnsi="宋体" w:eastAsia="宋体" w:cs="宋体"/>
                <w:i w:val="0"/>
                <w:iCs w:val="0"/>
                <w:color w:val="000000"/>
                <w:sz w:val="20"/>
                <w:szCs w:val="20"/>
                <w:u w:val="none"/>
              </w:rPr>
            </w:pPr>
          </w:p>
        </w:tc>
      </w:tr>
      <w:tr w14:paraId="3F40E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7B1A0A3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768754D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8DBF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D41782">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884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坚果与籽类的泥(酱)</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19B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C0C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23"/>
                <w:lang w:val="en-US" w:eastAsia="zh-CN" w:bidi="ar"/>
              </w:rPr>
              <w:t>酸价/酸值、过氧化值、铅(以Pb计)、黄曲霉毒素B</w:t>
            </w:r>
            <w:r>
              <w:rPr>
                <w:rStyle w:val="124"/>
                <w:rFonts w:eastAsia="宋体"/>
                <w:lang w:val="en-US" w:eastAsia="zh-CN" w:bidi="ar"/>
              </w:rPr>
              <w:t>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286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83B2B24">
            <w:pPr>
              <w:jc w:val="left"/>
              <w:rPr>
                <w:rFonts w:hint="eastAsia" w:ascii="宋体" w:hAnsi="宋体" w:eastAsia="宋体" w:cs="宋体"/>
                <w:i w:val="0"/>
                <w:iCs w:val="0"/>
                <w:color w:val="000000"/>
                <w:sz w:val="20"/>
                <w:szCs w:val="20"/>
                <w:u w:val="none"/>
              </w:rPr>
            </w:pPr>
          </w:p>
        </w:tc>
      </w:tr>
      <w:tr w14:paraId="49C90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4CA4A92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104F0C9A">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CC55B">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4ED61">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7CE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辣椒酱</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5DC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41F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苯甲酸及其钠盐(以苯甲酸计)、山梨酸及其钾盐(以山梨酸计)、脱氢乙酸及其钠盐(以脱氢乙酸计)、防腐剂混合使用时各自用量占其最大使用量的比例之和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2B0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98BFD3D">
            <w:pPr>
              <w:jc w:val="left"/>
              <w:rPr>
                <w:rFonts w:hint="eastAsia" w:ascii="宋体" w:hAnsi="宋体" w:eastAsia="宋体" w:cs="宋体"/>
                <w:i w:val="0"/>
                <w:iCs w:val="0"/>
                <w:color w:val="000000"/>
                <w:sz w:val="20"/>
                <w:szCs w:val="20"/>
                <w:u w:val="none"/>
              </w:rPr>
            </w:pPr>
          </w:p>
        </w:tc>
      </w:tr>
      <w:tr w14:paraId="4B510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7AC1C31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4D48A7A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E12B4">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9F75AE">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693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火锅底料、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麻辣烫底料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F62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CFE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罂粟碱、吗啡、可待因、那可丁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259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92D8DF6">
            <w:pPr>
              <w:jc w:val="left"/>
              <w:rPr>
                <w:rFonts w:hint="eastAsia" w:ascii="宋体" w:hAnsi="宋体" w:eastAsia="宋体" w:cs="宋体"/>
                <w:i w:val="0"/>
                <w:iCs w:val="0"/>
                <w:color w:val="000000"/>
                <w:sz w:val="20"/>
                <w:szCs w:val="20"/>
                <w:u w:val="none"/>
              </w:rPr>
            </w:pPr>
          </w:p>
        </w:tc>
      </w:tr>
      <w:tr w14:paraId="0ECED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2EAE89E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0DBA320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F7436E">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7A217C">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8A8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其他半固体调味料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574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CAB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苯甲酸及其钠盐(以苯甲酸计)、山梨酸及其钾盐(以山梨酸计)、脱氢乙酸及其钠盐(以脱氢乙酸计)、防腐剂混合使用时各自用量占其最大使用量的比例之和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DBA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AE6A11F">
            <w:pPr>
              <w:jc w:val="left"/>
              <w:rPr>
                <w:rFonts w:hint="eastAsia" w:ascii="宋体" w:hAnsi="宋体" w:eastAsia="宋体" w:cs="宋体"/>
                <w:i w:val="0"/>
                <w:iCs w:val="0"/>
                <w:color w:val="000000"/>
                <w:sz w:val="20"/>
                <w:szCs w:val="20"/>
                <w:u w:val="none"/>
              </w:rPr>
            </w:pPr>
          </w:p>
        </w:tc>
      </w:tr>
      <w:tr w14:paraId="10C10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2145380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276F075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E560C">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86B4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液体复合调</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味料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B87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蚝油、虾油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  、鱼露</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498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B92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氨基酸态氮、脱氢乙酸及其钠盐(以脱氢乙酸计)、菌落总数、大肠菌群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9EA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B342404">
            <w:pPr>
              <w:jc w:val="left"/>
              <w:rPr>
                <w:rFonts w:hint="eastAsia" w:ascii="宋体" w:hAnsi="宋体" w:eastAsia="宋体" w:cs="宋体"/>
                <w:i w:val="0"/>
                <w:iCs w:val="0"/>
                <w:color w:val="000000"/>
                <w:sz w:val="20"/>
                <w:szCs w:val="20"/>
                <w:u w:val="none"/>
              </w:rPr>
            </w:pPr>
          </w:p>
        </w:tc>
      </w:tr>
      <w:tr w14:paraId="697C1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3D66037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6AE51C54">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73F957">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0745EE">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EF2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其他液体调味料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FB1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38F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C88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EAA8A94">
            <w:pPr>
              <w:jc w:val="left"/>
              <w:rPr>
                <w:rFonts w:hint="eastAsia" w:ascii="宋体" w:hAnsi="宋体" w:eastAsia="宋体" w:cs="宋体"/>
                <w:i w:val="0"/>
                <w:iCs w:val="0"/>
                <w:color w:val="000000"/>
                <w:sz w:val="20"/>
                <w:szCs w:val="20"/>
                <w:u w:val="none"/>
              </w:rPr>
            </w:pPr>
          </w:p>
        </w:tc>
      </w:tr>
      <w:tr w14:paraId="4753C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6B6D53E0">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7C83D890">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36E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味精</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B02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味精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32C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味精</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270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AC1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谷氨酸钠</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8E4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46CDB71">
            <w:pPr>
              <w:jc w:val="left"/>
              <w:rPr>
                <w:rFonts w:hint="eastAsia" w:ascii="宋体" w:hAnsi="宋体" w:eastAsia="宋体" w:cs="宋体"/>
                <w:i w:val="0"/>
                <w:iCs w:val="0"/>
                <w:color w:val="000000"/>
                <w:sz w:val="20"/>
                <w:szCs w:val="20"/>
                <w:u w:val="none"/>
              </w:rPr>
            </w:pPr>
          </w:p>
        </w:tc>
      </w:tr>
      <w:tr w14:paraId="47E56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62533CF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32EE0BA7">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3465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食盐</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2ADD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食用盐</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659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普通食用盐</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66B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FDA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氯化钠、碘(以I计)、亚铁氰化钾/亚铁氰化钠(以亚铁氰根计)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07B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B000AFC">
            <w:pPr>
              <w:jc w:val="left"/>
              <w:rPr>
                <w:rFonts w:hint="eastAsia" w:ascii="宋体" w:hAnsi="宋体" w:eastAsia="宋体" w:cs="宋体"/>
                <w:i w:val="0"/>
                <w:iCs w:val="0"/>
                <w:color w:val="000000"/>
                <w:sz w:val="20"/>
                <w:szCs w:val="20"/>
                <w:u w:val="none"/>
              </w:rPr>
            </w:pPr>
          </w:p>
        </w:tc>
      </w:tr>
      <w:tr w14:paraId="556EF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1D55996C">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nil"/>
              <w:bottom w:val="nil"/>
              <w:right w:val="single" w:color="000000" w:sz="4" w:space="0"/>
            </w:tcBorders>
            <w:shd w:val="clear" w:color="auto" w:fill="auto"/>
            <w:vAlign w:val="center"/>
          </w:tcPr>
          <w:p w14:paraId="1DA95CBA">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55266A">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BA068">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94A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低钠食用盐</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76B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73D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氯化钾、碘(以I计)、亚铁氰化钾/亚铁氰化钠(以亚铁氰根计)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E21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BAA4F46">
            <w:pPr>
              <w:jc w:val="left"/>
              <w:rPr>
                <w:rFonts w:hint="eastAsia" w:ascii="宋体" w:hAnsi="宋体" w:eastAsia="宋体" w:cs="宋体"/>
                <w:i w:val="0"/>
                <w:iCs w:val="0"/>
                <w:color w:val="000000"/>
                <w:sz w:val="20"/>
                <w:szCs w:val="20"/>
                <w:u w:val="none"/>
              </w:rPr>
            </w:pPr>
          </w:p>
        </w:tc>
      </w:tr>
      <w:tr w14:paraId="5540B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ADF0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CE68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20F0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预制肉制品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FCE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调理肉制品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3AF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调理肉制品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(非速冻)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B6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1A0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D75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B8E5CE3">
            <w:pPr>
              <w:jc w:val="left"/>
              <w:rPr>
                <w:rFonts w:hint="eastAsia" w:ascii="宋体" w:hAnsi="宋体" w:eastAsia="宋体" w:cs="宋体"/>
                <w:i w:val="0"/>
                <w:iCs w:val="0"/>
                <w:color w:val="000000"/>
                <w:sz w:val="20"/>
                <w:szCs w:val="20"/>
                <w:u w:val="none"/>
              </w:rPr>
            </w:pPr>
          </w:p>
        </w:tc>
      </w:tr>
      <w:tr w14:paraId="61E0C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53846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1ED9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46EFFD">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718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腌腊肉制品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30F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腌腊肉制品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0F1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800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过氧化值(以脂肪计)、亚硝酸盐(以亚硝酸钠计)、氯霉素</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4A1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2DBA93D">
            <w:pPr>
              <w:jc w:val="left"/>
              <w:rPr>
                <w:rFonts w:hint="eastAsia" w:ascii="宋体" w:hAnsi="宋体" w:eastAsia="宋体" w:cs="宋体"/>
                <w:i w:val="0"/>
                <w:iCs w:val="0"/>
                <w:color w:val="000000"/>
                <w:sz w:val="20"/>
                <w:szCs w:val="20"/>
                <w:u w:val="none"/>
              </w:rPr>
            </w:pPr>
          </w:p>
        </w:tc>
      </w:tr>
      <w:tr w14:paraId="65552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419C3B">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C25E99">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256F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熟肉制品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255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酱卤肉制品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4A1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酱卤肉制品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5A1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75E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亚硝酸盐(以亚硝酸钠计)、苯甲酸及其钠盐(以苯甲酸计)、脱氢乙酸及其钠盐(以脱氢乙酸计)、菌落总数、大肠菌群、沙门氏菌、金黄色葡萄球菌、单核细胞增生李斯特氏菌、致泻大肠埃希氏菌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EDC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10F54A1">
            <w:pPr>
              <w:jc w:val="left"/>
              <w:rPr>
                <w:rFonts w:hint="eastAsia" w:ascii="宋体" w:hAnsi="宋体" w:eastAsia="宋体" w:cs="宋体"/>
                <w:i w:val="0"/>
                <w:iCs w:val="0"/>
                <w:color w:val="000000"/>
                <w:sz w:val="20"/>
                <w:szCs w:val="20"/>
                <w:u w:val="none"/>
              </w:rPr>
            </w:pPr>
          </w:p>
        </w:tc>
      </w:tr>
      <w:tr w14:paraId="232C2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B4B0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720196">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5A3757">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49F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熟肉干制品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D2D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熟肉干制品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001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0B1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脱氢乙酸及其钠盐(以脱氢乙酸计)、氯霉素、菌落总数、大肠菌群、致泻大肠埃希氏菌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233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8281AFA">
            <w:pPr>
              <w:jc w:val="left"/>
              <w:rPr>
                <w:rFonts w:hint="eastAsia" w:ascii="宋体" w:hAnsi="宋体" w:eastAsia="宋体" w:cs="宋体"/>
                <w:i w:val="0"/>
                <w:iCs w:val="0"/>
                <w:color w:val="000000"/>
                <w:sz w:val="20"/>
                <w:szCs w:val="20"/>
                <w:u w:val="none"/>
              </w:rPr>
            </w:pPr>
          </w:p>
        </w:tc>
      </w:tr>
      <w:tr w14:paraId="12C31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C6321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A9D06B">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9C6E7C">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CF9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熏煮香肠火腿制品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C2C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熏煮香肠火腿制品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013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C6B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亚硝酸盐(以亚硝酸钠计)、苯甲酸及其钠盐(以苯甲酸计)、山梨酸及其钾盐(以山梨酸计)、脱氢乙酸及其钠盐(以脱氢乙酸计)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720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F3D2820">
            <w:pPr>
              <w:jc w:val="left"/>
              <w:rPr>
                <w:rFonts w:hint="eastAsia" w:ascii="宋体" w:hAnsi="宋体" w:eastAsia="宋体" w:cs="宋体"/>
                <w:i w:val="0"/>
                <w:iCs w:val="0"/>
                <w:color w:val="000000"/>
                <w:sz w:val="20"/>
                <w:szCs w:val="20"/>
                <w:u w:val="none"/>
              </w:rPr>
            </w:pPr>
          </w:p>
        </w:tc>
      </w:tr>
      <w:tr w14:paraId="6972E7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3A6E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2D94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39E8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乳制品</w:t>
            </w:r>
          </w:p>
        </w:tc>
        <w:tc>
          <w:tcPr>
            <w:tcW w:w="705" w:type="dxa"/>
            <w:vMerge w:val="restart"/>
            <w:tcBorders>
              <w:top w:val="single" w:color="000000" w:sz="4" w:space="0"/>
              <w:left w:val="single" w:color="000000" w:sz="4" w:space="0"/>
              <w:bottom w:val="nil"/>
              <w:right w:val="single" w:color="000000" w:sz="4" w:space="0"/>
            </w:tcBorders>
            <w:shd w:val="clear" w:color="auto" w:fill="auto"/>
            <w:vAlign w:val="center"/>
          </w:tcPr>
          <w:p w14:paraId="108E3C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液体乳</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7AE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巴氏杀菌乳</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6B9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E82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蛋白质、三聚氰胺、丙二醇</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B22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FB822CB">
            <w:pPr>
              <w:jc w:val="left"/>
              <w:rPr>
                <w:rFonts w:hint="eastAsia" w:ascii="宋体" w:hAnsi="宋体" w:eastAsia="宋体" w:cs="宋体"/>
                <w:i w:val="0"/>
                <w:iCs w:val="0"/>
                <w:color w:val="000000"/>
                <w:sz w:val="20"/>
                <w:szCs w:val="20"/>
                <w:u w:val="none"/>
              </w:rPr>
            </w:pPr>
          </w:p>
        </w:tc>
      </w:tr>
      <w:tr w14:paraId="2C758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C655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528D4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6F72C6">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1BD959D6">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342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灭菌乳</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3FB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FB7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蛋白质、非脂乳固体、三聚氰胺、丙二醇</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4E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0DF6FA0">
            <w:pPr>
              <w:jc w:val="left"/>
              <w:rPr>
                <w:rFonts w:hint="eastAsia" w:ascii="宋体" w:hAnsi="宋体" w:eastAsia="宋体" w:cs="宋体"/>
                <w:i w:val="0"/>
                <w:iCs w:val="0"/>
                <w:color w:val="000000"/>
                <w:sz w:val="20"/>
                <w:szCs w:val="20"/>
                <w:u w:val="none"/>
              </w:rPr>
            </w:pPr>
          </w:p>
        </w:tc>
      </w:tr>
      <w:tr w14:paraId="19B335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417" w:type="dxa"/>
            <w:vMerge w:val="restart"/>
            <w:tcBorders>
              <w:top w:val="single" w:color="000000" w:sz="4" w:space="0"/>
              <w:left w:val="single" w:color="000000" w:sz="4" w:space="0"/>
              <w:bottom w:val="nil"/>
              <w:right w:val="single" w:color="000000" w:sz="4" w:space="0"/>
            </w:tcBorders>
            <w:shd w:val="clear" w:color="auto" w:fill="auto"/>
            <w:vAlign w:val="center"/>
          </w:tcPr>
          <w:p w14:paraId="681B9E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 </w:t>
            </w:r>
          </w:p>
        </w:tc>
        <w:tc>
          <w:tcPr>
            <w:tcW w:w="737" w:type="dxa"/>
            <w:vMerge w:val="restart"/>
            <w:tcBorders>
              <w:top w:val="single" w:color="000000" w:sz="4" w:space="0"/>
              <w:left w:val="single" w:color="000000" w:sz="4" w:space="0"/>
              <w:bottom w:val="nil"/>
              <w:right w:val="single" w:color="000000" w:sz="4" w:space="0"/>
            </w:tcBorders>
            <w:shd w:val="clear" w:color="auto" w:fill="auto"/>
            <w:vAlign w:val="center"/>
          </w:tcPr>
          <w:p w14:paraId="2347B3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乳制品</w:t>
            </w:r>
          </w:p>
        </w:tc>
        <w:tc>
          <w:tcPr>
            <w:tcW w:w="675" w:type="dxa"/>
            <w:vMerge w:val="restart"/>
            <w:tcBorders>
              <w:top w:val="single" w:color="000000" w:sz="4" w:space="0"/>
              <w:left w:val="single" w:color="000000" w:sz="4" w:space="0"/>
              <w:bottom w:val="nil"/>
              <w:right w:val="single" w:color="000000" w:sz="4" w:space="0"/>
            </w:tcBorders>
            <w:shd w:val="clear" w:color="auto" w:fill="auto"/>
            <w:vAlign w:val="center"/>
          </w:tcPr>
          <w:p w14:paraId="6C4B32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乳制品</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186C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液体乳</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1F2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发酵乳</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44D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8C5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脂肪、蛋白质、酵母、霉菌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622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7BABB7E">
            <w:pPr>
              <w:jc w:val="left"/>
              <w:rPr>
                <w:rFonts w:hint="eastAsia" w:ascii="宋体" w:hAnsi="宋体" w:eastAsia="宋体" w:cs="宋体"/>
                <w:i w:val="0"/>
                <w:iCs w:val="0"/>
                <w:color w:val="000000"/>
                <w:sz w:val="20"/>
                <w:szCs w:val="20"/>
                <w:u w:val="none"/>
              </w:rPr>
            </w:pPr>
          </w:p>
        </w:tc>
      </w:tr>
      <w:tr w14:paraId="05EF2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795289B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6EA8A1E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254BE96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C8E827">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AA0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调制乳</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14C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3C2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蛋白质、三聚氰胺、菌落总数、大肠菌群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13574">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4689112">
            <w:pPr>
              <w:jc w:val="left"/>
              <w:rPr>
                <w:rFonts w:hint="eastAsia" w:ascii="宋体" w:hAnsi="宋体" w:eastAsia="宋体" w:cs="宋体"/>
                <w:i w:val="0"/>
                <w:iCs w:val="0"/>
                <w:color w:val="000000"/>
                <w:sz w:val="20"/>
                <w:szCs w:val="20"/>
                <w:u w:val="none"/>
              </w:rPr>
            </w:pPr>
          </w:p>
        </w:tc>
      </w:tr>
      <w:tr w14:paraId="50795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16817A1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0C0835A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6D5B6DFC">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B07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乳粉</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FC5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乳粉(全脂、脱脂、部分脱脂)和调制乳粉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EF5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64F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蛋白质、脂肪、复原乳酸度、三聚氰胺</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A7B8E">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0AA4575">
            <w:pPr>
              <w:jc w:val="left"/>
              <w:rPr>
                <w:rFonts w:hint="eastAsia" w:ascii="宋体" w:hAnsi="宋体" w:eastAsia="宋体" w:cs="宋体"/>
                <w:i w:val="0"/>
                <w:iCs w:val="0"/>
                <w:color w:val="000000"/>
                <w:sz w:val="20"/>
                <w:szCs w:val="20"/>
                <w:u w:val="none"/>
              </w:rPr>
            </w:pPr>
          </w:p>
        </w:tc>
      </w:tr>
      <w:tr w14:paraId="7AC3F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481A832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30E257A4">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24559CD8">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nil"/>
              <w:right w:val="single" w:color="000000" w:sz="4" w:space="0"/>
            </w:tcBorders>
            <w:shd w:val="clear" w:color="auto" w:fill="auto"/>
            <w:vAlign w:val="center"/>
          </w:tcPr>
          <w:p w14:paraId="0AC677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其他乳制品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(浓缩乳制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品、奶油、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干酪、固态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成型产品)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6F1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干酪、再制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干酪、干酪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0C3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D75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三聚氰胺、金黄色葡萄球菌、沙门氏菌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CEB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4A26818">
            <w:pPr>
              <w:jc w:val="left"/>
              <w:rPr>
                <w:rFonts w:hint="eastAsia" w:ascii="宋体" w:hAnsi="宋体" w:eastAsia="宋体" w:cs="宋体"/>
                <w:i w:val="0"/>
                <w:iCs w:val="0"/>
                <w:color w:val="000000"/>
                <w:sz w:val="20"/>
                <w:szCs w:val="20"/>
                <w:u w:val="none"/>
              </w:rPr>
            </w:pPr>
          </w:p>
        </w:tc>
      </w:tr>
      <w:tr w14:paraId="4A5E2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64DB218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306C7A6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60FD494F">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nil"/>
              <w:right w:val="single" w:color="000000" w:sz="4" w:space="0"/>
            </w:tcBorders>
            <w:shd w:val="clear" w:color="auto" w:fill="auto"/>
            <w:vAlign w:val="center"/>
          </w:tcPr>
          <w:p w14:paraId="5A2A3C2D">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6E7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奶片、奶条等固态成型产品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00F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636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蛋白质、脱氢乙酸及其钠盐(以脱氢乙酸计)、三聚氰胺、沙门氏菌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51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2338E76">
            <w:pPr>
              <w:jc w:val="left"/>
              <w:rPr>
                <w:rFonts w:hint="eastAsia" w:ascii="宋体" w:hAnsi="宋体" w:eastAsia="宋体" w:cs="宋体"/>
                <w:i w:val="0"/>
                <w:iCs w:val="0"/>
                <w:color w:val="000000"/>
                <w:sz w:val="20"/>
                <w:szCs w:val="20"/>
                <w:u w:val="none"/>
              </w:rPr>
            </w:pPr>
          </w:p>
        </w:tc>
      </w:tr>
      <w:tr w14:paraId="1E563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3BFF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BEB5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811D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B746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包装饮用水</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DFD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饮用天然矿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泉水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841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260A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溴酸盐、硝酸盐(以NO</w:t>
            </w:r>
            <w:r>
              <w:rPr>
                <w:rStyle w:val="124"/>
                <w:rFonts w:eastAsia="宋体"/>
                <w:lang w:val="en-US" w:eastAsia="zh-CN" w:bidi="ar"/>
              </w:rPr>
              <w:t>₃</w:t>
            </w:r>
            <w:r>
              <w:rPr>
                <w:rStyle w:val="125"/>
                <w:lang w:val="en-US" w:eastAsia="zh-CN" w:bidi="ar"/>
              </w:rPr>
              <w:t>-</w:t>
            </w:r>
            <w:r>
              <w:rPr>
                <w:rStyle w:val="123"/>
                <w:lang w:val="en-US" w:eastAsia="zh-CN" w:bidi="ar"/>
              </w:rPr>
              <w:t>计)、亚硝酸盐(以NO</w:t>
            </w:r>
            <w:r>
              <w:rPr>
                <w:rStyle w:val="124"/>
                <w:rFonts w:eastAsia="宋体"/>
                <w:lang w:val="en-US" w:eastAsia="zh-CN" w:bidi="ar"/>
              </w:rPr>
              <w:t>₂</w:t>
            </w:r>
            <w:r>
              <w:rPr>
                <w:rStyle w:val="125"/>
                <w:lang w:val="en-US" w:eastAsia="zh-CN" w:bidi="ar"/>
              </w:rPr>
              <w:t>-</w:t>
            </w:r>
            <w:r>
              <w:rPr>
                <w:rStyle w:val="123"/>
                <w:lang w:val="en-US" w:eastAsia="zh-CN" w:bidi="ar"/>
              </w:rPr>
              <w:t>计)、大肠菌群、铜绿假单胞菌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003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0B3AFC6">
            <w:pPr>
              <w:jc w:val="left"/>
              <w:rPr>
                <w:rFonts w:hint="eastAsia" w:ascii="宋体" w:hAnsi="宋体" w:eastAsia="宋体" w:cs="宋体"/>
                <w:i w:val="0"/>
                <w:iCs w:val="0"/>
                <w:color w:val="000000"/>
                <w:sz w:val="20"/>
                <w:szCs w:val="20"/>
                <w:u w:val="none"/>
              </w:rPr>
            </w:pPr>
          </w:p>
        </w:tc>
      </w:tr>
      <w:tr w14:paraId="732E9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16A8A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747B23">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AFA731">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4910E3">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306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饮用纯净水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387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2EA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亚硝酸盐(以NO</w:t>
            </w:r>
            <w:r>
              <w:rPr>
                <w:rStyle w:val="124"/>
                <w:rFonts w:eastAsia="宋体"/>
                <w:lang w:val="en-US" w:eastAsia="zh-CN" w:bidi="ar"/>
              </w:rPr>
              <w:t>₂</w:t>
            </w:r>
            <w:r>
              <w:rPr>
                <w:rStyle w:val="125"/>
                <w:lang w:val="en-US" w:eastAsia="zh-CN" w:bidi="ar"/>
              </w:rPr>
              <w:t>-</w:t>
            </w:r>
            <w:r>
              <w:rPr>
                <w:rStyle w:val="123"/>
                <w:lang w:val="en-US" w:eastAsia="zh-CN" w:bidi="ar"/>
              </w:rPr>
              <w:t>计)、余氯(游离氯)、溴酸盐、大肠菌群、铜绿假单胞菌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0832B">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682D05B">
            <w:pPr>
              <w:jc w:val="left"/>
              <w:rPr>
                <w:rFonts w:hint="eastAsia" w:ascii="宋体" w:hAnsi="宋体" w:eastAsia="宋体" w:cs="宋体"/>
                <w:i w:val="0"/>
                <w:iCs w:val="0"/>
                <w:color w:val="000000"/>
                <w:sz w:val="20"/>
                <w:szCs w:val="20"/>
                <w:u w:val="none"/>
              </w:rPr>
            </w:pPr>
          </w:p>
        </w:tc>
      </w:tr>
      <w:tr w14:paraId="5FF1C4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4E693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151DD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D09C1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82BDD">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7E9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其他类饮用水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281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C26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亚硝酸盐(以NO</w:t>
            </w:r>
            <w:r>
              <w:rPr>
                <w:rStyle w:val="124"/>
                <w:rFonts w:eastAsia="宋体"/>
                <w:lang w:val="en-US" w:eastAsia="zh-CN" w:bidi="ar"/>
              </w:rPr>
              <w:t>₂</w:t>
            </w:r>
            <w:r>
              <w:rPr>
                <w:rStyle w:val="125"/>
                <w:lang w:val="en-US" w:eastAsia="zh-CN" w:bidi="ar"/>
              </w:rPr>
              <w:t>-</w:t>
            </w:r>
            <w:r>
              <w:rPr>
                <w:rStyle w:val="123"/>
                <w:lang w:val="en-US" w:eastAsia="zh-CN" w:bidi="ar"/>
              </w:rPr>
              <w:t>计)、余氯(游离氯)、溴酸盐、大肠菌群、铜绿假单胞菌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660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DDC2419">
            <w:pPr>
              <w:jc w:val="left"/>
              <w:rPr>
                <w:rFonts w:hint="eastAsia" w:ascii="宋体" w:hAnsi="宋体" w:eastAsia="宋体" w:cs="宋体"/>
                <w:i w:val="0"/>
                <w:iCs w:val="0"/>
                <w:color w:val="000000"/>
                <w:sz w:val="20"/>
                <w:szCs w:val="20"/>
                <w:u w:val="none"/>
              </w:rPr>
            </w:pPr>
          </w:p>
        </w:tc>
      </w:tr>
      <w:tr w14:paraId="2F435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95C21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18103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24E2F">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2BE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果蔬汁类及其饮料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916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果蔬汁类及其饮料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072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683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安赛蜜、甜蜜素(以环己基氨基磺酸计)、阿斯巴甜</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A22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C6AEABF">
            <w:pPr>
              <w:jc w:val="left"/>
              <w:rPr>
                <w:rFonts w:hint="eastAsia" w:ascii="宋体" w:hAnsi="宋体" w:eastAsia="宋体" w:cs="宋体"/>
                <w:i w:val="0"/>
                <w:iCs w:val="0"/>
                <w:color w:val="000000"/>
                <w:sz w:val="20"/>
                <w:szCs w:val="20"/>
                <w:u w:val="none"/>
              </w:rPr>
            </w:pPr>
          </w:p>
        </w:tc>
      </w:tr>
      <w:tr w14:paraId="5457F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6B19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FAA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F6D7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6EE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蛋白饮料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33B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蛋白饮料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D7C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15D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蛋白质、乳酸菌数、氰化物(以HCN计)、三聚氰胺</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34D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1523487">
            <w:pPr>
              <w:jc w:val="left"/>
              <w:rPr>
                <w:rFonts w:hint="eastAsia" w:ascii="宋体" w:hAnsi="宋体" w:eastAsia="宋体" w:cs="宋体"/>
                <w:i w:val="0"/>
                <w:iCs w:val="0"/>
                <w:color w:val="000000"/>
                <w:sz w:val="20"/>
                <w:szCs w:val="20"/>
                <w:u w:val="none"/>
              </w:rPr>
            </w:pPr>
          </w:p>
        </w:tc>
      </w:tr>
      <w:tr w14:paraId="62B16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2CEAC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0CF6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421A98">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B4A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碳酸饮料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(汽水)</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1F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碳酸饮料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(汽水)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52E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32D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苯甲酸及其钠盐(以苯甲酸计)、山梨酸及其钾盐(以山梨酸计)、防腐剂混合使用时各自用量占其最大使用量的比例之和、安赛蜜</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A9A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CFE2796">
            <w:pPr>
              <w:jc w:val="left"/>
              <w:rPr>
                <w:rFonts w:hint="eastAsia" w:ascii="宋体" w:hAnsi="宋体" w:eastAsia="宋体" w:cs="宋体"/>
                <w:i w:val="0"/>
                <w:iCs w:val="0"/>
                <w:color w:val="000000"/>
                <w:sz w:val="20"/>
                <w:szCs w:val="20"/>
                <w:u w:val="none"/>
              </w:rPr>
            </w:pPr>
          </w:p>
        </w:tc>
      </w:tr>
      <w:tr w14:paraId="46FB3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3A364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F4D74B">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6013D">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EDB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茶饮料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704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茶饮料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1D5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85E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茶多酚、咖啡因、脱氢乙酸及其钠盐(以脱氢乙酸计)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BBF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5CE2AB5">
            <w:pPr>
              <w:jc w:val="left"/>
              <w:rPr>
                <w:rFonts w:hint="eastAsia" w:ascii="宋体" w:hAnsi="宋体" w:eastAsia="宋体" w:cs="宋体"/>
                <w:i w:val="0"/>
                <w:iCs w:val="0"/>
                <w:color w:val="000000"/>
                <w:sz w:val="20"/>
                <w:szCs w:val="20"/>
                <w:u w:val="none"/>
              </w:rPr>
            </w:pPr>
          </w:p>
        </w:tc>
      </w:tr>
      <w:tr w14:paraId="31F89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25C4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B030B6">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36399E">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F2E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固体饮料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874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固体饮料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07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77E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苯甲酸及其钠盐(以苯甲酸计)、山梨酸及其钾盐(以山梨酸计)、防腐剂混合使用时各自用量占其最大使用量的比例之和、糖精钠(以糖精计)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9F5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750F894">
            <w:pPr>
              <w:jc w:val="left"/>
              <w:rPr>
                <w:rFonts w:hint="eastAsia" w:ascii="宋体" w:hAnsi="宋体" w:eastAsia="宋体" w:cs="宋体"/>
                <w:i w:val="0"/>
                <w:iCs w:val="0"/>
                <w:color w:val="000000"/>
                <w:sz w:val="20"/>
                <w:szCs w:val="20"/>
                <w:u w:val="none"/>
              </w:rPr>
            </w:pPr>
          </w:p>
        </w:tc>
      </w:tr>
      <w:tr w14:paraId="15C5C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895AE0">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9116C4">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15037B">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29F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其他饮料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5E1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其他饮料</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40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508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苯甲酸及其钠盐(以苯甲酸计)、山梨酸及其钾盐(以山梨酸计)、脱氢乙酸及其钠盐(以脱氢乙酸计)、防腐剂混合使用时各自用量占其最大使用量的比例之和、糖精钠(以糖精计)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4B5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1AA8BDE">
            <w:pPr>
              <w:jc w:val="left"/>
              <w:rPr>
                <w:rFonts w:hint="eastAsia" w:ascii="宋体" w:hAnsi="宋体" w:eastAsia="宋体" w:cs="宋体"/>
                <w:i w:val="0"/>
                <w:iCs w:val="0"/>
                <w:color w:val="000000"/>
                <w:sz w:val="20"/>
                <w:szCs w:val="20"/>
                <w:u w:val="none"/>
              </w:rPr>
            </w:pPr>
          </w:p>
        </w:tc>
      </w:tr>
      <w:tr w14:paraId="2A1B2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ED2A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7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D561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方便食品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3891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方便食品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4A3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方便面</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571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油炸面、非油炸面、方便米粉(米线)、方便粉丝</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556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E22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酸价(以脂肪计)(KOH)、过氧化值(以脂肪计)、霉菌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42C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339DBFB">
            <w:pPr>
              <w:jc w:val="left"/>
              <w:rPr>
                <w:rFonts w:hint="eastAsia" w:ascii="宋体" w:hAnsi="宋体" w:eastAsia="宋体" w:cs="宋体"/>
                <w:i w:val="0"/>
                <w:iCs w:val="0"/>
                <w:color w:val="000000"/>
                <w:sz w:val="20"/>
                <w:szCs w:val="20"/>
                <w:u w:val="none"/>
              </w:rPr>
            </w:pPr>
          </w:p>
        </w:tc>
      </w:tr>
      <w:tr w14:paraId="57AC1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5918E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8F1A2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A48320">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C0C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调味面制品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925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调味面制品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25A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77B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7CE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3D0EFDE">
            <w:pPr>
              <w:jc w:val="left"/>
              <w:rPr>
                <w:rFonts w:hint="eastAsia" w:ascii="宋体" w:hAnsi="宋体" w:eastAsia="宋体" w:cs="宋体"/>
                <w:i w:val="0"/>
                <w:iCs w:val="0"/>
                <w:color w:val="000000"/>
                <w:sz w:val="20"/>
                <w:szCs w:val="20"/>
                <w:u w:val="none"/>
              </w:rPr>
            </w:pPr>
          </w:p>
        </w:tc>
      </w:tr>
      <w:tr w14:paraId="28102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6C070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D63ED5">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B8B8A6">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82D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其他方便食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7E8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方便粥、方便盒饭、冷面及其他熟制方便食品等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2A6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82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酸价(以脂肪计)(KOH)、过氧化值(以脂肪计)、黄曲霉毒素B</w:t>
            </w:r>
            <w:r>
              <w:rPr>
                <w:rStyle w:val="124"/>
                <w:rFonts w:eastAsia="宋体"/>
                <w:lang w:val="en-US" w:eastAsia="zh-CN" w:bidi="ar"/>
              </w:rPr>
              <w:t>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AAD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F627426">
            <w:pPr>
              <w:jc w:val="left"/>
              <w:rPr>
                <w:rFonts w:hint="eastAsia" w:ascii="宋体" w:hAnsi="宋体" w:eastAsia="宋体" w:cs="宋体"/>
                <w:i w:val="0"/>
                <w:iCs w:val="0"/>
                <w:color w:val="000000"/>
                <w:sz w:val="20"/>
                <w:szCs w:val="20"/>
                <w:u w:val="none"/>
              </w:rPr>
            </w:pPr>
          </w:p>
        </w:tc>
      </w:tr>
      <w:tr w14:paraId="10E1C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A97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8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EC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饼干</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EEC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饼干</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CB4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饼干</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579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饼干</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399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FA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酸价(以脂肪计)(KOH)、过氧化值(以脂肪计)、铝的残留量(干样品，以Al计)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D11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32C9A82">
            <w:pPr>
              <w:jc w:val="left"/>
              <w:rPr>
                <w:rFonts w:hint="eastAsia" w:ascii="宋体" w:hAnsi="宋体" w:eastAsia="宋体" w:cs="宋体"/>
                <w:i w:val="0"/>
                <w:iCs w:val="0"/>
                <w:color w:val="000000"/>
                <w:sz w:val="20"/>
                <w:szCs w:val="20"/>
                <w:u w:val="none"/>
              </w:rPr>
            </w:pPr>
          </w:p>
        </w:tc>
      </w:tr>
      <w:tr w14:paraId="0878E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restart"/>
            <w:tcBorders>
              <w:top w:val="single" w:color="000000" w:sz="4" w:space="0"/>
              <w:left w:val="single" w:color="000000" w:sz="4" w:space="0"/>
              <w:bottom w:val="nil"/>
              <w:right w:val="single" w:color="000000" w:sz="4" w:space="0"/>
            </w:tcBorders>
            <w:shd w:val="clear" w:color="auto" w:fill="auto"/>
            <w:vAlign w:val="center"/>
          </w:tcPr>
          <w:p w14:paraId="0184B3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 </w:t>
            </w:r>
          </w:p>
        </w:tc>
        <w:tc>
          <w:tcPr>
            <w:tcW w:w="737" w:type="dxa"/>
            <w:vMerge w:val="restart"/>
            <w:tcBorders>
              <w:top w:val="single" w:color="000000" w:sz="4" w:space="0"/>
              <w:left w:val="single" w:color="000000" w:sz="4" w:space="0"/>
              <w:bottom w:val="nil"/>
              <w:right w:val="single" w:color="000000" w:sz="4" w:space="0"/>
            </w:tcBorders>
            <w:shd w:val="clear" w:color="auto" w:fill="auto"/>
            <w:vAlign w:val="center"/>
          </w:tcPr>
          <w:p w14:paraId="5B4224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罐头</w:t>
            </w:r>
          </w:p>
        </w:tc>
        <w:tc>
          <w:tcPr>
            <w:tcW w:w="675" w:type="dxa"/>
            <w:vMerge w:val="restart"/>
            <w:tcBorders>
              <w:top w:val="single" w:color="000000" w:sz="4" w:space="0"/>
              <w:left w:val="single" w:color="000000" w:sz="4" w:space="0"/>
              <w:bottom w:val="nil"/>
              <w:right w:val="single" w:color="000000" w:sz="4" w:space="0"/>
            </w:tcBorders>
            <w:shd w:val="clear" w:color="auto" w:fill="auto"/>
            <w:vAlign w:val="center"/>
          </w:tcPr>
          <w:p w14:paraId="0B27DF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罐头</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9A80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畜禽水产罐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头</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FBE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畜禽肉类罐头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BD9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F18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脱氢乙酸及其钠盐(以脱氢乙酸计)、苯甲酸及其钠盐(以苯甲酸计)、山梨酸及其钾盐(以山梨酸计)、商业无菌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DD0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277BD6B">
            <w:pPr>
              <w:jc w:val="left"/>
              <w:rPr>
                <w:rFonts w:hint="eastAsia" w:ascii="宋体" w:hAnsi="宋体" w:eastAsia="宋体" w:cs="宋体"/>
                <w:i w:val="0"/>
                <w:iCs w:val="0"/>
                <w:color w:val="000000"/>
                <w:sz w:val="20"/>
                <w:szCs w:val="20"/>
                <w:u w:val="none"/>
              </w:rPr>
            </w:pPr>
          </w:p>
        </w:tc>
      </w:tr>
      <w:tr w14:paraId="3939F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6981B0D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42A8165C">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4CC477FC">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A734AA">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783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水产动物类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罐头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C99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6BC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组胺、无机砷(以As计)、脱氢乙酸及其钠盐(以脱氢乙酸计)、苯甲酸及其钠盐(以苯甲酸计)、山梨酸及其钾盐(以山梨酸计)、商业无菌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619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30DD5C2">
            <w:pPr>
              <w:jc w:val="left"/>
              <w:rPr>
                <w:rFonts w:hint="eastAsia" w:ascii="宋体" w:hAnsi="宋体" w:eastAsia="宋体" w:cs="宋体"/>
                <w:i w:val="0"/>
                <w:iCs w:val="0"/>
                <w:color w:val="000000"/>
                <w:sz w:val="20"/>
                <w:szCs w:val="20"/>
                <w:u w:val="none"/>
              </w:rPr>
            </w:pPr>
          </w:p>
        </w:tc>
      </w:tr>
      <w:tr w14:paraId="51195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5"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7AB2FAC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23EB7D0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5D0962CF">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13A7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果蔬罐头</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469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水果类罐头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D79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31C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合成着色剂(柠檬黄、日落黄、苋菜红、胭脂红、赤藓红、诱惑红、亮蓝)、脱氢乙酸及其钠盐(以脱氢乙酸计)、苯甲酸及其钠盐(以苯甲酸计)、二氧化硫残留量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BAB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DC472D9">
            <w:pPr>
              <w:jc w:val="left"/>
              <w:rPr>
                <w:rFonts w:hint="eastAsia" w:ascii="宋体" w:hAnsi="宋体" w:eastAsia="宋体" w:cs="宋体"/>
                <w:i w:val="0"/>
                <w:iCs w:val="0"/>
                <w:color w:val="000000"/>
                <w:sz w:val="20"/>
                <w:szCs w:val="20"/>
                <w:u w:val="none"/>
              </w:rPr>
            </w:pPr>
          </w:p>
        </w:tc>
      </w:tr>
      <w:tr w14:paraId="092FD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0397B9A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449010E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46B4BF3A">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4C407">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36F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蔬菜类罐头</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54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EBD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合成着色剂(柠檬黄、日落黄)、脱氢乙酸及其钠盐(以脱氢乙酸计)、乙二胺四乙酸二钠、二氧化硫残留量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5D8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CFA0354">
            <w:pPr>
              <w:jc w:val="left"/>
              <w:rPr>
                <w:rFonts w:hint="eastAsia" w:ascii="宋体" w:hAnsi="宋体" w:eastAsia="宋体" w:cs="宋体"/>
                <w:i w:val="0"/>
                <w:iCs w:val="0"/>
                <w:color w:val="000000"/>
                <w:sz w:val="20"/>
                <w:szCs w:val="20"/>
                <w:u w:val="none"/>
              </w:rPr>
            </w:pPr>
          </w:p>
        </w:tc>
      </w:tr>
      <w:tr w14:paraId="32877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DD7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10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4A0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冷冻饮品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C8F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冷冻饮品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92C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冷冻饮品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4D0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冰淇淋、雪糕、雪泥、冰棍、食用冰、甜味冰、其他类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D5C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E2C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甜蜜素(以环己基氨基磺酸计)、糖精钠(以糖精计)、安赛蜜、三氯蔗糖</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120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CC97844">
            <w:pPr>
              <w:jc w:val="left"/>
              <w:rPr>
                <w:rFonts w:hint="eastAsia" w:ascii="宋体" w:hAnsi="宋体" w:eastAsia="宋体" w:cs="宋体"/>
                <w:i w:val="0"/>
                <w:iCs w:val="0"/>
                <w:color w:val="000000"/>
                <w:sz w:val="20"/>
                <w:szCs w:val="20"/>
                <w:u w:val="none"/>
              </w:rPr>
            </w:pPr>
          </w:p>
        </w:tc>
      </w:tr>
      <w:tr w14:paraId="79D50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B5CF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11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BEFC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速冻食品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76A1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速冻面米食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2CD5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速冻面米食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AC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速冻面米生制品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490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CDA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过氧化值(以脂肪计)、铅(以Pb计)、糖精钠(以糖精计)、甜蜜素(以环己基氨基磺酸计)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ED6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C817F40">
            <w:pPr>
              <w:jc w:val="left"/>
              <w:rPr>
                <w:rFonts w:hint="eastAsia" w:ascii="宋体" w:hAnsi="宋体" w:eastAsia="宋体" w:cs="宋体"/>
                <w:i w:val="0"/>
                <w:iCs w:val="0"/>
                <w:color w:val="000000"/>
                <w:sz w:val="20"/>
                <w:szCs w:val="20"/>
                <w:u w:val="none"/>
              </w:rPr>
            </w:pPr>
          </w:p>
        </w:tc>
      </w:tr>
      <w:tr w14:paraId="2E2A4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D4E09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9596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9251D9">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71AFCB">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76C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速冻面米熟制品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9AF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7E2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过氧化值(以脂肪计)、菌落总数、大肠菌群、沙门氏菌、金黄色葡萄球菌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421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34055FCA">
            <w:pPr>
              <w:jc w:val="left"/>
              <w:rPr>
                <w:rFonts w:hint="eastAsia" w:ascii="宋体" w:hAnsi="宋体" w:eastAsia="宋体" w:cs="宋体"/>
                <w:i w:val="0"/>
                <w:iCs w:val="0"/>
                <w:color w:val="000000"/>
                <w:sz w:val="20"/>
                <w:szCs w:val="20"/>
                <w:u w:val="none"/>
              </w:rPr>
            </w:pPr>
          </w:p>
        </w:tc>
      </w:tr>
      <w:tr w14:paraId="18C0D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8FCCE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982A18">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DA18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速冻调制食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B77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速冻调理肉</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627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速冻调理肉制品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470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F6D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过氧化值(以脂肪计)、氯霉素、亚硝酸盐、菌落总数、大肠菌群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689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BD785D5">
            <w:pPr>
              <w:jc w:val="left"/>
              <w:rPr>
                <w:rFonts w:hint="eastAsia" w:ascii="宋体" w:hAnsi="宋体" w:eastAsia="宋体" w:cs="宋体"/>
                <w:i w:val="0"/>
                <w:iCs w:val="0"/>
                <w:color w:val="000000"/>
                <w:sz w:val="20"/>
                <w:szCs w:val="20"/>
                <w:u w:val="none"/>
              </w:rPr>
            </w:pPr>
          </w:p>
        </w:tc>
      </w:tr>
      <w:tr w14:paraId="639E1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D367BB">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431997">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6D871B">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0C7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速冻调制水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产制品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094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速冻调制水产制品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3C5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EB1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挥发性盐基氮、苯甲酸及其钠盐(以苯甲酸计)、山梨酸及其钾盐(以山梨酸计)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B0A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8BB462D">
            <w:pPr>
              <w:jc w:val="left"/>
              <w:rPr>
                <w:rFonts w:hint="eastAsia" w:ascii="宋体" w:hAnsi="宋体" w:eastAsia="宋体" w:cs="宋体"/>
                <w:i w:val="0"/>
                <w:iCs w:val="0"/>
                <w:color w:val="000000"/>
                <w:sz w:val="20"/>
                <w:szCs w:val="20"/>
                <w:u w:val="none"/>
              </w:rPr>
            </w:pPr>
          </w:p>
        </w:tc>
      </w:tr>
      <w:tr w14:paraId="04E032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78AEA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B095A4">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DC1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速冻其他食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94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速冻谷物食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C7F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速冻谷物食品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252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F33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23"/>
                <w:lang w:val="en-US" w:eastAsia="zh-CN" w:bidi="ar"/>
              </w:rPr>
              <w:t>铅(以Pb计)、黄曲霉毒素B</w:t>
            </w:r>
            <w:r>
              <w:rPr>
                <w:rStyle w:val="124"/>
                <w:rFonts w:eastAsia="宋体"/>
                <w:lang w:val="en-US" w:eastAsia="zh-CN" w:bidi="ar"/>
              </w:rPr>
              <w:t>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6C8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C2A5788">
            <w:pPr>
              <w:jc w:val="left"/>
              <w:rPr>
                <w:rFonts w:hint="eastAsia" w:ascii="宋体" w:hAnsi="宋体" w:eastAsia="宋体" w:cs="宋体"/>
                <w:i w:val="0"/>
                <w:iCs w:val="0"/>
                <w:color w:val="000000"/>
                <w:sz w:val="20"/>
                <w:szCs w:val="20"/>
                <w:u w:val="none"/>
              </w:rPr>
            </w:pPr>
          </w:p>
        </w:tc>
      </w:tr>
      <w:tr w14:paraId="57430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EE24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D6DA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薯类和膨化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食品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BB76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薯类和膨化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食品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0A1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膨化食品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5C7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含油型膨化食品和非含油型膨化食品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D93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50A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酸价(以脂肪计)(KOH)、过氧化值(以脂肪计)、黄曲霉毒素B</w:t>
            </w:r>
            <w:r>
              <w:rPr>
                <w:rStyle w:val="124"/>
                <w:rFonts w:eastAsia="宋体"/>
                <w:lang w:val="en-US" w:eastAsia="zh-CN" w:bidi="ar"/>
              </w:rPr>
              <w:t>₁</w:t>
            </w:r>
            <w:r>
              <w:rPr>
                <w:rStyle w:val="123"/>
                <w:lang w:val="en-US" w:eastAsia="zh-CN" w:bidi="ar"/>
              </w:rPr>
              <w:t xml:space="preserve"> </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B76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81838D4">
            <w:pPr>
              <w:jc w:val="left"/>
              <w:rPr>
                <w:rFonts w:hint="eastAsia" w:ascii="宋体" w:hAnsi="宋体" w:eastAsia="宋体" w:cs="宋体"/>
                <w:i w:val="0"/>
                <w:iCs w:val="0"/>
                <w:color w:val="000000"/>
                <w:sz w:val="20"/>
                <w:szCs w:val="20"/>
                <w:u w:val="none"/>
              </w:rPr>
            </w:pPr>
          </w:p>
        </w:tc>
      </w:tr>
      <w:tr w14:paraId="5469F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4E2F8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3BC0CC">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B6AC5C">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CFE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薯类食品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DF6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干制薯类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612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F8E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C6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55596979">
            <w:pPr>
              <w:jc w:val="left"/>
              <w:rPr>
                <w:rFonts w:hint="eastAsia" w:ascii="宋体" w:hAnsi="宋体" w:eastAsia="宋体" w:cs="宋体"/>
                <w:i w:val="0"/>
                <w:iCs w:val="0"/>
                <w:color w:val="000000"/>
                <w:sz w:val="20"/>
                <w:szCs w:val="20"/>
                <w:u w:val="none"/>
              </w:rPr>
            </w:pPr>
          </w:p>
        </w:tc>
      </w:tr>
      <w:tr w14:paraId="7B534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5F6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13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3A13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糖果制品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0C60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糖果制品(含巧克力及制品)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CEF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糖果</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32E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糖果</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3AB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EF4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糖精钠(以糖精计)、甜蜜素(以环己基氨基磺酸计)、合成着色剂(柠檬黄、新红、苋菜红、靛蓝、胭脂红、日落黄、诱惑红、亮蓝、酸性红、喹啉黄、赤藓红)</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517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DC004FC">
            <w:pPr>
              <w:jc w:val="left"/>
              <w:rPr>
                <w:rFonts w:hint="eastAsia" w:ascii="宋体" w:hAnsi="宋体" w:eastAsia="宋体" w:cs="宋体"/>
                <w:i w:val="0"/>
                <w:iCs w:val="0"/>
                <w:color w:val="000000"/>
                <w:sz w:val="20"/>
                <w:szCs w:val="20"/>
                <w:u w:val="none"/>
              </w:rPr>
            </w:pPr>
          </w:p>
        </w:tc>
      </w:tr>
      <w:tr w14:paraId="12392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8F489B">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816457">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B902E">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B89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巧克力及巧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克力制品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756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巧克力、巧克力制品、代可可脂巧克力及代可可脂巧克力制品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097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0B0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0AA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41D4044">
            <w:pPr>
              <w:jc w:val="left"/>
              <w:rPr>
                <w:rFonts w:hint="eastAsia" w:ascii="宋体" w:hAnsi="宋体" w:eastAsia="宋体" w:cs="宋体"/>
                <w:i w:val="0"/>
                <w:iCs w:val="0"/>
                <w:color w:val="000000"/>
                <w:sz w:val="20"/>
                <w:szCs w:val="20"/>
                <w:u w:val="none"/>
              </w:rPr>
            </w:pPr>
          </w:p>
        </w:tc>
      </w:tr>
      <w:tr w14:paraId="09EAC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B27BC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92955">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4E554B">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0C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果冻</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D1F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CCC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8F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糖精钠(以糖精计)、甜蜜素(以环己基氨基磺酸计)、安赛蜜</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B39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559B490">
            <w:pPr>
              <w:jc w:val="left"/>
              <w:rPr>
                <w:rFonts w:hint="eastAsia" w:ascii="宋体" w:hAnsi="宋体" w:eastAsia="宋体" w:cs="宋体"/>
                <w:i w:val="0"/>
                <w:iCs w:val="0"/>
                <w:color w:val="000000"/>
                <w:sz w:val="20"/>
                <w:szCs w:val="20"/>
                <w:u w:val="none"/>
              </w:rPr>
            </w:pPr>
          </w:p>
        </w:tc>
      </w:tr>
      <w:tr w14:paraId="6E3F7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E469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14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4B3A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茶叶及相关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制品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2B8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DD8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茶叶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5BE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绿茶、红茶、乌龙茶、黄茶、白茶、黑茶、花茶、袋泡茶、紧压茶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364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6CF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草甘膦、吡虫啉、乙酰甲胺磷、联苯菊酯</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85C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F680B19">
            <w:pPr>
              <w:jc w:val="left"/>
              <w:rPr>
                <w:rFonts w:hint="eastAsia" w:ascii="宋体" w:hAnsi="宋体" w:eastAsia="宋体" w:cs="宋体"/>
                <w:i w:val="0"/>
                <w:iCs w:val="0"/>
                <w:color w:val="000000"/>
                <w:sz w:val="20"/>
                <w:szCs w:val="20"/>
                <w:u w:val="none"/>
              </w:rPr>
            </w:pPr>
          </w:p>
        </w:tc>
      </w:tr>
      <w:tr w14:paraId="66BDB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611EF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F72242">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FA9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含茶制品和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代用茶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8E5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代用茶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64A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代用茶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DB2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3DB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二氧化硫残留量、啶虫脒、克百威、吡虫啉</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995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C09EF26">
            <w:pPr>
              <w:jc w:val="left"/>
              <w:rPr>
                <w:rFonts w:hint="eastAsia" w:ascii="宋体" w:hAnsi="宋体" w:eastAsia="宋体" w:cs="宋体"/>
                <w:i w:val="0"/>
                <w:iCs w:val="0"/>
                <w:color w:val="000000"/>
                <w:sz w:val="20"/>
                <w:szCs w:val="20"/>
                <w:u w:val="none"/>
              </w:rPr>
            </w:pPr>
          </w:p>
        </w:tc>
      </w:tr>
      <w:tr w14:paraId="4FEB4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94DD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2E78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酒类</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85B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蒸馏酒</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E56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EC3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白酒、白酒(液态)、白酒(原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酒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206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1C6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酒精度、甲醇、氰化物(以HCN计)、甜蜜素(以环己基氨基磺酸计)、三氯蔗糖</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7A8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B1DB899">
            <w:pPr>
              <w:jc w:val="left"/>
              <w:rPr>
                <w:rFonts w:hint="eastAsia" w:ascii="宋体" w:hAnsi="宋体" w:eastAsia="宋体" w:cs="宋体"/>
                <w:i w:val="0"/>
                <w:iCs w:val="0"/>
                <w:color w:val="000000"/>
                <w:sz w:val="20"/>
                <w:szCs w:val="20"/>
                <w:u w:val="none"/>
              </w:rPr>
            </w:pPr>
          </w:p>
        </w:tc>
      </w:tr>
      <w:tr w14:paraId="35609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4549F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29C837">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5E5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发酵酒</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3A9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啤酒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231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啤酒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006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0BA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酒精度、甲醛</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CAF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2F89E105">
            <w:pPr>
              <w:jc w:val="left"/>
              <w:rPr>
                <w:rFonts w:hint="eastAsia" w:ascii="宋体" w:hAnsi="宋体" w:eastAsia="宋体" w:cs="宋体"/>
                <w:i w:val="0"/>
                <w:iCs w:val="0"/>
                <w:color w:val="000000"/>
                <w:sz w:val="20"/>
                <w:szCs w:val="20"/>
                <w:u w:val="none"/>
              </w:rPr>
            </w:pPr>
          </w:p>
        </w:tc>
      </w:tr>
      <w:tr w14:paraId="6D223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098F51">
            <w:pPr>
              <w:jc w:val="center"/>
              <w:rPr>
                <w:rFonts w:hint="eastAsia" w:ascii="宋体" w:hAnsi="宋体" w:eastAsia="宋体" w:cs="宋体"/>
                <w:i w:val="0"/>
                <w:iCs w:val="0"/>
                <w:color w:val="000000"/>
                <w:sz w:val="20"/>
                <w:szCs w:val="20"/>
                <w:u w:val="none"/>
              </w:rPr>
            </w:pP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60F7E4">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BD9DEA">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BE2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葡萄酒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2C1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葡萄酒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6C4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151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酒精度、甲醇、苯甲酸及其钠盐(以苯甲酸计)、山梨酸及其钾盐(以山梨酸计)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2CBF2">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1CBC51F1">
            <w:pPr>
              <w:jc w:val="left"/>
              <w:rPr>
                <w:rFonts w:hint="eastAsia" w:ascii="宋体" w:hAnsi="宋体" w:eastAsia="宋体" w:cs="宋体"/>
                <w:i w:val="0"/>
                <w:iCs w:val="0"/>
                <w:color w:val="000000"/>
                <w:sz w:val="20"/>
                <w:szCs w:val="20"/>
                <w:u w:val="none"/>
              </w:rPr>
            </w:pPr>
          </w:p>
        </w:tc>
      </w:tr>
      <w:tr w14:paraId="4CB46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88EFE">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E1EF6B">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9721C8">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CC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08F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54C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16D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酒精度、展青霉素、糖精钠(以糖精计)、二氧化硫残留量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99FFA">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775137A1">
            <w:pPr>
              <w:jc w:val="left"/>
              <w:rPr>
                <w:rFonts w:hint="eastAsia" w:ascii="宋体" w:hAnsi="宋体" w:eastAsia="宋体" w:cs="宋体"/>
                <w:i w:val="0"/>
                <w:iCs w:val="0"/>
                <w:color w:val="000000"/>
                <w:sz w:val="20"/>
                <w:szCs w:val="20"/>
                <w:u w:val="none"/>
              </w:rPr>
            </w:pPr>
          </w:p>
        </w:tc>
      </w:tr>
      <w:tr w14:paraId="68009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859E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7A785">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8E2A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其他酒</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78B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配制酒</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A52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以蒸馏酒及食用酒精为酒基的配制酒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393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78F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酒精度、甲醇、氰化物(以HCN计)、甜蜜素(以环己基氨基磺酸计)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F00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00EEF30D">
            <w:pPr>
              <w:jc w:val="left"/>
              <w:rPr>
                <w:rFonts w:hint="eastAsia" w:ascii="宋体" w:hAnsi="宋体" w:eastAsia="宋体" w:cs="宋体"/>
                <w:i w:val="0"/>
                <w:iCs w:val="0"/>
                <w:color w:val="000000"/>
                <w:sz w:val="20"/>
                <w:szCs w:val="20"/>
                <w:u w:val="none"/>
              </w:rPr>
            </w:pPr>
          </w:p>
        </w:tc>
      </w:tr>
      <w:tr w14:paraId="4080B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A4AC6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633C60">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B218A7">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6DD89">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583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以发酵酒为酒基的配制酒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41D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1EC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酒精度、苯甲酸及其钠盐(以苯甲酸计)、山梨酸及其钾盐(以山梨酸计)、甜蜜素(以环己基氨基磺酸计)、安赛蜜</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6F4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6AFEB706">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延边米酒</w:t>
            </w:r>
          </w:p>
        </w:tc>
      </w:tr>
      <w:tr w14:paraId="038B4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1495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D3B0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E3EF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BC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酱腌菜</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50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酱腌菜</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EB7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B05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亚硝酸盐(以NaNO</w:t>
            </w:r>
            <w:r>
              <w:rPr>
                <w:rStyle w:val="124"/>
                <w:rFonts w:eastAsia="宋体"/>
                <w:lang w:val="en-US" w:eastAsia="zh-CN" w:bidi="ar"/>
              </w:rPr>
              <w:t>₂</w:t>
            </w:r>
            <w:r>
              <w:rPr>
                <w:rStyle w:val="123"/>
                <w:lang w:val="en-US" w:eastAsia="zh-CN" w:bidi="ar"/>
              </w:rPr>
              <w:t>计)、山梨酸及其钾盐(以山梨酸计)、脱氢乙酸及其钠盐(以脱氢乙酸计)、糖精钠(以糖精计)、甜蜜素(以环己基氨基磺酸计)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DC0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top"/>
          </w:tcPr>
          <w:p w14:paraId="427A33F0">
            <w:pPr>
              <w:jc w:val="left"/>
              <w:rPr>
                <w:rFonts w:hint="eastAsia" w:ascii="宋体" w:hAnsi="宋体" w:eastAsia="宋体" w:cs="宋体"/>
                <w:i w:val="0"/>
                <w:iCs w:val="0"/>
                <w:color w:val="000000"/>
                <w:sz w:val="20"/>
                <w:szCs w:val="20"/>
                <w:u w:val="none"/>
              </w:rPr>
            </w:pPr>
          </w:p>
        </w:tc>
      </w:tr>
      <w:tr w14:paraId="4BC65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27891E">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73604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D91BD7">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F6C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蔬菜干制品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C1B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蔬菜干制品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15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AAB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铅(以Pb计)、山梨酸及其钾盐(以山梨酸计)、二氧化硫残留量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5A3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9E3EE">
            <w:pPr>
              <w:rPr>
                <w:rFonts w:hint="eastAsia" w:ascii="宋体" w:hAnsi="宋体" w:eastAsia="宋体" w:cs="宋体"/>
                <w:i w:val="0"/>
                <w:iCs w:val="0"/>
                <w:color w:val="000000"/>
                <w:sz w:val="22"/>
                <w:szCs w:val="22"/>
                <w:u w:val="none"/>
              </w:rPr>
            </w:pPr>
          </w:p>
        </w:tc>
      </w:tr>
      <w:tr w14:paraId="3CCF3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38DCEA">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DD638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B3A7DD">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7740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食用菌制品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6D3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干制食用菌</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34B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86C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铅(以Pb计)、镉(以Cd计)、总汞(以Hg计)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19F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3319D">
            <w:pPr>
              <w:rPr>
                <w:rFonts w:hint="eastAsia" w:ascii="宋体" w:hAnsi="宋体" w:eastAsia="宋体" w:cs="宋体"/>
                <w:i w:val="0"/>
                <w:iCs w:val="0"/>
                <w:color w:val="000000"/>
                <w:sz w:val="22"/>
                <w:szCs w:val="22"/>
                <w:u w:val="none"/>
              </w:rPr>
            </w:pPr>
          </w:p>
        </w:tc>
      </w:tr>
      <w:tr w14:paraId="57AF7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462D1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FBCEC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F73FFC">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EFFE90">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AF4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腌渍食用菌</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7C8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535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苯甲酸及其钠盐(以苯甲酸计)、山梨酸及其钾盐(以山梨酸计)、脱氢乙酸及其钠盐(以脱氢乙酸计)、防腐剂混合使用时各自用量占其最大使用量的比例之和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FDC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4792B">
            <w:pPr>
              <w:rPr>
                <w:rFonts w:hint="eastAsia" w:ascii="宋体" w:hAnsi="宋体" w:eastAsia="宋体" w:cs="宋体"/>
                <w:i w:val="0"/>
                <w:iCs w:val="0"/>
                <w:color w:val="000000"/>
                <w:sz w:val="22"/>
                <w:szCs w:val="22"/>
                <w:u w:val="none"/>
              </w:rPr>
            </w:pPr>
          </w:p>
        </w:tc>
      </w:tr>
      <w:tr w14:paraId="7F311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A25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17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4C8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水果制品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F99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899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蜜饯</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9B7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蜜饯类、凉果类、果脯类、话化类、果糕类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2F6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1CD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脱氢乙酸及其钠盐(以脱氢乙酸计)、糖精钠(以糖精计)、二氧化硫残留量、合成着色剂(亮蓝、柠檬黄、日落黄、苋菜红、胭脂红、诱惑红、喹啉黄)</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2A1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485B4">
            <w:pPr>
              <w:rPr>
                <w:rFonts w:hint="eastAsia" w:ascii="宋体" w:hAnsi="宋体" w:eastAsia="宋体" w:cs="宋体"/>
                <w:i w:val="0"/>
                <w:iCs w:val="0"/>
                <w:color w:val="000000"/>
                <w:sz w:val="22"/>
                <w:szCs w:val="22"/>
                <w:u w:val="none"/>
              </w:rPr>
            </w:pPr>
          </w:p>
        </w:tc>
      </w:tr>
      <w:tr w14:paraId="5BF5F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D04C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17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B40E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2A2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AA9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水果干制品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541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水果干制品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(含干枸杞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D9D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DF7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铅(以Pb计)、啶虫脒、脱氢乙酸及其钠盐(以脱氢乙酸计)、二氧化硫残留量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02A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6C61F">
            <w:pPr>
              <w:rPr>
                <w:rFonts w:hint="eastAsia" w:ascii="宋体" w:hAnsi="宋体" w:eastAsia="宋体" w:cs="宋体"/>
                <w:i w:val="0"/>
                <w:iCs w:val="0"/>
                <w:color w:val="000000"/>
                <w:sz w:val="22"/>
                <w:szCs w:val="22"/>
                <w:u w:val="none"/>
              </w:rPr>
            </w:pPr>
          </w:p>
        </w:tc>
      </w:tr>
      <w:tr w14:paraId="653EC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4D43C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2B85CA">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7CC3CD">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8CD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果酱</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753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果酱</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4C3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883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铅(以Pb计)、脱氢乙酸及其钠盐(以脱氢乙酸计)、菌落总数、大肠菌群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26C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2E720">
            <w:pPr>
              <w:rPr>
                <w:rFonts w:hint="eastAsia" w:ascii="宋体" w:hAnsi="宋体" w:eastAsia="宋体" w:cs="宋体"/>
                <w:i w:val="0"/>
                <w:iCs w:val="0"/>
                <w:color w:val="000000"/>
                <w:sz w:val="22"/>
                <w:szCs w:val="22"/>
                <w:u w:val="none"/>
              </w:rPr>
            </w:pPr>
          </w:p>
        </w:tc>
      </w:tr>
      <w:tr w14:paraId="571537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B726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18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5055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炒货食品及坚果制品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4E3E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炒货食品及坚果制品</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6C99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炒货食品及坚果制品(烘炒类、油炸类、其他类)</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BE3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开心果、杏仁、扁桃仁、松仁、瓜子</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AC9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B19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酸价(以脂肪计)(KOH)、过氧化值(以脂肪计)、铅(以Pb计)、黄曲霉毒素B</w:t>
            </w:r>
            <w:r>
              <w:rPr>
                <w:rStyle w:val="124"/>
                <w:rFonts w:eastAsia="宋体"/>
                <w:lang w:val="en-US" w:eastAsia="zh-CN" w:bidi="ar"/>
              </w:rPr>
              <w:t>₁</w:t>
            </w:r>
            <w:r>
              <w:rPr>
                <w:rStyle w:val="123"/>
                <w:lang w:val="en-US" w:eastAsia="zh-CN" w:bidi="ar"/>
              </w:rPr>
              <w:t xml:space="preserve"> </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2A0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110F2">
            <w:pPr>
              <w:rPr>
                <w:rFonts w:hint="eastAsia" w:ascii="宋体" w:hAnsi="宋体" w:eastAsia="宋体" w:cs="宋体"/>
                <w:i w:val="0"/>
                <w:iCs w:val="0"/>
                <w:color w:val="000000"/>
                <w:sz w:val="22"/>
                <w:szCs w:val="22"/>
                <w:u w:val="none"/>
              </w:rPr>
            </w:pPr>
          </w:p>
        </w:tc>
      </w:tr>
      <w:tr w14:paraId="4228D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65E2F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9CFFA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93CC71">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F82D8">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21E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其他炒货食品及坚果制品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312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DD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酸价(以脂肪计)(KOH)、过氧化值(以脂肪计)、铅(以Pb计)、黄曲霉毒素B</w:t>
            </w:r>
            <w:r>
              <w:rPr>
                <w:rStyle w:val="124"/>
                <w:rFonts w:eastAsia="宋体"/>
                <w:lang w:val="en-US" w:eastAsia="zh-CN" w:bidi="ar"/>
              </w:rPr>
              <w:t>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211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7C258">
            <w:pPr>
              <w:rPr>
                <w:rFonts w:hint="eastAsia" w:ascii="宋体" w:hAnsi="宋体" w:eastAsia="宋体" w:cs="宋体"/>
                <w:i w:val="0"/>
                <w:iCs w:val="0"/>
                <w:color w:val="000000"/>
                <w:sz w:val="22"/>
                <w:szCs w:val="22"/>
                <w:u w:val="none"/>
              </w:rPr>
            </w:pPr>
          </w:p>
        </w:tc>
      </w:tr>
      <w:tr w14:paraId="2E9C4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D53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19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FC1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蛋制品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7F2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D30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再制蛋</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8E0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再制蛋</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947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959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山梨酸及其钾盐(以山梨酸计)、菌落总数、大肠菌群、沙门氏菌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957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1071E">
            <w:pPr>
              <w:rPr>
                <w:rFonts w:hint="eastAsia" w:ascii="宋体" w:hAnsi="宋体" w:eastAsia="宋体" w:cs="宋体"/>
                <w:i w:val="0"/>
                <w:iCs w:val="0"/>
                <w:color w:val="000000"/>
                <w:sz w:val="22"/>
                <w:szCs w:val="22"/>
                <w:u w:val="none"/>
              </w:rPr>
            </w:pPr>
          </w:p>
        </w:tc>
      </w:tr>
      <w:tr w14:paraId="6FCC4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3BD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FC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可可及焙烤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咖啡产品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6B4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焙炒咖啡</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4CD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焙炒咖啡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C18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焙炒咖啡</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4C4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411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咖啡因、铅(以Pb计)、赭曲霉毒素A</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1F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7BAE8">
            <w:pPr>
              <w:rPr>
                <w:rFonts w:hint="eastAsia" w:ascii="宋体" w:hAnsi="宋体" w:eastAsia="宋体" w:cs="宋体"/>
                <w:i w:val="0"/>
                <w:iCs w:val="0"/>
                <w:color w:val="000000"/>
                <w:sz w:val="22"/>
                <w:szCs w:val="22"/>
                <w:u w:val="none"/>
              </w:rPr>
            </w:pPr>
          </w:p>
        </w:tc>
      </w:tr>
      <w:tr w14:paraId="4EAE3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1818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21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889A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食糖</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2A38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食糖</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B67D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食糖</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29D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白砂糖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389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A89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蔗糖分、还原糖分、二氧化硫残留量、螨</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2F7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345D0">
            <w:pPr>
              <w:rPr>
                <w:rFonts w:hint="eastAsia" w:ascii="宋体" w:hAnsi="宋体" w:eastAsia="宋体" w:cs="宋体"/>
                <w:i w:val="0"/>
                <w:iCs w:val="0"/>
                <w:color w:val="000000"/>
                <w:sz w:val="22"/>
                <w:szCs w:val="22"/>
                <w:u w:val="none"/>
              </w:rPr>
            </w:pPr>
          </w:p>
        </w:tc>
      </w:tr>
      <w:tr w14:paraId="23F55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CB563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D345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894E44">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877CF9">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AB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绵白糖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CA7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504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总糖分、还原糖分、二氧化硫残留量、螨</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230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154E5">
            <w:pPr>
              <w:rPr>
                <w:rFonts w:hint="eastAsia" w:ascii="宋体" w:hAnsi="宋体" w:eastAsia="宋体" w:cs="宋体"/>
                <w:i w:val="0"/>
                <w:iCs w:val="0"/>
                <w:color w:val="000000"/>
                <w:sz w:val="22"/>
                <w:szCs w:val="22"/>
                <w:u w:val="none"/>
              </w:rPr>
            </w:pPr>
          </w:p>
        </w:tc>
      </w:tr>
      <w:tr w14:paraId="7799D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A7B20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D5738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8992AB">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75A797">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E1C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赤砂糖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91F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DB3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总糖分、二氧化硫残留量、螨、合成着色剂(柠檬黄、新红、苋菜红、胭脂红、日落黄、诱惑红、酸性红、喹啉黄、赤藓红)</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92B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DF9F8">
            <w:pPr>
              <w:rPr>
                <w:rFonts w:hint="eastAsia" w:ascii="宋体" w:hAnsi="宋体" w:eastAsia="宋体" w:cs="宋体"/>
                <w:i w:val="0"/>
                <w:iCs w:val="0"/>
                <w:color w:val="000000"/>
                <w:sz w:val="22"/>
                <w:szCs w:val="22"/>
                <w:u w:val="none"/>
              </w:rPr>
            </w:pPr>
          </w:p>
        </w:tc>
      </w:tr>
      <w:tr w14:paraId="01D3A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CEB70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2156F4">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1092C9">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52D2A1">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62E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2FB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0AB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总糖分、二氧化硫残留量、螨、合成着色剂(柠檬黄、新红、苋菜红、胭脂红、日落黄、诱惑红、酸性红、喹啉黄、赤藓红)</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041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8F031">
            <w:pPr>
              <w:rPr>
                <w:rFonts w:hint="eastAsia" w:ascii="宋体" w:hAnsi="宋体" w:eastAsia="宋体" w:cs="宋体"/>
                <w:i w:val="0"/>
                <w:iCs w:val="0"/>
                <w:color w:val="000000"/>
                <w:sz w:val="22"/>
                <w:szCs w:val="22"/>
                <w:u w:val="none"/>
              </w:rPr>
            </w:pPr>
          </w:p>
        </w:tc>
      </w:tr>
      <w:tr w14:paraId="6C786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8A937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CD5AAD">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62CF95">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251918">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74E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EA6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29D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蔗糖分、还原糖分、二氧化硫残留量、螨、合成着色剂(柠檬黄、新红、苋菜红、胭脂红、日落黄、诱惑红、酸性红、喹啉黄、赤藓红)</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291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9A5F">
            <w:pPr>
              <w:rPr>
                <w:rFonts w:hint="eastAsia" w:ascii="宋体" w:hAnsi="宋体" w:eastAsia="宋体" w:cs="宋体"/>
                <w:i w:val="0"/>
                <w:iCs w:val="0"/>
                <w:color w:val="000000"/>
                <w:sz w:val="22"/>
                <w:szCs w:val="22"/>
                <w:u w:val="none"/>
              </w:rPr>
            </w:pPr>
          </w:p>
        </w:tc>
      </w:tr>
      <w:tr w14:paraId="147B8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D70AD0">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E57F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669887">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F1E71C">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CD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冰片糖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49C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EF9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总糖分、还原糖分、二氧化硫残留量、螨</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A87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DF196">
            <w:pPr>
              <w:rPr>
                <w:rFonts w:hint="eastAsia" w:ascii="宋体" w:hAnsi="宋体" w:eastAsia="宋体" w:cs="宋体"/>
                <w:i w:val="0"/>
                <w:iCs w:val="0"/>
                <w:color w:val="000000"/>
                <w:sz w:val="22"/>
                <w:szCs w:val="22"/>
                <w:u w:val="none"/>
              </w:rPr>
            </w:pPr>
          </w:p>
        </w:tc>
      </w:tr>
      <w:tr w14:paraId="2F057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760C2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1C5A5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94BE72">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3608F1">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FC8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62E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71B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蔗糖分、还原糖分、二氧化硫残留量、螨</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1F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BF8C5">
            <w:pPr>
              <w:rPr>
                <w:rFonts w:hint="eastAsia" w:ascii="宋体" w:hAnsi="宋体" w:eastAsia="宋体" w:cs="宋体"/>
                <w:i w:val="0"/>
                <w:iCs w:val="0"/>
                <w:color w:val="000000"/>
                <w:sz w:val="22"/>
                <w:szCs w:val="22"/>
                <w:u w:val="none"/>
              </w:rPr>
            </w:pPr>
          </w:p>
        </w:tc>
      </w:tr>
      <w:tr w14:paraId="64D92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45837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B23C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C379B">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2AA394">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019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其他糖</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644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861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蔗糖分、总糖分、二氧化硫残留量、螨</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461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9592B">
            <w:pPr>
              <w:rPr>
                <w:rFonts w:hint="eastAsia" w:ascii="宋体" w:hAnsi="宋体" w:eastAsia="宋体" w:cs="宋体"/>
                <w:i w:val="0"/>
                <w:iCs w:val="0"/>
                <w:color w:val="000000"/>
                <w:sz w:val="22"/>
                <w:szCs w:val="22"/>
                <w:u w:val="none"/>
              </w:rPr>
            </w:pPr>
          </w:p>
        </w:tc>
      </w:tr>
      <w:tr w14:paraId="01EB7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restart"/>
            <w:tcBorders>
              <w:top w:val="single" w:color="000000" w:sz="4" w:space="0"/>
              <w:left w:val="single" w:color="000000" w:sz="4" w:space="0"/>
              <w:bottom w:val="nil"/>
              <w:right w:val="single" w:color="000000" w:sz="4" w:space="0"/>
            </w:tcBorders>
            <w:shd w:val="clear" w:color="auto" w:fill="auto"/>
            <w:vAlign w:val="center"/>
          </w:tcPr>
          <w:p w14:paraId="3ADD63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22 </w:t>
            </w:r>
          </w:p>
        </w:tc>
        <w:tc>
          <w:tcPr>
            <w:tcW w:w="737" w:type="dxa"/>
            <w:vMerge w:val="restart"/>
            <w:tcBorders>
              <w:top w:val="single" w:color="000000" w:sz="4" w:space="0"/>
              <w:left w:val="single" w:color="000000" w:sz="4" w:space="0"/>
              <w:bottom w:val="nil"/>
              <w:right w:val="single" w:color="000000" w:sz="4" w:space="0"/>
            </w:tcBorders>
            <w:shd w:val="clear" w:color="auto" w:fill="auto"/>
            <w:vAlign w:val="center"/>
          </w:tcPr>
          <w:p w14:paraId="4C9F20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水产制品</w:t>
            </w:r>
          </w:p>
        </w:tc>
        <w:tc>
          <w:tcPr>
            <w:tcW w:w="675" w:type="dxa"/>
            <w:vMerge w:val="restart"/>
            <w:tcBorders>
              <w:top w:val="single" w:color="000000" w:sz="4" w:space="0"/>
              <w:left w:val="single" w:color="000000" w:sz="4" w:space="0"/>
              <w:bottom w:val="nil"/>
              <w:right w:val="single" w:color="000000" w:sz="4" w:space="0"/>
            </w:tcBorders>
            <w:shd w:val="clear" w:color="auto" w:fill="auto"/>
            <w:vAlign w:val="center"/>
          </w:tcPr>
          <w:p w14:paraId="1CC1F1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水产制品</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056C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干制水产品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4BA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藻类干制品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71B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977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铅(以Pb计)、菌落总数、大肠菌群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670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48B54">
            <w:pPr>
              <w:rPr>
                <w:rFonts w:hint="eastAsia" w:ascii="宋体" w:hAnsi="宋体" w:eastAsia="宋体" w:cs="宋体"/>
                <w:i w:val="0"/>
                <w:iCs w:val="0"/>
                <w:color w:val="000000"/>
                <w:sz w:val="22"/>
                <w:szCs w:val="22"/>
                <w:u w:val="none"/>
              </w:rPr>
            </w:pPr>
          </w:p>
        </w:tc>
      </w:tr>
      <w:tr w14:paraId="6A6EB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3D28513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07A916B6">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2754343E">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8DB853">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6F9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预制动物性水产干制品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D90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412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过氧化值(以脂肪计)、镉(以Cd计)、苯甲酸及其钠盐(以苯甲酸计)、山梨酸及其钾盐(以山梨酸计)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C05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EC259">
            <w:pPr>
              <w:rPr>
                <w:rFonts w:hint="eastAsia" w:ascii="宋体" w:hAnsi="宋体" w:eastAsia="宋体" w:cs="宋体"/>
                <w:i w:val="0"/>
                <w:iCs w:val="0"/>
                <w:color w:val="000000"/>
                <w:sz w:val="22"/>
                <w:szCs w:val="22"/>
                <w:u w:val="none"/>
              </w:rPr>
            </w:pPr>
          </w:p>
        </w:tc>
      </w:tr>
      <w:tr w14:paraId="7FDA7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50A2464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425F18E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00C4A5B5">
            <w:pPr>
              <w:jc w:val="center"/>
              <w:rPr>
                <w:rFonts w:hint="eastAsia" w:ascii="宋体" w:hAnsi="宋体" w:eastAsia="宋体" w:cs="宋体"/>
                <w:i w:val="0"/>
                <w:iCs w:val="0"/>
                <w:color w:val="000000"/>
                <w:sz w:val="20"/>
                <w:szCs w:val="20"/>
                <w:u w:val="none"/>
              </w:rPr>
            </w:pP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E0A8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盐渍水产品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A62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盐渍鱼</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1F5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712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过氧化值(以脂肪计)、组胺、镉(以Cd计)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9B1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DBA1B">
            <w:pPr>
              <w:rPr>
                <w:rFonts w:hint="eastAsia" w:ascii="宋体" w:hAnsi="宋体" w:eastAsia="宋体" w:cs="宋体"/>
                <w:i w:val="0"/>
                <w:iCs w:val="0"/>
                <w:color w:val="000000"/>
                <w:sz w:val="22"/>
                <w:szCs w:val="22"/>
                <w:u w:val="none"/>
              </w:rPr>
            </w:pPr>
          </w:p>
        </w:tc>
      </w:tr>
      <w:tr w14:paraId="40E3E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17F86F5D">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1F49DFB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6127BAA6">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EEC0A">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D45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盐渍藻</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516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660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铅(以Pb计)、苯甲酸及其钠盐(以苯甲酸计)、山梨酸及其钾盐(以山梨酸计)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CF7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ACC2D">
            <w:pPr>
              <w:rPr>
                <w:rFonts w:hint="eastAsia" w:ascii="宋体" w:hAnsi="宋体" w:eastAsia="宋体" w:cs="宋体"/>
                <w:i w:val="0"/>
                <w:iCs w:val="0"/>
                <w:color w:val="000000"/>
                <w:sz w:val="22"/>
                <w:szCs w:val="22"/>
                <w:u w:val="none"/>
              </w:rPr>
            </w:pPr>
          </w:p>
        </w:tc>
      </w:tr>
      <w:tr w14:paraId="79DB8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5050528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4617A18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01627F70">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F5D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鱼糜制品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66B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预制鱼糜制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659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DC0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517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B3F53">
            <w:pPr>
              <w:rPr>
                <w:rFonts w:hint="eastAsia" w:ascii="宋体" w:hAnsi="宋体" w:eastAsia="宋体" w:cs="宋体"/>
                <w:i w:val="0"/>
                <w:iCs w:val="0"/>
                <w:color w:val="000000"/>
                <w:sz w:val="22"/>
                <w:szCs w:val="22"/>
                <w:u w:val="none"/>
              </w:rPr>
            </w:pPr>
          </w:p>
        </w:tc>
      </w:tr>
      <w:tr w14:paraId="652DB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337425B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6778F315">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43575384">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AD8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熟制动物性水产制品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513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熟制动物性水产制品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633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DCC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镉(以Cd计)、苯甲酸及其钠盐(以苯甲酸计)、山梨酸及其钾盐(以山梨酸计)脱氢乙酸及其钠盐(以脱氢乙酸计)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5CF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9D53E">
            <w:pPr>
              <w:rPr>
                <w:rFonts w:hint="eastAsia" w:ascii="宋体" w:hAnsi="宋体" w:eastAsia="宋体" w:cs="宋体"/>
                <w:i w:val="0"/>
                <w:iCs w:val="0"/>
                <w:color w:val="000000"/>
                <w:sz w:val="22"/>
                <w:szCs w:val="22"/>
                <w:u w:val="none"/>
              </w:rPr>
            </w:pPr>
          </w:p>
        </w:tc>
      </w:tr>
      <w:tr w14:paraId="007EE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trPr>
        <w:tc>
          <w:tcPr>
            <w:tcW w:w="417" w:type="dxa"/>
            <w:vMerge w:val="restart"/>
            <w:tcBorders>
              <w:top w:val="single" w:color="000000" w:sz="4" w:space="0"/>
              <w:left w:val="single" w:color="000000" w:sz="4" w:space="0"/>
              <w:bottom w:val="nil"/>
              <w:right w:val="single" w:color="000000" w:sz="4" w:space="0"/>
            </w:tcBorders>
            <w:shd w:val="clear" w:color="auto" w:fill="auto"/>
            <w:vAlign w:val="center"/>
          </w:tcPr>
          <w:p w14:paraId="5CE767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23 </w:t>
            </w:r>
          </w:p>
        </w:tc>
        <w:tc>
          <w:tcPr>
            <w:tcW w:w="737" w:type="dxa"/>
            <w:vMerge w:val="restart"/>
            <w:tcBorders>
              <w:top w:val="single" w:color="000000" w:sz="4" w:space="0"/>
              <w:left w:val="single" w:color="000000" w:sz="4" w:space="0"/>
              <w:bottom w:val="nil"/>
              <w:right w:val="single" w:color="000000" w:sz="4" w:space="0"/>
            </w:tcBorders>
            <w:shd w:val="clear" w:color="auto" w:fill="auto"/>
            <w:vAlign w:val="center"/>
          </w:tcPr>
          <w:p w14:paraId="6629E6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淀粉及淀粉制品</w:t>
            </w:r>
          </w:p>
        </w:tc>
        <w:tc>
          <w:tcPr>
            <w:tcW w:w="675" w:type="dxa"/>
            <w:vMerge w:val="restart"/>
            <w:tcBorders>
              <w:top w:val="single" w:color="000000" w:sz="4" w:space="0"/>
              <w:left w:val="single" w:color="000000" w:sz="4" w:space="0"/>
              <w:bottom w:val="nil"/>
              <w:right w:val="single" w:color="000000" w:sz="4" w:space="0"/>
            </w:tcBorders>
            <w:shd w:val="clear" w:color="auto" w:fill="auto"/>
            <w:vAlign w:val="center"/>
          </w:tcPr>
          <w:p w14:paraId="25AC6D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淀粉及淀粉制品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C7A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011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69A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135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菌落总数、大肠菌群、霉菌和酵母、二氧化硫残留量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AD4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1F459">
            <w:pPr>
              <w:rPr>
                <w:rFonts w:hint="eastAsia" w:ascii="宋体" w:hAnsi="宋体" w:eastAsia="宋体" w:cs="宋体"/>
                <w:i w:val="0"/>
                <w:iCs w:val="0"/>
                <w:color w:val="000000"/>
                <w:sz w:val="22"/>
                <w:szCs w:val="22"/>
                <w:u w:val="none"/>
              </w:rPr>
            </w:pPr>
          </w:p>
        </w:tc>
      </w:tr>
      <w:tr w14:paraId="5A9DD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trPr>
        <w:tc>
          <w:tcPr>
            <w:tcW w:w="417" w:type="dxa"/>
            <w:vMerge w:val="continue"/>
            <w:tcBorders>
              <w:top w:val="single" w:color="000000" w:sz="4" w:space="0"/>
              <w:left w:val="single" w:color="000000" w:sz="4" w:space="0"/>
              <w:bottom w:val="nil"/>
              <w:right w:val="single" w:color="000000" w:sz="4" w:space="0"/>
            </w:tcBorders>
            <w:shd w:val="clear" w:color="auto" w:fill="auto"/>
            <w:vAlign w:val="center"/>
          </w:tcPr>
          <w:p w14:paraId="4613AB53">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nil"/>
              <w:right w:val="single" w:color="000000" w:sz="4" w:space="0"/>
            </w:tcBorders>
            <w:shd w:val="clear" w:color="auto" w:fill="auto"/>
            <w:vAlign w:val="center"/>
          </w:tcPr>
          <w:p w14:paraId="647AA66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nil"/>
              <w:right w:val="single" w:color="000000" w:sz="4" w:space="0"/>
            </w:tcBorders>
            <w:shd w:val="clear" w:color="auto" w:fill="auto"/>
            <w:vAlign w:val="center"/>
          </w:tcPr>
          <w:p w14:paraId="1F02CE31">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236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649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粉丝粉条</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B7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87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脱氢乙酸及其钠盐(以脱氢乙酸计)、铝的残留量(干样品，以Al计)、二氧化硫残留量</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50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7A5F4">
            <w:pPr>
              <w:rPr>
                <w:rFonts w:hint="eastAsia" w:ascii="宋体" w:hAnsi="宋体" w:eastAsia="宋体" w:cs="宋体"/>
                <w:i w:val="0"/>
                <w:iCs w:val="0"/>
                <w:color w:val="000000"/>
                <w:sz w:val="22"/>
                <w:szCs w:val="22"/>
                <w:u w:val="none"/>
              </w:rPr>
            </w:pPr>
          </w:p>
        </w:tc>
      </w:tr>
      <w:tr w14:paraId="4D39D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7D16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24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3DE8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糕点</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290A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糕点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DF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面包</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558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面包</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50C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D7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酸价(以脂肪计)(KOH)、过氧化值(以脂肪计)、铝的残留量(干样品，以Al计)、脱氢乙酸及其钠盐(以脱氢乙酸计)、菌落总数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574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6484B">
            <w:pPr>
              <w:rPr>
                <w:rFonts w:hint="eastAsia" w:ascii="宋体" w:hAnsi="宋体" w:eastAsia="宋体" w:cs="宋体"/>
                <w:i w:val="0"/>
                <w:iCs w:val="0"/>
                <w:color w:val="000000"/>
                <w:sz w:val="22"/>
                <w:szCs w:val="22"/>
                <w:u w:val="none"/>
              </w:rPr>
            </w:pPr>
          </w:p>
        </w:tc>
      </w:tr>
      <w:tr w14:paraId="2C6CE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D6455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4DAA2">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A80CF9">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4E3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月饼</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901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月饼</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FCC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9A8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酸价(以脂肪计)(KOH)、过氧化值(以脂肪计)、铝的残留量(干样品，以Al计)、脱氢乙酸及其钠盐(以脱氢乙酸计)、菌落总数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F44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164D6">
            <w:pPr>
              <w:rPr>
                <w:rFonts w:hint="eastAsia" w:ascii="宋体" w:hAnsi="宋体" w:eastAsia="宋体" w:cs="宋体"/>
                <w:i w:val="0"/>
                <w:iCs w:val="0"/>
                <w:color w:val="000000"/>
                <w:sz w:val="22"/>
                <w:szCs w:val="22"/>
                <w:u w:val="none"/>
              </w:rPr>
            </w:pPr>
          </w:p>
        </w:tc>
      </w:tr>
      <w:tr w14:paraId="4245D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55"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3049C0">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F5AA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5E82E0">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F81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粽子</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15C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粽子</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2E9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A53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过氧化值(以脂肪计)、甜蜜素(以环己基氨基磺酸计)、山梨酸及其钾盐(以山梨酸计)、脱氢乙酸及其钠盐(以脱氢乙酸计)、糖精钠(以糖精计)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AD2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E8B89">
            <w:pPr>
              <w:rPr>
                <w:rFonts w:hint="eastAsia" w:ascii="宋体" w:hAnsi="宋体" w:eastAsia="宋体" w:cs="宋体"/>
                <w:i w:val="0"/>
                <w:iCs w:val="0"/>
                <w:color w:val="000000"/>
                <w:sz w:val="22"/>
                <w:szCs w:val="22"/>
                <w:u w:val="none"/>
              </w:rPr>
            </w:pPr>
          </w:p>
        </w:tc>
      </w:tr>
      <w:tr w14:paraId="63674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034CF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6DB0E8">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1CC254">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0F8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糕点</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B6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糕点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086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6DE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酸价(以脂肪计)(KOH)、过氧化值(以脂肪计)、甜蜜素(以环己基氨基磺酸计)、铝的残留量(干样品，以Al计)、脱氢乙酸及其钠盐(以脱氢乙酸计)、菌落总数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774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5AA67">
            <w:pPr>
              <w:rPr>
                <w:rFonts w:hint="eastAsia" w:ascii="宋体" w:hAnsi="宋体" w:eastAsia="宋体" w:cs="宋体"/>
                <w:i w:val="0"/>
                <w:iCs w:val="0"/>
                <w:color w:val="000000"/>
                <w:sz w:val="22"/>
                <w:szCs w:val="22"/>
                <w:u w:val="none"/>
              </w:rPr>
            </w:pPr>
          </w:p>
        </w:tc>
      </w:tr>
      <w:tr w14:paraId="5EE64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90F4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25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5D62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豆制品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1E27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A5F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发酵性豆制品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817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腐乳、豆豉、纳豆等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287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7AB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铅(以Pb计)、黄曲霉毒素B</w:t>
            </w:r>
            <w:r>
              <w:rPr>
                <w:rStyle w:val="124"/>
                <w:rFonts w:eastAsia="宋体"/>
                <w:lang w:val="en-US" w:eastAsia="zh-CN" w:bidi="ar"/>
              </w:rPr>
              <w:t>₁</w:t>
            </w:r>
            <w:r>
              <w:rPr>
                <w:rStyle w:val="123"/>
                <w:lang w:val="en-US" w:eastAsia="zh-CN" w:bidi="ar"/>
              </w:rPr>
              <w:t xml:space="preserve"> 、铝的残留量(干样品，以Al计)、大肠菌群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4B7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EED74">
            <w:pPr>
              <w:rPr>
                <w:rFonts w:hint="eastAsia" w:ascii="宋体" w:hAnsi="宋体" w:eastAsia="宋体" w:cs="宋体"/>
                <w:i w:val="0"/>
                <w:iCs w:val="0"/>
                <w:color w:val="000000"/>
                <w:sz w:val="22"/>
                <w:szCs w:val="22"/>
                <w:u w:val="none"/>
              </w:rPr>
            </w:pPr>
          </w:p>
        </w:tc>
      </w:tr>
      <w:tr w14:paraId="30760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32D73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FDC31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9BB279">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681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非发酵性豆制品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0F6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腐竹、油皮及其再制品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C0C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F0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铅(以Pb计)、碱性嫩黄、二氧化硫残留量、铝的残留量(干样品，以Al计)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1E9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916C5">
            <w:pPr>
              <w:rPr>
                <w:rFonts w:hint="eastAsia" w:ascii="宋体" w:hAnsi="宋体" w:eastAsia="宋体" w:cs="宋体"/>
                <w:i w:val="0"/>
                <w:iCs w:val="0"/>
                <w:color w:val="000000"/>
                <w:sz w:val="22"/>
                <w:szCs w:val="22"/>
                <w:u w:val="none"/>
              </w:rPr>
            </w:pPr>
          </w:p>
        </w:tc>
      </w:tr>
      <w:tr w14:paraId="4E161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141AC">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D44C97">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4A439C">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DD6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非发酵性豆制品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280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豆干、豆腐、豆皮等</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5B3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2E7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苯甲酸及其钠盐(以苯甲酸计)、脱氢乙酸及其钠盐(以脱氢乙酸计)、铝的残留量(干样品，以Al计)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D37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5CE3A">
            <w:pPr>
              <w:rPr>
                <w:rFonts w:hint="eastAsia" w:ascii="宋体" w:hAnsi="宋体" w:eastAsia="宋体" w:cs="宋体"/>
                <w:i w:val="0"/>
                <w:iCs w:val="0"/>
                <w:color w:val="000000"/>
                <w:sz w:val="22"/>
                <w:szCs w:val="22"/>
                <w:u w:val="none"/>
              </w:rPr>
            </w:pPr>
          </w:p>
        </w:tc>
      </w:tr>
      <w:tr w14:paraId="008B2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0C2E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26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E046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蜂产品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2F85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蜂产品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606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蜂蜜</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D31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蜂蜜</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43D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8707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果糖和葡萄糖、呋喃西林代谢物、呋喃唑酮代谢物、甲硝唑、嗜渗酵母计数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E30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EA40D">
            <w:pPr>
              <w:rPr>
                <w:rFonts w:hint="eastAsia" w:ascii="宋体" w:hAnsi="宋体" w:eastAsia="宋体" w:cs="宋体"/>
                <w:i w:val="0"/>
                <w:iCs w:val="0"/>
                <w:color w:val="000000"/>
                <w:sz w:val="22"/>
                <w:szCs w:val="22"/>
                <w:u w:val="none"/>
              </w:rPr>
            </w:pPr>
          </w:p>
        </w:tc>
      </w:tr>
      <w:tr w14:paraId="4C202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6B14C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60A1FA">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19119">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052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蜂产品制品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1F4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蜂产品制品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02B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C6A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山梨酸及其钾盐(以山梨酸计)、合成着色剂(柠檬黄、日落黄)、菌落总数</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FB7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91290">
            <w:pPr>
              <w:rPr>
                <w:rFonts w:hint="eastAsia" w:ascii="宋体" w:hAnsi="宋体" w:eastAsia="宋体" w:cs="宋体"/>
                <w:i w:val="0"/>
                <w:iCs w:val="0"/>
                <w:color w:val="000000"/>
                <w:sz w:val="22"/>
                <w:szCs w:val="22"/>
                <w:u w:val="none"/>
              </w:rPr>
            </w:pPr>
          </w:p>
        </w:tc>
      </w:tr>
      <w:tr w14:paraId="18F1F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6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AC9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27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67A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保健食品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03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保健食品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E54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保健食品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F13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保健食品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7FB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391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氨基酸、10-羟基-2-癸烯酸、蛋白质、二十二碳六烯酸、二十碳五烯酸、泛酸、钙、还原糖、肌醇、赖氨酸、绿原酸、铁、维生素A、维生素B</w:t>
            </w:r>
            <w:r>
              <w:rPr>
                <w:rStyle w:val="124"/>
                <w:rFonts w:eastAsia="宋体"/>
                <w:lang w:val="en-US" w:eastAsia="zh-CN" w:bidi="ar"/>
              </w:rPr>
              <w:t>₁</w:t>
            </w:r>
            <w:r>
              <w:rPr>
                <w:rStyle w:val="123"/>
                <w:lang w:val="en-US" w:eastAsia="zh-CN" w:bidi="ar"/>
              </w:rPr>
              <w:t xml:space="preserve"> 、维生素B</w:t>
            </w:r>
            <w:r>
              <w:rPr>
                <w:rStyle w:val="124"/>
                <w:rFonts w:eastAsia="宋体"/>
                <w:lang w:val="en-US" w:eastAsia="zh-CN" w:bidi="ar"/>
              </w:rPr>
              <w:t>₁₂</w:t>
            </w:r>
            <w:r>
              <w:rPr>
                <w:rStyle w:val="123"/>
                <w:lang w:val="en-US" w:eastAsia="zh-CN" w:bidi="ar"/>
              </w:rPr>
              <w:t xml:space="preserve"> 、维生素B</w:t>
            </w:r>
            <w:r>
              <w:rPr>
                <w:rStyle w:val="124"/>
                <w:rFonts w:eastAsia="宋体"/>
                <w:lang w:val="en-US" w:eastAsia="zh-CN" w:bidi="ar"/>
              </w:rPr>
              <w:t>₂</w:t>
            </w:r>
            <w:r>
              <w:rPr>
                <w:rStyle w:val="123"/>
                <w:lang w:val="en-US" w:eastAsia="zh-CN" w:bidi="ar"/>
              </w:rPr>
              <w:t xml:space="preserve"> 、维生素B</w:t>
            </w:r>
            <w:r>
              <w:rPr>
                <w:rStyle w:val="126"/>
                <w:lang w:val="en-US" w:eastAsia="zh-CN" w:bidi="ar"/>
              </w:rPr>
              <w:t>6</w:t>
            </w:r>
            <w:r>
              <w:rPr>
                <w:rStyle w:val="123"/>
                <w:lang w:val="en-US" w:eastAsia="zh-CN" w:bidi="ar"/>
              </w:rPr>
              <w:t>、维生素C、维生素D、维生素D</w:t>
            </w:r>
            <w:r>
              <w:rPr>
                <w:rStyle w:val="124"/>
                <w:rFonts w:eastAsia="宋体"/>
                <w:lang w:val="en-US" w:eastAsia="zh-CN" w:bidi="ar"/>
              </w:rPr>
              <w:t>₃</w:t>
            </w:r>
            <w:r>
              <w:rPr>
                <w:rStyle w:val="123"/>
                <w:lang w:val="en-US" w:eastAsia="zh-CN" w:bidi="ar"/>
              </w:rPr>
              <w:t xml:space="preserve"> 、维生素E、硒、锌、烟酰胺、叶酸、免疫球蛋白IgG、总黄酮、总皂苷、总蒽醌、吡啶甲酸铬、芦荟苷、总三萜、嗜酸乳杆菌、双歧杆菌、水分、可溶性固形物、酸价、过氧化值、崩解时限、灰分、铅(Pb)、总砷(As)、总汞(Hg)、硬胶囊壳中的铬、菌落总数、大肠菌群、霉菌和酵母、金黄色葡萄球菌、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D56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A1E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以实际样品确定检测项目</w:t>
            </w:r>
          </w:p>
        </w:tc>
      </w:tr>
      <w:tr w14:paraId="44F8E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8B14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28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39F4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特殊膳食食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29C8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婴幼儿辅助食品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60F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婴幼儿谷类辅助食品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66E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婴幼儿谷物辅助食品、婴幼儿高蛋白谷物辅助食品、婴幼儿生制类谷物辅助食品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、婴幼儿饼干或其他婴幼儿谷物辅助食品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DA8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4C6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蛋白质、脂肪、菌落总数、大肠菌群、沙门氏菌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FF7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3F60B">
            <w:pPr>
              <w:rPr>
                <w:rFonts w:hint="eastAsia" w:ascii="宋体" w:hAnsi="宋体" w:eastAsia="宋体" w:cs="宋体"/>
                <w:i w:val="0"/>
                <w:iCs w:val="0"/>
                <w:color w:val="000000"/>
                <w:sz w:val="22"/>
                <w:szCs w:val="22"/>
                <w:u w:val="none"/>
              </w:rPr>
            </w:pPr>
          </w:p>
        </w:tc>
      </w:tr>
      <w:tr w14:paraId="331FA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19160B">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F82AD3">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F34940">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7E5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婴幼儿罐装辅助食品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9F2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泥(糊)状罐装食品、颗粒状罐装食品、汁类罐装食品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BED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4C3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铅(以Pb计)、硝酸盐(以NaNO</w:t>
            </w:r>
            <w:r>
              <w:rPr>
                <w:rStyle w:val="124"/>
                <w:rFonts w:eastAsia="宋体"/>
                <w:lang w:val="en-US" w:eastAsia="zh-CN" w:bidi="ar"/>
              </w:rPr>
              <w:t>₃</w:t>
            </w:r>
            <w:r>
              <w:rPr>
                <w:rStyle w:val="123"/>
                <w:lang w:val="en-US" w:eastAsia="zh-CN" w:bidi="ar"/>
              </w:rPr>
              <w:t>计)、亚硝酸盐(以NaNO</w:t>
            </w:r>
            <w:r>
              <w:rPr>
                <w:rStyle w:val="124"/>
                <w:rFonts w:eastAsia="宋体"/>
                <w:lang w:val="en-US" w:eastAsia="zh-CN" w:bidi="ar"/>
              </w:rPr>
              <w:t>₂</w:t>
            </w:r>
            <w:r>
              <w:rPr>
                <w:rStyle w:val="123"/>
                <w:lang w:val="en-US" w:eastAsia="zh-CN" w:bidi="ar"/>
              </w:rPr>
              <w:t>计)、商业无菌、霉菌</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866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953AE">
            <w:pPr>
              <w:rPr>
                <w:rFonts w:hint="eastAsia" w:ascii="宋体" w:hAnsi="宋体" w:eastAsia="宋体" w:cs="宋体"/>
                <w:i w:val="0"/>
                <w:iCs w:val="0"/>
                <w:color w:val="000000"/>
                <w:sz w:val="22"/>
                <w:szCs w:val="22"/>
                <w:u w:val="none"/>
              </w:rPr>
            </w:pPr>
          </w:p>
        </w:tc>
      </w:tr>
      <w:tr w14:paraId="3201D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9AF3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F7BAFD">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ED0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营养补充品</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E60E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营养补充品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602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辅食营养素补充食品、辅食营养素补充片、辅食营养素撒剂</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C63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7A7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蛋白质、黄曲霉毒素M</w:t>
            </w:r>
            <w:r>
              <w:rPr>
                <w:rStyle w:val="126"/>
                <w:lang w:val="en-US" w:eastAsia="zh-CN" w:bidi="ar"/>
              </w:rPr>
              <w:t>1</w:t>
            </w:r>
            <w:r>
              <w:rPr>
                <w:rStyle w:val="123"/>
                <w:lang w:val="en-US" w:eastAsia="zh-CN" w:bidi="ar"/>
              </w:rPr>
              <w:t>、黄曲霉毒素B</w:t>
            </w:r>
            <w:r>
              <w:rPr>
                <w:rStyle w:val="124"/>
                <w:rFonts w:eastAsia="宋体"/>
                <w:lang w:val="en-US" w:eastAsia="zh-CN" w:bidi="ar"/>
              </w:rPr>
              <w:t>₁</w:t>
            </w:r>
            <w:r>
              <w:rPr>
                <w:rStyle w:val="123"/>
                <w:lang w:val="en-US" w:eastAsia="zh-CN" w:bidi="ar"/>
              </w:rPr>
              <w:t xml:space="preserve"> 、硝酸盐(以NaNO</w:t>
            </w:r>
            <w:r>
              <w:rPr>
                <w:rStyle w:val="124"/>
                <w:rFonts w:eastAsia="宋体"/>
                <w:lang w:val="en-US" w:eastAsia="zh-CN" w:bidi="ar"/>
              </w:rPr>
              <w:t>₃</w:t>
            </w:r>
            <w:r>
              <w:rPr>
                <w:rStyle w:val="123"/>
                <w:lang w:val="en-US" w:eastAsia="zh-CN" w:bidi="ar"/>
              </w:rPr>
              <w:t>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55E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9FD83">
            <w:pPr>
              <w:rPr>
                <w:rFonts w:hint="eastAsia" w:ascii="宋体" w:hAnsi="宋体" w:eastAsia="宋体" w:cs="宋体"/>
                <w:i w:val="0"/>
                <w:iCs w:val="0"/>
                <w:color w:val="000000"/>
                <w:sz w:val="22"/>
                <w:szCs w:val="22"/>
                <w:u w:val="none"/>
              </w:rPr>
            </w:pPr>
          </w:p>
        </w:tc>
      </w:tr>
      <w:tr w14:paraId="5866E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245CD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F869B7">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314F0C">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E3585">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A9B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孕妇及乳母营养补充食品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8D3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5EF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铁、叶酸、黄曲霉毒素B</w:t>
            </w:r>
            <w:r>
              <w:rPr>
                <w:rStyle w:val="124"/>
                <w:rFonts w:eastAsia="宋体"/>
                <w:lang w:val="en-US" w:eastAsia="zh-CN" w:bidi="ar"/>
              </w:rPr>
              <w:t>₁</w:t>
            </w:r>
            <w:r>
              <w:rPr>
                <w:rStyle w:val="123"/>
                <w:lang w:val="en-US" w:eastAsia="zh-CN" w:bidi="ar"/>
              </w:rPr>
              <w:t xml:space="preserve"> 、大肠菌群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48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F0EDE">
            <w:pPr>
              <w:rPr>
                <w:rFonts w:hint="eastAsia" w:ascii="宋体" w:hAnsi="宋体" w:eastAsia="宋体" w:cs="宋体"/>
                <w:i w:val="0"/>
                <w:iCs w:val="0"/>
                <w:color w:val="000000"/>
                <w:sz w:val="22"/>
                <w:szCs w:val="22"/>
                <w:u w:val="none"/>
              </w:rPr>
            </w:pPr>
          </w:p>
        </w:tc>
      </w:tr>
      <w:tr w14:paraId="182B4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3C0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28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EEA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特殊膳食食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3E7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营养补充品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F76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营养补充品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43A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运动营养食品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2D9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DA0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咖啡因、肌酸、肽类、牛磺酸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E75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07171">
            <w:pPr>
              <w:rPr>
                <w:rFonts w:hint="eastAsia" w:ascii="宋体" w:hAnsi="宋体" w:eastAsia="宋体" w:cs="宋体"/>
                <w:i w:val="0"/>
                <w:iCs w:val="0"/>
                <w:color w:val="000000"/>
                <w:sz w:val="22"/>
                <w:szCs w:val="22"/>
                <w:u w:val="none"/>
              </w:rPr>
            </w:pPr>
          </w:p>
        </w:tc>
      </w:tr>
      <w:tr w14:paraId="504A3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4E7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29 </w:t>
            </w:r>
          </w:p>
        </w:tc>
        <w:tc>
          <w:tcPr>
            <w:tcW w:w="7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70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特殊医学用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途配方食品</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3F4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特殊医学用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途配方食品</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82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特殊医学用途婴儿配方食品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280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特殊医学用途婴儿配方食品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093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527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蛋白质、脂肪、亚油酸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079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903A8">
            <w:pPr>
              <w:rPr>
                <w:rFonts w:hint="eastAsia" w:ascii="宋体" w:hAnsi="宋体" w:eastAsia="宋体" w:cs="宋体"/>
                <w:i w:val="0"/>
                <w:iCs w:val="0"/>
                <w:color w:val="000000"/>
                <w:sz w:val="22"/>
                <w:szCs w:val="22"/>
                <w:u w:val="none"/>
              </w:rPr>
            </w:pPr>
          </w:p>
        </w:tc>
      </w:tr>
      <w:tr w14:paraId="590B9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17" w:type="dxa"/>
            <w:tcBorders>
              <w:top w:val="single" w:color="000000" w:sz="4" w:space="0"/>
              <w:left w:val="single" w:color="000000" w:sz="4" w:space="0"/>
              <w:bottom w:val="nil"/>
              <w:right w:val="single" w:color="000000" w:sz="4" w:space="0"/>
            </w:tcBorders>
            <w:shd w:val="clear" w:color="auto" w:fill="auto"/>
            <w:vAlign w:val="center"/>
          </w:tcPr>
          <w:p w14:paraId="73D1FA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 </w:t>
            </w:r>
          </w:p>
        </w:tc>
        <w:tc>
          <w:tcPr>
            <w:tcW w:w="737" w:type="dxa"/>
            <w:tcBorders>
              <w:top w:val="single" w:color="000000" w:sz="4" w:space="0"/>
              <w:left w:val="single" w:color="000000" w:sz="4" w:space="0"/>
              <w:bottom w:val="nil"/>
              <w:right w:val="single" w:color="000000" w:sz="4" w:space="0"/>
            </w:tcBorders>
            <w:shd w:val="clear" w:color="auto" w:fill="auto"/>
            <w:vAlign w:val="center"/>
          </w:tcPr>
          <w:p w14:paraId="42B6E4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婴幼儿配方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食品</w:t>
            </w:r>
          </w:p>
        </w:tc>
        <w:tc>
          <w:tcPr>
            <w:tcW w:w="675" w:type="dxa"/>
            <w:tcBorders>
              <w:top w:val="single" w:color="000000" w:sz="4" w:space="0"/>
              <w:left w:val="single" w:color="000000" w:sz="4" w:space="0"/>
              <w:bottom w:val="nil"/>
              <w:right w:val="single" w:color="000000" w:sz="4" w:space="0"/>
            </w:tcBorders>
            <w:shd w:val="clear" w:color="auto" w:fill="auto"/>
            <w:vAlign w:val="center"/>
          </w:tcPr>
          <w:p w14:paraId="3F8E8F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婴幼儿配方食品(湿法工艺、干法工艺、干湿法混合工艺 )</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84C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婴儿配方食品</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BFC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乳基婴儿配方食品、豆基婴儿配方食品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F04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4F2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三聚氰胺、香兰素、乙基香兰素</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769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A104B">
            <w:pPr>
              <w:rPr>
                <w:rFonts w:hint="eastAsia" w:ascii="宋体" w:hAnsi="宋体" w:eastAsia="宋体" w:cs="宋体"/>
                <w:i w:val="0"/>
                <w:iCs w:val="0"/>
                <w:color w:val="000000"/>
                <w:sz w:val="22"/>
                <w:szCs w:val="22"/>
                <w:u w:val="none"/>
              </w:rPr>
            </w:pPr>
          </w:p>
        </w:tc>
      </w:tr>
      <w:tr w14:paraId="4350E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41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4CAF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 </w:t>
            </w:r>
          </w:p>
        </w:tc>
        <w:tc>
          <w:tcPr>
            <w:tcW w:w="7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1BCB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餐饮食品</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CA2A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米面及其制品(自制)</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23B6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小麦粉制品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F42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馒头花卷(自制)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272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44B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山梨酸及其钾盐(以山梨酸计)、糖精钠(以糖精计)、脱氢乙酸及其钠盐(以脱氢乙酸计)、甜蜜素(以环己基氨基磺酸计)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668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C5245">
            <w:pPr>
              <w:rPr>
                <w:rFonts w:hint="eastAsia" w:ascii="宋体" w:hAnsi="宋体" w:eastAsia="宋体" w:cs="宋体"/>
                <w:i w:val="0"/>
                <w:iCs w:val="0"/>
                <w:color w:val="000000"/>
                <w:sz w:val="22"/>
                <w:szCs w:val="22"/>
                <w:u w:val="none"/>
              </w:rPr>
            </w:pPr>
          </w:p>
        </w:tc>
      </w:tr>
      <w:tr w14:paraId="552B7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EA03E4">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035C49">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72AB0">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FD3AB">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22D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包子(自制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250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8BF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山梨酸及其钾盐(以山梨酸计)、糖精钠(以糖精计)、脱氢乙酸及其钠盐(以脱氢乙酸计)、甜蜜素(以环己基氨基磺酸计)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356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CA3DE">
            <w:pPr>
              <w:rPr>
                <w:rFonts w:hint="eastAsia" w:ascii="宋体" w:hAnsi="宋体" w:eastAsia="宋体" w:cs="宋体"/>
                <w:i w:val="0"/>
                <w:iCs w:val="0"/>
                <w:color w:val="000000"/>
                <w:sz w:val="22"/>
                <w:szCs w:val="22"/>
                <w:u w:val="none"/>
              </w:rPr>
            </w:pPr>
          </w:p>
        </w:tc>
      </w:tr>
      <w:tr w14:paraId="0C11A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1EF242">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B52DB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308D6">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769D3">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D32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油饼油条(自制)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875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D07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铝的残留量(干样品，以Al计)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99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184EC">
            <w:pPr>
              <w:rPr>
                <w:rFonts w:hint="eastAsia" w:ascii="宋体" w:hAnsi="宋体" w:eastAsia="宋体" w:cs="宋体"/>
                <w:i w:val="0"/>
                <w:iCs w:val="0"/>
                <w:color w:val="000000"/>
                <w:sz w:val="22"/>
                <w:szCs w:val="22"/>
                <w:u w:val="none"/>
              </w:rPr>
            </w:pPr>
          </w:p>
        </w:tc>
      </w:tr>
      <w:tr w14:paraId="68E8B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CDF546">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C49BE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A1B9B">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B97114">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A95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凉皮(自制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671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60D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E67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C432F">
            <w:pPr>
              <w:rPr>
                <w:rFonts w:hint="eastAsia" w:ascii="宋体" w:hAnsi="宋体" w:eastAsia="宋体" w:cs="宋体"/>
                <w:i w:val="0"/>
                <w:iCs w:val="0"/>
                <w:color w:val="000000"/>
                <w:sz w:val="22"/>
                <w:szCs w:val="22"/>
                <w:u w:val="none"/>
              </w:rPr>
            </w:pPr>
          </w:p>
        </w:tc>
      </w:tr>
      <w:tr w14:paraId="40CA9F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D137F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BA8560">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8C0F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肉制品(自制 )</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3A0D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熟肉制品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FD7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肉冻皮冻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66A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FA1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铬(以Cr计)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221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D3FFD">
            <w:pPr>
              <w:rPr>
                <w:rFonts w:hint="eastAsia" w:ascii="宋体" w:hAnsi="宋体" w:eastAsia="宋体" w:cs="宋体"/>
                <w:i w:val="0"/>
                <w:iCs w:val="0"/>
                <w:color w:val="000000"/>
                <w:sz w:val="22"/>
                <w:szCs w:val="22"/>
                <w:u w:val="none"/>
              </w:rPr>
            </w:pPr>
          </w:p>
        </w:tc>
      </w:tr>
      <w:tr w14:paraId="4F09F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88F13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CB4B3">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65F394">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EE7DD">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2B5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熏烧烤肉类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3FA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EC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N-二甲基亚硝胺、苯并[α]芘、铅(以Pb计)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FFB62">
            <w:pPr>
              <w:keepNext w:val="0"/>
              <w:keepLines w:val="0"/>
              <w:widowControl/>
              <w:suppressLineNumbers w:val="0"/>
              <w:jc w:val="center"/>
              <w:textAlignment w:val="center"/>
              <w:rPr>
                <w:rFonts w:hint="eastAsia" w:ascii="宋体" w:hAnsi="宋体" w:eastAsia="宋体" w:cs="宋体"/>
                <w:i w:val="0"/>
                <w:iCs w:val="0"/>
                <w:color w:val="231F20"/>
                <w:sz w:val="20"/>
                <w:szCs w:val="20"/>
                <w:u w:val="none"/>
              </w:rPr>
            </w:pPr>
            <w:r>
              <w:rPr>
                <w:rFonts w:hint="eastAsia" w:ascii="宋体" w:hAnsi="宋体" w:eastAsia="宋体" w:cs="宋体"/>
                <w:i w:val="0"/>
                <w:iCs w:val="0"/>
                <w:color w:val="231F2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5CE1">
            <w:pPr>
              <w:rPr>
                <w:rFonts w:hint="eastAsia" w:ascii="宋体" w:hAnsi="宋体" w:eastAsia="宋体" w:cs="宋体"/>
                <w:i w:val="0"/>
                <w:iCs w:val="0"/>
                <w:color w:val="000000"/>
                <w:sz w:val="22"/>
                <w:szCs w:val="22"/>
                <w:u w:val="none"/>
              </w:rPr>
            </w:pPr>
          </w:p>
        </w:tc>
      </w:tr>
      <w:tr w14:paraId="3F2FA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5F48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F346ED">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883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调味料(自制 )</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343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调味料(自制 )</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EF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火锅麻辣烫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底料(自制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DDD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506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罂粟碱、吗啡、可待因、那可丁</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84E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351D5">
            <w:pPr>
              <w:rPr>
                <w:rFonts w:hint="eastAsia" w:ascii="宋体" w:hAnsi="宋体" w:eastAsia="宋体" w:cs="宋体"/>
                <w:i w:val="0"/>
                <w:iCs w:val="0"/>
                <w:color w:val="000000"/>
                <w:sz w:val="22"/>
                <w:szCs w:val="22"/>
                <w:u w:val="none"/>
              </w:rPr>
            </w:pPr>
          </w:p>
        </w:tc>
      </w:tr>
      <w:tr w14:paraId="669696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09557">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7CC2E2">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55E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水产制品(自制)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565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预制水产制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品(自制)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8AB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生食动物性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水产品(自制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4A6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FEC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铝的残留量(以即食海蜇中Al计)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D7B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B1053">
            <w:pPr>
              <w:rPr>
                <w:rFonts w:hint="eastAsia" w:ascii="宋体" w:hAnsi="宋体" w:eastAsia="宋体" w:cs="宋体"/>
                <w:i w:val="0"/>
                <w:iCs w:val="0"/>
                <w:color w:val="000000"/>
                <w:sz w:val="22"/>
                <w:szCs w:val="22"/>
                <w:u w:val="none"/>
              </w:rPr>
            </w:pPr>
          </w:p>
        </w:tc>
      </w:tr>
      <w:tr w14:paraId="57C91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D8B499">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579DEA">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D09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坚果及籽类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食品(自制 )</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579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坚果及籽类</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食品(自制 )</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3FE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花生制品(自制)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0A5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36D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黄曲霉毒素B</w:t>
            </w:r>
            <w:r>
              <w:rPr>
                <w:rStyle w:val="124"/>
                <w:rFonts w:eastAsia="宋体"/>
                <w:lang w:val="en-US" w:eastAsia="zh-CN" w:bidi="ar"/>
              </w:rPr>
              <w:t>₁</w:t>
            </w:r>
            <w:r>
              <w:rPr>
                <w:rStyle w:val="123"/>
                <w:lang w:val="en-US" w:eastAsia="zh-CN" w:bidi="ar"/>
              </w:rPr>
              <w:t xml:space="preserve"> 、苯甲酸及其钠盐(以苯甲酸计)、山梨酸及其钾盐(以山梨酸计)、脱氢乙酸及其钠盐(以脱氢乙酸计)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340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E0549">
            <w:pPr>
              <w:rPr>
                <w:rFonts w:hint="eastAsia" w:ascii="宋体" w:hAnsi="宋体" w:eastAsia="宋体" w:cs="宋体"/>
                <w:i w:val="0"/>
                <w:iCs w:val="0"/>
                <w:color w:val="000000"/>
                <w:sz w:val="22"/>
                <w:szCs w:val="22"/>
                <w:u w:val="none"/>
              </w:rPr>
            </w:pPr>
          </w:p>
        </w:tc>
      </w:tr>
      <w:tr w14:paraId="01F1A0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4AF4BB">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E6096C">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A9A4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餐饮具</w:t>
            </w:r>
          </w:p>
        </w:tc>
        <w:tc>
          <w:tcPr>
            <w:tcW w:w="7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6B5C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复用餐饮具</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27A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复用餐饮具(餐馆自行消毒)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DD1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D7E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阴离子合成洗涤剂(以十二烷基苯磺酸钠计)、大肠菌群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54B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7A977">
            <w:pPr>
              <w:rPr>
                <w:rFonts w:hint="eastAsia" w:ascii="宋体" w:hAnsi="宋体" w:eastAsia="宋体" w:cs="宋体"/>
                <w:i w:val="0"/>
                <w:iCs w:val="0"/>
                <w:color w:val="000000"/>
                <w:sz w:val="22"/>
                <w:szCs w:val="22"/>
                <w:u w:val="none"/>
              </w:rPr>
            </w:pPr>
          </w:p>
        </w:tc>
      </w:tr>
      <w:tr w14:paraId="6C3C7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F4725F">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2FA16">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00DBF1">
            <w:pPr>
              <w:jc w:val="center"/>
              <w:rPr>
                <w:rFonts w:hint="eastAsia" w:ascii="宋体" w:hAnsi="宋体" w:eastAsia="宋体" w:cs="宋体"/>
                <w:i w:val="0"/>
                <w:iCs w:val="0"/>
                <w:color w:val="000000"/>
                <w:sz w:val="20"/>
                <w:szCs w:val="20"/>
                <w:u w:val="none"/>
              </w:rPr>
            </w:pPr>
          </w:p>
        </w:tc>
        <w:tc>
          <w:tcPr>
            <w:tcW w:w="7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C98C4E">
            <w:pPr>
              <w:jc w:val="center"/>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C62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复用餐饮具(集中清洗消毒服务单位消毒)</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72C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C72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阴离子合成洗涤剂(以十二烷基苯磺酸钠计)、大肠菌群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BBD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E0B8B">
            <w:pPr>
              <w:rPr>
                <w:rFonts w:hint="eastAsia" w:ascii="宋体" w:hAnsi="宋体" w:eastAsia="宋体" w:cs="宋体"/>
                <w:i w:val="0"/>
                <w:iCs w:val="0"/>
                <w:color w:val="000000"/>
                <w:sz w:val="22"/>
                <w:szCs w:val="22"/>
                <w:u w:val="none"/>
              </w:rPr>
            </w:pPr>
          </w:p>
        </w:tc>
      </w:tr>
      <w:tr w14:paraId="4CFFD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37CC1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DD24C0">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BC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焙烤食品(自制)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70B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焙烤食品(自制)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259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糕点(自制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D40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A9B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酸价(以脂肪计)(KOH)、过氧化值(以脂肪计)、铝的残留量(干样品，以Al计)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940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12C0F">
            <w:pPr>
              <w:rPr>
                <w:rFonts w:hint="eastAsia" w:ascii="宋体" w:hAnsi="宋体" w:eastAsia="宋体" w:cs="宋体"/>
                <w:i w:val="0"/>
                <w:iCs w:val="0"/>
                <w:color w:val="000000"/>
                <w:sz w:val="22"/>
                <w:szCs w:val="22"/>
                <w:u w:val="none"/>
              </w:rPr>
            </w:pPr>
          </w:p>
        </w:tc>
      </w:tr>
      <w:tr w14:paraId="13A55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FED0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BCB9CA">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A88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食用油、油脂及其制品(自制)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EF4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食用油、油脂及其制品(自制)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0D9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煎炸过程用油</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13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6A9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极性组分、酸价(KOH)</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F29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67BA6">
            <w:pPr>
              <w:rPr>
                <w:rFonts w:hint="eastAsia" w:ascii="宋体" w:hAnsi="宋体" w:eastAsia="宋体" w:cs="宋体"/>
                <w:i w:val="0"/>
                <w:iCs w:val="0"/>
                <w:color w:val="000000"/>
                <w:sz w:val="22"/>
                <w:szCs w:val="22"/>
                <w:u w:val="none"/>
              </w:rPr>
            </w:pPr>
          </w:p>
        </w:tc>
      </w:tr>
      <w:tr w14:paraId="018EF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413905">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1B0E0">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C09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淀粉制品(自制)</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3B4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粉丝粉条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78B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粉丝粉条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(自制)</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B01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89E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铝的残留量(干样品，以Al计)、脱氢乙酸及其钠盐(以脱氢乙酸计)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8CC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27AA2">
            <w:pPr>
              <w:rPr>
                <w:rFonts w:hint="eastAsia" w:ascii="宋体" w:hAnsi="宋体" w:eastAsia="宋体" w:cs="宋体"/>
                <w:i w:val="0"/>
                <w:iCs w:val="0"/>
                <w:color w:val="000000"/>
                <w:sz w:val="22"/>
                <w:szCs w:val="22"/>
                <w:u w:val="none"/>
              </w:rPr>
            </w:pPr>
          </w:p>
        </w:tc>
      </w:tr>
      <w:tr w14:paraId="3078D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5DE61">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5E99F1">
            <w:pPr>
              <w:jc w:val="center"/>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C14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饮料(自制 )</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FD5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饮料(自制 )</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130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奶茶(自</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制 )</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AAE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较高</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602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脱氢乙酸及其钠盐(以脱氢乙酸计)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BE8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663F">
            <w:pPr>
              <w:rPr>
                <w:rFonts w:hint="eastAsia" w:ascii="宋体" w:hAnsi="宋体" w:eastAsia="宋体" w:cs="宋体"/>
                <w:i w:val="0"/>
                <w:iCs w:val="0"/>
                <w:color w:val="000000"/>
                <w:sz w:val="22"/>
                <w:szCs w:val="22"/>
                <w:u w:val="none"/>
              </w:rPr>
            </w:pPr>
          </w:p>
        </w:tc>
      </w:tr>
      <w:tr w14:paraId="5B0F3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1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C2ED98">
            <w:pPr>
              <w:jc w:val="center"/>
              <w:rPr>
                <w:rFonts w:hint="eastAsia" w:ascii="宋体" w:hAnsi="宋体" w:eastAsia="宋体" w:cs="宋体"/>
                <w:i w:val="0"/>
                <w:iCs w:val="0"/>
                <w:color w:val="000000"/>
                <w:sz w:val="20"/>
                <w:szCs w:val="20"/>
                <w:u w:val="none"/>
              </w:rPr>
            </w:pPr>
          </w:p>
        </w:tc>
        <w:tc>
          <w:tcPr>
            <w:tcW w:w="7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FB72">
            <w:pPr>
              <w:jc w:val="center"/>
              <w:rPr>
                <w:rFonts w:hint="eastAsia" w:ascii="宋体" w:hAnsi="宋体" w:eastAsia="宋体" w:cs="宋体"/>
                <w:i w:val="0"/>
                <w:iCs w:val="0"/>
                <w:color w:val="000000"/>
                <w:sz w:val="20"/>
                <w:szCs w:val="20"/>
                <w:u w:val="none"/>
              </w:rPr>
            </w:pPr>
          </w:p>
        </w:tc>
        <w:tc>
          <w:tcPr>
            <w:tcW w:w="235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F619A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除上述类别的餐饮食品</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1FF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9DF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根据各省实际情况而定</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B10BE">
            <w:pPr>
              <w:jc w:val="left"/>
              <w:rPr>
                <w:rFonts w:hint="eastAsia" w:ascii="宋体" w:hAnsi="宋体" w:eastAsia="宋体" w:cs="宋体"/>
                <w:i w:val="0"/>
                <w:iCs w:val="0"/>
                <w:color w:val="000000"/>
                <w:sz w:val="20"/>
                <w:szCs w:val="20"/>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246D7">
            <w:pPr>
              <w:rPr>
                <w:rFonts w:hint="eastAsia" w:ascii="宋体" w:hAnsi="宋体" w:eastAsia="宋体" w:cs="宋体"/>
                <w:i w:val="0"/>
                <w:iCs w:val="0"/>
                <w:color w:val="000000"/>
                <w:sz w:val="22"/>
                <w:szCs w:val="22"/>
                <w:u w:val="none"/>
              </w:rPr>
            </w:pPr>
          </w:p>
        </w:tc>
      </w:tr>
      <w:tr w14:paraId="11BCF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15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0A823C5">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合计</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17D0B">
            <w:pPr>
              <w:jc w:val="lef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1373</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C9A79">
            <w:pPr>
              <w:rPr>
                <w:rFonts w:hint="eastAsia" w:ascii="宋体" w:hAnsi="宋体" w:eastAsia="宋体" w:cs="宋体"/>
                <w:i w:val="0"/>
                <w:iCs w:val="0"/>
                <w:color w:val="000000"/>
                <w:sz w:val="22"/>
                <w:szCs w:val="22"/>
                <w:u w:val="none"/>
              </w:rPr>
            </w:pPr>
          </w:p>
        </w:tc>
      </w:tr>
    </w:tbl>
    <w:p w14:paraId="708E4004">
      <w:pPr>
        <w:spacing w:line="360" w:lineRule="auto"/>
        <w:jc w:val="left"/>
        <w:rPr>
          <w:rFonts w:hint="eastAsia" w:ascii="宋体" w:hAnsi="宋体"/>
          <w:szCs w:val="21"/>
          <w:highlight w:val="none"/>
        </w:rPr>
      </w:pPr>
    </w:p>
    <w:p w14:paraId="51E7E6CF">
      <w:pPr>
        <w:overflowPunct/>
        <w:bidi w:val="0"/>
        <w:outlineLvl w:val="9"/>
        <w:rPr>
          <w:rFonts w:hint="eastAsia" w:ascii="宋体" w:hAnsi="宋体"/>
          <w:b/>
          <w:color w:val="000000" w:themeColor="text1"/>
          <w:sz w:val="32"/>
          <w:szCs w:val="32"/>
          <w:highlight w:val="none"/>
          <w14:textFill>
            <w14:solidFill>
              <w14:schemeClr w14:val="tx1"/>
            </w14:solidFill>
          </w14:textFill>
        </w:rPr>
      </w:pPr>
    </w:p>
    <w:p w14:paraId="2CA6C706">
      <w:pPr>
        <w:overflowPunct/>
        <w:bidi w:val="0"/>
        <w:outlineLvl w:val="9"/>
        <w:rPr>
          <w:rFonts w:hint="eastAsia"/>
          <w:color w:val="000000" w:themeColor="text1"/>
          <w:highlight w:val="none"/>
          <w:lang w:eastAsia="zh-CN"/>
          <w14:textFill>
            <w14:solidFill>
              <w14:schemeClr w14:val="tx1"/>
            </w14:solidFill>
          </w14:textFill>
        </w:rPr>
      </w:pPr>
      <w:bookmarkStart w:id="49" w:name="_Toc589"/>
    </w:p>
    <w:p w14:paraId="526AF3E1">
      <w:pPr>
        <w:overflowPunct/>
        <w:bidi w:val="0"/>
        <w:outlineLvl w:val="9"/>
        <w:rPr>
          <w:rFonts w:hint="eastAsia"/>
          <w:color w:val="000000" w:themeColor="text1"/>
          <w:highlight w:val="none"/>
          <w:lang w:eastAsia="zh-CN"/>
          <w14:textFill>
            <w14:solidFill>
              <w14:schemeClr w14:val="tx1"/>
            </w14:solidFill>
          </w14:textFill>
        </w:rPr>
      </w:pPr>
      <w:r>
        <w:rPr>
          <w:rFonts w:hint="eastAsia" w:ascii="宋体" w:hAnsi="宋体"/>
          <w:b/>
          <w:highlight w:val="none"/>
        </w:rPr>
        <w:t>注：响应文件必须包含并满足本章全部内容。</w:t>
      </w:r>
    </w:p>
    <w:p w14:paraId="09B347E3">
      <w:pPr>
        <w:overflowPunct/>
        <w:bidi w:val="0"/>
        <w:outlineLvl w:val="9"/>
        <w:rPr>
          <w:rFonts w:hint="eastAsia"/>
          <w:color w:val="000000" w:themeColor="text1"/>
          <w:highlight w:val="none"/>
          <w:lang w:eastAsia="zh-CN"/>
          <w14:textFill>
            <w14:solidFill>
              <w14:schemeClr w14:val="tx1"/>
            </w14:solidFill>
          </w14:textFill>
        </w:rPr>
      </w:pPr>
    </w:p>
    <w:p w14:paraId="5F2EBA5F">
      <w:pPr>
        <w:overflowPunct/>
        <w:bidi w:val="0"/>
        <w:outlineLvl w:val="9"/>
        <w:rPr>
          <w:rFonts w:hint="eastAsia"/>
          <w:color w:val="000000" w:themeColor="text1"/>
          <w:highlight w:val="none"/>
          <w:lang w:eastAsia="zh-CN"/>
          <w14:textFill>
            <w14:solidFill>
              <w14:schemeClr w14:val="tx1"/>
            </w14:solidFill>
          </w14:textFill>
        </w:rPr>
      </w:pPr>
    </w:p>
    <w:p w14:paraId="1E394375">
      <w:pPr>
        <w:overflowPunct/>
        <w:bidi w:val="0"/>
        <w:outlineLvl w:val="9"/>
        <w:rPr>
          <w:rFonts w:hint="eastAsia"/>
          <w:color w:val="000000" w:themeColor="text1"/>
          <w:highlight w:val="none"/>
          <w:lang w:eastAsia="zh-CN"/>
          <w14:textFill>
            <w14:solidFill>
              <w14:schemeClr w14:val="tx1"/>
            </w14:solidFill>
          </w14:textFill>
        </w:rPr>
      </w:pPr>
    </w:p>
    <w:p w14:paraId="03E096C5">
      <w:pPr>
        <w:overflowPunct/>
        <w:bidi w:val="0"/>
        <w:outlineLvl w:val="9"/>
        <w:rPr>
          <w:rFonts w:hint="eastAsia"/>
          <w:color w:val="000000" w:themeColor="text1"/>
          <w:highlight w:val="none"/>
          <w:lang w:eastAsia="zh-CN"/>
          <w14:textFill>
            <w14:solidFill>
              <w14:schemeClr w14:val="tx1"/>
            </w14:solidFill>
          </w14:textFill>
        </w:rPr>
      </w:pPr>
    </w:p>
    <w:p w14:paraId="40DE1C03">
      <w:pPr>
        <w:overflowPunct/>
        <w:bidi w:val="0"/>
        <w:outlineLvl w:val="9"/>
        <w:rPr>
          <w:rFonts w:hint="eastAsia"/>
          <w:color w:val="000000" w:themeColor="text1"/>
          <w:highlight w:val="none"/>
          <w:lang w:eastAsia="zh-CN"/>
          <w14:textFill>
            <w14:solidFill>
              <w14:schemeClr w14:val="tx1"/>
            </w14:solidFill>
          </w14:textFill>
        </w:rPr>
      </w:pPr>
    </w:p>
    <w:p w14:paraId="5852A299">
      <w:pPr>
        <w:overflowPunct/>
        <w:bidi w:val="0"/>
        <w:outlineLvl w:val="9"/>
        <w:rPr>
          <w:rFonts w:hint="eastAsia"/>
          <w:color w:val="000000" w:themeColor="text1"/>
          <w:highlight w:val="none"/>
          <w:lang w:eastAsia="zh-CN"/>
          <w14:textFill>
            <w14:solidFill>
              <w14:schemeClr w14:val="tx1"/>
            </w14:solidFill>
          </w14:textFill>
        </w:rPr>
      </w:pPr>
    </w:p>
    <w:p w14:paraId="5E7B392C">
      <w:pPr>
        <w:overflowPunct/>
        <w:bidi w:val="0"/>
        <w:outlineLvl w:val="9"/>
        <w:rPr>
          <w:rFonts w:hint="eastAsia"/>
          <w:color w:val="000000" w:themeColor="text1"/>
          <w:highlight w:val="none"/>
          <w:lang w:eastAsia="zh-CN"/>
          <w14:textFill>
            <w14:solidFill>
              <w14:schemeClr w14:val="tx1"/>
            </w14:solidFill>
          </w14:textFill>
        </w:rPr>
      </w:pPr>
    </w:p>
    <w:p w14:paraId="37EF479E">
      <w:pPr>
        <w:overflowPunct/>
        <w:bidi w:val="0"/>
        <w:outlineLvl w:val="9"/>
        <w:rPr>
          <w:rFonts w:hint="eastAsia"/>
          <w:color w:val="000000" w:themeColor="text1"/>
          <w:highlight w:val="none"/>
          <w:lang w:eastAsia="zh-CN"/>
          <w14:textFill>
            <w14:solidFill>
              <w14:schemeClr w14:val="tx1"/>
            </w14:solidFill>
          </w14:textFill>
        </w:rPr>
      </w:pPr>
    </w:p>
    <w:p w14:paraId="6A718798">
      <w:pPr>
        <w:overflowPunct/>
        <w:bidi w:val="0"/>
        <w:outlineLvl w:val="9"/>
        <w:rPr>
          <w:rFonts w:hint="eastAsia"/>
          <w:color w:val="000000" w:themeColor="text1"/>
          <w:highlight w:val="none"/>
          <w:lang w:eastAsia="zh-CN"/>
          <w14:textFill>
            <w14:solidFill>
              <w14:schemeClr w14:val="tx1"/>
            </w14:solidFill>
          </w14:textFill>
        </w:rPr>
      </w:pPr>
    </w:p>
    <w:p w14:paraId="2A37F07E">
      <w:pPr>
        <w:overflowPunct/>
        <w:bidi w:val="0"/>
        <w:outlineLvl w:val="9"/>
        <w:rPr>
          <w:rFonts w:hint="eastAsia"/>
          <w:color w:val="000000" w:themeColor="text1"/>
          <w:highlight w:val="none"/>
          <w:lang w:eastAsia="zh-CN"/>
          <w14:textFill>
            <w14:solidFill>
              <w14:schemeClr w14:val="tx1"/>
            </w14:solidFill>
          </w14:textFill>
        </w:rPr>
      </w:pPr>
    </w:p>
    <w:p w14:paraId="6FAC7516">
      <w:pPr>
        <w:overflowPunct/>
        <w:bidi w:val="0"/>
        <w:outlineLvl w:val="9"/>
        <w:rPr>
          <w:rFonts w:hint="eastAsia"/>
          <w:color w:val="000000" w:themeColor="text1"/>
          <w:highlight w:val="none"/>
          <w:lang w:eastAsia="zh-CN"/>
          <w14:textFill>
            <w14:solidFill>
              <w14:schemeClr w14:val="tx1"/>
            </w14:solidFill>
          </w14:textFill>
        </w:rPr>
      </w:pPr>
    </w:p>
    <w:p w14:paraId="42B6E66C">
      <w:pPr>
        <w:overflowPunct/>
        <w:bidi w:val="0"/>
        <w:outlineLvl w:val="9"/>
        <w:rPr>
          <w:rFonts w:hint="eastAsia"/>
          <w:color w:val="000000" w:themeColor="text1"/>
          <w:highlight w:val="none"/>
          <w:lang w:eastAsia="zh-CN"/>
          <w14:textFill>
            <w14:solidFill>
              <w14:schemeClr w14:val="tx1"/>
            </w14:solidFill>
          </w14:textFill>
        </w:rPr>
      </w:pPr>
    </w:p>
    <w:p w14:paraId="6801F1EA">
      <w:pPr>
        <w:overflowPunct/>
        <w:bidi w:val="0"/>
        <w:outlineLvl w:val="9"/>
        <w:rPr>
          <w:rFonts w:hint="eastAsia"/>
          <w:color w:val="000000" w:themeColor="text1"/>
          <w:highlight w:val="none"/>
          <w:lang w:eastAsia="zh-CN"/>
          <w14:textFill>
            <w14:solidFill>
              <w14:schemeClr w14:val="tx1"/>
            </w14:solidFill>
          </w14:textFill>
        </w:rPr>
      </w:pPr>
    </w:p>
    <w:p w14:paraId="097C812E">
      <w:pPr>
        <w:overflowPunct/>
        <w:bidi w:val="0"/>
        <w:outlineLvl w:val="9"/>
        <w:rPr>
          <w:rFonts w:hint="eastAsia"/>
          <w:color w:val="000000" w:themeColor="text1"/>
          <w:highlight w:val="none"/>
          <w:lang w:eastAsia="zh-CN"/>
          <w14:textFill>
            <w14:solidFill>
              <w14:schemeClr w14:val="tx1"/>
            </w14:solidFill>
          </w14:textFill>
        </w:rPr>
      </w:pPr>
    </w:p>
    <w:p w14:paraId="7F73B892">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bookmarkStart w:id="50" w:name="_Toc14594"/>
    </w:p>
    <w:p w14:paraId="7F37D15C">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641D917F">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117A3A8A">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403AB054">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57E933B6">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212700E1">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4E4C9172">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40E16903">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3467E472">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377333E7">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52FD0920">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0C60111B">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4923CECC">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12706711">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560F77EF">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507BDB0C">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12DAE7EA">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3A540089">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b/>
          <w:bCs/>
          <w:color w:val="000000" w:themeColor="text1"/>
          <w:sz w:val="40"/>
          <w:szCs w:val="40"/>
          <w:highlight w:val="none"/>
          <w:lang w:eastAsia="zh-CN"/>
          <w14:textFill>
            <w14:solidFill>
              <w14:schemeClr w14:val="tx1"/>
            </w14:solidFill>
          </w14:textFill>
        </w:rPr>
      </w:pPr>
    </w:p>
    <w:p w14:paraId="67BC6550">
      <w:pPr>
        <w:keepNext w:val="0"/>
        <w:keepLines w:val="0"/>
        <w:pageBreakBefore w:val="0"/>
        <w:widowControl w:val="0"/>
        <w:kinsoku/>
        <w:wordWrap/>
        <w:overflowPunct/>
        <w:topLinePunct w:val="0"/>
        <w:autoSpaceDE/>
        <w:autoSpaceDN/>
        <w:bidi w:val="0"/>
        <w:adjustRightInd/>
        <w:snapToGrid/>
        <w:jc w:val="center"/>
        <w:textAlignment w:val="auto"/>
        <w:outlineLvl w:val="0"/>
        <w:rPr>
          <w:b/>
          <w:bCs/>
          <w:color w:val="000000" w:themeColor="text1"/>
          <w:sz w:val="40"/>
          <w:szCs w:val="40"/>
          <w:highlight w:val="none"/>
          <w14:textFill>
            <w14:solidFill>
              <w14:schemeClr w14:val="tx1"/>
            </w14:solidFill>
          </w14:textFill>
        </w:rPr>
      </w:pPr>
      <w:r>
        <w:rPr>
          <w:rFonts w:hint="eastAsia"/>
          <w:b/>
          <w:bCs/>
          <w:color w:val="000000" w:themeColor="text1"/>
          <w:sz w:val="40"/>
          <w:szCs w:val="40"/>
          <w:highlight w:val="none"/>
          <w:lang w:eastAsia="zh-CN"/>
          <w14:textFill>
            <w14:solidFill>
              <w14:schemeClr w14:val="tx1"/>
            </w14:solidFill>
          </w14:textFill>
        </w:rPr>
        <w:t>第五章</w:t>
      </w:r>
      <w:r>
        <w:rPr>
          <w:rFonts w:hint="eastAsia"/>
          <w:b/>
          <w:bCs/>
          <w:color w:val="000000" w:themeColor="text1"/>
          <w:sz w:val="40"/>
          <w:szCs w:val="40"/>
          <w:highlight w:val="none"/>
          <w:lang w:val="en-US" w:eastAsia="zh-CN"/>
          <w14:textFill>
            <w14:solidFill>
              <w14:schemeClr w14:val="tx1"/>
            </w14:solidFill>
          </w14:textFill>
        </w:rPr>
        <w:t xml:space="preserve"> </w:t>
      </w:r>
      <w:r>
        <w:rPr>
          <w:rFonts w:hint="eastAsia"/>
          <w:b/>
          <w:bCs/>
          <w:color w:val="000000" w:themeColor="text1"/>
          <w:sz w:val="40"/>
          <w:szCs w:val="40"/>
          <w:highlight w:val="none"/>
          <w14:textFill>
            <w14:solidFill>
              <w14:schemeClr w14:val="tx1"/>
            </w14:solidFill>
          </w14:textFill>
        </w:rPr>
        <w:t>响应文件格式</w:t>
      </w:r>
      <w:bookmarkEnd w:id="49"/>
      <w:bookmarkEnd w:id="50"/>
    </w:p>
    <w:p w14:paraId="61874E00">
      <w:pPr>
        <w:overflowPunct/>
        <w:bidi w:val="0"/>
        <w:jc w:val="center"/>
        <w:outlineLvl w:val="9"/>
        <w:rPr>
          <w:rFonts w:ascii="黑体" w:eastAsia="黑体"/>
          <w:color w:val="000000" w:themeColor="text1"/>
          <w:sz w:val="32"/>
          <w:szCs w:val="32"/>
          <w:highlight w:val="none"/>
          <w14:textFill>
            <w14:solidFill>
              <w14:schemeClr w14:val="tx1"/>
            </w14:solidFill>
          </w14:textFill>
        </w:rPr>
      </w:pPr>
      <w:r>
        <w:rPr>
          <w:rFonts w:ascii="宋体" w:hAnsi="宋体"/>
          <w:color w:val="000000" w:themeColor="text1"/>
          <w:sz w:val="32"/>
          <w:szCs w:val="32"/>
          <w:highlight w:val="none"/>
          <w14:textFill>
            <w14:solidFill>
              <w14:schemeClr w14:val="tx1"/>
            </w14:solidFill>
          </w14:textFill>
        </w:rPr>
        <w:br w:type="page"/>
      </w:r>
    </w:p>
    <w:p w14:paraId="3FA9D44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21BE878">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52DF82BB">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6BB4F14E">
      <w:pPr>
        <w:overflowPunct/>
        <w:bidi w:val="0"/>
        <w:jc w:val="center"/>
        <w:outlineLvl w:val="9"/>
        <w:rPr>
          <w:rFonts w:ascii="黑体" w:eastAsia="黑体"/>
          <w:color w:val="000000" w:themeColor="text1"/>
          <w:sz w:val="28"/>
          <w:szCs w:val="28"/>
          <w:highlight w:val="none"/>
          <w14:textFill>
            <w14:solidFill>
              <w14:schemeClr w14:val="tx1"/>
            </w14:solidFill>
          </w14:textFill>
        </w:rPr>
      </w:pPr>
      <w:r>
        <w:rPr>
          <w:rFonts w:hint="eastAsia" w:ascii="宋体" w:hAnsi="宋体"/>
          <w:color w:val="000000" w:themeColor="text1"/>
          <w:sz w:val="28"/>
          <w:szCs w:val="28"/>
          <w:highlight w:val="none"/>
          <w:u w:val="single"/>
          <w14:textFill>
            <w14:solidFill>
              <w14:schemeClr w14:val="tx1"/>
            </w14:solidFill>
          </w14:textFill>
        </w:rPr>
        <w:t xml:space="preserve">                                 （项目名称） </w:t>
      </w:r>
    </w:p>
    <w:p w14:paraId="104D7816">
      <w:pPr>
        <w:overflowPunct/>
        <w:bidi w:val="0"/>
        <w:spacing w:beforeLines="100"/>
        <w:jc w:val="center"/>
        <w:outlineLvl w:val="9"/>
        <w:rPr>
          <w:rFonts w:hint="eastAsia" w:ascii="黑体" w:eastAsia="黑体"/>
          <w:color w:val="000000" w:themeColor="text1"/>
          <w:sz w:val="44"/>
          <w:szCs w:val="44"/>
          <w:highlight w:val="none"/>
          <w14:textFill>
            <w14:solidFill>
              <w14:schemeClr w14:val="tx1"/>
            </w14:solidFill>
          </w14:textFill>
        </w:rPr>
      </w:pPr>
    </w:p>
    <w:p w14:paraId="6AB67308">
      <w:pPr>
        <w:wordWrap w:val="0"/>
        <w:overflowPunct/>
        <w:bidi w:val="0"/>
        <w:spacing w:beforeLines="100"/>
        <w:jc w:val="right"/>
        <w:outlineLvl w:val="9"/>
        <w:rPr>
          <w:rFonts w:hint="default" w:ascii="黑体" w:eastAsia="黑体"/>
          <w:color w:val="000000" w:themeColor="text1"/>
          <w:sz w:val="44"/>
          <w:szCs w:val="44"/>
          <w:highlight w:val="none"/>
          <w:lang w:val="en-US" w:eastAsia="zh-CN"/>
          <w14:textFill>
            <w14:solidFill>
              <w14:schemeClr w14:val="tx1"/>
            </w14:solidFill>
          </w14:textFill>
        </w:rPr>
      </w:pPr>
      <w:r>
        <w:rPr>
          <w:rFonts w:hint="eastAsia" w:ascii="宋体" w:hAnsi="宋体"/>
          <w:color w:val="000000" w:themeColor="text1"/>
          <w:sz w:val="28"/>
          <w:szCs w:val="28"/>
          <w:highlight w:val="none"/>
          <w:u w:val="none"/>
          <w:lang w:val="en-US" w:eastAsia="zh-CN"/>
          <w14:textFill>
            <w14:solidFill>
              <w14:schemeClr w14:val="tx1"/>
            </w14:solidFill>
          </w14:textFill>
        </w:rPr>
        <w:t>正</w:t>
      </w:r>
      <w:r>
        <w:rPr>
          <w:rFonts w:hint="eastAsia" w:ascii="宋体" w:hAnsi="宋体"/>
          <w:color w:val="000000" w:themeColor="text1"/>
          <w:sz w:val="28"/>
          <w:szCs w:val="28"/>
          <w:highlight w:val="none"/>
          <w:u w:val="none"/>
          <w:lang w:eastAsia="zh-CN"/>
          <w14:textFill>
            <w14:solidFill>
              <w14:schemeClr w14:val="tx1"/>
            </w14:solidFill>
          </w14:textFill>
        </w:rPr>
        <w:t>（</w:t>
      </w:r>
      <w:r>
        <w:rPr>
          <w:rFonts w:hint="eastAsia" w:ascii="宋体" w:hAnsi="宋体"/>
          <w:color w:val="000000" w:themeColor="text1"/>
          <w:sz w:val="28"/>
          <w:szCs w:val="28"/>
          <w:highlight w:val="none"/>
          <w:u w:val="none"/>
          <w:lang w:val="en-US" w:eastAsia="zh-CN"/>
          <w14:textFill>
            <w14:solidFill>
              <w14:schemeClr w14:val="tx1"/>
            </w14:solidFill>
          </w14:textFill>
        </w:rPr>
        <w:t>副</w:t>
      </w:r>
      <w:r>
        <w:rPr>
          <w:rFonts w:hint="eastAsia" w:ascii="宋体" w:hAnsi="宋体"/>
          <w:color w:val="000000" w:themeColor="text1"/>
          <w:sz w:val="28"/>
          <w:szCs w:val="28"/>
          <w:highlight w:val="none"/>
          <w:u w:val="none"/>
          <w:lang w:eastAsia="zh-CN"/>
          <w14:textFill>
            <w14:solidFill>
              <w14:schemeClr w14:val="tx1"/>
            </w14:solidFill>
          </w14:textFill>
        </w:rPr>
        <w:t>）</w:t>
      </w:r>
      <w:r>
        <w:rPr>
          <w:rFonts w:hint="eastAsia" w:ascii="宋体" w:hAnsi="宋体"/>
          <w:color w:val="000000" w:themeColor="text1"/>
          <w:sz w:val="28"/>
          <w:szCs w:val="28"/>
          <w:highlight w:val="none"/>
          <w:u w:val="none"/>
          <w:lang w:val="en-US" w:eastAsia="zh-CN"/>
          <w14:textFill>
            <w14:solidFill>
              <w14:schemeClr w14:val="tx1"/>
            </w14:solidFill>
          </w14:textFill>
        </w:rPr>
        <w:t xml:space="preserve">本   </w:t>
      </w:r>
    </w:p>
    <w:p w14:paraId="1DDB8E17">
      <w:pPr>
        <w:overflowPunct/>
        <w:bidi w:val="0"/>
        <w:spacing w:beforeLines="100"/>
        <w:jc w:val="center"/>
        <w:outlineLvl w:val="9"/>
        <w:rPr>
          <w:rFonts w:hint="eastAsia" w:ascii="黑体" w:eastAsia="黑体"/>
          <w:color w:val="000000" w:themeColor="text1"/>
          <w:sz w:val="44"/>
          <w:szCs w:val="44"/>
          <w:highlight w:val="none"/>
          <w14:textFill>
            <w14:solidFill>
              <w14:schemeClr w14:val="tx1"/>
            </w14:solidFill>
          </w14:textFill>
        </w:rPr>
      </w:pPr>
    </w:p>
    <w:p w14:paraId="18E6EA7C">
      <w:pPr>
        <w:overflowPunct/>
        <w:bidi w:val="0"/>
        <w:spacing w:beforeLines="100"/>
        <w:jc w:val="center"/>
        <w:outlineLvl w:val="9"/>
        <w:rPr>
          <w:rFonts w:ascii="黑体" w:eastAsia="黑体"/>
          <w:color w:val="000000" w:themeColor="text1"/>
          <w:sz w:val="44"/>
          <w:szCs w:val="44"/>
          <w:highlight w:val="none"/>
          <w14:textFill>
            <w14:solidFill>
              <w14:schemeClr w14:val="tx1"/>
            </w14:solidFill>
          </w14:textFill>
        </w:rPr>
      </w:pPr>
      <w:r>
        <w:rPr>
          <w:rFonts w:hint="eastAsia" w:ascii="黑体" w:eastAsia="黑体"/>
          <w:color w:val="000000" w:themeColor="text1"/>
          <w:sz w:val="44"/>
          <w:szCs w:val="44"/>
          <w:highlight w:val="none"/>
          <w14:textFill>
            <w14:solidFill>
              <w14:schemeClr w14:val="tx1"/>
            </w14:solidFill>
          </w14:textFill>
        </w:rPr>
        <w:t>响  应  文  件</w:t>
      </w:r>
    </w:p>
    <w:p w14:paraId="459936B4">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0CB86EA8">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64FDA803">
      <w:pPr>
        <w:overflowPunct/>
        <w:bidi w:val="0"/>
        <w:jc w:val="center"/>
        <w:outlineLvl w:val="9"/>
        <w:rPr>
          <w:rFonts w:ascii="黑体" w:eastAsia="黑体"/>
          <w:color w:val="000000" w:themeColor="text1"/>
          <w:sz w:val="32"/>
          <w:szCs w:val="32"/>
          <w:highlight w:val="none"/>
          <w14:textFill>
            <w14:solidFill>
              <w14:schemeClr w14:val="tx1"/>
            </w14:solidFill>
          </w14:textFill>
        </w:rPr>
      </w:pPr>
      <w:r>
        <w:rPr>
          <w:rFonts w:hint="eastAsia" w:ascii="黑体" w:eastAsia="黑体"/>
          <w:color w:val="000000" w:themeColor="text1"/>
          <w:sz w:val="32"/>
          <w:szCs w:val="32"/>
          <w:highlight w:val="none"/>
          <w14:textFill>
            <w14:solidFill>
              <w14:schemeClr w14:val="tx1"/>
            </w14:solidFill>
          </w14:textFill>
        </w:rPr>
        <w:t>项目编号：</w:t>
      </w:r>
    </w:p>
    <w:p w14:paraId="3DC57D4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34FC70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E6EE326">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3F70CD13">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38F677C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C58AC6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98C52BA">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2866C8E5">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426F5A26">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5ED0D43C">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1FCBFD07">
      <w:pPr>
        <w:overflowPunct/>
        <w:bidi w:val="0"/>
        <w:jc w:val="center"/>
        <w:outlineLvl w:val="9"/>
        <w:rPr>
          <w:rFonts w:ascii="黑体" w:eastAsia="黑体"/>
          <w:color w:val="000000" w:themeColor="text1"/>
          <w:sz w:val="32"/>
          <w:szCs w:val="32"/>
          <w:highlight w:val="none"/>
          <w14:textFill>
            <w14:solidFill>
              <w14:schemeClr w14:val="tx1"/>
            </w14:solidFill>
          </w14:textFill>
        </w:rPr>
      </w:pPr>
    </w:p>
    <w:p w14:paraId="766E5FB3">
      <w:pPr>
        <w:overflowPunct/>
        <w:bidi w:val="0"/>
        <w:spacing w:line="480" w:lineRule="auto"/>
        <w:ind w:left="0" w:leftChars="0" w:firstLine="2100" w:firstLineChars="750"/>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lang w:eastAsia="zh-CN"/>
          <w14:textFill>
            <w14:solidFill>
              <w14:schemeClr w14:val="tx1"/>
            </w14:solidFill>
          </w14:textFill>
        </w:rPr>
        <w:t>供应商</w:t>
      </w:r>
      <w:r>
        <w:rPr>
          <w:rFonts w:hint="eastAsia" w:ascii="黑体" w:eastAsia="黑体"/>
          <w:color w:val="000000" w:themeColor="text1"/>
          <w:sz w:val="28"/>
          <w:szCs w:val="28"/>
          <w:highlight w:val="none"/>
          <w14:textFill>
            <w14:solidFill>
              <w14:schemeClr w14:val="tx1"/>
            </w14:solidFill>
          </w14:textFill>
        </w:rPr>
        <w:t>：</w:t>
      </w:r>
      <w:r>
        <w:rPr>
          <w:rFonts w:hint="eastAsia" w:ascii="黑体" w:eastAsia="黑体"/>
          <w:color w:val="000000" w:themeColor="text1"/>
          <w:sz w:val="28"/>
          <w:szCs w:val="28"/>
          <w:highlight w:val="none"/>
          <w:lang w:val="en-US" w:eastAsia="zh-CN"/>
          <w14:textFill>
            <w14:solidFill>
              <w14:schemeClr w14:val="tx1"/>
            </w14:solidFill>
          </w14:textFill>
        </w:rPr>
        <w:t xml:space="preserve">                    </w:t>
      </w:r>
      <w:r>
        <w:rPr>
          <w:rFonts w:hint="eastAsia" w:ascii="黑体" w:eastAsia="黑体"/>
          <w:color w:val="000000" w:themeColor="text1"/>
          <w:sz w:val="28"/>
          <w:szCs w:val="28"/>
          <w:highlight w:val="none"/>
          <w14:textFill>
            <w14:solidFill>
              <w14:schemeClr w14:val="tx1"/>
            </w14:solidFill>
          </w14:textFill>
        </w:rPr>
        <w:t>（盖单位章）</w:t>
      </w:r>
    </w:p>
    <w:p w14:paraId="094414A2">
      <w:pPr>
        <w:overflowPunct/>
        <w:bidi w:val="0"/>
        <w:spacing w:line="480" w:lineRule="auto"/>
        <w:jc w:val="center"/>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14:textFill>
            <w14:solidFill>
              <w14:schemeClr w14:val="tx1"/>
            </w14:solidFill>
          </w14:textFill>
        </w:rPr>
        <w:t xml:space="preserve">  法定代表人或其委托代理人：</w:t>
      </w:r>
      <w:r>
        <w:rPr>
          <w:rFonts w:hint="eastAsia" w:ascii="黑体" w:eastAsia="黑体"/>
          <w:color w:val="000000" w:themeColor="text1"/>
          <w:sz w:val="28"/>
          <w:szCs w:val="28"/>
          <w:highlight w:val="none"/>
          <w:lang w:val="en-US" w:eastAsia="zh-CN"/>
          <w14:textFill>
            <w14:solidFill>
              <w14:schemeClr w14:val="tx1"/>
            </w14:solidFill>
          </w14:textFill>
        </w:rPr>
        <w:t xml:space="preserve">   </w:t>
      </w:r>
      <w:r>
        <w:rPr>
          <w:rFonts w:hint="eastAsia" w:ascii="黑体" w:eastAsia="黑体"/>
          <w:color w:val="000000" w:themeColor="text1"/>
          <w:sz w:val="28"/>
          <w:szCs w:val="28"/>
          <w:highlight w:val="none"/>
          <w14:textFill>
            <w14:solidFill>
              <w14:schemeClr w14:val="tx1"/>
            </w14:solidFill>
          </w14:textFill>
        </w:rPr>
        <w:t>（签字）</w:t>
      </w:r>
    </w:p>
    <w:p w14:paraId="203527F7">
      <w:pPr>
        <w:overflowPunct/>
        <w:bidi w:val="0"/>
        <w:jc w:val="center"/>
        <w:outlineLvl w:val="9"/>
        <w:rPr>
          <w:rFonts w:ascii="黑体" w:eastAsia="黑体"/>
          <w:color w:val="000000" w:themeColor="text1"/>
          <w:sz w:val="28"/>
          <w:szCs w:val="28"/>
          <w:highlight w:val="none"/>
          <w14:textFill>
            <w14:solidFill>
              <w14:schemeClr w14:val="tx1"/>
            </w14:solidFill>
          </w14:textFill>
        </w:rPr>
      </w:pPr>
    </w:p>
    <w:p w14:paraId="65BAF236">
      <w:pPr>
        <w:overflowPunct/>
        <w:bidi w:val="0"/>
        <w:jc w:val="center"/>
        <w:outlineLvl w:val="9"/>
        <w:rPr>
          <w:rFonts w:ascii="黑体" w:eastAsia="黑体"/>
          <w:color w:val="000000" w:themeColor="text1"/>
          <w:sz w:val="28"/>
          <w:szCs w:val="28"/>
          <w:highlight w:val="none"/>
          <w14:textFill>
            <w14:solidFill>
              <w14:schemeClr w14:val="tx1"/>
            </w14:solidFill>
          </w14:textFill>
        </w:rPr>
      </w:pPr>
    </w:p>
    <w:p w14:paraId="562FEBDF">
      <w:pPr>
        <w:overflowPunct/>
        <w:bidi w:val="0"/>
        <w:jc w:val="center"/>
        <w:outlineLvl w:val="9"/>
        <w:rPr>
          <w:rFonts w:ascii="黑体" w:eastAsia="黑体"/>
          <w:color w:val="000000" w:themeColor="text1"/>
          <w:sz w:val="28"/>
          <w:szCs w:val="28"/>
          <w:highlight w:val="none"/>
          <w14:textFill>
            <w14:solidFill>
              <w14:schemeClr w14:val="tx1"/>
            </w14:solidFill>
          </w14:textFill>
        </w:rPr>
      </w:pPr>
      <w:r>
        <w:rPr>
          <w:rFonts w:hint="eastAsia" w:ascii="黑体" w:eastAsia="黑体"/>
          <w:color w:val="000000" w:themeColor="text1"/>
          <w:sz w:val="28"/>
          <w:szCs w:val="28"/>
          <w:highlight w:val="none"/>
          <w14:textFill>
            <w14:solidFill>
              <w14:schemeClr w14:val="tx1"/>
            </w14:solidFill>
          </w14:textFill>
        </w:rPr>
        <w:t>年  月  日</w:t>
      </w:r>
    </w:p>
    <w:p w14:paraId="406ECAC6">
      <w:pPr>
        <w:overflowPunct/>
        <w:bidi w:val="0"/>
        <w:jc w:val="center"/>
        <w:outlineLvl w:val="9"/>
        <w:rPr>
          <w:rFonts w:ascii="宋体" w:hAnsi="宋体"/>
          <w:color w:val="000000" w:themeColor="text1"/>
          <w:sz w:val="28"/>
          <w:szCs w:val="28"/>
          <w:highlight w:val="none"/>
          <w14:textFill>
            <w14:solidFill>
              <w14:schemeClr w14:val="tx1"/>
            </w14:solidFill>
          </w14:textFill>
        </w:rPr>
      </w:pPr>
      <w:r>
        <w:rPr>
          <w:rFonts w:ascii="黑体" w:eastAsia="黑体"/>
          <w:color w:val="000000" w:themeColor="text1"/>
          <w:sz w:val="28"/>
          <w:szCs w:val="28"/>
          <w:highlight w:val="none"/>
          <w14:textFill>
            <w14:solidFill>
              <w14:schemeClr w14:val="tx1"/>
            </w14:solidFill>
          </w14:textFill>
        </w:rPr>
        <w:br w:type="page"/>
      </w:r>
      <w:r>
        <w:rPr>
          <w:rFonts w:hint="eastAsia" w:ascii="宋体" w:hAnsi="宋体"/>
          <w:color w:val="000000" w:themeColor="text1"/>
          <w:sz w:val="28"/>
          <w:szCs w:val="28"/>
          <w:highlight w:val="none"/>
          <w14:textFill>
            <w14:solidFill>
              <w14:schemeClr w14:val="tx1"/>
            </w14:solidFill>
          </w14:textFill>
        </w:rPr>
        <w:t>目    录</w:t>
      </w:r>
    </w:p>
    <w:p w14:paraId="3EA90591">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一、</w:t>
      </w:r>
      <w:r>
        <w:rPr>
          <w:rFonts w:hint="eastAsia" w:ascii="宋体" w:hAnsi="宋体"/>
          <w:color w:val="000000" w:themeColor="text1"/>
          <w:szCs w:val="21"/>
          <w:highlight w:val="none"/>
          <w14:textFill>
            <w14:solidFill>
              <w14:schemeClr w14:val="tx1"/>
            </w14:solidFill>
          </w14:textFill>
        </w:rPr>
        <w:t>磋商函</w:t>
      </w:r>
    </w:p>
    <w:p w14:paraId="5CDEB51D">
      <w:pPr>
        <w:tabs>
          <w:tab w:val="left" w:pos="420"/>
        </w:tabs>
        <w:overflowPunct/>
        <w:bidi w:val="0"/>
        <w:spacing w:line="600" w:lineRule="exact"/>
        <w:ind w:left="420" w:leftChars="200"/>
        <w:outlineLvl w:val="9"/>
        <w:rPr>
          <w:rFonts w:hint="eastAsia"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二、</w:t>
      </w:r>
      <w:r>
        <w:rPr>
          <w:rFonts w:hint="eastAsia" w:ascii="宋体" w:hAnsi="宋体"/>
          <w:color w:val="000000" w:themeColor="text1"/>
          <w:szCs w:val="21"/>
          <w:highlight w:val="none"/>
          <w14:textFill>
            <w14:solidFill>
              <w14:schemeClr w14:val="tx1"/>
            </w14:solidFill>
          </w14:textFill>
        </w:rPr>
        <w:t>法定代表人资格证明</w:t>
      </w:r>
    </w:p>
    <w:p w14:paraId="2883AEFD">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三、授权委托书</w:t>
      </w:r>
    </w:p>
    <w:p w14:paraId="30E1C870">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四、</w:t>
      </w:r>
      <w:r>
        <w:rPr>
          <w:rFonts w:hint="eastAsia" w:ascii="宋体" w:hAnsi="宋体"/>
          <w:color w:val="000000" w:themeColor="text1"/>
          <w:szCs w:val="21"/>
          <w:highlight w:val="none"/>
          <w14:textFill>
            <w14:solidFill>
              <w14:schemeClr w14:val="tx1"/>
            </w14:solidFill>
          </w14:textFill>
        </w:rPr>
        <w:t>报价</w:t>
      </w:r>
      <w:r>
        <w:rPr>
          <w:rFonts w:ascii="宋体" w:hAnsi="宋体"/>
          <w:color w:val="000000" w:themeColor="text1"/>
          <w:szCs w:val="21"/>
          <w:highlight w:val="none"/>
          <w14:textFill>
            <w14:solidFill>
              <w14:schemeClr w14:val="tx1"/>
            </w14:solidFill>
          </w14:textFill>
        </w:rPr>
        <w:t>一览表</w:t>
      </w:r>
    </w:p>
    <w:p w14:paraId="71E9BD6B">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五、</w:t>
      </w:r>
      <w:r>
        <w:rPr>
          <w:rFonts w:hint="eastAsia" w:ascii="宋体" w:hAnsi="宋体"/>
          <w:color w:val="000000" w:themeColor="text1"/>
          <w:szCs w:val="21"/>
          <w:highlight w:val="none"/>
          <w14:textFill>
            <w14:solidFill>
              <w14:schemeClr w14:val="tx1"/>
            </w14:solidFill>
          </w14:textFill>
        </w:rPr>
        <w:t>磋商</w:t>
      </w:r>
      <w:r>
        <w:rPr>
          <w:rFonts w:ascii="宋体" w:hAnsi="宋体"/>
          <w:color w:val="000000" w:themeColor="text1"/>
          <w:szCs w:val="21"/>
          <w:highlight w:val="none"/>
          <w14:textFill>
            <w14:solidFill>
              <w14:schemeClr w14:val="tx1"/>
            </w14:solidFill>
          </w14:textFill>
        </w:rPr>
        <w:t>保证金</w:t>
      </w:r>
    </w:p>
    <w:p w14:paraId="743F7B92">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六、资格审查资料</w:t>
      </w:r>
    </w:p>
    <w:p w14:paraId="51A5A461">
      <w:pPr>
        <w:tabs>
          <w:tab w:val="left" w:pos="420"/>
        </w:tabs>
        <w:overflowPunct/>
        <w:bidi w:val="0"/>
        <w:spacing w:line="600" w:lineRule="exact"/>
        <w:ind w:left="420" w:leftChars="200"/>
        <w:outlineLvl w:val="9"/>
        <w:rPr>
          <w:rFonts w:hint="eastAsia"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七、</w:t>
      </w:r>
      <w:r>
        <w:rPr>
          <w:rFonts w:hint="eastAsia" w:ascii="宋体" w:hAnsi="宋体"/>
          <w:color w:val="000000" w:themeColor="text1"/>
          <w:szCs w:val="21"/>
          <w:highlight w:val="none"/>
          <w:lang w:val="en-US" w:eastAsia="zh-CN"/>
          <w14:textFill>
            <w14:solidFill>
              <w14:schemeClr w14:val="tx1"/>
            </w14:solidFill>
          </w14:textFill>
        </w:rPr>
        <w:t>技术部分</w:t>
      </w:r>
    </w:p>
    <w:p w14:paraId="2AADD52C">
      <w:pPr>
        <w:tabs>
          <w:tab w:val="left" w:pos="420"/>
        </w:tabs>
        <w:overflowPunct/>
        <w:bidi w:val="0"/>
        <w:spacing w:line="600" w:lineRule="exact"/>
        <w:ind w:left="420" w:leftChars="200"/>
        <w:outlineLvl w:val="9"/>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八、</w:t>
      </w:r>
      <w:r>
        <w:rPr>
          <w:rFonts w:ascii="宋体" w:hAnsi="宋体"/>
          <w:color w:val="000000" w:themeColor="text1"/>
          <w:szCs w:val="21"/>
          <w:highlight w:val="none"/>
          <w14:textFill>
            <w14:solidFill>
              <w14:schemeClr w14:val="tx1"/>
            </w14:solidFill>
          </w14:textFill>
        </w:rPr>
        <w:t>其他资料</w:t>
      </w:r>
    </w:p>
    <w:p w14:paraId="51D40746">
      <w:pPr>
        <w:tabs>
          <w:tab w:val="left" w:pos="420"/>
        </w:tabs>
        <w:overflowPunct/>
        <w:bidi w:val="0"/>
        <w:spacing w:line="600" w:lineRule="exact"/>
        <w:outlineLvl w:val="9"/>
        <w:rPr>
          <w:rFonts w:ascii="宋体" w:hAnsi="宋体"/>
          <w:color w:val="000000" w:themeColor="text1"/>
          <w:szCs w:val="21"/>
          <w:highlight w:val="none"/>
          <w14:textFill>
            <w14:solidFill>
              <w14:schemeClr w14:val="tx1"/>
            </w14:solidFill>
          </w14:textFill>
        </w:rPr>
      </w:pPr>
    </w:p>
    <w:p w14:paraId="48937245">
      <w:pPr>
        <w:tabs>
          <w:tab w:val="left" w:pos="420"/>
        </w:tabs>
        <w:overflowPunct/>
        <w:bidi w:val="0"/>
        <w:spacing w:line="600" w:lineRule="exact"/>
        <w:ind w:left="420" w:leftChars="200"/>
        <w:outlineLvl w:val="9"/>
        <w:rPr>
          <w:rFonts w:ascii="宋体" w:hAnsi="宋体"/>
          <w:color w:val="000000" w:themeColor="text1"/>
          <w:szCs w:val="21"/>
          <w:highlight w:val="none"/>
          <w14:textFill>
            <w14:solidFill>
              <w14:schemeClr w14:val="tx1"/>
            </w14:solidFill>
          </w14:textFill>
        </w:rPr>
      </w:pPr>
    </w:p>
    <w:p w14:paraId="123F2993">
      <w:pPr>
        <w:overflowPunct/>
        <w:bidi w:val="0"/>
        <w:spacing w:line="480" w:lineRule="auto"/>
        <w:jc w:val="center"/>
        <w:outlineLvl w:val="9"/>
        <w:rPr>
          <w:b/>
          <w:color w:val="000000" w:themeColor="text1"/>
          <w:sz w:val="32"/>
          <w:szCs w:val="32"/>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br w:type="page"/>
      </w:r>
      <w:r>
        <w:rPr>
          <w:rFonts w:hint="eastAsia" w:ascii="宋体" w:hAnsi="宋体"/>
          <w:b/>
          <w:color w:val="000000" w:themeColor="text1"/>
          <w:sz w:val="32"/>
          <w:szCs w:val="32"/>
          <w:highlight w:val="none"/>
          <w14:textFill>
            <w14:solidFill>
              <w14:schemeClr w14:val="tx1"/>
            </w14:solidFill>
          </w14:textFill>
        </w:rPr>
        <w:t>一、</w:t>
      </w:r>
      <w:r>
        <w:rPr>
          <w:rFonts w:hint="eastAsia"/>
          <w:b/>
          <w:color w:val="000000" w:themeColor="text1"/>
          <w:sz w:val="32"/>
          <w:szCs w:val="32"/>
          <w:highlight w:val="none"/>
          <w14:textFill>
            <w14:solidFill>
              <w14:schemeClr w14:val="tx1"/>
            </w14:solidFill>
          </w14:textFill>
        </w:rPr>
        <w:t>磋商函</w:t>
      </w:r>
    </w:p>
    <w:p w14:paraId="46F47EA7">
      <w:pPr>
        <w:overflowPunct/>
        <w:bidi w:val="0"/>
        <w:jc w:val="center"/>
        <w:outlineLvl w:val="9"/>
        <w:rPr>
          <w:rFonts w:hint="eastAsia"/>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（一）</w:t>
      </w:r>
      <w:r>
        <w:rPr>
          <w:rFonts w:hint="eastAsia"/>
          <w:color w:val="000000" w:themeColor="text1"/>
          <w:sz w:val="32"/>
          <w:szCs w:val="32"/>
          <w:highlight w:val="none"/>
          <w14:textFill>
            <w14:solidFill>
              <w14:schemeClr w14:val="tx1"/>
            </w14:solidFill>
          </w14:textFill>
        </w:rPr>
        <w:t>磋商函</w:t>
      </w:r>
    </w:p>
    <w:p w14:paraId="0821EB97">
      <w:pPr>
        <w:overflowPunct/>
        <w:bidi w:val="0"/>
        <w:spacing w:line="360" w:lineRule="auto"/>
        <w:outlineLvl w:val="9"/>
        <w:rPr>
          <w:color w:val="000000" w:themeColor="text1"/>
          <w:highlight w:val="none"/>
          <w14:textFill>
            <w14:solidFill>
              <w14:schemeClr w14:val="tx1"/>
            </w14:solidFill>
          </w14:textFill>
        </w:rPr>
      </w:pPr>
    </w:p>
    <w:p w14:paraId="6932A9F2">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采购</w:t>
      </w:r>
      <w:r>
        <w:rPr>
          <w:color w:val="000000" w:themeColor="text1"/>
          <w:szCs w:val="21"/>
          <w:highlight w:val="none"/>
          <w14:textFill>
            <w14:solidFill>
              <w14:schemeClr w14:val="tx1"/>
            </w14:solidFill>
          </w14:textFill>
        </w:rPr>
        <w:t>人名称）</w:t>
      </w:r>
    </w:p>
    <w:p w14:paraId="3CB61132">
      <w:pPr>
        <w:pageBreakBefore w:val="0"/>
        <w:kinsoku/>
        <w:overflowPunct/>
        <w:bidi w:val="0"/>
        <w:spacing w:line="360" w:lineRule="auto"/>
        <w:ind w:firstLine="420" w:firstLineChars="200"/>
        <w:outlineLvl w:val="9"/>
        <w:rPr>
          <w:rFonts w:hint="eastAsia" w:ascii="宋体" w:hAnsi="宋体" w:cs="宋体"/>
          <w:color w:val="auto"/>
          <w:sz w:val="21"/>
          <w:szCs w:val="21"/>
          <w:highlight w:val="none"/>
        </w:rPr>
      </w:pPr>
      <w:r>
        <w:rPr>
          <w:rFonts w:hint="eastAsia" w:ascii="宋体" w:hAnsi="宋体"/>
          <w:color w:val="auto"/>
          <w:sz w:val="21"/>
          <w:szCs w:val="21"/>
          <w:highlight w:val="none"/>
        </w:rPr>
        <w:t>我方己仔细研究了</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rPr>
        <w:t>（项目名称）（项目编号为</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lang w:eastAsia="zh-CN"/>
        </w:rPr>
        <w:t>，标段：</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rPr>
        <w:t>）</w:t>
      </w:r>
      <w:r>
        <w:rPr>
          <w:rFonts w:hint="eastAsia" w:ascii="宋体" w:hAnsi="宋体"/>
          <w:color w:val="auto"/>
          <w:sz w:val="21"/>
          <w:szCs w:val="21"/>
          <w:highlight w:val="none"/>
          <w:lang w:eastAsia="zh-CN"/>
        </w:rPr>
        <w:t>磋商文件</w:t>
      </w:r>
      <w:r>
        <w:rPr>
          <w:rFonts w:hint="eastAsia" w:ascii="宋体" w:hAnsi="宋体"/>
          <w:color w:val="auto"/>
          <w:sz w:val="21"/>
          <w:szCs w:val="21"/>
          <w:highlight w:val="none"/>
        </w:rPr>
        <w:t>的全部内容，愿意以</w:t>
      </w:r>
      <w:r>
        <w:rPr>
          <w:rFonts w:hint="eastAsia" w:ascii="宋体" w:hAnsi="宋体"/>
          <w:color w:val="auto"/>
          <w:sz w:val="21"/>
          <w:szCs w:val="21"/>
          <w:highlight w:val="none"/>
          <w:lang w:eastAsia="zh-CN"/>
        </w:rPr>
        <w:t>总价格（人民币）：</w:t>
      </w:r>
      <w:r>
        <w:rPr>
          <w:rFonts w:hint="eastAsia" w:ascii="宋体" w:hAnsi="宋体"/>
          <w:color w:val="auto"/>
          <w:sz w:val="21"/>
          <w:szCs w:val="21"/>
          <w:highlight w:val="none"/>
          <w:u w:val="single"/>
        </w:rPr>
        <w:t xml:space="preserve">                </w:t>
      </w:r>
      <w:r>
        <w:rPr>
          <w:rFonts w:hint="eastAsia" w:ascii="宋体" w:hAnsi="宋体"/>
          <w:color w:val="auto"/>
          <w:sz w:val="21"/>
          <w:szCs w:val="21"/>
          <w:highlight w:val="none"/>
          <w:u w:val="none"/>
          <w:lang w:eastAsia="zh-CN"/>
        </w:rPr>
        <w:t>进行</w:t>
      </w:r>
      <w:r>
        <w:rPr>
          <w:rFonts w:hint="eastAsia" w:ascii="宋体" w:hAnsi="宋体"/>
          <w:color w:val="auto"/>
          <w:sz w:val="21"/>
          <w:szCs w:val="21"/>
          <w:highlight w:val="none"/>
        </w:rPr>
        <w:t>投标报价，按合同约定实施和完成项目，</w:t>
      </w:r>
      <w:r>
        <w:rPr>
          <w:rFonts w:hint="eastAsia" w:ascii="宋体" w:hAnsi="宋体" w:cs="宋体"/>
          <w:color w:val="auto"/>
          <w:sz w:val="21"/>
          <w:szCs w:val="21"/>
          <w:highlight w:val="none"/>
        </w:rPr>
        <w:t>正式授权下述签字人</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（姓名和职务）代表</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,提交</w:t>
      </w:r>
      <w:r>
        <w:rPr>
          <w:rFonts w:hint="eastAsia" w:ascii="宋体" w:hAnsi="宋体" w:cs="宋体"/>
          <w:color w:val="auto"/>
          <w:sz w:val="21"/>
          <w:szCs w:val="21"/>
          <w:highlight w:val="none"/>
          <w:lang w:eastAsia="zh-CN"/>
        </w:rPr>
        <w:t>响应文件</w:t>
      </w:r>
      <w:r>
        <w:rPr>
          <w:rFonts w:hint="eastAsia" w:ascii="宋体" w:hAnsi="宋体" w:cs="宋体"/>
          <w:color w:val="auto"/>
          <w:sz w:val="21"/>
          <w:szCs w:val="21"/>
          <w:highlight w:val="none"/>
        </w:rPr>
        <w:t>正本一份，副本</w:t>
      </w:r>
      <w:r>
        <w:rPr>
          <w:rFonts w:hint="eastAsia" w:ascii="宋体" w:hAnsi="宋体" w:cs="宋体"/>
          <w:color w:val="auto"/>
          <w:sz w:val="21"/>
          <w:szCs w:val="21"/>
          <w:highlight w:val="none"/>
          <w:lang w:eastAsia="zh-CN"/>
        </w:rPr>
        <w:t>两</w:t>
      </w:r>
      <w:r>
        <w:rPr>
          <w:rFonts w:hint="eastAsia" w:ascii="宋体" w:hAnsi="宋体" w:cs="宋体"/>
          <w:color w:val="auto"/>
          <w:sz w:val="21"/>
          <w:szCs w:val="21"/>
          <w:highlight w:val="none"/>
        </w:rPr>
        <w:t>份。</w:t>
      </w:r>
    </w:p>
    <w:p w14:paraId="503D37A8">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据此函，签字人同意如下：</w:t>
      </w:r>
    </w:p>
    <w:p w14:paraId="5200D8DD">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1.我们已详细审核全部</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，并严格按照</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要求编制投标书和履行一切必要手续。</w:t>
      </w:r>
    </w:p>
    <w:p w14:paraId="430068F9">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2.我们如中标后，严格履行招标规定的责任和义务，保证按时签订合同并于合同签字生效后立即开始依合同要求履行相关义务。</w:t>
      </w:r>
    </w:p>
    <w:p w14:paraId="33B98013">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3.如果中标签约后，我们有违反合同的行为，同意依照</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中关于罚则的规定进行处理。</w:t>
      </w:r>
    </w:p>
    <w:p w14:paraId="6AB7DB6B">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4.同意向贵方提供贵方可能另外要求的与投标有关的任何证据或资料。</w:t>
      </w:r>
    </w:p>
    <w:p w14:paraId="0B6937F1">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5.</w:t>
      </w:r>
      <w:r>
        <w:rPr>
          <w:rFonts w:hint="eastAsia" w:ascii="宋体" w:hAnsi="宋体" w:cs="宋体"/>
          <w:color w:val="auto"/>
          <w:sz w:val="21"/>
          <w:szCs w:val="21"/>
          <w:highlight w:val="none"/>
          <w:lang w:eastAsia="zh-CN"/>
        </w:rPr>
        <w:t>响应文件</w:t>
      </w:r>
      <w:r>
        <w:rPr>
          <w:rFonts w:hint="eastAsia" w:ascii="宋体" w:hAnsi="宋体" w:cs="宋体"/>
          <w:color w:val="auto"/>
          <w:sz w:val="21"/>
          <w:szCs w:val="21"/>
          <w:highlight w:val="none"/>
        </w:rPr>
        <w:t>所提供的材料全部真实；</w:t>
      </w:r>
    </w:p>
    <w:p w14:paraId="0CDFBE12">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6.不以不正当手段诋毁、排挤其他供应商；</w:t>
      </w:r>
    </w:p>
    <w:p w14:paraId="27BC904A">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7.不与采购人、其他</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串通谋取中标；</w:t>
      </w:r>
    </w:p>
    <w:p w14:paraId="539F25BA">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8.不向采购人、评委行贿或提供不正当利益，中标后也不向采购人行贿；</w:t>
      </w:r>
    </w:p>
    <w:p w14:paraId="6D3C1691">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9.自觉遵守延边州政府采购招投标有关工作纪律，不以任何方式干涉招标工作正常进行；</w:t>
      </w:r>
    </w:p>
    <w:p w14:paraId="6DF8C202">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10.愿意向贵方提供任何与该项投标有关的数据、情况和技术资料。</w:t>
      </w:r>
    </w:p>
    <w:p w14:paraId="52501155">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11.本投标自</w:t>
      </w:r>
      <w:r>
        <w:rPr>
          <w:rFonts w:hint="eastAsia" w:ascii="宋体" w:hAnsi="宋体" w:cs="宋体"/>
          <w:color w:val="auto"/>
          <w:sz w:val="21"/>
          <w:szCs w:val="21"/>
          <w:highlight w:val="none"/>
          <w:lang w:eastAsia="zh-CN"/>
        </w:rPr>
        <w:t>投标截止</w:t>
      </w:r>
      <w:r>
        <w:rPr>
          <w:rFonts w:hint="eastAsia" w:ascii="宋体" w:hAnsi="宋体" w:cs="宋体"/>
          <w:color w:val="auto"/>
          <w:sz w:val="21"/>
          <w:szCs w:val="21"/>
          <w:highlight w:val="none"/>
        </w:rPr>
        <w:t>之日起</w:t>
      </w:r>
      <w:r>
        <w:rPr>
          <w:rFonts w:hint="eastAsia" w:ascii="宋体" w:hAnsi="宋体" w:cs="宋体"/>
          <w:color w:val="auto"/>
          <w:sz w:val="21"/>
          <w:szCs w:val="21"/>
          <w:highlight w:val="none"/>
          <w:u w:val="single"/>
          <w:lang w:val="en-US" w:eastAsia="zh-CN"/>
        </w:rPr>
        <w:t xml:space="preserve">    日历天</w:t>
      </w:r>
      <w:r>
        <w:rPr>
          <w:rFonts w:hint="eastAsia" w:ascii="宋体" w:hAnsi="宋体" w:cs="宋体"/>
          <w:color w:val="auto"/>
          <w:sz w:val="21"/>
          <w:szCs w:val="21"/>
          <w:highlight w:val="none"/>
        </w:rPr>
        <w:t>内有效。</w:t>
      </w:r>
    </w:p>
    <w:p w14:paraId="280FBAEA">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12.与本投标有关的正式通讯地址为：</w:t>
      </w:r>
    </w:p>
    <w:p w14:paraId="24906036">
      <w:pPr>
        <w:pageBreakBefore w:val="0"/>
        <w:kinsoku/>
        <w:overflowPunct/>
        <w:bidi w:val="0"/>
        <w:spacing w:line="360" w:lineRule="auto"/>
        <w:outlineLvl w:val="9"/>
        <w:rPr>
          <w:rFonts w:hint="eastAsia" w:ascii="宋体" w:hAnsi="宋体" w:cs="宋体"/>
          <w:color w:val="auto"/>
          <w:sz w:val="21"/>
          <w:szCs w:val="21"/>
          <w:highlight w:val="none"/>
        </w:rPr>
      </w:pPr>
    </w:p>
    <w:p w14:paraId="31C60B1A">
      <w:pPr>
        <w:pageBreakBefore w:val="0"/>
        <w:kinsoku/>
        <w:overflowPunct/>
        <w:bidi w:val="0"/>
        <w:spacing w:line="360" w:lineRule="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名称</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（盖章）</w:t>
      </w:r>
    </w:p>
    <w:p w14:paraId="5AD798C8">
      <w:pPr>
        <w:pageBreakBefore w:val="0"/>
        <w:kinsoku/>
        <w:overflowPunct/>
        <w:bidi w:val="0"/>
        <w:spacing w:line="360" w:lineRule="auto"/>
        <w:outlineLvl w:val="9"/>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 xml:space="preserve">                              单位地址</w:t>
      </w:r>
      <w:r>
        <w:rPr>
          <w:rFonts w:hint="eastAsia" w:ascii="宋体" w:hAnsi="宋体" w:cs="宋体"/>
          <w:color w:val="auto"/>
          <w:sz w:val="21"/>
          <w:szCs w:val="21"/>
          <w:highlight w:val="none"/>
          <w:u w:val="none"/>
        </w:rPr>
        <w:t>：</w:t>
      </w:r>
      <w:r>
        <w:rPr>
          <w:rFonts w:hint="eastAsia" w:ascii="宋体" w:hAnsi="宋体" w:cs="宋体"/>
          <w:color w:val="auto"/>
          <w:sz w:val="21"/>
          <w:szCs w:val="21"/>
          <w:highlight w:val="none"/>
          <w:u w:val="single"/>
        </w:rPr>
        <w:t xml:space="preserve">                      </w:t>
      </w:r>
    </w:p>
    <w:p w14:paraId="6D8D8793">
      <w:pPr>
        <w:pageBreakBefore w:val="0"/>
        <w:kinsoku/>
        <w:overflowPunct/>
        <w:bidi w:val="0"/>
        <w:spacing w:line="360" w:lineRule="auto"/>
        <w:outlineLvl w:val="9"/>
        <w:rPr>
          <w:rFonts w:hint="eastAsia" w:ascii="宋体" w:hAnsi="宋体" w:cs="宋体"/>
          <w:color w:val="auto"/>
          <w:sz w:val="21"/>
          <w:szCs w:val="21"/>
          <w:highlight w:val="none"/>
          <w:u w:val="single"/>
        </w:rPr>
      </w:pP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u w:val="none"/>
        </w:rPr>
        <w:t>联系方式：</w:t>
      </w:r>
      <w:r>
        <w:rPr>
          <w:rFonts w:hint="eastAsia" w:ascii="宋体" w:hAnsi="宋体" w:cs="宋体"/>
          <w:color w:val="auto"/>
          <w:sz w:val="21"/>
          <w:szCs w:val="21"/>
          <w:highlight w:val="none"/>
          <w:u w:val="single"/>
        </w:rPr>
        <w:t xml:space="preserve">                     </w:t>
      </w:r>
    </w:p>
    <w:p w14:paraId="12B7E69B">
      <w:pPr>
        <w:pageBreakBefore w:val="0"/>
        <w:kinsoku/>
        <w:overflowPunct/>
        <w:bidi w:val="0"/>
        <w:spacing w:line="360" w:lineRule="auto"/>
        <w:jc w:val="center"/>
        <w:outlineLvl w:val="9"/>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法定代表或授权人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（签字或盖章）</w:t>
      </w:r>
    </w:p>
    <w:p w14:paraId="0C590F44">
      <w:pPr>
        <w:pageBreakBefore w:val="0"/>
        <w:kinsoku/>
        <w:overflowPunct/>
        <w:bidi w:val="0"/>
        <w:spacing w:line="360" w:lineRule="auto"/>
        <w:jc w:val="center"/>
        <w:outlineLvl w:val="9"/>
        <w:rPr>
          <w:rFonts w:hint="eastAsia"/>
          <w:b/>
          <w:color w:val="000000" w:themeColor="text1"/>
          <w:sz w:val="32"/>
          <w:szCs w:val="32"/>
          <w:highlight w:val="none"/>
          <w14:textFill>
            <w14:solidFill>
              <w14:schemeClr w14:val="tx1"/>
            </w14:solidFill>
          </w14:textFill>
        </w:rPr>
      </w:pPr>
      <w:r>
        <w:rPr>
          <w:rFonts w:hint="eastAsia" w:ascii="宋体" w:hAnsi="宋体" w:cs="宋体"/>
          <w:color w:val="auto"/>
          <w:sz w:val="21"/>
          <w:szCs w:val="21"/>
          <w:highlight w:val="none"/>
        </w:rPr>
        <w:t xml:space="preserve">年   月   日  </w:t>
      </w:r>
      <w:r>
        <w:rPr>
          <w:b/>
          <w:color w:val="000000" w:themeColor="text1"/>
          <w:sz w:val="32"/>
          <w:szCs w:val="32"/>
          <w:highlight w:val="none"/>
          <w14:textFill>
            <w14:solidFill>
              <w14:schemeClr w14:val="tx1"/>
            </w14:solidFill>
          </w14:textFill>
        </w:rPr>
        <w:br w:type="page"/>
      </w:r>
      <w:bookmarkStart w:id="51" w:name="_Toc65587250"/>
      <w:r>
        <w:rPr>
          <w:b/>
          <w:color w:val="000000" w:themeColor="text1"/>
          <w:sz w:val="32"/>
          <w:szCs w:val="32"/>
          <w:highlight w:val="none"/>
          <w14:textFill>
            <w14:solidFill>
              <w14:schemeClr w14:val="tx1"/>
            </w14:solidFill>
          </w14:textFill>
        </w:rPr>
        <w:t>二、法定代表人</w:t>
      </w:r>
      <w:r>
        <w:rPr>
          <w:rFonts w:hint="eastAsia"/>
          <w:b/>
          <w:color w:val="000000" w:themeColor="text1"/>
          <w:sz w:val="32"/>
          <w:szCs w:val="32"/>
          <w:highlight w:val="none"/>
          <w14:textFill>
            <w14:solidFill>
              <w14:schemeClr w14:val="tx1"/>
            </w14:solidFill>
          </w14:textFill>
        </w:rPr>
        <w:t>资格</w:t>
      </w:r>
      <w:r>
        <w:rPr>
          <w:b/>
          <w:color w:val="000000" w:themeColor="text1"/>
          <w:sz w:val="32"/>
          <w:szCs w:val="32"/>
          <w:highlight w:val="none"/>
          <w14:textFill>
            <w14:solidFill>
              <w14:schemeClr w14:val="tx1"/>
            </w14:solidFill>
          </w14:textFill>
        </w:rPr>
        <w:t>证</w:t>
      </w:r>
      <w:r>
        <w:rPr>
          <w:rFonts w:hint="eastAsia"/>
          <w:b/>
          <w:color w:val="000000" w:themeColor="text1"/>
          <w:sz w:val="32"/>
          <w:szCs w:val="32"/>
          <w:highlight w:val="none"/>
          <w14:textFill>
            <w14:solidFill>
              <w14:schemeClr w14:val="tx1"/>
            </w14:solidFill>
          </w14:textFill>
        </w:rPr>
        <w:t>明</w:t>
      </w:r>
    </w:p>
    <w:p w14:paraId="58D7B8D0">
      <w:pPr>
        <w:overflowPunct/>
        <w:bidi w:val="0"/>
        <w:spacing w:line="276" w:lineRule="auto"/>
        <w:outlineLvl w:val="9"/>
        <w:rPr>
          <w:color w:val="000000" w:themeColor="text1"/>
          <w:szCs w:val="21"/>
          <w:highlight w:val="none"/>
          <w14:textFill>
            <w14:solidFill>
              <w14:schemeClr w14:val="tx1"/>
            </w14:solidFill>
          </w14:textFill>
        </w:rPr>
      </w:pPr>
    </w:p>
    <w:p w14:paraId="6188F9E0">
      <w:pPr>
        <w:overflowPunct/>
        <w:bidi w:val="0"/>
        <w:spacing w:line="276" w:lineRule="auto"/>
        <w:outlineLvl w:val="9"/>
        <w:rPr>
          <w:color w:val="000000" w:themeColor="text1"/>
          <w:szCs w:val="21"/>
          <w:highlight w:val="none"/>
          <w14:textFill>
            <w14:solidFill>
              <w14:schemeClr w14:val="tx1"/>
            </w14:solidFill>
          </w14:textFill>
        </w:rPr>
      </w:pPr>
    </w:p>
    <w:p w14:paraId="37FE23AC">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单位名称：</w:t>
      </w:r>
      <w:r>
        <w:rPr>
          <w:color w:val="000000" w:themeColor="text1"/>
          <w:szCs w:val="21"/>
          <w:highlight w:val="none"/>
          <w:u w:val="single"/>
          <w14:textFill>
            <w14:solidFill>
              <w14:schemeClr w14:val="tx1"/>
            </w14:solidFill>
          </w14:textFill>
        </w:rPr>
        <w:t xml:space="preserve">                                           </w:t>
      </w:r>
    </w:p>
    <w:p w14:paraId="37AED586">
      <w:pPr>
        <w:overflowPunct/>
        <w:bidi w:val="0"/>
        <w:spacing w:line="276" w:lineRule="auto"/>
        <w:outlineLvl w:val="9"/>
        <w:rPr>
          <w:color w:val="000000" w:themeColor="text1"/>
          <w:szCs w:val="21"/>
          <w:highlight w:val="none"/>
          <w14:textFill>
            <w14:solidFill>
              <w14:schemeClr w14:val="tx1"/>
            </w14:solidFill>
          </w14:textFill>
        </w:rPr>
      </w:pPr>
    </w:p>
    <w:p w14:paraId="32B3162F">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单位性质：</w:t>
      </w:r>
      <w:r>
        <w:rPr>
          <w:color w:val="000000" w:themeColor="text1"/>
          <w:szCs w:val="21"/>
          <w:highlight w:val="none"/>
          <w:u w:val="single"/>
          <w14:textFill>
            <w14:solidFill>
              <w14:schemeClr w14:val="tx1"/>
            </w14:solidFill>
          </w14:textFill>
        </w:rPr>
        <w:t xml:space="preserve">                                           </w:t>
      </w:r>
    </w:p>
    <w:p w14:paraId="43E61DD9">
      <w:pPr>
        <w:overflowPunct/>
        <w:bidi w:val="0"/>
        <w:spacing w:line="276" w:lineRule="auto"/>
        <w:outlineLvl w:val="9"/>
        <w:rPr>
          <w:color w:val="000000" w:themeColor="text1"/>
          <w:szCs w:val="21"/>
          <w:highlight w:val="none"/>
          <w14:textFill>
            <w14:solidFill>
              <w14:schemeClr w14:val="tx1"/>
            </w14:solidFill>
          </w14:textFill>
        </w:rPr>
      </w:pPr>
    </w:p>
    <w:p w14:paraId="16897A4D">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w:t>
      </w:r>
      <w:r>
        <w:rPr>
          <w:color w:val="000000" w:themeColor="text1"/>
          <w:szCs w:val="21"/>
          <w:highlight w:val="none"/>
          <w:u w:val="single"/>
          <w14:textFill>
            <w14:solidFill>
              <w14:schemeClr w14:val="tx1"/>
            </w14:solidFill>
          </w14:textFill>
        </w:rPr>
        <w:t xml:space="preserve">                                           </w:t>
      </w:r>
    </w:p>
    <w:p w14:paraId="256E0E49">
      <w:pPr>
        <w:overflowPunct/>
        <w:bidi w:val="0"/>
        <w:spacing w:line="276" w:lineRule="auto"/>
        <w:outlineLvl w:val="9"/>
        <w:rPr>
          <w:color w:val="000000" w:themeColor="text1"/>
          <w:szCs w:val="21"/>
          <w:highlight w:val="none"/>
          <w14:textFill>
            <w14:solidFill>
              <w14:schemeClr w14:val="tx1"/>
            </w14:solidFill>
          </w14:textFill>
        </w:rPr>
      </w:pPr>
    </w:p>
    <w:p w14:paraId="548ACCF3">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成立时间：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年</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月</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日</w:t>
      </w:r>
    </w:p>
    <w:p w14:paraId="6D6EE74C">
      <w:pPr>
        <w:overflowPunct/>
        <w:bidi w:val="0"/>
        <w:spacing w:line="276" w:lineRule="auto"/>
        <w:outlineLvl w:val="9"/>
        <w:rPr>
          <w:color w:val="000000" w:themeColor="text1"/>
          <w:szCs w:val="21"/>
          <w:highlight w:val="none"/>
          <w14:textFill>
            <w14:solidFill>
              <w14:schemeClr w14:val="tx1"/>
            </w14:solidFill>
          </w14:textFill>
        </w:rPr>
      </w:pPr>
    </w:p>
    <w:p w14:paraId="04A15BB7">
      <w:pPr>
        <w:overflowPunct/>
        <w:bidi w:val="0"/>
        <w:spacing w:line="276" w:lineRule="auto"/>
        <w:ind w:firstLine="420" w:firstLineChars="200"/>
        <w:outlineLvl w:val="9"/>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经营期限：</w:t>
      </w:r>
      <w:r>
        <w:rPr>
          <w:color w:val="000000" w:themeColor="text1"/>
          <w:szCs w:val="21"/>
          <w:highlight w:val="none"/>
          <w:u w:val="single"/>
          <w14:textFill>
            <w14:solidFill>
              <w14:schemeClr w14:val="tx1"/>
            </w14:solidFill>
          </w14:textFill>
        </w:rPr>
        <w:t xml:space="preserve">                                           </w:t>
      </w:r>
    </w:p>
    <w:p w14:paraId="42596934">
      <w:pPr>
        <w:overflowPunct/>
        <w:bidi w:val="0"/>
        <w:spacing w:line="276" w:lineRule="auto"/>
        <w:outlineLvl w:val="9"/>
        <w:rPr>
          <w:color w:val="000000" w:themeColor="text1"/>
          <w:szCs w:val="21"/>
          <w:highlight w:val="none"/>
          <w14:textFill>
            <w14:solidFill>
              <w14:schemeClr w14:val="tx1"/>
            </w14:solidFill>
          </w14:textFill>
        </w:rPr>
      </w:pPr>
    </w:p>
    <w:p w14:paraId="5722446B">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姓    名：</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 xml:space="preserve"> 性别：</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 xml:space="preserve"> 年龄：</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职务：</w:t>
      </w:r>
      <w:r>
        <w:rPr>
          <w:color w:val="000000" w:themeColor="text1"/>
          <w:szCs w:val="21"/>
          <w:highlight w:val="none"/>
          <w:u w:val="single"/>
          <w14:textFill>
            <w14:solidFill>
              <w14:schemeClr w14:val="tx1"/>
            </w14:solidFill>
          </w14:textFill>
        </w:rPr>
        <w:t xml:space="preserve">        </w:t>
      </w:r>
    </w:p>
    <w:p w14:paraId="45546A5F">
      <w:pPr>
        <w:overflowPunct/>
        <w:bidi w:val="0"/>
        <w:spacing w:line="276" w:lineRule="auto"/>
        <w:outlineLvl w:val="9"/>
        <w:rPr>
          <w:color w:val="000000" w:themeColor="text1"/>
          <w:szCs w:val="21"/>
          <w:highlight w:val="none"/>
          <w14:textFill>
            <w14:solidFill>
              <w14:schemeClr w14:val="tx1"/>
            </w14:solidFill>
          </w14:textFill>
        </w:rPr>
      </w:pPr>
    </w:p>
    <w:p w14:paraId="7BD790DE">
      <w:pPr>
        <w:overflowPunct/>
        <w:bidi w:val="0"/>
        <w:spacing w:line="276"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系</w:t>
      </w:r>
      <w:r>
        <w:rPr>
          <w:color w:val="000000" w:themeColor="text1"/>
          <w:szCs w:val="21"/>
          <w:highlight w:val="none"/>
          <w:u w:val="single"/>
          <w14:textFill>
            <w14:solidFill>
              <w14:schemeClr w14:val="tx1"/>
            </w14:solidFill>
          </w14:textFill>
        </w:rPr>
        <w:t xml:space="preserve">        （</w:t>
      </w:r>
      <w:r>
        <w:rPr>
          <w:rFonts w:hint="eastAsia"/>
          <w:color w:val="000000" w:themeColor="text1"/>
          <w:szCs w:val="21"/>
          <w:highlight w:val="none"/>
          <w:u w:val="single"/>
          <w:lang w:eastAsia="zh-CN"/>
          <w14:textFill>
            <w14:solidFill>
              <w14:schemeClr w14:val="tx1"/>
            </w14:solidFill>
          </w14:textFill>
        </w:rPr>
        <w:t>供应商</w:t>
      </w:r>
      <w:r>
        <w:rPr>
          <w:color w:val="000000" w:themeColor="text1"/>
          <w:szCs w:val="21"/>
          <w:highlight w:val="none"/>
          <w:u w:val="single"/>
          <w14:textFill>
            <w14:solidFill>
              <w14:schemeClr w14:val="tx1"/>
            </w14:solidFill>
          </w14:textFill>
        </w:rPr>
        <w:t xml:space="preserve">单位名称）        </w:t>
      </w:r>
      <w:r>
        <w:rPr>
          <w:color w:val="000000" w:themeColor="text1"/>
          <w:szCs w:val="21"/>
          <w:highlight w:val="none"/>
          <w14:textFill>
            <w14:solidFill>
              <w14:schemeClr w14:val="tx1"/>
            </w14:solidFill>
          </w14:textFill>
        </w:rPr>
        <w:t>的法定代表人。</w:t>
      </w:r>
    </w:p>
    <w:p w14:paraId="24C91A3F">
      <w:pPr>
        <w:overflowPunct/>
        <w:bidi w:val="0"/>
        <w:spacing w:line="276" w:lineRule="auto"/>
        <w:outlineLvl w:val="9"/>
        <w:rPr>
          <w:color w:val="000000" w:themeColor="text1"/>
          <w:szCs w:val="21"/>
          <w:highlight w:val="none"/>
          <w14:textFill>
            <w14:solidFill>
              <w14:schemeClr w14:val="tx1"/>
            </w14:solidFill>
          </w14:textFill>
        </w:rPr>
      </w:pPr>
    </w:p>
    <w:p w14:paraId="1C09862A">
      <w:pPr>
        <w:overflowPunct/>
        <w:bidi w:val="0"/>
        <w:spacing w:line="276" w:lineRule="auto"/>
        <w:outlineLvl w:val="9"/>
        <w:rPr>
          <w:color w:val="000000" w:themeColor="text1"/>
          <w:szCs w:val="21"/>
          <w:highlight w:val="none"/>
          <w14:textFill>
            <w14:solidFill>
              <w14:schemeClr w14:val="tx1"/>
            </w14:solidFill>
          </w14:textFill>
        </w:rPr>
      </w:pPr>
    </w:p>
    <w:p w14:paraId="655237A5">
      <w:pPr>
        <w:overflowPunct/>
        <w:bidi w:val="0"/>
        <w:spacing w:line="276" w:lineRule="auto"/>
        <w:ind w:firstLine="840" w:firstLineChars="4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特此证明。</w:t>
      </w:r>
    </w:p>
    <w:tbl>
      <w:tblPr>
        <w:tblStyle w:val="38"/>
        <w:tblW w:w="882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820"/>
      </w:tblGrid>
      <w:tr w14:paraId="274FE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18" w:hRule="atLeast"/>
          <w:jc w:val="center"/>
        </w:trPr>
        <w:tc>
          <w:tcPr>
            <w:tcW w:w="8820" w:type="dxa"/>
            <w:noWrap w:val="0"/>
            <w:vAlign w:val="top"/>
          </w:tcPr>
          <w:p w14:paraId="45FDC0A1">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附：法定代表人身份证复印件</w:t>
            </w:r>
          </w:p>
        </w:tc>
      </w:tr>
    </w:tbl>
    <w:p w14:paraId="29249712">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                                              </w:t>
      </w:r>
    </w:p>
    <w:p w14:paraId="34B98412">
      <w:pPr>
        <w:overflowPunct/>
        <w:bidi w:val="0"/>
        <w:spacing w:line="600" w:lineRule="auto"/>
        <w:ind w:firstLine="4830" w:firstLineChars="2300"/>
        <w:jc w:val="right"/>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5C580856">
      <w:pPr>
        <w:overflowPunct/>
        <w:bidi w:val="0"/>
        <w:spacing w:line="600" w:lineRule="auto"/>
        <w:ind w:firstLine="4830" w:firstLineChars="23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（盖章）</w:t>
      </w:r>
    </w:p>
    <w:p w14:paraId="638C5EEC">
      <w:pPr>
        <w:wordWrap w:val="0"/>
        <w:overflowPunct/>
        <w:bidi w:val="0"/>
        <w:spacing w:line="600" w:lineRule="auto"/>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   期：    年    月    日     </w:t>
      </w:r>
    </w:p>
    <w:p w14:paraId="6AABD029">
      <w:pPr>
        <w:overflowPunct/>
        <w:bidi w:val="0"/>
        <w:jc w:val="center"/>
        <w:outlineLvl w:val="9"/>
        <w:rPr>
          <w:rFonts w:hint="eastAsia"/>
          <w:b/>
          <w:color w:val="000000" w:themeColor="text1"/>
          <w:sz w:val="32"/>
          <w:szCs w:val="32"/>
          <w:highlight w:val="none"/>
          <w14:textFill>
            <w14:solidFill>
              <w14:schemeClr w14:val="tx1"/>
            </w14:solidFill>
          </w14:textFill>
        </w:rPr>
      </w:pPr>
      <w:r>
        <w:rPr>
          <w:color w:val="000000" w:themeColor="text1"/>
          <w:szCs w:val="21"/>
          <w:highlight w:val="none"/>
          <w14:textFill>
            <w14:solidFill>
              <w14:schemeClr w14:val="tx1"/>
            </w14:solidFill>
          </w14:textFill>
        </w:rPr>
        <w:br w:type="page"/>
      </w:r>
      <w:bookmarkStart w:id="52" w:name="_Toc449685252"/>
      <w:bookmarkStart w:id="53" w:name="_Toc511207283"/>
      <w:bookmarkStart w:id="54" w:name="_Toc402425837"/>
      <w:r>
        <w:rPr>
          <w:b/>
          <w:color w:val="000000" w:themeColor="text1"/>
          <w:sz w:val="32"/>
          <w:szCs w:val="32"/>
          <w:highlight w:val="none"/>
          <w14:textFill>
            <w14:solidFill>
              <w14:schemeClr w14:val="tx1"/>
            </w14:solidFill>
          </w14:textFill>
        </w:rPr>
        <w:t>三、授权委托书</w:t>
      </w:r>
      <w:bookmarkEnd w:id="52"/>
      <w:bookmarkEnd w:id="53"/>
      <w:bookmarkEnd w:id="54"/>
    </w:p>
    <w:p w14:paraId="6E617301">
      <w:pPr>
        <w:overflowPunct/>
        <w:bidi w:val="0"/>
        <w:spacing w:line="360" w:lineRule="auto"/>
        <w:outlineLvl w:val="9"/>
        <w:rPr>
          <w:color w:val="000000" w:themeColor="text1"/>
          <w:sz w:val="16"/>
          <w:szCs w:val="21"/>
          <w:highlight w:val="none"/>
          <w14:textFill>
            <w14:solidFill>
              <w14:schemeClr w14:val="tx1"/>
            </w14:solidFill>
          </w14:textFill>
        </w:rPr>
      </w:pPr>
    </w:p>
    <w:p w14:paraId="7CD1FE99">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本授权委托书声明：</w:t>
      </w:r>
    </w:p>
    <w:p w14:paraId="4198E421">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（姓名）系</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名称）的法定代表人，现授权委托</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（姓名）为我公司代表，以</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名称）的名义参加</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（项目名称）投标活动。</w:t>
      </w:r>
    </w:p>
    <w:p w14:paraId="7D31FFCC">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委托代理人在</w:t>
      </w:r>
      <w:r>
        <w:rPr>
          <w:rFonts w:hint="eastAsia"/>
          <w:color w:val="000000" w:themeColor="text1"/>
          <w:szCs w:val="21"/>
          <w:highlight w:val="none"/>
          <w14:textFill>
            <w14:solidFill>
              <w14:schemeClr w14:val="tx1"/>
            </w14:solidFill>
          </w14:textFill>
        </w:rPr>
        <w:t>磋商、评审</w:t>
      </w:r>
      <w:r>
        <w:rPr>
          <w:color w:val="000000" w:themeColor="text1"/>
          <w:szCs w:val="21"/>
          <w:highlight w:val="none"/>
          <w14:textFill>
            <w14:solidFill>
              <w14:schemeClr w14:val="tx1"/>
            </w14:solidFill>
          </w14:textFill>
        </w:rPr>
        <w:t>、合同谈判过程中签署的一切文件和处理与之有关的一切事务，我均予以承认。</w:t>
      </w:r>
    </w:p>
    <w:p w14:paraId="67456877">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委托代理人无转委托权。</w:t>
      </w:r>
    </w:p>
    <w:p w14:paraId="1D33114B">
      <w:pPr>
        <w:overflowPunct/>
        <w:bidi w:val="0"/>
        <w:spacing w:line="480" w:lineRule="auto"/>
        <w:ind w:firstLine="420" w:firstLineChars="200"/>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特此委托。</w:t>
      </w:r>
    </w:p>
    <w:tbl>
      <w:tblPr>
        <w:tblStyle w:val="38"/>
        <w:tblW w:w="86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40"/>
      </w:tblGrid>
      <w:tr w14:paraId="32F96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94" w:hRule="atLeast"/>
        </w:trPr>
        <w:tc>
          <w:tcPr>
            <w:tcW w:w="8640" w:type="dxa"/>
            <w:noWrap w:val="0"/>
            <w:vAlign w:val="top"/>
          </w:tcPr>
          <w:p w14:paraId="7F1418BE">
            <w:pPr>
              <w:overflowPunct/>
              <w:bidi w:val="0"/>
              <w:spacing w:line="360" w:lineRule="auto"/>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附：委托代理人身份证复印件</w:t>
            </w:r>
          </w:p>
        </w:tc>
      </w:tr>
    </w:tbl>
    <w:p w14:paraId="14DA4848">
      <w:pPr>
        <w:overflowPunct/>
        <w:bidi w:val="0"/>
        <w:spacing w:line="360" w:lineRule="auto"/>
        <w:ind w:firstLine="420" w:firstLineChars="200"/>
        <w:jc w:val="right"/>
        <w:outlineLvl w:val="9"/>
        <w:rPr>
          <w:color w:val="000000" w:themeColor="text1"/>
          <w:szCs w:val="21"/>
          <w:highlight w:val="none"/>
          <w14:textFill>
            <w14:solidFill>
              <w14:schemeClr w14:val="tx1"/>
            </w14:solidFill>
          </w14:textFill>
        </w:rPr>
      </w:pPr>
    </w:p>
    <w:p w14:paraId="07BB4F69">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w:t>
      </w:r>
      <w:r>
        <w:rPr>
          <w:rFonts w:hint="eastAsia"/>
          <w:color w:val="000000" w:themeColor="text1"/>
          <w:szCs w:val="21"/>
          <w:highlight w:val="none"/>
          <w:lang w:val="en-US" w:eastAsia="zh-CN"/>
          <w14:textFill>
            <w14:solidFill>
              <w14:schemeClr w14:val="tx1"/>
            </w14:solidFill>
          </w14:textFill>
        </w:rPr>
        <w:t xml:space="preserve">  </w:t>
      </w:r>
      <w:r>
        <w:rPr>
          <w:rFonts w:hint="eastAsia"/>
          <w:color w:val="000000" w:themeColor="text1"/>
          <w:szCs w:val="21"/>
          <w:highlight w:val="none"/>
          <w:lang w:eastAsia="zh-CN"/>
          <w14:textFill>
            <w14:solidFill>
              <w14:schemeClr w14:val="tx1"/>
            </w14:solidFill>
          </w14:textFill>
        </w:rPr>
        <w:t>应</w:t>
      </w:r>
      <w:r>
        <w:rPr>
          <w:rFonts w:hint="eastAsia"/>
          <w:color w:val="000000" w:themeColor="text1"/>
          <w:szCs w:val="21"/>
          <w:highlight w:val="none"/>
          <w:lang w:val="en-US" w:eastAsia="zh-CN"/>
          <w14:textFill>
            <w14:solidFill>
              <w14:schemeClr w14:val="tx1"/>
            </w14:solidFill>
          </w14:textFill>
        </w:rPr>
        <w:t xml:space="preserve">  </w:t>
      </w:r>
      <w:r>
        <w:rPr>
          <w:rFonts w:hint="eastAsia"/>
          <w:color w:val="000000" w:themeColor="text1"/>
          <w:szCs w:val="21"/>
          <w:highlight w:val="none"/>
          <w:lang w:eastAsia="zh-CN"/>
          <w14:textFill>
            <w14:solidFill>
              <w14:schemeClr w14:val="tx1"/>
            </w14:solidFill>
          </w14:textFill>
        </w:rPr>
        <w:t>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r>
        <w:rPr>
          <w:rFonts w:hint="eastAsia"/>
          <w:color w:val="000000" w:themeColor="text1"/>
          <w:szCs w:val="21"/>
          <w:highlight w:val="none"/>
          <w14:textFill>
            <w14:solidFill>
              <w14:schemeClr w14:val="tx1"/>
            </w14:solidFill>
          </w14:textFill>
        </w:rPr>
        <w:t xml:space="preserve">      </w:t>
      </w:r>
    </w:p>
    <w:p w14:paraId="0B1C1BAB">
      <w:pPr>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（盖章</w:t>
      </w:r>
      <w:r>
        <w:rPr>
          <w:rFonts w:hint="eastAsia"/>
          <w:color w:val="000000" w:themeColor="text1"/>
          <w:szCs w:val="21"/>
          <w:highlight w:val="none"/>
          <w14:textFill>
            <w14:solidFill>
              <w14:schemeClr w14:val="tx1"/>
            </w14:solidFill>
          </w14:textFill>
        </w:rPr>
        <w:t>或签字</w:t>
      </w:r>
      <w:r>
        <w:rPr>
          <w:color w:val="000000" w:themeColor="text1"/>
          <w:szCs w:val="21"/>
          <w:highlight w:val="none"/>
          <w14:textFill>
            <w14:solidFill>
              <w14:schemeClr w14:val="tx1"/>
            </w14:solidFill>
          </w14:textFill>
        </w:rPr>
        <w:t>）</w:t>
      </w:r>
    </w:p>
    <w:p w14:paraId="6D1CE90A">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 xml:space="preserve">      </w:t>
      </w:r>
    </w:p>
    <w:p w14:paraId="428EDA3A">
      <w:pPr>
        <w:wordWrap w:val="0"/>
        <w:overflowPunct/>
        <w:bidi w:val="0"/>
        <w:spacing w:line="480" w:lineRule="auto"/>
        <w:ind w:firstLine="420" w:firstLineChars="200"/>
        <w:jc w:val="righ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    期：    年    月    日     </w:t>
      </w:r>
      <w:bookmarkStart w:id="55" w:name="_Toc511207284"/>
      <w:bookmarkStart w:id="56" w:name="_Toc402425838"/>
      <w:bookmarkStart w:id="57" w:name="_Toc449685253"/>
    </w:p>
    <w:p w14:paraId="55DEE12D">
      <w:pPr>
        <w:overflowPunct/>
        <w:bidi w:val="0"/>
        <w:ind w:firstLine="420" w:firstLineChars="200"/>
        <w:jc w:val="center"/>
        <w:outlineLvl w:val="9"/>
        <w:rPr>
          <w:b/>
          <w:color w:val="000000" w:themeColor="text1"/>
          <w:sz w:val="32"/>
          <w:szCs w:val="32"/>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b/>
          <w:color w:val="000000" w:themeColor="text1"/>
          <w:sz w:val="32"/>
          <w:szCs w:val="32"/>
          <w:highlight w:val="none"/>
          <w14:textFill>
            <w14:solidFill>
              <w14:schemeClr w14:val="tx1"/>
            </w14:solidFill>
          </w14:textFill>
        </w:rPr>
        <w:t>四、</w:t>
      </w:r>
      <w:r>
        <w:rPr>
          <w:rFonts w:hint="eastAsia"/>
          <w:b/>
          <w:color w:val="000000" w:themeColor="text1"/>
          <w:sz w:val="32"/>
          <w:szCs w:val="32"/>
          <w:highlight w:val="none"/>
          <w14:textFill>
            <w14:solidFill>
              <w14:schemeClr w14:val="tx1"/>
            </w14:solidFill>
          </w14:textFill>
        </w:rPr>
        <w:t>报价</w:t>
      </w:r>
      <w:r>
        <w:rPr>
          <w:b/>
          <w:color w:val="000000" w:themeColor="text1"/>
          <w:sz w:val="32"/>
          <w:szCs w:val="32"/>
          <w:highlight w:val="none"/>
          <w14:textFill>
            <w14:solidFill>
              <w14:schemeClr w14:val="tx1"/>
            </w14:solidFill>
          </w14:textFill>
        </w:rPr>
        <w:t>一览表</w:t>
      </w:r>
      <w:bookmarkEnd w:id="55"/>
      <w:bookmarkEnd w:id="56"/>
      <w:bookmarkEnd w:id="57"/>
      <w:r>
        <w:rPr>
          <w:rFonts w:hint="eastAsia"/>
          <w:b/>
          <w:color w:val="000000" w:themeColor="text1"/>
          <w:sz w:val="32"/>
          <w:szCs w:val="32"/>
          <w:highlight w:val="none"/>
          <w14:textFill>
            <w14:solidFill>
              <w14:schemeClr w14:val="tx1"/>
            </w14:solidFill>
          </w14:textFill>
        </w:rPr>
        <w:t>（首次）</w:t>
      </w:r>
    </w:p>
    <w:p w14:paraId="66853AE0">
      <w:pPr>
        <w:overflowPunct/>
        <w:bidi w:val="0"/>
        <w:spacing w:line="480" w:lineRule="auto"/>
        <w:ind w:firstLine="643" w:firstLineChars="200"/>
        <w:jc w:val="center"/>
        <w:outlineLvl w:val="9"/>
        <w:rPr>
          <w:b/>
          <w:color w:val="000000" w:themeColor="text1"/>
          <w:sz w:val="32"/>
          <w:szCs w:val="32"/>
          <w:highlight w:val="none"/>
          <w14:textFill>
            <w14:solidFill>
              <w14:schemeClr w14:val="tx1"/>
            </w14:solidFill>
          </w14:textFill>
        </w:rPr>
      </w:pPr>
    </w:p>
    <w:p w14:paraId="12292C95">
      <w:pPr>
        <w:overflowPunct/>
        <w:autoSpaceDE w:val="0"/>
        <w:autoSpaceDN w:val="0"/>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项目名称：</w:t>
      </w:r>
    </w:p>
    <w:p w14:paraId="439B98D8">
      <w:pPr>
        <w:overflowPunct/>
        <w:autoSpaceDE w:val="0"/>
        <w:autoSpaceDN w:val="0"/>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14:textFill>
            <w14:solidFill>
              <w14:schemeClr w14:val="tx1"/>
            </w14:solidFill>
          </w14:textFill>
        </w:rPr>
        <w:t>项目</w:t>
      </w:r>
      <w:r>
        <w:rPr>
          <w:bCs/>
          <w:color w:val="000000" w:themeColor="text1"/>
          <w:szCs w:val="21"/>
          <w:highlight w:val="none"/>
          <w:lang w:val="zh-CN"/>
          <w14:textFill>
            <w14:solidFill>
              <w14:schemeClr w14:val="tx1"/>
            </w14:solidFill>
          </w14:textFill>
        </w:rPr>
        <w:t>编号：</w:t>
      </w:r>
    </w:p>
    <w:p w14:paraId="6F458D5E">
      <w:pPr>
        <w:overflowPunct/>
        <w:bidi w:val="0"/>
        <w:spacing w:line="480" w:lineRule="auto"/>
        <w:ind w:firstLine="210" w:firstLineChars="100"/>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开</w:t>
      </w:r>
      <w:r>
        <w:rPr>
          <w:rFonts w:hint="eastAsia"/>
          <w:bCs/>
          <w:color w:val="000000" w:themeColor="text1"/>
          <w:szCs w:val="21"/>
          <w:highlight w:val="none"/>
          <w14:textFill>
            <w14:solidFill>
              <w14:schemeClr w14:val="tx1"/>
            </w14:solidFill>
          </w14:textFill>
        </w:rPr>
        <w:t>启</w:t>
      </w:r>
      <w:r>
        <w:rPr>
          <w:bCs/>
          <w:color w:val="000000" w:themeColor="text1"/>
          <w:szCs w:val="21"/>
          <w:highlight w:val="none"/>
          <w:lang w:val="zh-CN"/>
          <w14:textFill>
            <w14:solidFill>
              <w14:schemeClr w14:val="tx1"/>
            </w14:solidFill>
          </w14:textFill>
        </w:rPr>
        <w:t xml:space="preserve">时间：    年    月    日 </w:t>
      </w:r>
    </w:p>
    <w:tbl>
      <w:tblPr>
        <w:tblStyle w:val="38"/>
        <w:tblW w:w="91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60"/>
        <w:gridCol w:w="2247"/>
        <w:gridCol w:w="1959"/>
        <w:gridCol w:w="1380"/>
      </w:tblGrid>
      <w:tr w14:paraId="38A0F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3560" w:type="dxa"/>
            <w:noWrap w:val="0"/>
            <w:vAlign w:val="center"/>
          </w:tcPr>
          <w:p w14:paraId="43F9B540">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lang w:eastAsia="zh-CN"/>
                <w14:textFill>
                  <w14:solidFill>
                    <w14:schemeClr w14:val="tx1"/>
                  </w14:solidFill>
                </w14:textFill>
              </w:rPr>
              <w:t>供应商</w:t>
            </w:r>
            <w:r>
              <w:rPr>
                <w:bCs/>
                <w:color w:val="000000" w:themeColor="text1"/>
                <w:szCs w:val="21"/>
                <w:highlight w:val="none"/>
                <w:lang w:val="zh-CN"/>
                <w14:textFill>
                  <w14:solidFill>
                    <w14:schemeClr w14:val="tx1"/>
                  </w14:solidFill>
                </w14:textFill>
              </w:rPr>
              <w:t>名称</w:t>
            </w:r>
          </w:p>
        </w:tc>
        <w:tc>
          <w:tcPr>
            <w:tcW w:w="2247" w:type="dxa"/>
            <w:noWrap w:val="0"/>
            <w:vAlign w:val="center"/>
          </w:tcPr>
          <w:p w14:paraId="4BC2B9E5">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报价</w:t>
            </w:r>
          </w:p>
          <w:p w14:paraId="1C029F8D">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w:t>
            </w:r>
            <w:r>
              <w:rPr>
                <w:rFonts w:hint="eastAsia"/>
                <w:bCs/>
                <w:color w:val="000000" w:themeColor="text1"/>
                <w:szCs w:val="21"/>
                <w:highlight w:val="none"/>
                <w14:textFill>
                  <w14:solidFill>
                    <w14:schemeClr w14:val="tx1"/>
                  </w14:solidFill>
                </w14:textFill>
              </w:rPr>
              <w:t>元</w:t>
            </w:r>
            <w:r>
              <w:rPr>
                <w:bCs/>
                <w:color w:val="000000" w:themeColor="text1"/>
                <w:szCs w:val="21"/>
                <w:highlight w:val="none"/>
                <w:lang w:val="zh-CN"/>
                <w14:textFill>
                  <w14:solidFill>
                    <w14:schemeClr w14:val="tx1"/>
                  </w14:solidFill>
                </w14:textFill>
              </w:rPr>
              <w:t>）</w:t>
            </w:r>
          </w:p>
        </w:tc>
        <w:tc>
          <w:tcPr>
            <w:tcW w:w="1959" w:type="dxa"/>
            <w:noWrap w:val="0"/>
            <w:vAlign w:val="center"/>
          </w:tcPr>
          <w:p w14:paraId="4E1EB1B3">
            <w:pPr>
              <w:overflowPunct/>
              <w:autoSpaceDE w:val="0"/>
              <w:autoSpaceDN w:val="0"/>
              <w:bidi w:val="0"/>
              <w:spacing w:line="400" w:lineRule="exact"/>
              <w:jc w:val="center"/>
              <w:outlineLvl w:val="9"/>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合同履行期限</w:t>
            </w:r>
          </w:p>
        </w:tc>
        <w:tc>
          <w:tcPr>
            <w:tcW w:w="1380" w:type="dxa"/>
            <w:noWrap w:val="0"/>
            <w:vAlign w:val="center"/>
          </w:tcPr>
          <w:p w14:paraId="7FB076FC">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r>
              <w:rPr>
                <w:rFonts w:hint="eastAsia"/>
                <w:bCs/>
                <w:color w:val="000000" w:themeColor="text1"/>
                <w:szCs w:val="21"/>
                <w:highlight w:val="none"/>
                <w:lang w:val="zh-CN"/>
                <w14:textFill>
                  <w14:solidFill>
                    <w14:schemeClr w14:val="tx1"/>
                  </w14:solidFill>
                </w14:textFill>
              </w:rPr>
              <w:t>质量标准</w:t>
            </w:r>
          </w:p>
        </w:tc>
      </w:tr>
      <w:tr w14:paraId="5A1B1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3560" w:type="dxa"/>
            <w:noWrap w:val="0"/>
            <w:vAlign w:val="center"/>
          </w:tcPr>
          <w:p w14:paraId="5540FA4F">
            <w:pPr>
              <w:overflowPunct/>
              <w:autoSpaceDE w:val="0"/>
              <w:autoSpaceDN w:val="0"/>
              <w:bidi w:val="0"/>
              <w:spacing w:line="400" w:lineRule="exact"/>
              <w:jc w:val="center"/>
              <w:outlineLvl w:val="9"/>
              <w:rPr>
                <w:bCs/>
                <w:color w:val="000000" w:themeColor="text1"/>
                <w:szCs w:val="21"/>
                <w:highlight w:val="none"/>
                <w:lang w:val="zh-CN"/>
                <w14:textFill>
                  <w14:solidFill>
                    <w14:schemeClr w14:val="tx1"/>
                  </w14:solidFill>
                </w14:textFill>
              </w:rPr>
            </w:pPr>
          </w:p>
        </w:tc>
        <w:tc>
          <w:tcPr>
            <w:tcW w:w="2247" w:type="dxa"/>
            <w:noWrap w:val="0"/>
            <w:vAlign w:val="center"/>
          </w:tcPr>
          <w:p w14:paraId="5726B9A1">
            <w:pPr>
              <w:overflowPunct/>
              <w:autoSpaceDE w:val="0"/>
              <w:autoSpaceDN w:val="0"/>
              <w:bidi w:val="0"/>
              <w:spacing w:line="400" w:lineRule="exact"/>
              <w:jc w:val="center"/>
              <w:outlineLvl w:val="9"/>
              <w:rPr>
                <w:rFonts w:hint="eastAsia"/>
                <w:bCs/>
                <w:color w:val="000000" w:themeColor="text1"/>
                <w:szCs w:val="21"/>
                <w:highlight w:val="none"/>
                <w14:textFill>
                  <w14:solidFill>
                    <w14:schemeClr w14:val="tx1"/>
                  </w14:solidFill>
                </w14:textFill>
              </w:rPr>
            </w:pPr>
          </w:p>
        </w:tc>
        <w:tc>
          <w:tcPr>
            <w:tcW w:w="1959" w:type="dxa"/>
            <w:noWrap w:val="0"/>
            <w:vAlign w:val="center"/>
          </w:tcPr>
          <w:p w14:paraId="57AF8C12">
            <w:pPr>
              <w:overflowPunct/>
              <w:autoSpaceDE w:val="0"/>
              <w:autoSpaceDN w:val="0"/>
              <w:bidi w:val="0"/>
              <w:spacing w:line="400" w:lineRule="exact"/>
              <w:jc w:val="center"/>
              <w:outlineLvl w:val="9"/>
              <w:rPr>
                <w:color w:val="000000" w:themeColor="text1"/>
                <w:szCs w:val="21"/>
                <w:highlight w:val="none"/>
                <w14:textFill>
                  <w14:solidFill>
                    <w14:schemeClr w14:val="tx1"/>
                  </w14:solidFill>
                </w14:textFill>
              </w:rPr>
            </w:pPr>
          </w:p>
        </w:tc>
        <w:tc>
          <w:tcPr>
            <w:tcW w:w="1380" w:type="dxa"/>
            <w:noWrap w:val="0"/>
            <w:vAlign w:val="center"/>
          </w:tcPr>
          <w:p w14:paraId="69762325">
            <w:pPr>
              <w:overflowPunct/>
              <w:autoSpaceDE w:val="0"/>
              <w:autoSpaceDN w:val="0"/>
              <w:bidi w:val="0"/>
              <w:spacing w:line="400" w:lineRule="exact"/>
              <w:jc w:val="center"/>
              <w:outlineLvl w:val="9"/>
              <w:rPr>
                <w:bCs/>
                <w:color w:val="000000" w:themeColor="text1"/>
                <w:szCs w:val="21"/>
                <w:highlight w:val="none"/>
                <w14:textFill>
                  <w14:solidFill>
                    <w14:schemeClr w14:val="tx1"/>
                  </w14:solidFill>
                </w14:textFill>
              </w:rPr>
            </w:pPr>
          </w:p>
        </w:tc>
      </w:tr>
    </w:tbl>
    <w:p w14:paraId="34EC1AB4">
      <w:pPr>
        <w:overflowPunct/>
        <w:autoSpaceDE w:val="0"/>
        <w:autoSpaceDN w:val="0"/>
        <w:bidi w:val="0"/>
        <w:spacing w:line="480" w:lineRule="auto"/>
        <w:outlineLvl w:val="9"/>
        <w:rPr>
          <w:bCs/>
          <w:color w:val="000000" w:themeColor="text1"/>
          <w:szCs w:val="21"/>
          <w:highlight w:val="none"/>
          <w:lang w:val="zh-CN"/>
          <w14:textFill>
            <w14:solidFill>
              <w14:schemeClr w14:val="tx1"/>
            </w14:solidFill>
          </w14:textFill>
        </w:rPr>
      </w:pPr>
      <w:r>
        <w:rPr>
          <w:bCs/>
          <w:color w:val="000000" w:themeColor="text1"/>
          <w:szCs w:val="21"/>
          <w:highlight w:val="none"/>
          <w:lang w:val="zh-CN"/>
          <w14:textFill>
            <w14:solidFill>
              <w14:schemeClr w14:val="tx1"/>
            </w14:solidFill>
          </w14:textFill>
        </w:rPr>
        <w:t>注：</w:t>
      </w:r>
    </w:p>
    <w:p w14:paraId="5E617A73">
      <w:pPr>
        <w:overflowPunct/>
        <w:autoSpaceDE w:val="0"/>
        <w:autoSpaceDN w:val="0"/>
        <w:bidi w:val="0"/>
        <w:adjustRightInd w:val="0"/>
        <w:spacing w:line="480" w:lineRule="auto"/>
        <w:ind w:firstLine="420" w:firstLineChars="200"/>
        <w:textAlignment w:val="baseline"/>
        <w:outlineLvl w:val="9"/>
        <w:rPr>
          <w:rFonts w:ascii="宋体" w:hAnsi="宋体" w:cs="宋体"/>
          <w:snapToGrid w:val="0"/>
          <w:color w:val="000000" w:themeColor="text1"/>
          <w:kern w:val="0"/>
          <w:szCs w:val="32"/>
          <w:highlight w:val="none"/>
          <w:lang w:val="zh-CN"/>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1、</w:t>
      </w:r>
      <w:r>
        <w:rPr>
          <w:rFonts w:ascii="宋体" w:hAnsi="宋体" w:cs="宋体"/>
          <w:snapToGrid w:val="0"/>
          <w:color w:val="000000" w:themeColor="text1"/>
          <w:kern w:val="0"/>
          <w:szCs w:val="32"/>
          <w:highlight w:val="none"/>
          <w:lang w:val="zh-CN"/>
          <w14:textFill>
            <w14:solidFill>
              <w14:schemeClr w14:val="tx1"/>
            </w14:solidFill>
          </w14:textFill>
        </w:rPr>
        <w:t>本表的一切内容均具有法律效力，不得更改</w:t>
      </w:r>
      <w:r>
        <w:rPr>
          <w:rFonts w:hint="eastAsia" w:ascii="宋体" w:hAnsi="宋体" w:cs="宋体"/>
          <w:snapToGrid w:val="0"/>
          <w:color w:val="000000" w:themeColor="text1"/>
          <w:kern w:val="0"/>
          <w:szCs w:val="32"/>
          <w:highlight w:val="none"/>
          <w:lang w:val="zh-CN"/>
          <w14:textFill>
            <w14:solidFill>
              <w14:schemeClr w14:val="tx1"/>
            </w14:solidFill>
          </w14:textFill>
        </w:rPr>
        <w:t>。</w:t>
      </w:r>
      <w:r>
        <w:rPr>
          <w:rFonts w:hint="eastAsia" w:ascii="宋体" w:hAnsi="宋体" w:cs="宋体"/>
          <w:snapToGrid w:val="0"/>
          <w:color w:val="000000" w:themeColor="text1"/>
          <w:kern w:val="0"/>
          <w:szCs w:val="32"/>
          <w:highlight w:val="none"/>
          <w14:textFill>
            <w14:solidFill>
              <w14:schemeClr w14:val="tx1"/>
            </w14:solidFill>
          </w14:textFill>
        </w:rPr>
        <w:t>当报价一览表与响应标文件不一致时，以报价一览表为准</w:t>
      </w:r>
      <w:r>
        <w:rPr>
          <w:rFonts w:ascii="宋体" w:hAnsi="宋体" w:cs="宋体"/>
          <w:snapToGrid w:val="0"/>
          <w:color w:val="000000" w:themeColor="text1"/>
          <w:kern w:val="0"/>
          <w:szCs w:val="32"/>
          <w:highlight w:val="none"/>
          <w:lang w:val="zh-CN"/>
          <w14:textFill>
            <w14:solidFill>
              <w14:schemeClr w14:val="tx1"/>
            </w14:solidFill>
          </w14:textFill>
        </w:rPr>
        <w:t>。</w:t>
      </w:r>
    </w:p>
    <w:p w14:paraId="4817F20C">
      <w:pPr>
        <w:overflowPunct/>
        <w:autoSpaceDE w:val="0"/>
        <w:autoSpaceDN w:val="0"/>
        <w:bidi w:val="0"/>
        <w:adjustRightInd w:val="0"/>
        <w:spacing w:line="480" w:lineRule="auto"/>
        <w:ind w:firstLine="420" w:firstLineChars="200"/>
        <w:textAlignment w:val="baseline"/>
        <w:outlineLvl w:val="9"/>
        <w:rPr>
          <w:rFonts w:ascii="宋体" w:hAnsi="宋体" w:cs="宋体"/>
          <w:snapToGrid w:val="0"/>
          <w:color w:val="000000" w:themeColor="text1"/>
          <w:kern w:val="0"/>
          <w:szCs w:val="32"/>
          <w:highlight w:val="none"/>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2、报价为采购范围所列全部项目的含税报价总和。优惠条件只填“有”或“无”，并在响应文件相应位置附具体内容。</w:t>
      </w:r>
    </w:p>
    <w:p w14:paraId="42A893F3">
      <w:pPr>
        <w:overflowPunct/>
        <w:autoSpaceDE w:val="0"/>
        <w:autoSpaceDN w:val="0"/>
        <w:bidi w:val="0"/>
        <w:adjustRightInd w:val="0"/>
        <w:spacing w:line="480" w:lineRule="auto"/>
        <w:ind w:firstLine="420" w:firstLineChars="200"/>
        <w:textAlignment w:val="baseline"/>
        <w:outlineLvl w:val="9"/>
        <w:rPr>
          <w:b/>
          <w:bCs/>
          <w:color w:val="000000" w:themeColor="text1"/>
          <w:szCs w:val="21"/>
          <w:highlight w:val="none"/>
          <w14:textFill>
            <w14:solidFill>
              <w14:schemeClr w14:val="tx1"/>
            </w14:solidFill>
          </w14:textFill>
        </w:rPr>
      </w:pPr>
      <w:r>
        <w:rPr>
          <w:rFonts w:hint="eastAsia" w:ascii="宋体" w:hAnsi="宋体" w:cs="宋体"/>
          <w:snapToGrid w:val="0"/>
          <w:color w:val="000000" w:themeColor="text1"/>
          <w:kern w:val="0"/>
          <w:szCs w:val="32"/>
          <w:highlight w:val="none"/>
          <w14:textFill>
            <w14:solidFill>
              <w14:schemeClr w14:val="tx1"/>
            </w14:solidFill>
          </w14:textFill>
        </w:rPr>
        <w:t>3</w:t>
      </w:r>
      <w:r>
        <w:rPr>
          <w:rFonts w:ascii="宋体" w:hAnsi="宋体" w:cs="宋体"/>
          <w:snapToGrid w:val="0"/>
          <w:color w:val="000000" w:themeColor="text1"/>
          <w:kern w:val="0"/>
          <w:szCs w:val="32"/>
          <w:highlight w:val="none"/>
          <w:lang w:val="zh-CN"/>
          <w14:textFill>
            <w14:solidFill>
              <w14:schemeClr w14:val="tx1"/>
            </w14:solidFill>
          </w14:textFill>
        </w:rPr>
        <w:t>、本表格须装订在</w:t>
      </w:r>
      <w:r>
        <w:rPr>
          <w:rFonts w:hint="eastAsia" w:ascii="宋体" w:hAnsi="宋体" w:cs="宋体"/>
          <w:snapToGrid w:val="0"/>
          <w:color w:val="000000" w:themeColor="text1"/>
          <w:kern w:val="0"/>
          <w:szCs w:val="32"/>
          <w:highlight w:val="none"/>
          <w14:textFill>
            <w14:solidFill>
              <w14:schemeClr w14:val="tx1"/>
            </w14:solidFill>
          </w14:textFill>
        </w:rPr>
        <w:t>响应</w:t>
      </w:r>
      <w:r>
        <w:rPr>
          <w:rFonts w:ascii="宋体" w:hAnsi="宋体" w:cs="宋体"/>
          <w:snapToGrid w:val="0"/>
          <w:color w:val="000000" w:themeColor="text1"/>
          <w:kern w:val="0"/>
          <w:szCs w:val="32"/>
          <w:highlight w:val="none"/>
          <w:lang w:val="zh-CN"/>
          <w14:textFill>
            <w14:solidFill>
              <w14:schemeClr w14:val="tx1"/>
            </w14:solidFill>
          </w14:textFill>
        </w:rPr>
        <w:t>文件内。然后再将此</w:t>
      </w:r>
      <w:r>
        <w:rPr>
          <w:rFonts w:hint="eastAsia" w:ascii="宋体" w:hAnsi="宋体" w:cs="宋体"/>
          <w:snapToGrid w:val="0"/>
          <w:color w:val="000000" w:themeColor="text1"/>
          <w:kern w:val="0"/>
          <w:szCs w:val="32"/>
          <w:highlight w:val="none"/>
          <w14:textFill>
            <w14:solidFill>
              <w14:schemeClr w14:val="tx1"/>
            </w14:solidFill>
          </w14:textFill>
        </w:rPr>
        <w:t>报价</w:t>
      </w:r>
      <w:r>
        <w:rPr>
          <w:rFonts w:ascii="宋体" w:hAnsi="宋体" w:cs="宋体"/>
          <w:snapToGrid w:val="0"/>
          <w:color w:val="000000" w:themeColor="text1"/>
          <w:kern w:val="0"/>
          <w:szCs w:val="32"/>
          <w:highlight w:val="none"/>
          <w:lang w:val="zh-CN"/>
          <w14:textFill>
            <w14:solidFill>
              <w14:schemeClr w14:val="tx1"/>
            </w14:solidFill>
          </w14:textFill>
        </w:rPr>
        <w:t>一览表单独打印一份签字和加盖印章后，单独密封在一个小信封内，随</w:t>
      </w:r>
      <w:r>
        <w:rPr>
          <w:rFonts w:hint="eastAsia" w:ascii="宋体" w:hAnsi="宋体" w:cs="宋体"/>
          <w:snapToGrid w:val="0"/>
          <w:color w:val="000000" w:themeColor="text1"/>
          <w:kern w:val="0"/>
          <w:szCs w:val="32"/>
          <w:highlight w:val="none"/>
          <w14:textFill>
            <w14:solidFill>
              <w14:schemeClr w14:val="tx1"/>
            </w14:solidFill>
          </w14:textFill>
        </w:rPr>
        <w:t>响应</w:t>
      </w:r>
      <w:r>
        <w:rPr>
          <w:bCs/>
          <w:color w:val="000000" w:themeColor="text1"/>
          <w:szCs w:val="21"/>
          <w:highlight w:val="none"/>
          <w:lang w:val="zh-CN"/>
          <w14:textFill>
            <w14:solidFill>
              <w14:schemeClr w14:val="tx1"/>
            </w14:solidFill>
          </w14:textFill>
        </w:rPr>
        <w:t>文件一同递交用。</w:t>
      </w:r>
    </w:p>
    <w:p w14:paraId="384615DB">
      <w:pPr>
        <w:overflowPunct/>
        <w:bidi w:val="0"/>
        <w:spacing w:line="480" w:lineRule="auto"/>
        <w:ind w:firstLine="2520" w:firstLineChars="1200"/>
        <w:outlineLvl w:val="9"/>
        <w:rPr>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供应商</w:t>
      </w:r>
      <w:r>
        <w:rPr>
          <w:color w:val="000000" w:themeColor="text1"/>
          <w:szCs w:val="21"/>
          <w:highlight w:val="none"/>
          <w14:textFill>
            <w14:solidFill>
              <w14:schemeClr w14:val="tx1"/>
            </w14:solidFill>
          </w14:textFill>
        </w:rPr>
        <w:t>：</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（公章）</w:t>
      </w:r>
    </w:p>
    <w:p w14:paraId="4A71A03C">
      <w:pPr>
        <w:overflowPunct/>
        <w:bidi w:val="0"/>
        <w:spacing w:line="480" w:lineRule="auto"/>
        <w:ind w:firstLine="2520" w:firstLineChars="1200"/>
        <w:jc w:val="left"/>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委托代理人：</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（签字</w:t>
      </w:r>
      <w:r>
        <w:rPr>
          <w:rFonts w:hint="eastAsia"/>
          <w:color w:val="000000" w:themeColor="text1"/>
          <w:szCs w:val="21"/>
          <w:highlight w:val="none"/>
          <w14:textFill>
            <w14:solidFill>
              <w14:schemeClr w14:val="tx1"/>
            </w14:solidFill>
          </w14:textFill>
        </w:rPr>
        <w:t>或</w:t>
      </w:r>
      <w:r>
        <w:rPr>
          <w:color w:val="000000" w:themeColor="text1"/>
          <w:szCs w:val="21"/>
          <w:highlight w:val="none"/>
          <w14:textFill>
            <w14:solidFill>
              <w14:schemeClr w14:val="tx1"/>
            </w14:solidFill>
          </w14:textFill>
        </w:rPr>
        <w:t>盖章）</w:t>
      </w:r>
    </w:p>
    <w:p w14:paraId="51AD8BE6">
      <w:pPr>
        <w:overflowPunct/>
        <w:bidi w:val="0"/>
        <w:spacing w:line="440" w:lineRule="exact"/>
        <w:ind w:firstLine="2530" w:firstLineChars="1205"/>
        <w:outlineLvl w:val="9"/>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    期：    年    月    日</w:t>
      </w:r>
    </w:p>
    <w:p w14:paraId="0123BFDC">
      <w:pPr>
        <w:overflowPunct/>
        <w:bidi w:val="0"/>
        <w:spacing w:line="300" w:lineRule="auto"/>
        <w:ind w:firstLine="420" w:firstLineChars="200"/>
        <w:outlineLvl w:val="9"/>
        <w:rPr>
          <w:color w:val="000000" w:themeColor="text1"/>
          <w:highlight w:val="none"/>
          <w14:textFill>
            <w14:solidFill>
              <w14:schemeClr w14:val="tx1"/>
            </w14:solidFill>
          </w14:textFill>
        </w:rPr>
      </w:pPr>
    </w:p>
    <w:p w14:paraId="036712EB">
      <w:pPr>
        <w:rPr>
          <w:rFonts w:hint="eastAsia"/>
          <w:b/>
          <w:color w:val="000000" w:themeColor="text1"/>
          <w:sz w:val="32"/>
          <w:szCs w:val="32"/>
          <w:highlight w:val="none"/>
          <w:lang w:val="en-US" w:eastAsia="zh-CN"/>
          <w14:textFill>
            <w14:solidFill>
              <w14:schemeClr w14:val="tx1"/>
            </w14:solidFill>
          </w14:textFill>
        </w:rPr>
      </w:pPr>
      <w:bookmarkStart w:id="58" w:name="_Toc402425839"/>
      <w:r>
        <w:rPr>
          <w:b/>
          <w:color w:val="000000" w:themeColor="text1"/>
          <w:highlight w:val="none"/>
          <w14:textFill>
            <w14:solidFill>
              <w14:schemeClr w14:val="tx1"/>
            </w14:solidFill>
          </w14:textFill>
        </w:rPr>
        <w:br w:type="page"/>
      </w:r>
      <w:bookmarkEnd w:id="51"/>
      <w:bookmarkEnd w:id="58"/>
      <w:bookmarkStart w:id="59" w:name="_Toc361508760"/>
      <w:bookmarkStart w:id="60" w:name="_Toc65587252"/>
    </w:p>
    <w:p w14:paraId="1690CD3F">
      <w:pPr>
        <w:overflowPunct/>
        <w:autoSpaceDE w:val="0"/>
        <w:autoSpaceDN w:val="0"/>
        <w:bidi w:val="0"/>
        <w:jc w:val="center"/>
        <w:outlineLvl w:val="9"/>
        <w:rPr>
          <w:b/>
          <w:color w:val="000000" w:themeColor="text1"/>
          <w:sz w:val="32"/>
          <w:szCs w:val="32"/>
          <w:highlight w:val="none"/>
          <w14:textFill>
            <w14:solidFill>
              <w14:schemeClr w14:val="tx1"/>
            </w14:solidFill>
          </w14:textFill>
        </w:rPr>
      </w:pPr>
      <w:r>
        <w:rPr>
          <w:rFonts w:hint="eastAsia"/>
          <w:b/>
          <w:color w:val="000000" w:themeColor="text1"/>
          <w:sz w:val="32"/>
          <w:szCs w:val="32"/>
          <w:highlight w:val="none"/>
          <w:lang w:val="en-US" w:eastAsia="zh-CN"/>
          <w14:textFill>
            <w14:solidFill>
              <w14:schemeClr w14:val="tx1"/>
            </w14:solidFill>
          </w14:textFill>
        </w:rPr>
        <w:t>五</w:t>
      </w:r>
      <w:r>
        <w:rPr>
          <w:b/>
          <w:color w:val="000000" w:themeColor="text1"/>
          <w:sz w:val="32"/>
          <w:szCs w:val="32"/>
          <w:highlight w:val="none"/>
          <w14:textFill>
            <w14:solidFill>
              <w14:schemeClr w14:val="tx1"/>
            </w14:solidFill>
          </w14:textFill>
        </w:rPr>
        <w:t>、</w:t>
      </w:r>
      <w:r>
        <w:rPr>
          <w:rFonts w:hint="eastAsia"/>
          <w:b/>
          <w:color w:val="000000" w:themeColor="text1"/>
          <w:sz w:val="32"/>
          <w:szCs w:val="32"/>
          <w:highlight w:val="none"/>
          <w14:textFill>
            <w14:solidFill>
              <w14:schemeClr w14:val="tx1"/>
            </w14:solidFill>
          </w14:textFill>
        </w:rPr>
        <w:t>磋商</w:t>
      </w:r>
      <w:r>
        <w:rPr>
          <w:b/>
          <w:color w:val="000000" w:themeColor="text1"/>
          <w:sz w:val="32"/>
          <w:szCs w:val="32"/>
          <w:highlight w:val="none"/>
          <w14:textFill>
            <w14:solidFill>
              <w14:schemeClr w14:val="tx1"/>
            </w14:solidFill>
          </w14:textFill>
        </w:rPr>
        <w:t>保证金</w:t>
      </w:r>
    </w:p>
    <w:p w14:paraId="046F47F8">
      <w:pPr>
        <w:overflowPunct/>
        <w:autoSpaceDE w:val="0"/>
        <w:autoSpaceDN w:val="0"/>
        <w:bidi w:val="0"/>
        <w:spacing w:line="360" w:lineRule="auto"/>
        <w:jc w:val="left"/>
        <w:outlineLvl w:val="9"/>
        <w:rPr>
          <w:color w:val="000000" w:themeColor="text1"/>
          <w:szCs w:val="18"/>
          <w:highlight w:val="none"/>
          <w:u w:val="single"/>
          <w:lang w:val="zh-CN"/>
          <w14:textFill>
            <w14:solidFill>
              <w14:schemeClr w14:val="tx1"/>
            </w14:solidFill>
          </w14:textFill>
        </w:rPr>
      </w:pPr>
    </w:p>
    <w:p w14:paraId="36CFC1D4">
      <w:pPr>
        <w:pageBreakBefore w:val="0"/>
        <w:kinsoku/>
        <w:overflowPunct/>
        <w:bidi w:val="0"/>
        <w:spacing w:line="440" w:lineRule="exact"/>
        <w:ind w:firstLine="436"/>
        <w:outlineLvl w:val="9"/>
        <w:rPr>
          <w:rFonts w:hint="eastAsia" w:ascii="宋体" w:hAnsi="宋体"/>
          <w:color w:val="auto"/>
          <w:szCs w:val="21"/>
          <w:highlight w:val="none"/>
        </w:rPr>
      </w:pPr>
      <w:r>
        <w:rPr>
          <w:rFonts w:hint="eastAsia" w:ascii="宋体" w:hAnsi="宋体"/>
          <w:color w:val="auto"/>
          <w:szCs w:val="21"/>
          <w:highlight w:val="none"/>
        </w:rPr>
        <w:t>致:</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采购人</w:t>
      </w:r>
      <w:r>
        <w:rPr>
          <w:rFonts w:hint="eastAsia" w:ascii="宋体" w:hAnsi="宋体"/>
          <w:color w:val="auto"/>
          <w:szCs w:val="21"/>
          <w:highlight w:val="none"/>
        </w:rPr>
        <w:t>名称）：</w:t>
      </w:r>
    </w:p>
    <w:p w14:paraId="1763F429">
      <w:pPr>
        <w:pageBreakBefore w:val="0"/>
        <w:kinsoku/>
        <w:overflowPunct/>
        <w:bidi w:val="0"/>
        <w:spacing w:line="440" w:lineRule="exact"/>
        <w:ind w:firstLine="436"/>
        <w:outlineLvl w:val="9"/>
        <w:rPr>
          <w:rFonts w:hint="eastAsia" w:ascii="宋体" w:hAnsi="宋体"/>
          <w:color w:val="auto"/>
          <w:szCs w:val="21"/>
          <w:highlight w:val="none"/>
        </w:rPr>
      </w:pPr>
      <w:r>
        <w:rPr>
          <w:rFonts w:hint="eastAsia" w:ascii="宋体" w:hAnsi="宋体"/>
          <w:color w:val="auto"/>
          <w:szCs w:val="21"/>
          <w:highlight w:val="none"/>
        </w:rPr>
        <w:t>本保证金是</w:t>
      </w:r>
      <w:r>
        <w:rPr>
          <w:rFonts w:hint="eastAsia" w:ascii="宋体" w:hAnsi="宋体"/>
          <w:color w:val="auto"/>
          <w:szCs w:val="21"/>
          <w:highlight w:val="none"/>
          <w:u w:val="single"/>
        </w:rPr>
        <w:t xml:space="preserve"> (投标方全称)  </w:t>
      </w:r>
      <w:r>
        <w:rPr>
          <w:rFonts w:hint="eastAsia" w:ascii="宋体" w:hAnsi="宋体"/>
          <w:color w:val="auto"/>
          <w:szCs w:val="21"/>
          <w:highlight w:val="none"/>
        </w:rPr>
        <w:t>为参加贵方组织的</w:t>
      </w:r>
      <w:r>
        <w:rPr>
          <w:rFonts w:hint="eastAsia" w:ascii="宋体" w:hAnsi="宋体"/>
          <w:color w:val="auto"/>
          <w:szCs w:val="21"/>
          <w:highlight w:val="none"/>
          <w:u w:val="single"/>
        </w:rPr>
        <w:t xml:space="preserve">               </w:t>
      </w:r>
      <w:r>
        <w:rPr>
          <w:rFonts w:hint="eastAsia" w:ascii="宋体" w:hAnsi="宋体"/>
          <w:color w:val="auto"/>
          <w:szCs w:val="21"/>
          <w:highlight w:val="none"/>
        </w:rPr>
        <w:t>项目(招标编号:</w:t>
      </w:r>
      <w:r>
        <w:rPr>
          <w:rFonts w:hint="eastAsia" w:ascii="宋体" w:hAnsi="宋体"/>
          <w:color w:val="auto"/>
          <w:szCs w:val="21"/>
          <w:highlight w:val="none"/>
          <w:u w:val="single"/>
        </w:rPr>
        <w:t xml:space="preserve">           </w:t>
      </w:r>
      <w:r>
        <w:rPr>
          <w:rFonts w:hint="eastAsia" w:ascii="宋体" w:hAnsi="宋体"/>
          <w:color w:val="auto"/>
          <w:szCs w:val="21"/>
          <w:highlight w:val="none"/>
        </w:rPr>
        <w:t>)招标所提供的担保。</w:t>
      </w:r>
    </w:p>
    <w:p w14:paraId="499CA366">
      <w:pPr>
        <w:pageBreakBefore w:val="0"/>
        <w:kinsoku/>
        <w:overflowPunct/>
        <w:bidi w:val="0"/>
        <w:spacing w:line="440" w:lineRule="exact"/>
        <w:ind w:firstLine="436"/>
        <w:outlineLvl w:val="9"/>
        <w:rPr>
          <w:rFonts w:hint="eastAsia" w:ascii="宋体" w:hAnsi="宋体"/>
          <w:color w:val="auto"/>
          <w:szCs w:val="21"/>
          <w:highlight w:val="none"/>
        </w:rPr>
      </w:pPr>
      <w:r>
        <w:rPr>
          <w:rFonts w:hint="eastAsia" w:ascii="宋体" w:hAnsi="宋体"/>
          <w:color w:val="auto"/>
          <w:szCs w:val="21"/>
          <w:highlight w:val="none"/>
        </w:rPr>
        <w:t>保证金额(大写)</w:t>
      </w:r>
      <w:r>
        <w:rPr>
          <w:rFonts w:hint="eastAsia" w:ascii="宋体" w:hAnsi="宋体"/>
          <w:color w:val="auto"/>
          <w:szCs w:val="21"/>
          <w:highlight w:val="none"/>
          <w:u w:val="single"/>
        </w:rPr>
        <w:t xml:space="preserve">                          </w:t>
      </w:r>
      <w:r>
        <w:rPr>
          <w:rFonts w:hint="eastAsia" w:ascii="宋体" w:hAnsi="宋体"/>
          <w:color w:val="auto"/>
          <w:szCs w:val="21"/>
          <w:highlight w:val="none"/>
        </w:rPr>
        <w:t>元（￥</w:t>
      </w:r>
      <w:r>
        <w:rPr>
          <w:rFonts w:hint="eastAsia" w:ascii="宋体" w:hAnsi="宋体"/>
          <w:color w:val="auto"/>
          <w:szCs w:val="21"/>
          <w:highlight w:val="none"/>
          <w:u w:val="single"/>
        </w:rPr>
        <w:t xml:space="preserve">                 </w:t>
      </w:r>
      <w:r>
        <w:rPr>
          <w:rFonts w:hint="eastAsia" w:ascii="宋体" w:hAnsi="宋体"/>
          <w:color w:val="auto"/>
          <w:szCs w:val="21"/>
          <w:highlight w:val="none"/>
        </w:rPr>
        <w:t>元）。</w:t>
      </w:r>
    </w:p>
    <w:p w14:paraId="726F3DD5">
      <w:pPr>
        <w:pageBreakBefore w:val="0"/>
        <w:kinsoku/>
        <w:overflowPunct/>
        <w:bidi w:val="0"/>
        <w:spacing w:line="440" w:lineRule="exact"/>
        <w:ind w:firstLine="436"/>
        <w:outlineLvl w:val="9"/>
        <w:rPr>
          <w:rFonts w:hint="eastAsia" w:ascii="宋体" w:hAnsi="宋体"/>
          <w:color w:val="auto"/>
          <w:szCs w:val="21"/>
          <w:highlight w:val="none"/>
        </w:rPr>
      </w:pPr>
      <w:r>
        <w:rPr>
          <w:rFonts w:hint="eastAsia" w:ascii="宋体" w:hAnsi="宋体"/>
          <w:color w:val="auto"/>
          <w:szCs w:val="21"/>
          <w:highlight w:val="none"/>
        </w:rPr>
        <w:t>我方一旦有下述任何一种事实发生.即无条件的向贵方支付保证金。</w:t>
      </w:r>
    </w:p>
    <w:p w14:paraId="681089E4">
      <w:pPr>
        <w:pageBreakBefore w:val="0"/>
        <w:kinsoku/>
        <w:overflowPunct/>
        <w:bidi w:val="0"/>
        <w:spacing w:line="360" w:lineRule="auto"/>
        <w:ind w:firstLine="420" w:firstLineChars="200"/>
        <w:outlineLvl w:val="9"/>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供应商</w:t>
      </w:r>
      <w:r>
        <w:rPr>
          <w:rFonts w:hint="eastAsia" w:ascii="宋体" w:hAnsi="宋体"/>
          <w:color w:val="auto"/>
          <w:szCs w:val="21"/>
          <w:highlight w:val="none"/>
        </w:rPr>
        <w:t>在规定的投标有效期内撤回</w:t>
      </w:r>
      <w:r>
        <w:rPr>
          <w:rFonts w:hint="eastAsia" w:ascii="宋体" w:hAnsi="宋体"/>
          <w:color w:val="auto"/>
          <w:szCs w:val="21"/>
          <w:highlight w:val="none"/>
          <w:lang w:eastAsia="zh-CN"/>
        </w:rPr>
        <w:t>响应文件</w:t>
      </w:r>
      <w:r>
        <w:rPr>
          <w:rFonts w:hint="eastAsia" w:ascii="宋体" w:hAnsi="宋体"/>
          <w:color w:val="auto"/>
          <w:szCs w:val="21"/>
          <w:highlight w:val="none"/>
        </w:rPr>
        <w:t>的；</w:t>
      </w:r>
    </w:p>
    <w:p w14:paraId="180D4DA8">
      <w:pPr>
        <w:pageBreakBefore w:val="0"/>
        <w:kinsoku/>
        <w:overflowPunct/>
        <w:bidi w:val="0"/>
        <w:spacing w:line="360" w:lineRule="auto"/>
        <w:ind w:firstLine="420" w:firstLineChars="200"/>
        <w:outlineLvl w:val="9"/>
        <w:rPr>
          <w:rFonts w:hint="eastAsia" w:ascii="宋体" w:hAnsi="宋体"/>
          <w:color w:val="auto"/>
          <w:szCs w:val="21"/>
          <w:highlight w:val="none"/>
        </w:rPr>
      </w:pPr>
      <w:r>
        <w:rPr>
          <w:rFonts w:hint="eastAsia" w:ascii="宋体" w:hAnsi="宋体"/>
          <w:color w:val="auto"/>
          <w:szCs w:val="21"/>
          <w:highlight w:val="none"/>
        </w:rPr>
        <w:t>(2）中标通知书发出后，中标人无故放弃中标项目或无正当理由在规定时间内不与</w:t>
      </w:r>
      <w:r>
        <w:rPr>
          <w:rFonts w:hint="eastAsia" w:ascii="宋体" w:hAnsi="宋体"/>
          <w:color w:val="auto"/>
          <w:szCs w:val="21"/>
          <w:highlight w:val="none"/>
          <w:lang w:eastAsia="zh-CN"/>
        </w:rPr>
        <w:t>采购人</w:t>
      </w:r>
      <w:r>
        <w:rPr>
          <w:rFonts w:hint="eastAsia" w:ascii="宋体" w:hAnsi="宋体"/>
          <w:color w:val="auto"/>
          <w:szCs w:val="21"/>
          <w:highlight w:val="none"/>
        </w:rPr>
        <w:t>签订合同的。</w:t>
      </w:r>
    </w:p>
    <w:p w14:paraId="74A9C49B">
      <w:pPr>
        <w:pageBreakBefore w:val="0"/>
        <w:kinsoku/>
        <w:overflowPunct/>
        <w:bidi w:val="0"/>
        <w:spacing w:line="360" w:lineRule="auto"/>
        <w:ind w:firstLine="315" w:firstLineChars="150"/>
        <w:outlineLvl w:val="9"/>
        <w:rPr>
          <w:rFonts w:hint="eastAsia" w:ascii="宋体" w:hAnsi="宋体"/>
          <w:color w:val="auto"/>
          <w:szCs w:val="21"/>
          <w:highlight w:val="none"/>
        </w:rPr>
      </w:pPr>
      <w:r>
        <w:rPr>
          <w:rFonts w:hint="eastAsia" w:ascii="宋体" w:hAnsi="宋体"/>
          <w:color w:val="auto"/>
          <w:szCs w:val="21"/>
          <w:highlight w:val="none"/>
        </w:rPr>
        <w:t>（3）其他违反法律法规的情况。</w:t>
      </w:r>
    </w:p>
    <w:p w14:paraId="7121558D">
      <w:pPr>
        <w:pageBreakBefore w:val="0"/>
        <w:kinsoku/>
        <w:overflowPunct/>
        <w:bidi w:val="0"/>
        <w:spacing w:line="440" w:lineRule="exact"/>
        <w:ind w:firstLine="436"/>
        <w:outlineLvl w:val="9"/>
        <w:rPr>
          <w:rFonts w:hint="eastAsia" w:ascii="宋体" w:hAnsi="宋体"/>
          <w:color w:val="auto"/>
          <w:szCs w:val="21"/>
          <w:highlight w:val="none"/>
        </w:rPr>
      </w:pPr>
      <w:r>
        <w:rPr>
          <w:rFonts w:hint="eastAsia" w:ascii="宋体" w:hAnsi="宋体"/>
          <w:color w:val="auto"/>
          <w:szCs w:val="21"/>
          <w:highlight w:val="none"/>
        </w:rPr>
        <w:t>在此附</w:t>
      </w:r>
      <w:r>
        <w:rPr>
          <w:rFonts w:hint="eastAsia" w:ascii="宋体" w:hAnsi="宋体"/>
          <w:color w:val="auto"/>
          <w:szCs w:val="21"/>
          <w:highlight w:val="none"/>
          <w:lang w:eastAsia="zh-CN"/>
        </w:rPr>
        <w:t>磋商保证金</w:t>
      </w:r>
      <w:r>
        <w:rPr>
          <w:rFonts w:hint="eastAsia" w:ascii="宋体" w:hAnsi="宋体"/>
          <w:color w:val="auto"/>
          <w:szCs w:val="21"/>
          <w:highlight w:val="none"/>
        </w:rPr>
        <w:t>收据或转账凭证、保函复印件。</w:t>
      </w:r>
    </w:p>
    <w:p w14:paraId="3AD823F6">
      <w:pPr>
        <w:pageBreakBefore w:val="0"/>
        <w:kinsoku/>
        <w:overflowPunct/>
        <w:bidi w:val="0"/>
        <w:spacing w:line="360" w:lineRule="auto"/>
        <w:ind w:firstLine="630" w:firstLineChars="300"/>
        <w:outlineLvl w:val="9"/>
        <w:rPr>
          <w:rFonts w:hint="eastAsia" w:ascii="宋体" w:hAnsi="宋体"/>
          <w:color w:val="auto"/>
          <w:szCs w:val="21"/>
          <w:highlight w:val="none"/>
        </w:rPr>
      </w:pPr>
      <w:r>
        <w:rPr>
          <w:rFonts w:hint="eastAsia"/>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1137285</wp:posOffset>
                </wp:positionH>
                <wp:positionV relativeFrom="paragraph">
                  <wp:posOffset>140970</wp:posOffset>
                </wp:positionV>
                <wp:extent cx="2847975" cy="1314450"/>
                <wp:effectExtent l="5080" t="4445" r="4445" b="14605"/>
                <wp:wrapNone/>
                <wp:docPr id="1" name="文本框 1"/>
                <wp:cNvGraphicFramePr/>
                <a:graphic xmlns:a="http://schemas.openxmlformats.org/drawingml/2006/main">
                  <a:graphicData uri="http://schemas.microsoft.com/office/word/2010/wordprocessingShape">
                    <wps:wsp>
                      <wps:cNvSpPr txBox="1"/>
                      <wps:spPr>
                        <a:xfrm>
                          <a:off x="0" y="0"/>
                          <a:ext cx="2847975" cy="131445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C3308CD">
                            <w:pPr>
                              <w:jc w:val="center"/>
                              <w:rPr>
                                <w:rFonts w:ascii="黑体" w:eastAsia="黑体"/>
                                <w:sz w:val="32"/>
                                <w:szCs w:val="32"/>
                              </w:rPr>
                            </w:pPr>
                          </w:p>
                          <w:p w14:paraId="353813D4">
                            <w:pPr>
                              <w:jc w:val="center"/>
                              <w:rPr>
                                <w:rFonts w:hint="eastAsia" w:ascii="黑体" w:eastAsia="黑体"/>
                                <w:sz w:val="32"/>
                                <w:szCs w:val="32"/>
                              </w:rPr>
                            </w:pPr>
                            <w:r>
                              <w:rPr>
                                <w:rFonts w:hint="eastAsia" w:hAnsi="宋体"/>
                                <w:szCs w:val="21"/>
                                <w:lang w:eastAsia="zh-CN"/>
                              </w:rPr>
                              <w:t>磋商保证金</w:t>
                            </w:r>
                            <w:r>
                              <w:rPr>
                                <w:rFonts w:hint="eastAsia" w:hAnsi="宋体"/>
                                <w:szCs w:val="21"/>
                              </w:rPr>
                              <w:t>转账凭证、保函复印件</w:t>
                            </w:r>
                          </w:p>
                        </w:txbxContent>
                      </wps:txbx>
                      <wps:bodyPr upright="1"/>
                    </wps:wsp>
                  </a:graphicData>
                </a:graphic>
              </wp:anchor>
            </w:drawing>
          </mc:Choice>
          <mc:Fallback>
            <w:pict>
              <v:shape id="_x0000_s1026" o:spid="_x0000_s1026" o:spt="202" type="#_x0000_t202" style="position:absolute;left:0pt;margin-left:89.55pt;margin-top:11.1pt;height:103.5pt;width:224.25pt;z-index:251660288;mso-width-relative:page;mso-height-relative:page;" fillcolor="#FFFFFF" filled="t" stroked="t" coordsize="21600,21600" o:gfxdata="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jd1/w9gAAAAKAQAADwAAAAAAAAABACAA&#10;AAAiAAAAZHJzL2Rvd25yZXYueG1sUEsBAhQAFAAAAAgAh07iQMIleecNAgAANwQAAA4AAAAAAAAA&#10;AQAgAAAAJwEAAGRycy9lMm9Eb2MueG1sUEsFBgAAAAAGAAYAWQEAAKYFAAAAAA==&#10;">
                <v:fill on="t" focussize="0,0"/>
                <v:stroke color="#000000" joinstyle="miter"/>
                <v:imagedata o:title=""/>
                <o:lock v:ext="edit" aspectratio="f"/>
                <v:textbox>
                  <w:txbxContent>
                    <w:p w14:paraId="3C3308CD">
                      <w:pPr>
                        <w:jc w:val="center"/>
                        <w:rPr>
                          <w:rFonts w:ascii="黑体" w:eastAsia="黑体"/>
                          <w:sz w:val="32"/>
                          <w:szCs w:val="32"/>
                        </w:rPr>
                      </w:pPr>
                    </w:p>
                    <w:p w14:paraId="353813D4">
                      <w:pPr>
                        <w:jc w:val="center"/>
                        <w:rPr>
                          <w:rFonts w:hint="eastAsia" w:ascii="黑体" w:eastAsia="黑体"/>
                          <w:sz w:val="32"/>
                          <w:szCs w:val="32"/>
                        </w:rPr>
                      </w:pPr>
                      <w:r>
                        <w:rPr>
                          <w:rFonts w:hint="eastAsia" w:hAnsi="宋体"/>
                          <w:szCs w:val="21"/>
                          <w:lang w:eastAsia="zh-CN"/>
                        </w:rPr>
                        <w:t>磋商保证金</w:t>
                      </w:r>
                      <w:r>
                        <w:rPr>
                          <w:rFonts w:hint="eastAsia" w:hAnsi="宋体"/>
                          <w:szCs w:val="21"/>
                        </w:rPr>
                        <w:t>转账凭证、保函复印件</w:t>
                      </w:r>
                    </w:p>
                  </w:txbxContent>
                </v:textbox>
              </v:shape>
            </w:pict>
          </mc:Fallback>
        </mc:AlternateContent>
      </w:r>
    </w:p>
    <w:p w14:paraId="54DCC804">
      <w:pPr>
        <w:pageBreakBefore w:val="0"/>
        <w:kinsoku/>
        <w:overflowPunct/>
        <w:bidi w:val="0"/>
        <w:spacing w:line="360" w:lineRule="auto"/>
        <w:ind w:firstLine="630" w:firstLineChars="300"/>
        <w:outlineLvl w:val="9"/>
        <w:rPr>
          <w:rFonts w:hint="eastAsia" w:ascii="宋体" w:hAnsi="宋体"/>
          <w:color w:val="auto"/>
          <w:szCs w:val="21"/>
          <w:highlight w:val="none"/>
        </w:rPr>
      </w:pPr>
    </w:p>
    <w:p w14:paraId="75841AE0">
      <w:pPr>
        <w:pageBreakBefore w:val="0"/>
        <w:kinsoku/>
        <w:overflowPunct/>
        <w:bidi w:val="0"/>
        <w:spacing w:line="360" w:lineRule="auto"/>
        <w:ind w:firstLine="630" w:firstLineChars="300"/>
        <w:outlineLvl w:val="9"/>
        <w:rPr>
          <w:rFonts w:hint="eastAsia" w:ascii="宋体" w:hAnsi="宋体"/>
          <w:color w:val="auto"/>
          <w:szCs w:val="21"/>
          <w:highlight w:val="none"/>
        </w:rPr>
      </w:pPr>
    </w:p>
    <w:p w14:paraId="564C1998">
      <w:pPr>
        <w:pageBreakBefore w:val="0"/>
        <w:kinsoku/>
        <w:overflowPunct/>
        <w:bidi w:val="0"/>
        <w:spacing w:line="440" w:lineRule="exact"/>
        <w:ind w:firstLine="436"/>
        <w:outlineLvl w:val="9"/>
        <w:rPr>
          <w:rFonts w:hint="eastAsia" w:ascii="宋体" w:hAnsi="宋体"/>
          <w:color w:val="auto"/>
          <w:szCs w:val="21"/>
          <w:highlight w:val="none"/>
        </w:rPr>
      </w:pPr>
    </w:p>
    <w:p w14:paraId="30CE1B4C">
      <w:pPr>
        <w:pageBreakBefore w:val="0"/>
        <w:kinsoku/>
        <w:overflowPunct/>
        <w:bidi w:val="0"/>
        <w:spacing w:line="440" w:lineRule="exact"/>
        <w:ind w:firstLine="525" w:firstLineChars="250"/>
        <w:outlineLvl w:val="9"/>
        <w:rPr>
          <w:rFonts w:hint="eastAsia" w:ascii="宋体" w:hAnsi="宋体"/>
          <w:color w:val="auto"/>
          <w:szCs w:val="21"/>
          <w:highlight w:val="none"/>
        </w:rPr>
      </w:pPr>
    </w:p>
    <w:p w14:paraId="3AB31070">
      <w:pPr>
        <w:pageBreakBefore w:val="0"/>
        <w:kinsoku/>
        <w:overflowPunct/>
        <w:bidi w:val="0"/>
        <w:spacing w:line="440" w:lineRule="exact"/>
        <w:ind w:firstLine="525" w:firstLineChars="250"/>
        <w:outlineLvl w:val="9"/>
        <w:rPr>
          <w:rFonts w:hint="eastAsia" w:ascii="宋体" w:hAnsi="宋体"/>
          <w:color w:val="auto"/>
          <w:szCs w:val="21"/>
          <w:highlight w:val="none"/>
        </w:rPr>
      </w:pPr>
    </w:p>
    <w:p w14:paraId="0584AC61">
      <w:pPr>
        <w:pageBreakBefore w:val="0"/>
        <w:kinsoku/>
        <w:overflowPunct/>
        <w:bidi w:val="0"/>
        <w:spacing w:line="440" w:lineRule="exact"/>
        <w:ind w:firstLine="436"/>
        <w:outlineLvl w:val="9"/>
        <w:rPr>
          <w:rFonts w:hint="eastAsia" w:ascii="宋体" w:hAnsi="宋体"/>
          <w:color w:val="auto"/>
          <w:szCs w:val="21"/>
          <w:highlight w:val="none"/>
        </w:rPr>
      </w:pPr>
    </w:p>
    <w:p w14:paraId="56C3E95E">
      <w:pPr>
        <w:pStyle w:val="31"/>
        <w:rPr>
          <w:rFonts w:hint="eastAsia" w:ascii="宋体" w:hAnsi="宋体"/>
          <w:color w:val="auto"/>
          <w:szCs w:val="21"/>
          <w:highlight w:val="none"/>
        </w:rPr>
      </w:pPr>
    </w:p>
    <w:p w14:paraId="4345A438">
      <w:pPr>
        <w:pStyle w:val="31"/>
        <w:rPr>
          <w:rFonts w:hint="eastAsia" w:ascii="宋体" w:hAnsi="宋体"/>
          <w:color w:val="auto"/>
          <w:szCs w:val="21"/>
          <w:highlight w:val="none"/>
        </w:rPr>
      </w:pPr>
    </w:p>
    <w:p w14:paraId="7F7A9004">
      <w:pPr>
        <w:pageBreakBefore w:val="0"/>
        <w:kinsoku/>
        <w:overflowPunct/>
        <w:bidi w:val="0"/>
        <w:spacing w:line="480" w:lineRule="auto"/>
        <w:ind w:firstLine="4410" w:firstLineChars="2100"/>
        <w:outlineLvl w:val="9"/>
        <w:rPr>
          <w:rFonts w:hint="eastAsia" w:ascii="宋体" w:hAnsi="宋体"/>
          <w:color w:val="auto"/>
          <w:szCs w:val="21"/>
          <w:highlight w:val="none"/>
        </w:rPr>
      </w:pPr>
      <w:r>
        <w:rPr>
          <w:rFonts w:hint="eastAsia" w:ascii="宋体" w:hAnsi="宋体"/>
          <w:color w:val="auto"/>
          <w:szCs w:val="21"/>
          <w:highlight w:val="none"/>
          <w:lang w:eastAsia="zh-CN"/>
        </w:rPr>
        <w:t>供应商</w:t>
      </w:r>
      <w:r>
        <w:rPr>
          <w:rFonts w:hint="eastAsia" w:ascii="宋体" w:hAnsi="宋体"/>
          <w:color w:val="auto"/>
          <w:szCs w:val="21"/>
          <w:highlight w:val="none"/>
        </w:rPr>
        <w:t>名称：</w:t>
      </w:r>
      <w:r>
        <w:rPr>
          <w:rFonts w:hint="eastAsia" w:ascii="宋体" w:hAnsi="宋体"/>
          <w:color w:val="auto"/>
          <w:szCs w:val="21"/>
          <w:highlight w:val="none"/>
          <w:u w:val="single"/>
        </w:rPr>
        <w:t xml:space="preserve">                    </w:t>
      </w:r>
      <w:r>
        <w:rPr>
          <w:rFonts w:hint="eastAsia" w:ascii="宋体" w:hAnsi="宋体"/>
          <w:color w:val="auto"/>
          <w:szCs w:val="21"/>
          <w:highlight w:val="none"/>
        </w:rPr>
        <w:t>（盖单位章）</w:t>
      </w:r>
    </w:p>
    <w:p w14:paraId="5323CB08">
      <w:pPr>
        <w:pageBreakBefore w:val="0"/>
        <w:kinsoku/>
        <w:overflowPunct/>
        <w:bidi w:val="0"/>
        <w:spacing w:line="480" w:lineRule="auto"/>
        <w:ind w:firstLine="4410" w:firstLineChars="2100"/>
        <w:outlineLvl w:val="9"/>
        <w:rPr>
          <w:rFonts w:hint="eastAsia" w:ascii="宋体" w:hAnsi="宋体"/>
          <w:color w:val="auto"/>
          <w:szCs w:val="21"/>
          <w:highlight w:val="none"/>
        </w:rPr>
      </w:pPr>
      <w:r>
        <w:rPr>
          <w:rFonts w:hint="eastAsia" w:ascii="宋体" w:hAnsi="宋体"/>
          <w:color w:val="auto"/>
          <w:szCs w:val="21"/>
          <w:highlight w:val="none"/>
        </w:rPr>
        <w:t>法定代表人或其委托代理人：</w:t>
      </w:r>
      <w:r>
        <w:rPr>
          <w:rFonts w:hint="eastAsia" w:ascii="宋体" w:hAnsi="宋体"/>
          <w:color w:val="auto"/>
          <w:szCs w:val="21"/>
          <w:highlight w:val="none"/>
          <w:u w:val="single"/>
        </w:rPr>
        <w:t xml:space="preserve">       </w:t>
      </w:r>
      <w:r>
        <w:rPr>
          <w:rFonts w:hint="eastAsia" w:ascii="宋体" w:hAnsi="宋体"/>
          <w:color w:val="auto"/>
          <w:szCs w:val="21"/>
          <w:highlight w:val="none"/>
        </w:rPr>
        <w:t>（签字</w:t>
      </w:r>
      <w:r>
        <w:rPr>
          <w:rFonts w:hint="eastAsia" w:ascii="宋体" w:hAnsi="宋体"/>
          <w:color w:val="auto"/>
          <w:szCs w:val="21"/>
          <w:highlight w:val="none"/>
          <w:lang w:eastAsia="zh-CN"/>
        </w:rPr>
        <w:t>或</w:t>
      </w:r>
      <w:r>
        <w:rPr>
          <w:rFonts w:hint="eastAsia" w:ascii="宋体" w:hAnsi="宋体"/>
          <w:color w:val="auto"/>
          <w:szCs w:val="21"/>
          <w:highlight w:val="none"/>
        </w:rPr>
        <w:t>盖章）</w:t>
      </w:r>
    </w:p>
    <w:p w14:paraId="3E2AB1F3">
      <w:pPr>
        <w:pageBreakBefore w:val="0"/>
        <w:kinsoku/>
        <w:overflowPunct/>
        <w:bidi w:val="0"/>
        <w:spacing w:line="480" w:lineRule="auto"/>
        <w:ind w:firstLine="4410" w:firstLineChars="2100"/>
        <w:outlineLvl w:val="9"/>
        <w:rPr>
          <w:rFonts w:hint="eastAsia" w:ascii="宋体" w:hAnsi="宋体"/>
          <w:color w:val="auto"/>
          <w:szCs w:val="21"/>
          <w:highlight w:val="none"/>
        </w:rPr>
      </w:pPr>
      <w:r>
        <w:rPr>
          <w:rFonts w:hint="eastAsia" w:ascii="宋体" w:hAnsi="宋体"/>
          <w:color w:val="auto"/>
          <w:szCs w:val="21"/>
          <w:highlight w:val="none"/>
        </w:rPr>
        <w:t>地址：</w:t>
      </w:r>
      <w:r>
        <w:rPr>
          <w:rFonts w:hint="eastAsia" w:ascii="宋体" w:hAnsi="宋体"/>
          <w:color w:val="auto"/>
          <w:szCs w:val="21"/>
          <w:highlight w:val="none"/>
          <w:u w:val="single"/>
        </w:rPr>
        <w:t xml:space="preserve">                           </w:t>
      </w:r>
    </w:p>
    <w:p w14:paraId="523AAD1B">
      <w:pPr>
        <w:pageBreakBefore w:val="0"/>
        <w:kinsoku/>
        <w:overflowPunct/>
        <w:bidi w:val="0"/>
        <w:spacing w:line="480" w:lineRule="auto"/>
        <w:ind w:firstLine="4410" w:firstLineChars="2100"/>
        <w:outlineLvl w:val="9"/>
        <w:rPr>
          <w:rFonts w:hint="eastAsia" w:ascii="宋体" w:hAnsi="宋体"/>
          <w:color w:val="auto"/>
          <w:szCs w:val="21"/>
          <w:highlight w:val="none"/>
        </w:rPr>
      </w:pPr>
      <w:r>
        <w:rPr>
          <w:rFonts w:hint="eastAsia" w:ascii="宋体" w:hAnsi="宋体"/>
          <w:color w:val="auto"/>
          <w:szCs w:val="21"/>
          <w:highlight w:val="none"/>
        </w:rPr>
        <w:t>邮政编码：</w:t>
      </w:r>
      <w:r>
        <w:rPr>
          <w:rFonts w:hint="eastAsia" w:ascii="宋体" w:hAnsi="宋体"/>
          <w:color w:val="auto"/>
          <w:szCs w:val="21"/>
          <w:highlight w:val="none"/>
          <w:u w:val="single"/>
        </w:rPr>
        <w:t xml:space="preserve">                        </w:t>
      </w:r>
    </w:p>
    <w:p w14:paraId="5C5BDEB7">
      <w:pPr>
        <w:pageBreakBefore w:val="0"/>
        <w:kinsoku/>
        <w:overflowPunct/>
        <w:bidi w:val="0"/>
        <w:spacing w:line="480" w:lineRule="auto"/>
        <w:ind w:firstLine="4410" w:firstLineChars="2100"/>
        <w:outlineLvl w:val="9"/>
        <w:rPr>
          <w:rFonts w:hint="eastAsia"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p>
    <w:p w14:paraId="6372A60A">
      <w:pPr>
        <w:pageBreakBefore w:val="0"/>
        <w:kinsoku/>
        <w:overflowPunct/>
        <w:bidi w:val="0"/>
        <w:spacing w:line="480" w:lineRule="auto"/>
        <w:ind w:firstLine="4410" w:firstLineChars="2100"/>
        <w:outlineLvl w:val="9"/>
        <w:rPr>
          <w:rFonts w:hint="eastAsia" w:ascii="宋体" w:hAnsi="宋体"/>
          <w:color w:val="auto"/>
          <w:szCs w:val="21"/>
          <w:highlight w:val="none"/>
          <w:u w:val="single"/>
        </w:rPr>
      </w:pPr>
      <w:r>
        <w:rPr>
          <w:rFonts w:hint="eastAsia" w:ascii="宋体" w:hAnsi="宋体"/>
          <w:color w:val="auto"/>
          <w:szCs w:val="21"/>
          <w:highlight w:val="none"/>
        </w:rPr>
        <w:t>传真：</w:t>
      </w:r>
      <w:r>
        <w:rPr>
          <w:rFonts w:hint="eastAsia" w:ascii="宋体" w:hAnsi="宋体"/>
          <w:color w:val="auto"/>
          <w:szCs w:val="21"/>
          <w:highlight w:val="none"/>
          <w:u w:val="single"/>
        </w:rPr>
        <w:t xml:space="preserve">                             </w:t>
      </w:r>
    </w:p>
    <w:p w14:paraId="7053436D">
      <w:pPr>
        <w:pageBreakBefore w:val="0"/>
        <w:kinsoku/>
        <w:overflowPunct/>
        <w:bidi w:val="0"/>
        <w:spacing w:line="480" w:lineRule="auto"/>
        <w:ind w:firstLine="6930" w:firstLineChars="3300"/>
        <w:outlineLvl w:val="9"/>
        <w:rPr>
          <w:rFonts w:hint="eastAsia" w:ascii="宋体" w:hAnsi="宋体"/>
          <w:color w:val="auto"/>
          <w:szCs w:val="21"/>
          <w:highlight w:val="none"/>
        </w:rPr>
      </w:pP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08E7B6EF">
      <w:pPr>
        <w:overflowPunct/>
        <w:bidi w:val="0"/>
        <w:ind w:right="108"/>
        <w:jc w:val="center"/>
        <w:outlineLvl w:val="9"/>
        <w:rPr>
          <w:color w:val="000000" w:themeColor="text1"/>
          <w:sz w:val="32"/>
          <w:szCs w:val="32"/>
          <w:highlight w:val="none"/>
          <w14:textFill>
            <w14:solidFill>
              <w14:schemeClr w14:val="tx1"/>
            </w14:solidFill>
          </w14:textFill>
        </w:rPr>
      </w:pPr>
      <w:r>
        <w:rPr>
          <w:b/>
          <w:color w:val="000000" w:themeColor="text1"/>
          <w:sz w:val="32"/>
          <w:szCs w:val="32"/>
          <w:highlight w:val="none"/>
          <w14:textFill>
            <w14:solidFill>
              <w14:schemeClr w14:val="tx1"/>
            </w14:solidFill>
          </w14:textFill>
        </w:rPr>
        <w:br w:type="page"/>
      </w:r>
      <w:bookmarkEnd w:id="59"/>
      <w:bookmarkEnd w:id="60"/>
      <w:r>
        <w:rPr>
          <w:rFonts w:hint="eastAsia"/>
          <w:b/>
          <w:bCs/>
          <w:color w:val="000000" w:themeColor="text1"/>
          <w:sz w:val="32"/>
          <w:szCs w:val="32"/>
          <w:highlight w:val="none"/>
          <w:lang w:val="en-US" w:eastAsia="zh-CN"/>
          <w14:textFill>
            <w14:solidFill>
              <w14:schemeClr w14:val="tx1"/>
            </w14:solidFill>
          </w14:textFill>
        </w:rPr>
        <w:t>六</w:t>
      </w:r>
      <w:r>
        <w:rPr>
          <w:b/>
          <w:bCs/>
          <w:color w:val="000000" w:themeColor="text1"/>
          <w:sz w:val="32"/>
          <w:szCs w:val="32"/>
          <w:highlight w:val="none"/>
          <w14:textFill>
            <w14:solidFill>
              <w14:schemeClr w14:val="tx1"/>
            </w14:solidFill>
          </w14:textFill>
        </w:rPr>
        <w:t>、</w:t>
      </w:r>
      <w:bookmarkStart w:id="61" w:name="_Toc179632827"/>
      <w:bookmarkStart w:id="62" w:name="_Toc144974875"/>
      <w:bookmarkStart w:id="63" w:name="_Toc246996372"/>
      <w:bookmarkStart w:id="64" w:name="_Toc152045807"/>
      <w:bookmarkStart w:id="65" w:name="_Toc397416082"/>
      <w:bookmarkStart w:id="66" w:name="_Toc404237840"/>
      <w:bookmarkStart w:id="67" w:name="_Toc493241658"/>
      <w:bookmarkStart w:id="68" w:name="_Toc246997115"/>
      <w:bookmarkStart w:id="69" w:name="_Toc152042596"/>
      <w:bookmarkStart w:id="70" w:name="_Toc404237750"/>
      <w:bookmarkStart w:id="71" w:name="_Toc247085890"/>
      <w:r>
        <w:rPr>
          <w:b/>
          <w:bCs/>
          <w:color w:val="000000" w:themeColor="text1"/>
          <w:sz w:val="32"/>
          <w:szCs w:val="32"/>
          <w:highlight w:val="none"/>
          <w14:textFill>
            <w14:solidFill>
              <w14:schemeClr w14:val="tx1"/>
            </w14:solidFill>
          </w14:textFill>
        </w:rPr>
        <w:t>资格审查资料</w:t>
      </w:r>
      <w:bookmarkEnd w:id="61"/>
      <w:bookmarkEnd w:id="62"/>
      <w:bookmarkEnd w:id="63"/>
      <w:bookmarkEnd w:id="64"/>
      <w:bookmarkEnd w:id="65"/>
      <w:bookmarkEnd w:id="66"/>
      <w:bookmarkEnd w:id="67"/>
      <w:bookmarkEnd w:id="68"/>
      <w:bookmarkEnd w:id="69"/>
      <w:bookmarkEnd w:id="70"/>
      <w:bookmarkEnd w:id="71"/>
    </w:p>
    <w:p w14:paraId="3C99018B">
      <w:pPr>
        <w:overflowPunct/>
        <w:bidi w:val="0"/>
        <w:outlineLvl w:val="9"/>
        <w:rPr>
          <w:rFonts w:hint="eastAsia" w:ascii="宋体" w:hAnsi="宋体" w:cs="宋体"/>
          <w:color w:val="000000" w:themeColor="text1"/>
          <w:highlight w:val="none"/>
          <w14:textFill>
            <w14:solidFill>
              <w14:schemeClr w14:val="tx1"/>
            </w14:solidFill>
          </w14:textFill>
        </w:rPr>
      </w:pPr>
      <w:bookmarkStart w:id="72" w:name="_Toc266605566"/>
      <w:bookmarkStart w:id="73" w:name="_Toc201719206"/>
    </w:p>
    <w:p w14:paraId="6420A999">
      <w:pPr>
        <w:overflowPunct/>
        <w:bidi w:val="0"/>
        <w:jc w:val="center"/>
        <w:outlineLvl w:val="9"/>
        <w:rPr>
          <w:rFonts w:hint="eastAsia"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营业执照</w:t>
      </w:r>
    </w:p>
    <w:p w14:paraId="1B03A9D5">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（副本复印件加盖本单位公章）</w:t>
      </w:r>
    </w:p>
    <w:p w14:paraId="41EB90E9">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F2F40FD">
      <w:pPr>
        <w:overflowPunct/>
        <w:bidi w:val="0"/>
        <w:adjustRightInd w:val="0"/>
        <w:snapToGrid w:val="0"/>
        <w:spacing w:line="300" w:lineRule="auto"/>
        <w:jc w:val="both"/>
        <w:outlineLvl w:val="9"/>
        <w:rPr>
          <w:rFonts w:hint="eastAsia" w:ascii="宋体" w:hAnsi="宋体" w:cs="宋体"/>
          <w:bCs/>
          <w:color w:val="000000" w:themeColor="text1"/>
          <w:sz w:val="20"/>
          <w:highlight w:val="none"/>
          <w14:textFill>
            <w14:solidFill>
              <w14:schemeClr w14:val="tx1"/>
            </w14:solidFill>
          </w14:textFill>
        </w:rPr>
      </w:pPr>
    </w:p>
    <w:p w14:paraId="2C5D7C9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00AFDD8">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740D0BD">
      <w:pPr>
        <w:overflowPunct/>
        <w:bidi w:val="0"/>
        <w:adjustRightInd w:val="0"/>
        <w:snapToGrid w:val="0"/>
        <w:spacing w:line="300" w:lineRule="auto"/>
        <w:jc w:val="center"/>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开户许可证或开户证明</w:t>
      </w:r>
      <w:r>
        <w:rPr>
          <w:rFonts w:hint="eastAsia" w:ascii="宋体" w:hAnsi="宋体" w:cs="宋体"/>
          <w:b/>
          <w:color w:val="000000" w:themeColor="text1"/>
          <w:sz w:val="28"/>
          <w:szCs w:val="28"/>
          <w:highlight w:val="none"/>
          <w:lang w:val="en-US" w:eastAsia="zh-CN"/>
          <w14:textFill>
            <w14:solidFill>
              <w14:schemeClr w14:val="tx1"/>
            </w14:solidFill>
          </w14:textFill>
        </w:rPr>
        <w:t>材料</w:t>
      </w:r>
    </w:p>
    <w:p w14:paraId="4B3CF5A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（复印件加盖本单位公章）</w:t>
      </w:r>
    </w:p>
    <w:p w14:paraId="674E133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08DE9B8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45940B0D">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12D15A79">
      <w:pPr>
        <w:overflowPunct/>
        <w:bidi w:val="0"/>
        <w:adjustRightInd w:val="0"/>
        <w:snapToGrid w:val="0"/>
        <w:spacing w:line="300" w:lineRule="auto"/>
        <w:jc w:val="center"/>
        <w:outlineLvl w:val="9"/>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lang w:eastAsia="zh-CN"/>
          <w14:textFill>
            <w14:solidFill>
              <w14:schemeClr w14:val="tx1"/>
            </w14:solidFill>
          </w14:textFill>
        </w:rPr>
        <w:t>资格证明</w:t>
      </w:r>
    </w:p>
    <w:p w14:paraId="69A33B6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r>
        <w:rPr>
          <w:rFonts w:hint="eastAsia" w:ascii="宋体" w:hAnsi="宋体" w:cs="宋体"/>
          <w:bCs/>
          <w:color w:val="000000" w:themeColor="text1"/>
          <w:sz w:val="20"/>
          <w:highlight w:val="none"/>
          <w14:textFill>
            <w14:solidFill>
              <w14:schemeClr w14:val="tx1"/>
            </w14:solidFill>
          </w14:textFill>
        </w:rPr>
        <w:t>（复印件加盖本单位公章）</w:t>
      </w:r>
    </w:p>
    <w:p w14:paraId="76372C75">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403CD137">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78D6669C">
      <w:pPr>
        <w:overflowPunct/>
        <w:bidi w:val="0"/>
        <w:adjustRightInd w:val="0"/>
        <w:snapToGrid w:val="0"/>
        <w:spacing w:line="300" w:lineRule="auto"/>
        <w:jc w:val="center"/>
        <w:outlineLvl w:val="9"/>
        <w:rPr>
          <w:rFonts w:hint="eastAsia" w:ascii="宋体" w:hAnsi="宋体" w:cs="宋体"/>
          <w:bCs/>
          <w:color w:val="000000" w:themeColor="text1"/>
          <w:sz w:val="20"/>
          <w:highlight w:val="none"/>
          <w:lang w:eastAsia="zh-CN"/>
          <w14:textFill>
            <w14:solidFill>
              <w14:schemeClr w14:val="tx1"/>
            </w14:solidFill>
          </w14:textFill>
        </w:rPr>
      </w:pPr>
    </w:p>
    <w:p w14:paraId="7F8154A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71B3768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CBE23C7">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3E915616">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08F2092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6B117340">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pPr>
    </w:p>
    <w:p w14:paraId="75D24984">
      <w:pPr>
        <w:overflowPunct/>
        <w:bidi w:val="0"/>
        <w:adjustRightInd w:val="0"/>
        <w:snapToGrid w:val="0"/>
        <w:spacing w:line="300" w:lineRule="auto"/>
        <w:jc w:val="center"/>
        <w:outlineLvl w:val="9"/>
        <w:rPr>
          <w:rFonts w:hint="eastAsia" w:ascii="宋体" w:hAnsi="宋体" w:cs="宋体"/>
          <w:bCs/>
          <w:color w:val="000000" w:themeColor="text1"/>
          <w:sz w:val="20"/>
          <w:highlight w:val="none"/>
          <w14:textFill>
            <w14:solidFill>
              <w14:schemeClr w14:val="tx1"/>
            </w14:solidFill>
          </w14:textFill>
        </w:rPr>
        <w:sectPr>
          <w:footerReference r:id="rId10" w:type="default"/>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pPr>
    </w:p>
    <w:p w14:paraId="3D715A38">
      <w:pPr>
        <w:overflowPunct/>
        <w:bidi w:val="0"/>
        <w:spacing w:line="363" w:lineRule="exact"/>
        <w:ind w:left="217" w:right="175"/>
        <w:jc w:val="center"/>
        <w:outlineLvl w:val="9"/>
        <w:rPr>
          <w:rFonts w:hint="eastAsia" w:ascii="宋体" w:hAnsi="宋体" w:cs="宋体"/>
          <w:b/>
          <w:bCs/>
          <w:color w:val="000000" w:themeColor="text1"/>
          <w:sz w:val="22"/>
          <w:szCs w:val="28"/>
          <w:highlight w:val="none"/>
          <w:lang w:eastAsia="zh-CN"/>
          <w14:textFill>
            <w14:solidFill>
              <w14:schemeClr w14:val="tx1"/>
            </w14:solidFill>
          </w14:textFill>
        </w:rPr>
      </w:pPr>
      <w:r>
        <w:rPr>
          <w:rFonts w:hint="eastAsia" w:ascii="宋体" w:hAnsi="宋体" w:cs="宋体"/>
          <w:b/>
          <w:bCs/>
          <w:color w:val="000000" w:themeColor="text1"/>
          <w:sz w:val="22"/>
          <w:szCs w:val="28"/>
          <w:highlight w:val="none"/>
          <w:lang w:eastAsia="zh-CN"/>
          <w14:textFill>
            <w14:solidFill>
              <w14:schemeClr w14:val="tx1"/>
            </w14:solidFill>
          </w14:textFill>
        </w:rPr>
        <w:t>资格条件承诺函</w:t>
      </w:r>
    </w:p>
    <w:p w14:paraId="03B225CE">
      <w:pPr>
        <w:overflowPunct/>
        <w:bidi w:val="0"/>
        <w:spacing w:line="363" w:lineRule="exact"/>
        <w:ind w:left="217" w:right="175"/>
        <w:jc w:val="center"/>
        <w:outlineLvl w:val="9"/>
        <w:rPr>
          <w:rFonts w:hint="default" w:ascii="宋体" w:hAnsi="宋体" w:cs="宋体"/>
          <w:b/>
          <w:bCs/>
          <w:color w:val="000000" w:themeColor="text1"/>
          <w:highlight w:val="none"/>
          <w:lang w:val="en-US" w:eastAsia="zh-CN"/>
          <w14:textFill>
            <w14:solidFill>
              <w14:schemeClr w14:val="tx1"/>
            </w14:solidFill>
          </w14:textFill>
        </w:rPr>
      </w:pPr>
    </w:p>
    <w:p w14:paraId="6CB34028">
      <w:pPr>
        <w:keepNext/>
        <w:keepLines/>
        <w:pageBreakBefore w:val="0"/>
        <w:widowControl w:val="0"/>
        <w:kinsoku/>
        <w:wordWrap/>
        <w:overflowPunct/>
        <w:topLinePunct w:val="0"/>
        <w:autoSpaceDE/>
        <w:autoSpaceDN/>
        <w:bidi w:val="0"/>
        <w:adjustRightInd w:val="0"/>
        <w:snapToGrid w:val="0"/>
        <w:spacing w:before="0" w:after="0" w:line="360" w:lineRule="auto"/>
        <w:jc w:val="left"/>
        <w:textAlignment w:val="auto"/>
        <w:outlineLvl w:val="9"/>
        <w:rPr>
          <w:rFonts w:hint="eastAsia" w:ascii="宋体" w:hAnsi="宋体" w:eastAsia="宋体" w:cs="宋体"/>
          <w:b w:val="0"/>
          <w:bCs w:val="0"/>
          <w:color w:val="000000" w:themeColor="text1"/>
          <w:sz w:val="21"/>
          <w:szCs w:val="21"/>
          <w:highlight w:val="none"/>
          <w:lang w:eastAsia="zh-CN"/>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致：</w:t>
      </w:r>
      <w:r>
        <w:rPr>
          <w:rFonts w:hint="eastAsia" w:ascii="宋体" w:hAnsi="宋体" w:cs="宋体"/>
          <w:b w:val="0"/>
          <w:bCs w:val="0"/>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1"/>
          <w:szCs w:val="21"/>
          <w:highlight w:val="none"/>
          <w:u w:val="single"/>
          <w14:textFill>
            <w14:solidFill>
              <w14:schemeClr w14:val="tx1"/>
            </w14:solidFill>
          </w14:textFill>
        </w:rPr>
        <w:t>（采购人、采购代理机构）</w:t>
      </w:r>
      <w:r>
        <w:rPr>
          <w:rFonts w:hint="eastAsia" w:ascii="宋体" w:hAnsi="宋体" w:cs="宋体"/>
          <w:b w:val="0"/>
          <w:bCs w:val="0"/>
          <w:color w:val="000000" w:themeColor="text1"/>
          <w:sz w:val="21"/>
          <w:szCs w:val="21"/>
          <w:highlight w:val="none"/>
          <w:u w:val="none"/>
          <w:lang w:eastAsia="zh-CN"/>
          <w14:textFill>
            <w14:solidFill>
              <w14:schemeClr w14:val="tx1"/>
            </w14:solidFill>
          </w14:textFill>
        </w:rPr>
        <w:t>：</w:t>
      </w:r>
    </w:p>
    <w:p w14:paraId="01F2B4EF">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我单位（公司）参与</w:t>
      </w:r>
      <w:r>
        <w:rPr>
          <w:rFonts w:hint="eastAsia" w:ascii="宋体" w:hAnsi="宋体" w:cs="宋体"/>
          <w:b w:val="0"/>
          <w:bCs w:val="0"/>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1"/>
          <w:szCs w:val="21"/>
          <w:highlight w:val="none"/>
          <w:u w:val="single"/>
          <w14:textFill>
            <w14:solidFill>
              <w14:schemeClr w14:val="tx1"/>
            </w14:solidFill>
          </w14:textFill>
        </w:rPr>
        <w:t>（项目名称 项目编号）</w:t>
      </w:r>
      <w:r>
        <w:rPr>
          <w:rFonts w:hint="eastAsia" w:ascii="宋体" w:hAnsi="宋体" w:cs="宋体"/>
          <w:b w:val="0"/>
          <w:bCs w:val="0"/>
          <w:color w:val="000000" w:themeColor="text1"/>
          <w:sz w:val="21"/>
          <w:szCs w:val="21"/>
          <w:highlight w:val="none"/>
          <w14:textFill>
            <w14:solidFill>
              <w14:schemeClr w14:val="tx1"/>
            </w14:solidFill>
          </w14:textFill>
        </w:rPr>
        <w:t>采购项目的政府采购活动，现承诺如下：</w:t>
      </w:r>
    </w:p>
    <w:p w14:paraId="12558700">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1.具有良好的商业信誉和健全的财务会计制度；</w:t>
      </w:r>
    </w:p>
    <w:p w14:paraId="084FCA10">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2.具有依法缴纳税收的良好记录；</w:t>
      </w:r>
    </w:p>
    <w:p w14:paraId="17385426">
      <w:pPr>
        <w:keepNext/>
        <w:keepLines/>
        <w:pageBreakBefore w:val="0"/>
        <w:widowControl w:val="0"/>
        <w:kinsoku/>
        <w:wordWrap/>
        <w:overflowPunct/>
        <w:topLinePunct w:val="0"/>
        <w:autoSpaceDE/>
        <w:autoSpaceDN/>
        <w:bidi w:val="0"/>
        <w:adjustRightInd w:val="0"/>
        <w:snapToGrid w:val="0"/>
        <w:spacing w:before="0" w:after="0" w:line="360" w:lineRule="auto"/>
        <w:ind w:left="0" w:leftChars="0" w:firstLine="367" w:firstLineChars="175"/>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3.具有依法缴纳社会保障金的良好记录。</w:t>
      </w:r>
    </w:p>
    <w:p w14:paraId="60BCB137">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我方在采购项目评审(评标)环节结束后，随时接受采购人、采购代理机构的检查验证，配合提供相关证明材料，证明符合《中华人民共和国政府采购法》规定的供应商基本资格条件。</w:t>
      </w:r>
    </w:p>
    <w:p w14:paraId="76AD28AF">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我单位（公司）对上述承诺的真实性负责。如有虚假，将依法承担相应责任。</w:t>
      </w:r>
    </w:p>
    <w:p w14:paraId="158C7DDC">
      <w:pPr>
        <w:keepNext/>
        <w:keepLines/>
        <w:pageBreakBefore w:val="0"/>
        <w:widowControl w:val="0"/>
        <w:kinsoku/>
        <w:wordWrap/>
        <w:overflowPunct/>
        <w:topLinePunct w:val="0"/>
        <w:autoSpaceDE/>
        <w:autoSpaceDN/>
        <w:bidi w:val="0"/>
        <w:adjustRightInd w:val="0"/>
        <w:snapToGrid w:val="0"/>
        <w:spacing w:before="0" w:after="0" w:line="360" w:lineRule="auto"/>
        <w:ind w:firstLine="420" w:firstLineChars="200"/>
        <w:jc w:val="left"/>
        <w:textAlignment w:val="auto"/>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特此承诺。</w:t>
      </w:r>
    </w:p>
    <w:p w14:paraId="61F01142">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p>
    <w:p w14:paraId="65391AC6">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盖章：</w:t>
      </w:r>
    </w:p>
    <w:p w14:paraId="55D7C4B0">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签字：</w:t>
      </w:r>
    </w:p>
    <w:p w14:paraId="71594641">
      <w:pPr>
        <w:overflowPunct/>
        <w:bidi w:val="0"/>
        <w:spacing w:line="363" w:lineRule="exact"/>
        <w:ind w:left="0" w:leftChars="0" w:firstLine="4777" w:firstLineChars="2275"/>
        <w:jc w:val="left"/>
        <w:outlineLvl w:val="9"/>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日期：</w:t>
      </w:r>
    </w:p>
    <w:p w14:paraId="740F5442">
      <w:pPr>
        <w:pStyle w:val="35"/>
        <w:overflowPunct/>
        <w:bidi w:val="0"/>
        <w:outlineLvl w:val="9"/>
        <w:rPr>
          <w:rFonts w:hint="eastAsia"/>
          <w:color w:val="000000" w:themeColor="text1"/>
          <w:sz w:val="21"/>
          <w:szCs w:val="21"/>
          <w:highlight w:val="none"/>
          <w14:textFill>
            <w14:solidFill>
              <w14:schemeClr w14:val="tx1"/>
            </w14:solidFill>
          </w14:textFill>
        </w:rPr>
        <w:sectPr>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pPr>
    </w:p>
    <w:bookmarkEnd w:id="72"/>
    <w:bookmarkEnd w:id="73"/>
    <w:p w14:paraId="06948283">
      <w:pPr>
        <w:overflowPunct/>
        <w:bidi w:val="0"/>
        <w:adjustRightInd w:val="0"/>
        <w:snapToGrid w:val="0"/>
        <w:spacing w:line="300" w:lineRule="auto"/>
        <w:jc w:val="center"/>
        <w:outlineLvl w:val="9"/>
        <w:rPr>
          <w:rFonts w:ascii="宋体" w:hAnsi="宋体" w:cs="宋体"/>
          <w:b/>
          <w:color w:val="000000" w:themeColor="text1"/>
          <w:sz w:val="28"/>
          <w:szCs w:val="28"/>
          <w:highlight w:val="none"/>
          <w14:textFill>
            <w14:solidFill>
              <w14:schemeClr w14:val="tx1"/>
            </w14:solidFill>
          </w14:textFill>
        </w:rPr>
      </w:pPr>
      <w:bookmarkStart w:id="74" w:name="_Toc247527850"/>
      <w:bookmarkStart w:id="75" w:name="_Toc144974878"/>
      <w:bookmarkStart w:id="76" w:name="_Toc404237845"/>
      <w:bookmarkStart w:id="77" w:name="_Toc404237755"/>
      <w:bookmarkStart w:id="78" w:name="_Toc152045810"/>
      <w:bookmarkStart w:id="79" w:name="_Toc397416087"/>
      <w:bookmarkStart w:id="80" w:name="_Toc247514302"/>
      <w:bookmarkStart w:id="81" w:name="_Toc265953296"/>
      <w:bookmarkStart w:id="82" w:name="_Toc152042599"/>
      <w:r>
        <w:rPr>
          <w:rFonts w:ascii="宋体" w:hAnsi="宋体" w:cs="宋体"/>
          <w:b/>
          <w:color w:val="000000" w:themeColor="text1"/>
          <w:sz w:val="28"/>
          <w:szCs w:val="28"/>
          <w:highlight w:val="none"/>
          <w14:textFill>
            <w14:solidFill>
              <w14:schemeClr w14:val="tx1"/>
            </w14:solidFill>
          </w14:textFill>
        </w:rPr>
        <w:t>近年完成的类似项目情况表</w:t>
      </w:r>
      <w:bookmarkEnd w:id="74"/>
      <w:bookmarkEnd w:id="75"/>
      <w:bookmarkEnd w:id="76"/>
      <w:bookmarkEnd w:id="77"/>
      <w:bookmarkEnd w:id="78"/>
      <w:bookmarkEnd w:id="79"/>
      <w:bookmarkEnd w:id="80"/>
      <w:bookmarkEnd w:id="81"/>
      <w:bookmarkEnd w:id="82"/>
    </w:p>
    <w:p w14:paraId="0DF1F4CC">
      <w:pPr>
        <w:pStyle w:val="12"/>
        <w:overflowPunct/>
        <w:bidi w:val="0"/>
        <w:ind w:firstLine="640"/>
        <w:jc w:val="center"/>
        <w:outlineLvl w:val="9"/>
        <w:rPr>
          <w:color w:val="000000" w:themeColor="text1"/>
          <w:kern w:val="0"/>
          <w:sz w:val="32"/>
          <w:szCs w:val="32"/>
          <w:highlight w:val="none"/>
          <w14:textFill>
            <w14:solidFill>
              <w14:schemeClr w14:val="tx1"/>
            </w14:solidFill>
          </w14:textFill>
        </w:rPr>
      </w:pP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5"/>
        <w:gridCol w:w="6959"/>
      </w:tblGrid>
      <w:tr w14:paraId="759CC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05C39BD">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642BB81B">
            <w:pPr>
              <w:overflowPunct/>
              <w:topLinePunct/>
              <w:bidi w:val="0"/>
              <w:jc w:val="center"/>
              <w:outlineLvl w:val="9"/>
              <w:rPr>
                <w:color w:val="000000" w:themeColor="text1"/>
                <w:szCs w:val="21"/>
                <w:highlight w:val="none"/>
                <w14:textFill>
                  <w14:solidFill>
                    <w14:schemeClr w14:val="tx1"/>
                  </w14:solidFill>
                </w14:textFill>
              </w:rPr>
            </w:pPr>
          </w:p>
        </w:tc>
      </w:tr>
      <w:tr w14:paraId="729C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2103773E">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项目所在地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648055A6">
            <w:pPr>
              <w:overflowPunct/>
              <w:topLinePunct/>
              <w:bidi w:val="0"/>
              <w:jc w:val="center"/>
              <w:outlineLvl w:val="9"/>
              <w:rPr>
                <w:color w:val="000000" w:themeColor="text1"/>
                <w:szCs w:val="21"/>
                <w:highlight w:val="none"/>
                <w14:textFill>
                  <w14:solidFill>
                    <w14:schemeClr w14:val="tx1"/>
                  </w14:solidFill>
                </w14:textFill>
              </w:rPr>
            </w:pPr>
          </w:p>
        </w:tc>
      </w:tr>
      <w:tr w14:paraId="628A8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7717675C">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发包人名称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FA0BB3C">
            <w:pPr>
              <w:overflowPunct/>
              <w:topLinePunct/>
              <w:bidi w:val="0"/>
              <w:jc w:val="center"/>
              <w:outlineLvl w:val="9"/>
              <w:rPr>
                <w:color w:val="000000" w:themeColor="text1"/>
                <w:szCs w:val="21"/>
                <w:highlight w:val="none"/>
                <w14:textFill>
                  <w14:solidFill>
                    <w14:schemeClr w14:val="tx1"/>
                  </w14:solidFill>
                </w14:textFill>
              </w:rPr>
            </w:pPr>
          </w:p>
        </w:tc>
      </w:tr>
      <w:tr w14:paraId="4555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79C63DF1">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发包人地址</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378EC15">
            <w:pPr>
              <w:overflowPunct/>
              <w:topLinePunct/>
              <w:bidi w:val="0"/>
              <w:jc w:val="center"/>
              <w:outlineLvl w:val="9"/>
              <w:rPr>
                <w:color w:val="000000" w:themeColor="text1"/>
                <w:szCs w:val="21"/>
                <w:highlight w:val="none"/>
                <w14:textFill>
                  <w14:solidFill>
                    <w14:schemeClr w14:val="tx1"/>
                  </w14:solidFill>
                </w14:textFill>
              </w:rPr>
            </w:pPr>
          </w:p>
        </w:tc>
      </w:tr>
      <w:tr w14:paraId="6220D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A9D86A2">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发包人电话</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483AF927">
            <w:pPr>
              <w:overflowPunct/>
              <w:topLinePunct/>
              <w:bidi w:val="0"/>
              <w:jc w:val="center"/>
              <w:outlineLvl w:val="9"/>
              <w:rPr>
                <w:color w:val="000000" w:themeColor="text1"/>
                <w:szCs w:val="21"/>
                <w:highlight w:val="none"/>
                <w14:textFill>
                  <w14:solidFill>
                    <w14:schemeClr w14:val="tx1"/>
                  </w14:solidFill>
                </w14:textFill>
              </w:rPr>
            </w:pPr>
          </w:p>
        </w:tc>
      </w:tr>
      <w:tr w14:paraId="7C13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4DF4CE6C">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合同价格</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466413CA">
            <w:pPr>
              <w:overflowPunct/>
              <w:topLinePunct/>
              <w:bidi w:val="0"/>
              <w:jc w:val="center"/>
              <w:outlineLvl w:val="9"/>
              <w:rPr>
                <w:color w:val="000000" w:themeColor="text1"/>
                <w:szCs w:val="21"/>
                <w:highlight w:val="none"/>
                <w14:textFill>
                  <w14:solidFill>
                    <w14:schemeClr w14:val="tx1"/>
                  </w14:solidFill>
                </w14:textFill>
              </w:rPr>
            </w:pPr>
          </w:p>
        </w:tc>
      </w:tr>
      <w:tr w14:paraId="5192E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232CA90">
            <w:pPr>
              <w:overflowPunct/>
              <w:topLinePunct/>
              <w:bidi w:val="0"/>
              <w:jc w:val="center"/>
              <w:outlineLvl w:val="9"/>
              <w:rPr>
                <w:rFonts w:hint="eastAsia"/>
                <w:color w:val="000000" w:themeColor="text1"/>
                <w:szCs w:val="21"/>
                <w:highlight w:val="none"/>
                <w14:textFill>
                  <w14:solidFill>
                    <w14:schemeClr w14:val="tx1"/>
                  </w14:solidFill>
                </w14:textFill>
              </w:rPr>
            </w:pPr>
            <w:r>
              <w:rPr>
                <w:rFonts w:hint="eastAsia"/>
                <w:color w:val="000000" w:themeColor="text1"/>
                <w:szCs w:val="21"/>
                <w:highlight w:val="none"/>
                <w:lang w:eastAsia="zh-CN"/>
                <w14:textFill>
                  <w14:solidFill>
                    <w14:schemeClr w14:val="tx1"/>
                  </w14:solidFill>
                </w14:textFill>
              </w:rPr>
              <w:t>服务</w:t>
            </w:r>
            <w:r>
              <w:rPr>
                <w:rFonts w:hint="eastAsia"/>
                <w:color w:val="000000" w:themeColor="text1"/>
                <w:szCs w:val="21"/>
                <w:highlight w:val="none"/>
                <w14:textFill>
                  <w14:solidFill>
                    <w14:schemeClr w14:val="tx1"/>
                  </w14:solidFill>
                </w14:textFill>
              </w:rPr>
              <w:t>期限</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0E8FB45">
            <w:pPr>
              <w:overflowPunct/>
              <w:topLinePunct/>
              <w:bidi w:val="0"/>
              <w:jc w:val="center"/>
              <w:outlineLvl w:val="9"/>
              <w:rPr>
                <w:color w:val="000000" w:themeColor="text1"/>
                <w:szCs w:val="21"/>
                <w:highlight w:val="none"/>
                <w14:textFill>
                  <w14:solidFill>
                    <w14:schemeClr w14:val="tx1"/>
                  </w14:solidFill>
                </w14:textFill>
              </w:rPr>
            </w:pPr>
          </w:p>
        </w:tc>
      </w:tr>
      <w:tr w14:paraId="5F5F4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3263E31">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服务内容</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360E9855">
            <w:pPr>
              <w:overflowPunct/>
              <w:topLinePunct/>
              <w:bidi w:val="0"/>
              <w:jc w:val="center"/>
              <w:outlineLvl w:val="9"/>
              <w:rPr>
                <w:color w:val="000000" w:themeColor="text1"/>
                <w:szCs w:val="21"/>
                <w:highlight w:val="none"/>
                <w14:textFill>
                  <w14:solidFill>
                    <w14:schemeClr w14:val="tx1"/>
                  </w14:solidFill>
                </w14:textFill>
              </w:rPr>
            </w:pPr>
          </w:p>
        </w:tc>
      </w:tr>
      <w:tr w14:paraId="77FB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143B2AF3">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项目负责人</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583AA8EF">
            <w:pPr>
              <w:overflowPunct/>
              <w:topLinePunct/>
              <w:bidi w:val="0"/>
              <w:jc w:val="center"/>
              <w:outlineLvl w:val="9"/>
              <w:rPr>
                <w:color w:val="000000" w:themeColor="text1"/>
                <w:szCs w:val="21"/>
                <w:highlight w:val="none"/>
                <w14:textFill>
                  <w14:solidFill>
                    <w14:schemeClr w14:val="tx1"/>
                  </w14:solidFill>
                </w14:textFill>
              </w:rPr>
            </w:pPr>
          </w:p>
        </w:tc>
      </w:tr>
      <w:tr w14:paraId="507C3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598D750A">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项目描述</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2D2D4313">
            <w:pPr>
              <w:overflowPunct/>
              <w:topLinePunct/>
              <w:bidi w:val="0"/>
              <w:jc w:val="center"/>
              <w:outlineLvl w:val="9"/>
              <w:rPr>
                <w:color w:val="000000" w:themeColor="text1"/>
                <w:szCs w:val="21"/>
                <w:highlight w:val="none"/>
                <w14:textFill>
                  <w14:solidFill>
                    <w14:schemeClr w14:val="tx1"/>
                  </w14:solidFill>
                </w14:textFill>
              </w:rPr>
            </w:pPr>
          </w:p>
        </w:tc>
      </w:tr>
      <w:tr w14:paraId="5598C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0" w:hRule="atLeast"/>
          <w:jc w:val="center"/>
        </w:trPr>
        <w:tc>
          <w:tcPr>
            <w:tcW w:w="2525" w:type="dxa"/>
            <w:tcBorders>
              <w:top w:val="single" w:color="auto" w:sz="4" w:space="0"/>
              <w:left w:val="single" w:color="auto" w:sz="4" w:space="0"/>
              <w:bottom w:val="single" w:color="auto" w:sz="4" w:space="0"/>
              <w:right w:val="single" w:color="auto" w:sz="4" w:space="0"/>
            </w:tcBorders>
            <w:noWrap w:val="0"/>
            <w:vAlign w:val="center"/>
          </w:tcPr>
          <w:p w14:paraId="62212D93">
            <w:pPr>
              <w:overflowPunct/>
              <w:topLinePunct/>
              <w:bidi w:val="0"/>
              <w:jc w:val="center"/>
              <w:outlineLvl w:val="9"/>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备注</w:t>
            </w:r>
          </w:p>
        </w:tc>
        <w:tc>
          <w:tcPr>
            <w:tcW w:w="6959" w:type="dxa"/>
            <w:tcBorders>
              <w:top w:val="single" w:color="auto" w:sz="4" w:space="0"/>
              <w:left w:val="single" w:color="auto" w:sz="4" w:space="0"/>
              <w:bottom w:val="single" w:color="auto" w:sz="4" w:space="0"/>
              <w:right w:val="single" w:color="auto" w:sz="4" w:space="0"/>
            </w:tcBorders>
            <w:noWrap w:val="0"/>
            <w:vAlign w:val="center"/>
          </w:tcPr>
          <w:p w14:paraId="1A3A42CC">
            <w:pPr>
              <w:overflowPunct/>
              <w:topLinePunct/>
              <w:bidi w:val="0"/>
              <w:jc w:val="center"/>
              <w:outlineLvl w:val="9"/>
              <w:rPr>
                <w:color w:val="000000" w:themeColor="text1"/>
                <w:szCs w:val="21"/>
                <w:highlight w:val="none"/>
                <w14:textFill>
                  <w14:solidFill>
                    <w14:schemeClr w14:val="tx1"/>
                  </w14:solidFill>
                </w14:textFill>
              </w:rPr>
            </w:pPr>
          </w:p>
        </w:tc>
      </w:tr>
    </w:tbl>
    <w:p w14:paraId="5F1D0783">
      <w:pPr>
        <w:pStyle w:val="48"/>
        <w:overflowPunct/>
        <w:bidi w:val="0"/>
        <w:spacing w:line="360" w:lineRule="auto"/>
        <w:ind w:right="-313" w:rightChars="-149" w:firstLine="420" w:firstLineChars="200"/>
        <w:jc w:val="both"/>
        <w:outlineLvl w:val="9"/>
        <w:rPr>
          <w:rFonts w:ascii="Times New Roman" w:hAnsi="Times New Roman" w:cs="Times New Roman"/>
          <w:color w:val="000000" w:themeColor="text1"/>
          <w:sz w:val="23"/>
          <w:szCs w:val="23"/>
          <w:highlight w:val="none"/>
          <w14:textFill>
            <w14:solidFill>
              <w14:schemeClr w14:val="tx1"/>
            </w14:solidFill>
          </w14:textFill>
        </w:rPr>
      </w:pPr>
      <w:r>
        <w:rPr>
          <w:rFonts w:ascii="Times New Roman" w:hAnsi="Times New Roman" w:cs="Times New Roman"/>
          <w:color w:val="000000" w:themeColor="text1"/>
          <w:sz w:val="21"/>
          <w:szCs w:val="21"/>
          <w:highlight w:val="none"/>
          <w14:textFill>
            <w14:solidFill>
              <w14:schemeClr w14:val="tx1"/>
            </w14:solidFill>
          </w14:textFill>
        </w:rPr>
        <w:t>注：</w:t>
      </w:r>
      <w:r>
        <w:rPr>
          <w:rFonts w:hint="eastAsia" w:ascii="Times New Roman" w:cs="Times New Roman"/>
          <w:color w:val="000000" w:themeColor="text1"/>
          <w:sz w:val="21"/>
          <w:szCs w:val="21"/>
          <w:highlight w:val="none"/>
          <w:lang w:eastAsia="zh-CN"/>
          <w14:textFill>
            <w14:solidFill>
              <w14:schemeClr w14:val="tx1"/>
            </w14:solidFill>
          </w14:textFill>
        </w:rPr>
        <w:t>供应商</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如有</w:t>
      </w:r>
      <w:r>
        <w:rPr>
          <w:rFonts w:ascii="Times New Roman" w:hAnsi="Times New Roman" w:cs="Times New Roman"/>
          <w:color w:val="000000" w:themeColor="text1"/>
          <w:sz w:val="21"/>
          <w:szCs w:val="21"/>
          <w:highlight w:val="none"/>
          <w14:textFill>
            <w14:solidFill>
              <w14:schemeClr w14:val="tx1"/>
            </w14:solidFill>
          </w14:textFill>
        </w:rPr>
        <w:t>类似业绩，提供中标</w:t>
      </w:r>
      <w:r>
        <w:rPr>
          <w:rFonts w:hint="eastAsia" w:ascii="Times New Roman" w:hAnsi="Times New Roman" w:cs="Times New Roman"/>
          <w:color w:val="000000" w:themeColor="text1"/>
          <w:sz w:val="21"/>
          <w:szCs w:val="21"/>
          <w:highlight w:val="none"/>
          <w14:textFill>
            <w14:solidFill>
              <w14:schemeClr w14:val="tx1"/>
            </w14:solidFill>
          </w14:textFill>
        </w:rPr>
        <w:t>/成交</w:t>
      </w:r>
      <w:r>
        <w:rPr>
          <w:rFonts w:ascii="Times New Roman" w:hAnsi="Times New Roman" w:cs="Times New Roman"/>
          <w:color w:val="000000" w:themeColor="text1"/>
          <w:sz w:val="21"/>
          <w:szCs w:val="21"/>
          <w:highlight w:val="none"/>
          <w14:textFill>
            <w14:solidFill>
              <w14:schemeClr w14:val="tx1"/>
            </w14:solidFill>
          </w14:textFill>
        </w:rPr>
        <w:t>通知书或合同协议书</w:t>
      </w:r>
      <w:r>
        <w:rPr>
          <w:rFonts w:hint="eastAsia" w:ascii="Times New Roman" w:hAnsi="Times New Roman" w:cs="Times New Roman"/>
          <w:color w:val="000000" w:themeColor="text1"/>
          <w:sz w:val="21"/>
          <w:szCs w:val="21"/>
          <w:highlight w:val="none"/>
          <w:lang w:val="en-US" w:eastAsia="zh-CN"/>
          <w14:textFill>
            <w14:solidFill>
              <w14:schemeClr w14:val="tx1"/>
            </w14:solidFill>
          </w14:textFill>
        </w:rPr>
        <w:t>复印件加盖公章</w:t>
      </w:r>
      <w:r>
        <w:rPr>
          <w:rFonts w:ascii="Times New Roman" w:hAnsi="Times New Roman" w:cs="Times New Roman"/>
          <w:color w:val="000000" w:themeColor="text1"/>
          <w:sz w:val="21"/>
          <w:szCs w:val="21"/>
          <w:highlight w:val="none"/>
          <w14:textFill>
            <w14:solidFill>
              <w14:schemeClr w14:val="tx1"/>
            </w14:solidFill>
          </w14:textFill>
        </w:rPr>
        <w:t>，所有复印件必须要清晰、字迹清楚，否则不得分。</w:t>
      </w:r>
    </w:p>
    <w:p w14:paraId="06DDAC5E">
      <w:pPr>
        <w:overflowPunct/>
        <w:bidi w:val="0"/>
        <w:spacing w:line="240" w:lineRule="auto"/>
        <w:jc w:val="center"/>
        <w:outlineLvl w:val="9"/>
        <w:rPr>
          <w:rFonts w:ascii="宋体" w:hAnsi="宋体" w:eastAsia="宋体"/>
          <w:b w:val="0"/>
          <w:color w:val="000000" w:themeColor="text1"/>
          <w:highlight w:val="none"/>
          <w14:textFill>
            <w14:solidFill>
              <w14:schemeClr w14:val="tx1"/>
            </w14:solidFill>
          </w14:textFill>
        </w:rPr>
      </w:pPr>
      <w:r>
        <w:rPr>
          <w:rFonts w:ascii="Times New Roman" w:hAnsi="Times New Roman" w:eastAsia="宋体"/>
          <w:color w:val="000000" w:themeColor="text1"/>
          <w:highlight w:val="none"/>
          <w14:textFill>
            <w14:solidFill>
              <w14:schemeClr w14:val="tx1"/>
            </w14:solidFill>
          </w14:textFill>
        </w:rPr>
        <w:br w:type="page"/>
      </w:r>
      <w:r>
        <w:rPr>
          <w:rFonts w:hint="eastAsia" w:eastAsia="宋体"/>
          <w:b w:val="0"/>
          <w:bCs w:val="0"/>
          <w:color w:val="000000" w:themeColor="text1"/>
          <w:sz w:val="32"/>
          <w:highlight w:val="none"/>
          <w14:textFill>
            <w14:solidFill>
              <w14:schemeClr w14:val="tx1"/>
            </w14:solidFill>
          </w14:textFill>
        </w:rPr>
        <w:t xml:space="preserve"> </w:t>
      </w:r>
      <w:r>
        <w:rPr>
          <w:rFonts w:hint="eastAsia" w:ascii="宋体" w:hAnsi="宋体" w:eastAsia="宋体"/>
          <w:color w:val="000000" w:themeColor="text1"/>
          <w:sz w:val="24"/>
          <w:szCs w:val="32"/>
          <w:highlight w:val="none"/>
          <w14:textFill>
            <w14:solidFill>
              <w14:schemeClr w14:val="tx1"/>
            </w14:solidFill>
          </w14:textFill>
        </w:rPr>
        <w:t>商务条款偏离表(格式)</w:t>
      </w:r>
    </w:p>
    <w:p w14:paraId="2EA0D87D">
      <w:pPr>
        <w:overflowPunct/>
        <w:bidi w:val="0"/>
        <w:ind w:hanging="119"/>
        <w:outlineLvl w:val="9"/>
        <w:rPr>
          <w:rFonts w:ascii="宋体" w:hAnsi="宋体"/>
          <w:color w:val="000000" w:themeColor="text1"/>
          <w:sz w:val="24"/>
          <w:highlight w:val="none"/>
          <w14:textFill>
            <w14:solidFill>
              <w14:schemeClr w14:val="tx1"/>
            </w14:solidFill>
          </w14:textFill>
        </w:rPr>
      </w:pPr>
    </w:p>
    <w:p w14:paraId="5B183C28">
      <w:pPr>
        <w:overflowPunct/>
        <w:bidi w:val="0"/>
        <w:spacing w:after="240"/>
        <w:ind w:hanging="119"/>
        <w:outlineLvl w:val="9"/>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项目编号：</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p>
    <w:tbl>
      <w:tblPr>
        <w:tblStyle w:val="38"/>
        <w:tblW w:w="977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45"/>
        <w:gridCol w:w="2262"/>
        <w:gridCol w:w="2046"/>
        <w:gridCol w:w="2451"/>
        <w:gridCol w:w="2073"/>
      </w:tblGrid>
      <w:tr w14:paraId="671006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7" w:hRule="atLeast"/>
        </w:trPr>
        <w:tc>
          <w:tcPr>
            <w:tcW w:w="945" w:type="dxa"/>
            <w:noWrap w:val="0"/>
            <w:vAlign w:val="top"/>
          </w:tcPr>
          <w:p w14:paraId="0931167B">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2262" w:type="dxa"/>
            <w:noWrap w:val="0"/>
            <w:vAlign w:val="top"/>
          </w:tcPr>
          <w:p w14:paraId="2BFDC88A">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磋商文件条目号</w:t>
            </w:r>
          </w:p>
        </w:tc>
        <w:tc>
          <w:tcPr>
            <w:tcW w:w="2046" w:type="dxa"/>
            <w:noWrap w:val="0"/>
            <w:vAlign w:val="top"/>
          </w:tcPr>
          <w:p w14:paraId="06A860BF">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磋商文件的商务条款</w:t>
            </w:r>
          </w:p>
        </w:tc>
        <w:tc>
          <w:tcPr>
            <w:tcW w:w="2451" w:type="dxa"/>
            <w:noWrap w:val="0"/>
            <w:vAlign w:val="top"/>
          </w:tcPr>
          <w:p w14:paraId="762BF5CF">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响应文件的商务条款</w:t>
            </w:r>
          </w:p>
        </w:tc>
        <w:tc>
          <w:tcPr>
            <w:tcW w:w="2073" w:type="dxa"/>
            <w:noWrap w:val="0"/>
            <w:vAlign w:val="top"/>
          </w:tcPr>
          <w:p w14:paraId="65378924">
            <w:pPr>
              <w:overflowPunct/>
              <w:bidi w:val="0"/>
              <w:spacing w:before="240" w:after="240"/>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是否偏离</w:t>
            </w:r>
          </w:p>
        </w:tc>
      </w:tr>
      <w:tr w14:paraId="0E4BF6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1CA7513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220F70E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2C201A24">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26DCEB43">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0A258DDD">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47D2A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0E50F91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41684732">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4E175A7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4282260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4FEA0B6C">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383706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737D311E">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645415C4">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505DE25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681CED1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2367E908">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54012E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78CE84E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17CCB85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7AA53CF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5AE6A736">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79A20D03">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6F61CC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6822848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2267289D">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1F6EA14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301051A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4E85A76D">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572288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53DBBA3C">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3B7DBEBD">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3F2EA7A3">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09AC37CB">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7F90567A">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4451BB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45" w:type="dxa"/>
            <w:noWrap w:val="0"/>
            <w:vAlign w:val="top"/>
          </w:tcPr>
          <w:p w14:paraId="3EB2F176">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039EFAFE">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3422547B">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3EBBB1F1">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128D6115">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r w14:paraId="3E9436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4" w:hRule="atLeast"/>
        </w:trPr>
        <w:tc>
          <w:tcPr>
            <w:tcW w:w="945" w:type="dxa"/>
            <w:noWrap w:val="0"/>
            <w:vAlign w:val="top"/>
          </w:tcPr>
          <w:p w14:paraId="6AA22C0A">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262" w:type="dxa"/>
            <w:noWrap w:val="0"/>
            <w:vAlign w:val="top"/>
          </w:tcPr>
          <w:p w14:paraId="598B94C9">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46" w:type="dxa"/>
            <w:noWrap w:val="0"/>
            <w:vAlign w:val="top"/>
          </w:tcPr>
          <w:p w14:paraId="5A66F8C5">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451" w:type="dxa"/>
            <w:noWrap w:val="0"/>
            <w:vAlign w:val="top"/>
          </w:tcPr>
          <w:p w14:paraId="61FE8D57">
            <w:pPr>
              <w:overflowPunct/>
              <w:bidi w:val="0"/>
              <w:spacing w:before="240" w:after="240"/>
              <w:outlineLvl w:val="9"/>
              <w:rPr>
                <w:rFonts w:ascii="宋体" w:hAnsi="宋体"/>
                <w:color w:val="000000" w:themeColor="text1"/>
                <w:sz w:val="24"/>
                <w:highlight w:val="none"/>
                <w14:textFill>
                  <w14:solidFill>
                    <w14:schemeClr w14:val="tx1"/>
                  </w14:solidFill>
                </w14:textFill>
              </w:rPr>
            </w:pPr>
          </w:p>
        </w:tc>
        <w:tc>
          <w:tcPr>
            <w:tcW w:w="2073" w:type="dxa"/>
            <w:noWrap w:val="0"/>
            <w:vAlign w:val="top"/>
          </w:tcPr>
          <w:p w14:paraId="44862E5C">
            <w:pPr>
              <w:overflowPunct/>
              <w:bidi w:val="0"/>
              <w:spacing w:before="240" w:after="240"/>
              <w:outlineLvl w:val="9"/>
              <w:rPr>
                <w:rFonts w:ascii="宋体" w:hAnsi="宋体"/>
                <w:color w:val="000000" w:themeColor="text1"/>
                <w:sz w:val="24"/>
                <w:highlight w:val="none"/>
                <w14:textFill>
                  <w14:solidFill>
                    <w14:schemeClr w14:val="tx1"/>
                  </w14:solidFill>
                </w14:textFill>
              </w:rPr>
            </w:pPr>
          </w:p>
        </w:tc>
      </w:tr>
    </w:tbl>
    <w:p w14:paraId="357873B4">
      <w:pPr>
        <w:overflowPunct/>
        <w:bidi w:val="0"/>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注：</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所提供的文件与磋商文件中的要求如有任何偏差，都应在“偏离表”中列出。若未在“偏离表”中列出，即使在响应文件其他地方写明与磋商文件要求有所不同，采购人也认同符合磋商文件最佳值的要求。</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成交后如据此提出疑义，不履行签订合同等下一步工作，采购人有权没收其磋商保证金。</w:t>
      </w:r>
    </w:p>
    <w:p w14:paraId="413E9CBF">
      <w:pPr>
        <w:overflowPunct/>
        <w:autoSpaceDE w:val="0"/>
        <w:autoSpaceDN w:val="0"/>
        <w:bidi w:val="0"/>
        <w:adjustRightInd w:val="0"/>
        <w:outlineLvl w:val="9"/>
        <w:rPr>
          <w:rFonts w:ascii="宋体" w:hAnsi="宋体"/>
          <w:color w:val="000000" w:themeColor="text1"/>
          <w:sz w:val="24"/>
          <w:highlight w:val="none"/>
          <w14:textFill>
            <w14:solidFill>
              <w14:schemeClr w14:val="tx1"/>
            </w14:solidFill>
          </w14:textFill>
        </w:rPr>
      </w:pPr>
    </w:p>
    <w:p w14:paraId="7CFA317E">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供应商</w:t>
      </w:r>
      <w:r>
        <w:rPr>
          <w:rFonts w:hint="eastAsia" w:ascii="宋体" w:hAnsi="宋体" w:eastAsia="宋体" w:cs="Times New Roman"/>
          <w:color w:val="000000" w:themeColor="text1"/>
          <w:sz w:val="24"/>
          <w:highlight w:val="none"/>
          <w14:textFill>
            <w14:solidFill>
              <w14:schemeClr w14:val="tx1"/>
            </w14:solidFill>
          </w14:textFill>
        </w:rPr>
        <w:t>：                    （公章）</w:t>
      </w:r>
    </w:p>
    <w:p w14:paraId="5529E718">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法定代表人或委托代理人：                （签字或盖章）</w:t>
      </w:r>
    </w:p>
    <w:p w14:paraId="774A45E6">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r>
        <w:rPr>
          <w:rFonts w:hint="eastAsia" w:ascii="宋体" w:hAnsi="宋体" w:eastAsia="宋体" w:cs="Times New Roman"/>
          <w:color w:val="000000" w:themeColor="text1"/>
          <w:sz w:val="24"/>
          <w:highlight w:val="none"/>
          <w14:textFill>
            <w14:solidFill>
              <w14:schemeClr w14:val="tx1"/>
            </w14:solidFill>
          </w14:textFill>
        </w:rPr>
        <w:t>日    期：    年    月    日</w:t>
      </w:r>
    </w:p>
    <w:p w14:paraId="428A0B2F">
      <w:pPr>
        <w:overflowPunct/>
        <w:bidi w:val="0"/>
        <w:outlineLvl w:val="9"/>
        <w:rPr>
          <w:rFonts w:hint="eastAsia" w:ascii="宋体" w:hAnsi="宋体" w:eastAsia="宋体" w:cs="Times New Roman"/>
          <w:color w:val="000000" w:themeColor="text1"/>
          <w:sz w:val="24"/>
          <w:highlight w:val="none"/>
          <w14:textFill>
            <w14:solidFill>
              <w14:schemeClr w14:val="tx1"/>
            </w14:solidFill>
          </w14:textFill>
        </w:rPr>
      </w:pPr>
    </w:p>
    <w:p w14:paraId="20976E04">
      <w:pPr>
        <w:pStyle w:val="37"/>
        <w:overflowPunct/>
        <w:bidi w:val="0"/>
        <w:ind w:left="0" w:leftChars="0" w:firstLine="0" w:firstLineChars="0"/>
        <w:outlineLvl w:val="9"/>
        <w:rPr>
          <w:rFonts w:hint="eastAsia"/>
          <w:color w:val="000000" w:themeColor="text1"/>
          <w:highlight w:val="none"/>
          <w14:textFill>
            <w14:solidFill>
              <w14:schemeClr w14:val="tx1"/>
            </w14:solidFill>
          </w14:textFill>
        </w:rPr>
      </w:pPr>
    </w:p>
    <w:p w14:paraId="07D85991">
      <w:pPr>
        <w:overflowPunct/>
        <w:bidi w:val="0"/>
        <w:outlineLvl w:val="9"/>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highlight w:val="none"/>
          <w14:textFill>
            <w14:solidFill>
              <w14:schemeClr w14:val="tx1"/>
            </w14:solidFill>
          </w14:textFill>
        </w:rPr>
        <w:br w:type="page"/>
      </w:r>
    </w:p>
    <w:p w14:paraId="3285C0AD">
      <w:pPr>
        <w:widowControl/>
        <w:overflowPunct/>
        <w:bidi w:val="0"/>
        <w:spacing w:before="400" w:after="120" w:line="360" w:lineRule="auto"/>
        <w:jc w:val="center"/>
        <w:outlineLvl w:val="9"/>
        <w:rPr>
          <w:rFonts w:hint="eastAsia" w:ascii="宋体" w:hAnsi="宋体" w:eastAsia="宋体"/>
          <w:color w:val="000000" w:themeColor="text1"/>
          <w:highlight w:val="none"/>
          <w14:textFill>
            <w14:solidFill>
              <w14:schemeClr w14:val="tx1"/>
            </w14:solidFill>
          </w14:textFill>
        </w:rPr>
      </w:pPr>
      <w:r>
        <w:rPr>
          <w:rFonts w:hint="eastAsia" w:ascii="宋体" w:hAnsi="宋体" w:eastAsia="宋体"/>
          <w:color w:val="000000" w:themeColor="text1"/>
          <w:sz w:val="24"/>
          <w:szCs w:val="32"/>
          <w:highlight w:val="none"/>
          <w14:textFill>
            <w14:solidFill>
              <w14:schemeClr w14:val="tx1"/>
            </w14:solidFill>
          </w14:textFill>
        </w:rPr>
        <w:t>技术偏离表(格式)</w:t>
      </w:r>
    </w:p>
    <w:p w14:paraId="6FECBD27">
      <w:pPr>
        <w:overflowPunct/>
        <w:bidi w:val="0"/>
        <w:spacing w:line="360" w:lineRule="auto"/>
        <w:outlineLvl w:val="9"/>
        <w:rPr>
          <w:rFonts w:hint="eastAsia"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名称：</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w:t>
      </w:r>
      <w:r>
        <w:rPr>
          <w:rFonts w:ascii="宋体" w:hAnsi="宋体"/>
          <w:color w:val="000000" w:themeColor="text1"/>
          <w:sz w:val="24"/>
          <w:highlight w:val="none"/>
          <w14:textFill>
            <w14:solidFill>
              <w14:schemeClr w14:val="tx1"/>
            </w14:solidFill>
          </w14:textFill>
        </w:rPr>
        <w:t xml:space="preserve"> </w:t>
      </w:r>
      <w:r>
        <w:rPr>
          <w:rFonts w:hint="eastAsia" w:ascii="宋体" w:hAnsi="宋体"/>
          <w:color w:val="000000" w:themeColor="text1"/>
          <w:sz w:val="24"/>
          <w:highlight w:val="none"/>
          <w14:textFill>
            <w14:solidFill>
              <w14:schemeClr w14:val="tx1"/>
            </w14:solidFill>
          </w14:textFill>
        </w:rPr>
        <w:t xml:space="preserve">            项目编号：</w:t>
      </w:r>
      <w:r>
        <w:rPr>
          <w:rFonts w:hint="eastAsia" w:ascii="宋体" w:hAnsi="宋体"/>
          <w:color w:val="000000" w:themeColor="text1"/>
          <w:sz w:val="24"/>
          <w:highlight w:val="none"/>
          <w:u w:val="single"/>
          <w14:textFill>
            <w14:solidFill>
              <w14:schemeClr w14:val="tx1"/>
            </w14:solidFill>
          </w14:textFill>
        </w:rPr>
        <w:t xml:space="preserve">   </w:t>
      </w:r>
      <w:r>
        <w:rPr>
          <w:rFonts w:ascii="宋体" w:hAnsi="宋体"/>
          <w:color w:val="000000" w:themeColor="text1"/>
          <w:sz w:val="24"/>
          <w:highlight w:val="none"/>
          <w:u w:val="single"/>
          <w14:textFill>
            <w14:solidFill>
              <w14:schemeClr w14:val="tx1"/>
            </w14:solidFill>
          </w14:textFill>
        </w:rPr>
        <w:t xml:space="preserve">    </w:t>
      </w:r>
      <w:r>
        <w:rPr>
          <w:rFonts w:hint="eastAsia" w:ascii="宋体" w:hAnsi="宋体"/>
          <w:color w:val="000000" w:themeColor="text1"/>
          <w:sz w:val="24"/>
          <w:highlight w:val="none"/>
          <w:u w:val="single"/>
          <w14:textFill>
            <w14:solidFill>
              <w14:schemeClr w14:val="tx1"/>
            </w14:solidFill>
          </w14:textFill>
        </w:rPr>
        <w:t xml:space="preserve">        </w:t>
      </w:r>
    </w:p>
    <w:p w14:paraId="1CB0F2A5">
      <w:pPr>
        <w:overflowPunct/>
        <w:bidi w:val="0"/>
        <w:spacing w:line="360" w:lineRule="auto"/>
        <w:outlineLvl w:val="9"/>
        <w:rPr>
          <w:rFonts w:hint="eastAsia" w:ascii="宋体" w:hAnsi="宋体"/>
          <w:color w:val="000000" w:themeColor="text1"/>
          <w:sz w:val="24"/>
          <w:highlight w:val="none"/>
          <w:u w:val="single"/>
          <w14:textFill>
            <w14:solidFill>
              <w14:schemeClr w14:val="tx1"/>
            </w14:solidFill>
          </w14:textFill>
        </w:rPr>
      </w:pPr>
    </w:p>
    <w:tbl>
      <w:tblPr>
        <w:tblStyle w:val="38"/>
        <w:tblW w:w="9619"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353"/>
        <w:gridCol w:w="1961"/>
        <w:gridCol w:w="1699"/>
        <w:gridCol w:w="2075"/>
        <w:gridCol w:w="1702"/>
      </w:tblGrid>
      <w:tr w14:paraId="13C44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829" w:type="dxa"/>
            <w:vMerge w:val="restart"/>
            <w:noWrap w:val="0"/>
            <w:vAlign w:val="top"/>
          </w:tcPr>
          <w:p w14:paraId="10AA49F1">
            <w:pPr>
              <w:overflowPunct/>
              <w:bidi w:val="0"/>
              <w:spacing w:before="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序号</w:t>
            </w:r>
          </w:p>
        </w:tc>
        <w:tc>
          <w:tcPr>
            <w:tcW w:w="3314" w:type="dxa"/>
            <w:gridSpan w:val="2"/>
            <w:noWrap w:val="0"/>
            <w:vAlign w:val="top"/>
          </w:tcPr>
          <w:p w14:paraId="6508A996">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磋商文件要求</w:t>
            </w:r>
          </w:p>
        </w:tc>
        <w:tc>
          <w:tcPr>
            <w:tcW w:w="3774" w:type="dxa"/>
            <w:gridSpan w:val="2"/>
            <w:noWrap w:val="0"/>
            <w:vAlign w:val="top"/>
          </w:tcPr>
          <w:p w14:paraId="6E91D9C1">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响应文件内容达到</w:t>
            </w:r>
          </w:p>
        </w:tc>
        <w:tc>
          <w:tcPr>
            <w:tcW w:w="1702" w:type="dxa"/>
            <w:vMerge w:val="restart"/>
            <w:noWrap w:val="0"/>
            <w:vAlign w:val="center"/>
          </w:tcPr>
          <w:p w14:paraId="061D8CCF">
            <w:pPr>
              <w:overflowPunct/>
              <w:bidi w:val="0"/>
              <w:spacing w:before="120" w:line="360" w:lineRule="auto"/>
              <w:jc w:val="center"/>
              <w:outlineLvl w:val="9"/>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是否偏离</w:t>
            </w:r>
          </w:p>
        </w:tc>
      </w:tr>
      <w:tr w14:paraId="38DB0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829" w:type="dxa"/>
            <w:vMerge w:val="continue"/>
            <w:noWrap w:val="0"/>
            <w:vAlign w:val="top"/>
          </w:tcPr>
          <w:p w14:paraId="5229B40B">
            <w:pPr>
              <w:overflowPunct/>
              <w:bidi w:val="0"/>
              <w:spacing w:line="360" w:lineRule="auto"/>
              <w:jc w:val="center"/>
              <w:outlineLvl w:val="9"/>
              <w:rPr>
                <w:rFonts w:ascii="宋体" w:hAnsi="宋体"/>
                <w:color w:val="000000" w:themeColor="text1"/>
                <w:sz w:val="24"/>
                <w:highlight w:val="none"/>
                <w14:textFill>
                  <w14:solidFill>
                    <w14:schemeClr w14:val="tx1"/>
                  </w14:solidFill>
                </w14:textFill>
              </w:rPr>
            </w:pPr>
          </w:p>
        </w:tc>
        <w:tc>
          <w:tcPr>
            <w:tcW w:w="1353" w:type="dxa"/>
            <w:noWrap w:val="0"/>
            <w:vAlign w:val="top"/>
          </w:tcPr>
          <w:p w14:paraId="707FB745">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名称</w:t>
            </w:r>
          </w:p>
        </w:tc>
        <w:tc>
          <w:tcPr>
            <w:tcW w:w="1961" w:type="dxa"/>
            <w:noWrap w:val="0"/>
            <w:vAlign w:val="top"/>
          </w:tcPr>
          <w:p w14:paraId="44B22FA8">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指标</w:t>
            </w:r>
          </w:p>
        </w:tc>
        <w:tc>
          <w:tcPr>
            <w:tcW w:w="1699" w:type="dxa"/>
            <w:noWrap w:val="0"/>
            <w:vAlign w:val="top"/>
          </w:tcPr>
          <w:p w14:paraId="32B91341">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名称</w:t>
            </w:r>
          </w:p>
        </w:tc>
        <w:tc>
          <w:tcPr>
            <w:tcW w:w="2075" w:type="dxa"/>
            <w:noWrap w:val="0"/>
            <w:vAlign w:val="top"/>
          </w:tcPr>
          <w:p w14:paraId="79155185">
            <w:pPr>
              <w:overflowPunct/>
              <w:bidi w:val="0"/>
              <w:spacing w:before="120" w:after="120" w:line="360" w:lineRule="auto"/>
              <w:jc w:val="center"/>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指标</w:t>
            </w:r>
          </w:p>
        </w:tc>
        <w:tc>
          <w:tcPr>
            <w:tcW w:w="1702" w:type="dxa"/>
            <w:vMerge w:val="continue"/>
            <w:noWrap w:val="0"/>
            <w:vAlign w:val="top"/>
          </w:tcPr>
          <w:p w14:paraId="3E53C200">
            <w:pPr>
              <w:overflowPunct/>
              <w:bidi w:val="0"/>
              <w:spacing w:line="360" w:lineRule="auto"/>
              <w:jc w:val="center"/>
              <w:outlineLvl w:val="9"/>
              <w:rPr>
                <w:rFonts w:ascii="宋体" w:hAnsi="宋体"/>
                <w:color w:val="000000" w:themeColor="text1"/>
                <w:sz w:val="24"/>
                <w:highlight w:val="none"/>
                <w14:textFill>
                  <w14:solidFill>
                    <w14:schemeClr w14:val="tx1"/>
                  </w14:solidFill>
                </w14:textFill>
              </w:rPr>
            </w:pPr>
          </w:p>
        </w:tc>
      </w:tr>
      <w:tr w14:paraId="1361C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829" w:type="dxa"/>
            <w:noWrap w:val="0"/>
            <w:vAlign w:val="center"/>
          </w:tcPr>
          <w:p w14:paraId="55F83CF2">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p>
        </w:tc>
        <w:tc>
          <w:tcPr>
            <w:tcW w:w="1353" w:type="dxa"/>
            <w:noWrap w:val="0"/>
            <w:vAlign w:val="center"/>
          </w:tcPr>
          <w:p w14:paraId="7B54F67E">
            <w:pPr>
              <w:overflowPunct/>
              <w:bidi w:val="0"/>
              <w:jc w:val="center"/>
              <w:outlineLvl w:val="9"/>
              <w:rPr>
                <w:rFonts w:ascii="宋体" w:hAnsi="宋体" w:cs="宋体"/>
                <w:color w:val="000000" w:themeColor="text1"/>
                <w:highlight w:val="none"/>
                <w14:textFill>
                  <w14:solidFill>
                    <w14:schemeClr w14:val="tx1"/>
                  </w14:solidFill>
                </w14:textFill>
              </w:rPr>
            </w:pPr>
          </w:p>
        </w:tc>
        <w:tc>
          <w:tcPr>
            <w:tcW w:w="1961" w:type="dxa"/>
            <w:noWrap w:val="0"/>
            <w:vAlign w:val="top"/>
          </w:tcPr>
          <w:p w14:paraId="6AC8C26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699" w:type="dxa"/>
            <w:noWrap w:val="0"/>
            <w:vAlign w:val="top"/>
          </w:tcPr>
          <w:p w14:paraId="57DD7AE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2075" w:type="dxa"/>
            <w:noWrap w:val="0"/>
            <w:vAlign w:val="top"/>
          </w:tcPr>
          <w:p w14:paraId="55F6AB8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702" w:type="dxa"/>
            <w:noWrap w:val="0"/>
            <w:vAlign w:val="top"/>
          </w:tcPr>
          <w:p w14:paraId="0E4E24A8">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0B6E7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829" w:type="dxa"/>
            <w:noWrap w:val="0"/>
            <w:vAlign w:val="center"/>
          </w:tcPr>
          <w:p w14:paraId="4D98CAC8">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w:t>
            </w:r>
          </w:p>
        </w:tc>
        <w:tc>
          <w:tcPr>
            <w:tcW w:w="1353" w:type="dxa"/>
            <w:noWrap w:val="0"/>
            <w:vAlign w:val="center"/>
          </w:tcPr>
          <w:p w14:paraId="27ECC319">
            <w:pPr>
              <w:overflowPunct/>
              <w:bidi w:val="0"/>
              <w:jc w:val="center"/>
              <w:outlineLvl w:val="9"/>
              <w:rPr>
                <w:rFonts w:ascii="宋体" w:hAnsi="宋体" w:cs="宋体"/>
                <w:color w:val="000000" w:themeColor="text1"/>
                <w:highlight w:val="none"/>
                <w14:textFill>
                  <w14:solidFill>
                    <w14:schemeClr w14:val="tx1"/>
                  </w14:solidFill>
                </w14:textFill>
              </w:rPr>
            </w:pPr>
          </w:p>
        </w:tc>
        <w:tc>
          <w:tcPr>
            <w:tcW w:w="1961" w:type="dxa"/>
            <w:noWrap w:val="0"/>
            <w:vAlign w:val="top"/>
          </w:tcPr>
          <w:p w14:paraId="7FDC5DF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699" w:type="dxa"/>
            <w:noWrap w:val="0"/>
            <w:vAlign w:val="top"/>
          </w:tcPr>
          <w:p w14:paraId="5B87DEA1">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2075" w:type="dxa"/>
            <w:noWrap w:val="0"/>
            <w:vAlign w:val="top"/>
          </w:tcPr>
          <w:p w14:paraId="2A599B2D">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702" w:type="dxa"/>
            <w:noWrap w:val="0"/>
            <w:vAlign w:val="top"/>
          </w:tcPr>
          <w:p w14:paraId="6AD92F7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3C3A4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829" w:type="dxa"/>
            <w:noWrap w:val="0"/>
            <w:vAlign w:val="center"/>
          </w:tcPr>
          <w:p w14:paraId="75D30860">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w:t>
            </w:r>
          </w:p>
        </w:tc>
        <w:tc>
          <w:tcPr>
            <w:tcW w:w="1353" w:type="dxa"/>
            <w:noWrap w:val="0"/>
            <w:vAlign w:val="center"/>
          </w:tcPr>
          <w:p w14:paraId="5BBCF8D9">
            <w:pPr>
              <w:overflowPunct/>
              <w:bidi w:val="0"/>
              <w:jc w:val="center"/>
              <w:outlineLvl w:val="9"/>
              <w:rPr>
                <w:rFonts w:ascii="宋体" w:hAnsi="宋体" w:cs="宋体"/>
                <w:color w:val="000000" w:themeColor="text1"/>
                <w:highlight w:val="none"/>
                <w14:textFill>
                  <w14:solidFill>
                    <w14:schemeClr w14:val="tx1"/>
                  </w14:solidFill>
                </w14:textFill>
              </w:rPr>
            </w:pPr>
          </w:p>
        </w:tc>
        <w:tc>
          <w:tcPr>
            <w:tcW w:w="1961" w:type="dxa"/>
            <w:noWrap w:val="0"/>
            <w:vAlign w:val="top"/>
          </w:tcPr>
          <w:p w14:paraId="0B9BD8DE">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699" w:type="dxa"/>
            <w:noWrap w:val="0"/>
            <w:vAlign w:val="top"/>
          </w:tcPr>
          <w:p w14:paraId="3399C97A">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2075" w:type="dxa"/>
            <w:noWrap w:val="0"/>
            <w:vAlign w:val="top"/>
          </w:tcPr>
          <w:p w14:paraId="0C3761D9">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702" w:type="dxa"/>
            <w:noWrap w:val="0"/>
            <w:vAlign w:val="top"/>
          </w:tcPr>
          <w:p w14:paraId="662B0E44">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06A5A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829" w:type="dxa"/>
            <w:noWrap w:val="0"/>
            <w:vAlign w:val="center"/>
          </w:tcPr>
          <w:p w14:paraId="227A1415">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w:t>
            </w:r>
          </w:p>
        </w:tc>
        <w:tc>
          <w:tcPr>
            <w:tcW w:w="1353" w:type="dxa"/>
            <w:noWrap w:val="0"/>
            <w:vAlign w:val="center"/>
          </w:tcPr>
          <w:p w14:paraId="0BDE8A85">
            <w:pPr>
              <w:overflowPunct/>
              <w:bidi w:val="0"/>
              <w:jc w:val="center"/>
              <w:outlineLvl w:val="9"/>
              <w:rPr>
                <w:rFonts w:ascii="宋体" w:hAnsi="宋体" w:cs="宋体"/>
                <w:color w:val="000000" w:themeColor="text1"/>
                <w:highlight w:val="none"/>
                <w14:textFill>
                  <w14:solidFill>
                    <w14:schemeClr w14:val="tx1"/>
                  </w14:solidFill>
                </w14:textFill>
              </w:rPr>
            </w:pPr>
          </w:p>
        </w:tc>
        <w:tc>
          <w:tcPr>
            <w:tcW w:w="1961" w:type="dxa"/>
            <w:noWrap w:val="0"/>
            <w:vAlign w:val="top"/>
          </w:tcPr>
          <w:p w14:paraId="682935A3">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699" w:type="dxa"/>
            <w:noWrap w:val="0"/>
            <w:vAlign w:val="top"/>
          </w:tcPr>
          <w:p w14:paraId="14469B3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2075" w:type="dxa"/>
            <w:noWrap w:val="0"/>
            <w:vAlign w:val="top"/>
          </w:tcPr>
          <w:p w14:paraId="19E44EEF">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702" w:type="dxa"/>
            <w:noWrap w:val="0"/>
            <w:vAlign w:val="top"/>
          </w:tcPr>
          <w:p w14:paraId="33775074">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r w14:paraId="23489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trPr>
        <w:tc>
          <w:tcPr>
            <w:tcW w:w="829" w:type="dxa"/>
            <w:noWrap w:val="0"/>
            <w:vAlign w:val="center"/>
          </w:tcPr>
          <w:p w14:paraId="462BF49A">
            <w:pPr>
              <w:overflowPunct/>
              <w:bidi w:val="0"/>
              <w:jc w:val="center"/>
              <w:outlineLvl w:val="9"/>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w:t>
            </w:r>
          </w:p>
        </w:tc>
        <w:tc>
          <w:tcPr>
            <w:tcW w:w="1353" w:type="dxa"/>
            <w:noWrap w:val="0"/>
            <w:vAlign w:val="center"/>
          </w:tcPr>
          <w:p w14:paraId="6B047D7A">
            <w:pPr>
              <w:overflowPunct/>
              <w:bidi w:val="0"/>
              <w:jc w:val="center"/>
              <w:outlineLvl w:val="9"/>
              <w:rPr>
                <w:rFonts w:ascii="宋体" w:hAnsi="宋体" w:cs="宋体"/>
                <w:color w:val="000000" w:themeColor="text1"/>
                <w:highlight w:val="none"/>
                <w14:textFill>
                  <w14:solidFill>
                    <w14:schemeClr w14:val="tx1"/>
                  </w14:solidFill>
                </w14:textFill>
              </w:rPr>
            </w:pPr>
          </w:p>
        </w:tc>
        <w:tc>
          <w:tcPr>
            <w:tcW w:w="1961" w:type="dxa"/>
            <w:noWrap w:val="0"/>
            <w:vAlign w:val="top"/>
          </w:tcPr>
          <w:p w14:paraId="629B6EA8">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699" w:type="dxa"/>
            <w:noWrap w:val="0"/>
            <w:vAlign w:val="top"/>
          </w:tcPr>
          <w:p w14:paraId="381200A0">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2075" w:type="dxa"/>
            <w:noWrap w:val="0"/>
            <w:vAlign w:val="top"/>
          </w:tcPr>
          <w:p w14:paraId="0A95860B">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c>
          <w:tcPr>
            <w:tcW w:w="1702" w:type="dxa"/>
            <w:noWrap w:val="0"/>
            <w:vAlign w:val="top"/>
          </w:tcPr>
          <w:p w14:paraId="114A03FD">
            <w:pPr>
              <w:overflowPunct/>
              <w:bidi w:val="0"/>
              <w:spacing w:before="120" w:after="120" w:line="360" w:lineRule="auto"/>
              <w:jc w:val="center"/>
              <w:outlineLvl w:val="9"/>
              <w:rPr>
                <w:rFonts w:ascii="宋体" w:hAnsi="宋体"/>
                <w:color w:val="000000" w:themeColor="text1"/>
                <w:sz w:val="32"/>
                <w:highlight w:val="none"/>
                <w14:textFill>
                  <w14:solidFill>
                    <w14:schemeClr w14:val="tx1"/>
                  </w14:solidFill>
                </w14:textFill>
              </w:rPr>
            </w:pPr>
          </w:p>
        </w:tc>
      </w:tr>
    </w:tbl>
    <w:p w14:paraId="44E1403C">
      <w:pPr>
        <w:overflowPunct/>
        <w:bidi w:val="0"/>
        <w:outlineLvl w:val="9"/>
        <w:rPr>
          <w:rFonts w:hint="eastAsia" w:ascii="宋体" w:hAnsi="宋体"/>
          <w:color w:val="000000" w:themeColor="text1"/>
          <w:sz w:val="24"/>
          <w:highlight w:val="none"/>
          <w14:textFill>
            <w14:solidFill>
              <w14:schemeClr w14:val="tx1"/>
            </w14:solidFill>
          </w14:textFill>
        </w:rPr>
      </w:pPr>
    </w:p>
    <w:p w14:paraId="7BE551B4">
      <w:pPr>
        <w:overflowPunct/>
        <w:bidi w:val="0"/>
        <w:outlineLvl w:val="9"/>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注：</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所提供的文件与磋商文件中的要求如有任何偏差，都应在“偏离表”中列出。若未在“偏离表”中列出，即使在响应文件其他地方写明与磋商文件要求有所不同，采购人也认同符合磋商文件最佳值的要求。</w:t>
      </w:r>
      <w:r>
        <w:rPr>
          <w:rFonts w:hint="eastAsia" w:ascii="宋体" w:hAnsi="宋体"/>
          <w:color w:val="000000" w:themeColor="text1"/>
          <w:sz w:val="24"/>
          <w:highlight w:val="none"/>
          <w:lang w:eastAsia="zh-CN"/>
          <w14:textFill>
            <w14:solidFill>
              <w14:schemeClr w14:val="tx1"/>
            </w14:solidFill>
          </w14:textFill>
        </w:rPr>
        <w:t>供应商</w:t>
      </w:r>
      <w:r>
        <w:rPr>
          <w:rFonts w:hint="eastAsia" w:ascii="宋体" w:hAnsi="宋体"/>
          <w:color w:val="000000" w:themeColor="text1"/>
          <w:sz w:val="24"/>
          <w:highlight w:val="none"/>
          <w14:textFill>
            <w14:solidFill>
              <w14:schemeClr w14:val="tx1"/>
            </w14:solidFill>
          </w14:textFill>
        </w:rPr>
        <w:t>成交后如据此提出疑义，不履行签订合同等下一步工作，采购人有权没收其磋商保证金。</w:t>
      </w:r>
    </w:p>
    <w:p w14:paraId="47F63D37">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1FA99911">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6A0689BD">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6BBE2BDC">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p>
    <w:p w14:paraId="29E171ED">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供应商：                    （公章）</w:t>
      </w:r>
    </w:p>
    <w:p w14:paraId="44F70502">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法定代表人或委托代理人：                （签字或盖章）</w:t>
      </w:r>
    </w:p>
    <w:p w14:paraId="642E94FC">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t>日    期：    年    月    日</w:t>
      </w:r>
    </w:p>
    <w:p w14:paraId="7F14F143">
      <w:pPr>
        <w:overflowPunct/>
        <w:bidi w:val="0"/>
        <w:outlineLvl w:val="9"/>
        <w:rPr>
          <w:rFonts w:hint="eastAsia" w:ascii="宋体" w:hAnsi="宋体" w:eastAsia="宋体" w:cs="Times New Roman"/>
          <w:color w:val="000000" w:themeColor="text1"/>
          <w:sz w:val="24"/>
          <w:highlight w:val="none"/>
          <w:lang w:eastAsia="zh-CN"/>
          <w14:textFill>
            <w14:solidFill>
              <w14:schemeClr w14:val="tx1"/>
            </w14:solidFill>
          </w14:textFill>
        </w:rPr>
      </w:pPr>
      <w:r>
        <w:rPr>
          <w:rFonts w:hint="eastAsia" w:ascii="宋体" w:hAnsi="宋体" w:eastAsia="宋体" w:cs="Times New Roman"/>
          <w:color w:val="000000" w:themeColor="text1"/>
          <w:sz w:val="24"/>
          <w:highlight w:val="none"/>
          <w:lang w:eastAsia="zh-CN"/>
          <w14:textFill>
            <w14:solidFill>
              <w14:schemeClr w14:val="tx1"/>
            </w14:solidFill>
          </w14:textFill>
        </w:rPr>
        <w:br w:type="page"/>
      </w:r>
    </w:p>
    <w:p w14:paraId="6B69CAFC">
      <w:pPr>
        <w:overflowPunct/>
        <w:bidi w:val="0"/>
        <w:spacing w:beforeLines="100" w:afterLines="50"/>
        <w:jc w:val="center"/>
        <w:outlineLvl w:val="9"/>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lang w:val="en-US" w:eastAsia="zh-CN"/>
          <w14:textFill>
            <w14:solidFill>
              <w14:schemeClr w14:val="tx1"/>
            </w14:solidFill>
          </w14:textFill>
        </w:rPr>
        <w:t>七</w:t>
      </w:r>
      <w:r>
        <w:rPr>
          <w:rFonts w:hint="eastAsia" w:ascii="宋体" w:hAnsi="宋体"/>
          <w:b/>
          <w:color w:val="000000" w:themeColor="text1"/>
          <w:sz w:val="32"/>
          <w:szCs w:val="32"/>
          <w:highlight w:val="none"/>
          <w14:textFill>
            <w14:solidFill>
              <w14:schemeClr w14:val="tx1"/>
            </w14:solidFill>
          </w14:textFill>
        </w:rPr>
        <w:t>、技术部分</w:t>
      </w:r>
    </w:p>
    <w:p w14:paraId="6F90CCFA">
      <w:pPr>
        <w:widowControl/>
        <w:overflowPunct/>
        <w:bidi w:val="0"/>
        <w:jc w:val="center"/>
        <w:outlineLvl w:val="9"/>
        <w:rPr>
          <w:rFonts w:ascii="宋体" w:hAnsi="宋体"/>
          <w:color w:val="000000" w:themeColor="text1"/>
          <w:sz w:val="21"/>
          <w:szCs w:val="21"/>
          <w:highlight w:val="none"/>
          <w14:textFill>
            <w14:solidFill>
              <w14:schemeClr w14:val="tx1"/>
            </w14:solidFill>
          </w14:textFill>
        </w:rPr>
        <w:sectPr>
          <w:pgSz w:w="11906" w:h="16838"/>
          <w:pgMar w:top="1440" w:right="1080" w:bottom="1440" w:left="1080" w:header="851" w:footer="992" w:gutter="0"/>
          <w:pgNumType w:fmt="decimal"/>
          <w:cols w:space="0" w:num="1"/>
          <w:docGrid w:type="lines" w:linePitch="312" w:charSpace="0"/>
        </w:sectPr>
      </w:pPr>
      <w:r>
        <w:rPr>
          <w:rFonts w:hint="eastAsia" w:ascii="宋体" w:hAnsi="宋体"/>
          <w:color w:val="000000" w:themeColor="text1"/>
          <w:sz w:val="21"/>
          <w:szCs w:val="21"/>
          <w:highlight w:val="none"/>
          <w14:textFill>
            <w14:solidFill>
              <w14:schemeClr w14:val="tx1"/>
            </w14:solidFill>
          </w14:textFill>
        </w:rPr>
        <w:t>供应商根据“评标办法”自行编写</w:t>
      </w:r>
      <w:r>
        <w:rPr>
          <w:rFonts w:ascii="宋体" w:hAnsi="宋体"/>
          <w:color w:val="000000" w:themeColor="text1"/>
          <w:sz w:val="21"/>
          <w:szCs w:val="21"/>
          <w:highlight w:val="none"/>
          <w14:textFill>
            <w14:solidFill>
              <w14:schemeClr w14:val="tx1"/>
            </w14:solidFill>
          </w14:textFill>
        </w:rPr>
        <w:br w:type="page"/>
      </w:r>
    </w:p>
    <w:p w14:paraId="553C1739">
      <w:pPr>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Times New Roman"/>
          <w:b/>
          <w:color w:val="000000" w:themeColor="text1"/>
          <w:sz w:val="32"/>
          <w:szCs w:val="32"/>
          <w:highlight w:val="none"/>
          <w:lang w:val="en-US" w:eastAsia="zh-CN"/>
          <w14:textFill>
            <w14:solidFill>
              <w14:schemeClr w14:val="tx1"/>
            </w14:solidFill>
          </w14:textFill>
        </w:rPr>
      </w:pPr>
      <w:r>
        <w:rPr>
          <w:rFonts w:hint="eastAsia" w:ascii="宋体" w:hAnsi="宋体" w:eastAsia="宋体" w:cs="Times New Roman"/>
          <w:b/>
          <w:color w:val="000000" w:themeColor="text1"/>
          <w:sz w:val="32"/>
          <w:szCs w:val="32"/>
          <w:highlight w:val="none"/>
          <w:lang w:val="en-US" w:eastAsia="zh-CN"/>
          <w14:textFill>
            <w14:solidFill>
              <w14:schemeClr w14:val="tx1"/>
            </w14:solidFill>
          </w14:textFill>
        </w:rPr>
        <w:t xml:space="preserve"> </w:t>
      </w:r>
      <w:r>
        <w:rPr>
          <w:rFonts w:hint="eastAsia" w:ascii="宋体" w:hAnsi="宋体" w:cs="Times New Roman"/>
          <w:b/>
          <w:color w:val="000000" w:themeColor="text1"/>
          <w:sz w:val="32"/>
          <w:szCs w:val="32"/>
          <w:highlight w:val="none"/>
          <w:lang w:val="en-US" w:eastAsia="zh-CN"/>
          <w14:textFill>
            <w14:solidFill>
              <w14:schemeClr w14:val="tx1"/>
            </w14:solidFill>
          </w14:textFill>
        </w:rPr>
        <w:t>八</w:t>
      </w:r>
      <w:r>
        <w:rPr>
          <w:rFonts w:hint="eastAsia" w:ascii="宋体" w:hAnsi="宋体" w:eastAsia="宋体" w:cs="Times New Roman"/>
          <w:b/>
          <w:color w:val="000000" w:themeColor="text1"/>
          <w:sz w:val="32"/>
          <w:szCs w:val="32"/>
          <w:highlight w:val="none"/>
          <w:lang w:val="en-US" w:eastAsia="zh-CN"/>
          <w14:textFill>
            <w14:solidFill>
              <w14:schemeClr w14:val="tx1"/>
            </w14:solidFill>
          </w14:textFill>
        </w:rPr>
        <w:t>、其他材料</w:t>
      </w:r>
    </w:p>
    <w:p w14:paraId="58E5C490">
      <w:pPr>
        <w:overflowPunct/>
        <w:bidi w:val="0"/>
        <w:spacing w:beforeLines="100" w:line="440" w:lineRule="exact"/>
        <w:ind w:firstLine="420" w:firstLineChars="200"/>
        <w:outlineLvl w:val="9"/>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一</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须知中要求应提供的各类承诺等相关材料，格式自拟</w:t>
      </w:r>
    </w:p>
    <w:p w14:paraId="239576AC">
      <w:pPr>
        <w:overflowPunct/>
        <w:bidi w:val="0"/>
        <w:spacing w:beforeLines="100" w:line="440" w:lineRule="exact"/>
        <w:ind w:firstLine="420" w:firstLineChars="200"/>
        <w:outlineLvl w:val="9"/>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二</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认为需要提供的其他资料</w:t>
      </w:r>
    </w:p>
    <w:p w14:paraId="7D12ED9E">
      <w:pPr>
        <w:widowControl/>
        <w:overflowPunct/>
        <w:bidi w:val="0"/>
        <w:jc w:val="left"/>
        <w:outlineLvl w:val="9"/>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br w:type="page"/>
      </w:r>
    </w:p>
    <w:p w14:paraId="34A49E96">
      <w:pPr>
        <w:widowControl/>
        <w:overflowPunct/>
        <w:bidi w:val="0"/>
        <w:jc w:val="both"/>
        <w:outlineLvl w:val="9"/>
        <w:rPr>
          <w:rFonts w:hint="eastAsia" w:ascii="宋体" w:hAnsi="宋体"/>
          <w:color w:val="000000" w:themeColor="text1"/>
          <w:sz w:val="32"/>
          <w:szCs w:val="32"/>
          <w:highlight w:val="none"/>
          <w:lang w:val="en-US" w:eastAsia="zh-CN"/>
          <w14:textFill>
            <w14:solidFill>
              <w14:schemeClr w14:val="tx1"/>
            </w14:solidFill>
          </w14:textFill>
        </w:rPr>
        <w:sectPr>
          <w:pgSz w:w="11906" w:h="16838"/>
          <w:pgMar w:top="1440" w:right="1080" w:bottom="1440" w:left="1080" w:header="851" w:footer="992" w:gutter="0"/>
          <w:pgNumType w:fmt="decimal"/>
          <w:cols w:space="0" w:num="1"/>
          <w:docGrid w:type="lines" w:linePitch="312" w:charSpace="0"/>
        </w:sectPr>
      </w:pPr>
    </w:p>
    <w:p w14:paraId="13EBC76E">
      <w:pPr>
        <w:overflowPunct/>
        <w:bidi w:val="0"/>
        <w:snapToGrid/>
        <w:spacing w:before="0" w:beforeAutospacing="0" w:after="0" w:afterAutospacing="0" w:line="240" w:lineRule="auto"/>
        <w:jc w:val="both"/>
        <w:textAlignment w:val="baseline"/>
        <w:outlineLvl w:val="9"/>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附件1中小企业声明函</w:t>
      </w:r>
    </w:p>
    <w:p w14:paraId="1D638ECB">
      <w:pPr>
        <w:numPr>
          <w:ilvl w:val="0"/>
          <w:numId w:val="0"/>
        </w:numPr>
        <w:overflowPunct/>
        <w:bidi w:val="0"/>
        <w:outlineLvl w:val="9"/>
        <w:rPr>
          <w:rFonts w:hint="eastAsia" w:ascii="宋体" w:hAnsi="宋体" w:eastAsia="宋体" w:cs="宋体"/>
          <w:color w:val="000000" w:themeColor="text1"/>
          <w:highlight w:val="none"/>
          <w:lang w:val="en-US" w:eastAsia="zh-CN"/>
          <w14:textFill>
            <w14:solidFill>
              <w14:schemeClr w14:val="tx1"/>
            </w14:solidFill>
          </w14:textFill>
        </w:rPr>
      </w:pPr>
    </w:p>
    <w:p w14:paraId="423194A6">
      <w:pPr>
        <w:overflowPunct/>
        <w:bidi w:val="0"/>
        <w:snapToGrid/>
        <w:spacing w:before="0" w:beforeAutospacing="0" w:after="0" w:afterAutospacing="0" w:line="240" w:lineRule="auto"/>
        <w:jc w:val="center"/>
        <w:textAlignment w:val="baseline"/>
        <w:outlineLvl w:val="9"/>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pPr>
      <w:r>
        <w:rPr>
          <w:rFonts w:hint="eastAsia" w:ascii="宋体" w:hAnsi="宋体" w:eastAsia="宋体" w:cs="宋体"/>
          <w:b/>
          <w:bCs/>
          <w:i w:val="0"/>
          <w:caps w:val="0"/>
          <w:color w:val="000000" w:themeColor="text1"/>
          <w:spacing w:val="0"/>
          <w:w w:val="100"/>
          <w:sz w:val="32"/>
          <w:szCs w:val="32"/>
          <w:highlight w:val="none"/>
          <w:lang w:eastAsia="zh-CN"/>
          <w14:textFill>
            <w14:solidFill>
              <w14:schemeClr w14:val="tx1"/>
            </w14:solidFill>
          </w14:textFill>
        </w:rPr>
        <w:t>中小企业声明函</w:t>
      </w:r>
    </w:p>
    <w:p w14:paraId="1BBDD140">
      <w:pPr>
        <w:pStyle w:val="16"/>
        <w:overflowPunct/>
        <w:bidi w:val="0"/>
        <w:snapToGrid/>
        <w:spacing w:before="0" w:beforeAutospacing="0" w:after="120" w:afterAutospacing="0" w:line="360" w:lineRule="auto"/>
        <w:ind w:left="0" w:right="0" w:firstLine="420" w:firstLineChars="200"/>
        <w:jc w:val="both"/>
        <w:textAlignment w:val="baseline"/>
        <w:outlineLvl w:val="9"/>
        <w:rPr>
          <w:rFonts w:hint="eastAsia" w:ascii="宋体" w:hAnsi="宋体" w:eastAsia="宋体" w:cs="宋体"/>
          <w:b w:val="0"/>
          <w:i w:val="0"/>
          <w:caps w:val="0"/>
          <w:color w:val="000000" w:themeColor="text1"/>
          <w:spacing w:val="0"/>
          <w:w w:val="100"/>
          <w:sz w:val="21"/>
          <w:highlight w:val="none"/>
          <w14:textFill>
            <w14:solidFill>
              <w14:schemeClr w14:val="tx1"/>
            </w14:solidFill>
          </w14:textFill>
        </w:rPr>
      </w:pPr>
    </w:p>
    <w:p w14:paraId="14605191">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本公司（联合体）郑重声明，根据《政府采购促进中小企业发展管理办法》（财库﹝2020﹞46 号）的规定，本公司（联合体）参加</w:t>
      </w:r>
      <w:r>
        <w:rPr>
          <w:rFonts w:hint="eastAsia" w:ascii="宋体" w:hAnsi="宋体" w:eastAsia="宋体" w:cs="宋体"/>
          <w:color w:val="auto"/>
          <w:kern w:val="0"/>
          <w:sz w:val="24"/>
          <w:szCs w:val="24"/>
          <w:highlight w:val="none"/>
          <w:u w:val="single"/>
        </w:rPr>
        <w:t xml:space="preserve">     （单位名称）</w:t>
      </w:r>
      <w:r>
        <w:rPr>
          <w:rFonts w:hint="eastAsia" w:ascii="宋体" w:hAnsi="宋体" w:eastAsia="宋体" w:cs="宋体"/>
          <w:color w:val="auto"/>
          <w:kern w:val="0"/>
          <w:sz w:val="24"/>
          <w:szCs w:val="24"/>
          <w:highlight w:val="none"/>
        </w:rPr>
        <w:t>的</w:t>
      </w:r>
      <w:r>
        <w:rPr>
          <w:rFonts w:hint="eastAsia" w:ascii="宋体" w:hAnsi="宋体" w:eastAsia="宋体" w:cs="宋体"/>
          <w:color w:val="auto"/>
          <w:kern w:val="0"/>
          <w:sz w:val="24"/>
          <w:szCs w:val="24"/>
          <w:highlight w:val="none"/>
          <w:u w:val="single"/>
        </w:rPr>
        <w:t xml:space="preserve">    （项目名称）</w:t>
      </w:r>
      <w:r>
        <w:rPr>
          <w:rFonts w:hint="eastAsia" w:ascii="宋体" w:hAnsi="宋体" w:eastAsia="宋体" w:cs="宋体"/>
          <w:color w:val="auto"/>
          <w:kern w:val="0"/>
          <w:sz w:val="24"/>
          <w:szCs w:val="24"/>
          <w:highlight w:val="none"/>
        </w:rPr>
        <w:t>采购活动，提供的</w:t>
      </w:r>
      <w:r>
        <w:rPr>
          <w:rFonts w:hint="eastAsia" w:ascii="宋体" w:hAnsi="宋体" w:eastAsia="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全部由符合政策要求的中小企业制造。相关企业（含联合体中的中小企业、签订分包意向协议的中小企业）的具体情况如下：</w:t>
      </w:r>
    </w:p>
    <w:p w14:paraId="21BDF34A">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u w:val="single"/>
        </w:rPr>
        <w:t xml:space="preserve">     （标的名称）</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（采购文件中明确的所属行业）</w:t>
      </w:r>
      <w:r>
        <w:rPr>
          <w:rFonts w:hint="eastAsia" w:ascii="宋体" w:hAnsi="宋体" w:eastAsia="宋体" w:cs="宋体"/>
          <w:color w:val="auto"/>
          <w:kern w:val="0"/>
          <w:sz w:val="24"/>
          <w:szCs w:val="24"/>
          <w:highlight w:val="none"/>
        </w:rPr>
        <w:t>行业；制造商为</w:t>
      </w:r>
      <w:r>
        <w:rPr>
          <w:rFonts w:hint="eastAsia" w:ascii="宋体" w:hAnsi="宋体" w:eastAsia="宋体" w:cs="宋体"/>
          <w:color w:val="auto"/>
          <w:kern w:val="0"/>
          <w:sz w:val="24"/>
          <w:szCs w:val="24"/>
          <w:highlight w:val="none"/>
          <w:u w:val="single"/>
        </w:rPr>
        <w:t xml:space="preserve">       （企业名称）</w:t>
      </w:r>
      <w:r>
        <w:rPr>
          <w:rFonts w:hint="eastAsia" w:ascii="宋体" w:hAnsi="宋体" w:eastAsia="宋体" w:cs="宋体"/>
          <w:color w:val="auto"/>
          <w:kern w:val="0"/>
          <w:sz w:val="24"/>
          <w:szCs w:val="24"/>
          <w:highlight w:val="none"/>
        </w:rPr>
        <w:t>，从业人员</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w:t>
      </w:r>
      <w:r>
        <w:rPr>
          <w:rFonts w:hint="eastAsia" w:ascii="宋体" w:hAnsi="宋体" w:eastAsia="宋体" w:cs="宋体"/>
          <w:color w:val="auto"/>
          <w:kern w:val="0"/>
          <w:sz w:val="24"/>
          <w:szCs w:val="24"/>
          <w:highlight w:val="none"/>
          <w:vertAlign w:val="superscript"/>
        </w:rPr>
        <w:t>1</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（中型企业、小型企业、微型企业）</w:t>
      </w:r>
      <w:r>
        <w:rPr>
          <w:rFonts w:hint="eastAsia" w:ascii="宋体" w:hAnsi="宋体" w:eastAsia="宋体" w:cs="宋体"/>
          <w:color w:val="auto"/>
          <w:kern w:val="0"/>
          <w:sz w:val="24"/>
          <w:szCs w:val="24"/>
          <w:highlight w:val="none"/>
        </w:rPr>
        <w:t>；</w:t>
      </w:r>
    </w:p>
    <w:p w14:paraId="6D0659CB">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u w:val="single"/>
        </w:rPr>
        <w:t xml:space="preserve">     （标的名称）</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（采购文件中明确的所属行业）</w:t>
      </w:r>
      <w:r>
        <w:rPr>
          <w:rFonts w:hint="eastAsia" w:ascii="宋体" w:hAnsi="宋体" w:eastAsia="宋体" w:cs="宋体"/>
          <w:color w:val="auto"/>
          <w:kern w:val="0"/>
          <w:sz w:val="24"/>
          <w:szCs w:val="24"/>
          <w:highlight w:val="none"/>
        </w:rPr>
        <w:t>行业；制造商为</w:t>
      </w:r>
      <w:r>
        <w:rPr>
          <w:rFonts w:hint="eastAsia" w:ascii="宋体" w:hAnsi="宋体" w:eastAsia="宋体" w:cs="宋体"/>
          <w:color w:val="auto"/>
          <w:kern w:val="0"/>
          <w:sz w:val="24"/>
          <w:szCs w:val="24"/>
          <w:highlight w:val="none"/>
          <w:u w:val="single"/>
        </w:rPr>
        <w:t xml:space="preserve">       （企业名称）</w:t>
      </w:r>
      <w:r>
        <w:rPr>
          <w:rFonts w:hint="eastAsia" w:ascii="宋体" w:hAnsi="宋体" w:eastAsia="宋体" w:cs="宋体"/>
          <w:color w:val="auto"/>
          <w:kern w:val="0"/>
          <w:sz w:val="24"/>
          <w:szCs w:val="24"/>
          <w:highlight w:val="none"/>
        </w:rPr>
        <w:t>，从业人员</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万元</w:t>
      </w:r>
      <w:r>
        <w:rPr>
          <w:rFonts w:hint="eastAsia" w:ascii="宋体" w:hAnsi="宋体" w:eastAsia="宋体" w:cs="宋体"/>
          <w:color w:val="auto"/>
          <w:kern w:val="0"/>
          <w:sz w:val="24"/>
          <w:szCs w:val="24"/>
          <w:highlight w:val="none"/>
          <w:vertAlign w:val="superscript"/>
        </w:rPr>
        <w:t>1</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rPr>
        <w:t xml:space="preserve">     （中型企业、小型企业、微型企业）</w:t>
      </w:r>
      <w:r>
        <w:rPr>
          <w:rFonts w:hint="eastAsia" w:ascii="宋体" w:hAnsi="宋体" w:eastAsia="宋体" w:cs="宋体"/>
          <w:color w:val="auto"/>
          <w:kern w:val="0"/>
          <w:sz w:val="24"/>
          <w:szCs w:val="24"/>
          <w:highlight w:val="none"/>
        </w:rPr>
        <w:t>；</w:t>
      </w:r>
    </w:p>
    <w:p w14:paraId="23BC2B72">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02E03308">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以上企业，不属于大企业的分支机构，不存在控股股东为大企业的情形，也不存在与大企业的负责人为同一人的情形。</w:t>
      </w:r>
    </w:p>
    <w:p w14:paraId="3AE45B2D">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本企业对上述声明内容的真实性负责。如有虚假，将依法承担相应责任。</w:t>
      </w:r>
    </w:p>
    <w:p w14:paraId="37A90DFF">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144791AF">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0146FF94">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ind w:firstLine="5280" w:firstLineChars="2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企业名称（盖章）：</w:t>
      </w:r>
    </w:p>
    <w:p w14:paraId="441FC05E">
      <w:pPr>
        <w:keepNext w:val="0"/>
        <w:keepLines w:val="0"/>
        <w:pageBreakBefore w:val="0"/>
        <w:widowControl/>
        <w:kinsoku/>
        <w:wordWrap/>
        <w:overflowPunct/>
        <w:topLinePunct w:val="0"/>
        <w:autoSpaceDE w:val="0"/>
        <w:autoSpaceDN w:val="0"/>
        <w:bidi w:val="0"/>
        <w:adjustRightInd w:val="0"/>
        <w:snapToGrid/>
        <w:spacing w:beforeAutospacing="0" w:afterAutospacing="0"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w:t>
      </w:r>
    </w:p>
    <w:p w14:paraId="380E7F6E">
      <w:pPr>
        <w:keepNext w:val="0"/>
        <w:keepLines w:val="0"/>
        <w:pageBreakBefore w:val="0"/>
        <w:widowControl/>
        <w:suppressLineNumbers w:val="0"/>
        <w:suppressAutoHyphens w:val="0"/>
        <w:kinsoku w:val="0"/>
        <w:wordWrap/>
        <w:overflowPunct/>
        <w:topLinePunct w:val="0"/>
        <w:autoSpaceDE w:val="0"/>
        <w:autoSpaceDN w:val="0"/>
        <w:bidi w:val="0"/>
        <w:adjustRightInd w:val="0"/>
        <w:snapToGrid w:val="0"/>
        <w:spacing w:before="75" w:beforeAutospacing="0" w:after="0" w:afterAutospacing="0" w:line="381" w:lineRule="auto"/>
        <w:ind w:left="5680" w:right="1620" w:hanging="37"/>
        <w:jc w:val="left"/>
        <w:textAlignment w:val="baseline"/>
        <w:outlineLvl w:val="9"/>
        <w:rPr>
          <w:rFonts w:hint="eastAsia" w:ascii="宋体" w:hAnsi="宋体" w:eastAsia="宋体" w:cs="宋体"/>
          <w:caps w:val="0"/>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auto"/>
          <w:kern w:val="0"/>
          <w:sz w:val="24"/>
          <w:szCs w:val="24"/>
          <w:highlight w:val="none"/>
        </w:rPr>
        <w:t>日 期：</w:t>
      </w:r>
    </w:p>
    <w:p w14:paraId="788714C8">
      <w:pPr>
        <w:pStyle w:val="16"/>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outlineLvl w:val="9"/>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pPr>
    </w:p>
    <w:p w14:paraId="68B9CFD5">
      <w:pPr>
        <w:pStyle w:val="16"/>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outlineLvl w:val="9"/>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pP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注：1</w:t>
      </w:r>
      <w:r>
        <w:rPr>
          <w:rFonts w:hint="eastAsia" w:ascii="宋体" w:hAnsi="宋体" w:eastAsia="宋体" w:cs="宋体"/>
          <w:b/>
          <w:i w:val="0"/>
          <w:caps w:val="0"/>
          <w:color w:val="000000" w:themeColor="text1"/>
          <w:spacing w:val="0"/>
          <w:w w:val="100"/>
          <w:sz w:val="21"/>
          <w:szCs w:val="21"/>
          <w:highlight w:val="none"/>
          <w:lang w:eastAsia="zh-CN"/>
          <w14:textFill>
            <w14:solidFill>
              <w14:schemeClr w14:val="tx1"/>
            </w14:solidFill>
          </w14:textFill>
        </w:rPr>
        <w:t>、</w:t>
      </w: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本次采购项目采购标的对应的中小企业划分标准所属行业为</w:t>
      </w:r>
      <w:r>
        <w:rPr>
          <w:rFonts w:hint="eastAsia" w:ascii="宋体" w:hAnsi="宋体" w:cs="宋体"/>
          <w:b/>
          <w:i w:val="0"/>
          <w:caps w:val="0"/>
          <w:color w:val="000000" w:themeColor="text1"/>
          <w:spacing w:val="0"/>
          <w:w w:val="100"/>
          <w:sz w:val="21"/>
          <w:szCs w:val="21"/>
          <w:highlight w:val="none"/>
          <w:lang w:val="en-US" w:eastAsia="zh-CN"/>
          <w14:textFill>
            <w14:solidFill>
              <w14:schemeClr w14:val="tx1"/>
            </w14:solidFill>
          </w14:textFill>
        </w:rPr>
        <w:t>商务服务</w:t>
      </w: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w:t>
      </w:r>
    </w:p>
    <w:p w14:paraId="52CB0175">
      <w:pPr>
        <w:pStyle w:val="16"/>
        <w:keepNext w:val="0"/>
        <w:keepLines w:val="0"/>
        <w:pageBreakBefore w:val="0"/>
        <w:widowControl w:val="0"/>
        <w:numPr>
          <w:ilvl w:val="0"/>
          <w:numId w:val="3"/>
        </w:numPr>
        <w:kinsoku/>
        <w:wordWrap/>
        <w:overflowPunct/>
        <w:topLinePunct w:val="0"/>
        <w:autoSpaceDE/>
        <w:autoSpaceDN/>
        <w:bidi w:val="0"/>
        <w:adjustRightInd/>
        <w:snapToGrid w:val="0"/>
        <w:spacing w:before="0" w:beforeAutospacing="0" w:afterAutospacing="0" w:line="480" w:lineRule="auto"/>
        <w:ind w:left="0" w:leftChars="0" w:right="0" w:firstLine="420" w:firstLineChars="0"/>
        <w:jc w:val="both"/>
        <w:textAlignment w:val="baseline"/>
        <w:outlineLvl w:val="9"/>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pPr>
      <w:r>
        <w:rPr>
          <w:rFonts w:hint="eastAsia" w:ascii="宋体" w:hAnsi="宋体" w:eastAsia="宋体" w:cs="宋体"/>
          <w:b/>
          <w:i w:val="0"/>
          <w:caps w:val="0"/>
          <w:color w:val="000000" w:themeColor="text1"/>
          <w:spacing w:val="0"/>
          <w:w w:val="100"/>
          <w:sz w:val="21"/>
          <w:szCs w:val="21"/>
          <w:highlight w:val="none"/>
          <w14:textFill>
            <w14:solidFill>
              <w14:schemeClr w14:val="tx1"/>
            </w14:solidFill>
          </w14:textFill>
        </w:rPr>
        <w:t>从业人员、营业收入、资产总额填报上一年度数据，无上一年度数据的新成立企业可不填报</w:t>
      </w:r>
    </w:p>
    <w:p w14:paraId="75E09EA4">
      <w:pPr>
        <w:pStyle w:val="16"/>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60" w:afterAutospacing="0" w:line="480" w:lineRule="auto"/>
        <w:ind w:right="63" w:rightChars="30"/>
        <w:jc w:val="both"/>
        <w:textAlignment w:val="baseline"/>
        <w:outlineLvl w:val="9"/>
        <w:rPr>
          <w:rFonts w:hint="eastAsia" w:ascii="宋体" w:hAnsi="宋体" w:eastAsia="宋体" w:cs="宋体"/>
          <w:b/>
          <w:i w:val="0"/>
          <w:caps w:val="0"/>
          <w:color w:val="000000" w:themeColor="text1"/>
          <w:spacing w:val="0"/>
          <w:w w:val="100"/>
          <w:sz w:val="21"/>
          <w:szCs w:val="21"/>
          <w:highlight w:val="none"/>
          <w:lang w:val="zh-CN"/>
          <w14:textFill>
            <w14:solidFill>
              <w14:schemeClr w14:val="tx1"/>
            </w14:solidFill>
          </w14:textFill>
        </w:rPr>
      </w:pPr>
    </w:p>
    <w:p w14:paraId="3F9257E2">
      <w:pPr>
        <w:pStyle w:val="16"/>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60" w:afterAutospacing="0" w:line="480" w:lineRule="auto"/>
        <w:ind w:right="63" w:rightChars="30"/>
        <w:jc w:val="both"/>
        <w:textAlignment w:val="baseline"/>
        <w:outlineLvl w:val="9"/>
        <w:rPr>
          <w:rFonts w:hint="eastAsia" w:ascii="宋体" w:hAnsi="宋体" w:eastAsia="宋体" w:cs="宋体"/>
          <w:b/>
          <w:i w:val="0"/>
          <w:caps w:val="0"/>
          <w:color w:val="000000" w:themeColor="text1"/>
          <w:spacing w:val="0"/>
          <w:w w:val="100"/>
          <w:sz w:val="21"/>
          <w:szCs w:val="21"/>
          <w:highlight w:val="none"/>
          <w:lang w:val="zh-CN"/>
          <w14:textFill>
            <w14:solidFill>
              <w14:schemeClr w14:val="tx1"/>
            </w14:solidFill>
          </w14:textFill>
        </w:rPr>
      </w:pPr>
    </w:p>
    <w:p w14:paraId="46BBE4EC">
      <w:pPr>
        <w:pStyle w:val="16"/>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60" w:afterAutospacing="0" w:line="480" w:lineRule="auto"/>
        <w:ind w:right="63" w:rightChars="30"/>
        <w:jc w:val="both"/>
        <w:textAlignment w:val="baseline"/>
        <w:outlineLvl w:val="9"/>
        <w:rPr>
          <w:rFonts w:hint="eastAsia" w:ascii="宋体" w:hAnsi="宋体" w:eastAsia="宋体" w:cs="宋体"/>
          <w:b/>
          <w:i w:val="0"/>
          <w:caps w:val="0"/>
          <w:color w:val="000000" w:themeColor="text1"/>
          <w:spacing w:val="0"/>
          <w:w w:val="100"/>
          <w:sz w:val="21"/>
          <w:szCs w:val="21"/>
          <w:highlight w:val="none"/>
          <w:lang w:val="zh-CN"/>
          <w14:textFill>
            <w14:solidFill>
              <w14:schemeClr w14:val="tx1"/>
            </w14:solidFill>
          </w14:textFill>
        </w:rPr>
      </w:pPr>
    </w:p>
    <w:p w14:paraId="19B9786F">
      <w:pPr>
        <w:pStyle w:val="21"/>
        <w:pageBreakBefore w:val="0"/>
        <w:numPr>
          <w:ilvl w:val="0"/>
          <w:numId w:val="0"/>
        </w:numPr>
        <w:kinsoku/>
        <w:wordWrap/>
        <w:overflowPunct/>
        <w:topLinePunct w:val="0"/>
        <w:bidi w:val="0"/>
        <w:jc w:val="both"/>
        <w:outlineLvl w:val="9"/>
        <w:rPr>
          <w:rFonts w:hint="eastAsia"/>
          <w:color w:val="auto"/>
          <w:sz w:val="24"/>
          <w:highlight w:val="none"/>
          <w:lang w:val="en-US" w:eastAsia="zh-CN"/>
        </w:rPr>
      </w:pPr>
      <w:r>
        <w:rPr>
          <w:rFonts w:hint="eastAsia"/>
          <w:color w:val="auto"/>
          <w:sz w:val="24"/>
          <w:highlight w:val="none"/>
          <w:lang w:eastAsia="zh-CN"/>
        </w:rPr>
        <w:t>附件</w:t>
      </w:r>
      <w:r>
        <w:rPr>
          <w:rFonts w:hint="eastAsia"/>
          <w:color w:val="auto"/>
          <w:sz w:val="24"/>
          <w:highlight w:val="none"/>
          <w:lang w:val="en-US" w:eastAsia="zh-CN"/>
        </w:rPr>
        <w:t>1：</w:t>
      </w:r>
    </w:p>
    <w:p w14:paraId="2BD15874">
      <w:pPr>
        <w:pStyle w:val="21"/>
        <w:pageBreakBefore w:val="0"/>
        <w:kinsoku/>
        <w:wordWrap/>
        <w:overflowPunct/>
        <w:topLinePunct w:val="0"/>
        <w:bidi w:val="0"/>
        <w:jc w:val="both"/>
        <w:outlineLvl w:val="9"/>
        <w:rPr>
          <w:rFonts w:hint="eastAsia"/>
          <w:color w:val="auto"/>
          <w:sz w:val="24"/>
          <w:highlight w:val="none"/>
          <w:lang w:val="en-US" w:eastAsia="zh-CN"/>
        </w:rPr>
      </w:pPr>
    </w:p>
    <w:p w14:paraId="180C9102">
      <w:pPr>
        <w:spacing w:line="315"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lang w:eastAsia="zh-CN"/>
        </w:rPr>
        <w:t>二次</w:t>
      </w:r>
      <w:r>
        <w:rPr>
          <w:rFonts w:hint="eastAsia" w:ascii="宋体" w:hAnsi="宋体" w:cs="宋体"/>
          <w:color w:val="auto"/>
          <w:sz w:val="32"/>
          <w:szCs w:val="32"/>
          <w:highlight w:val="none"/>
        </w:rPr>
        <w:t>报价表</w:t>
      </w:r>
    </w:p>
    <w:p w14:paraId="2F282BB9">
      <w:pPr>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项目名称：                       </w:t>
      </w:r>
    </w:p>
    <w:p w14:paraId="646DA9CB">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项目</w:t>
      </w:r>
      <w:r>
        <w:rPr>
          <w:rFonts w:hint="eastAsia" w:ascii="宋体" w:hAnsi="宋体" w:cs="宋体"/>
          <w:color w:val="auto"/>
          <w:sz w:val="24"/>
          <w:szCs w:val="24"/>
          <w:highlight w:val="none"/>
        </w:rPr>
        <w:t>编号：</w:t>
      </w:r>
      <w:r>
        <w:rPr>
          <w:rFonts w:hint="eastAsia" w:ascii="宋体" w:hAnsi="宋体" w:cs="宋体"/>
          <w:bCs/>
          <w:color w:val="auto"/>
          <w:sz w:val="24"/>
          <w:szCs w:val="24"/>
          <w:highlight w:val="none"/>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5728"/>
      </w:tblGrid>
      <w:tr w14:paraId="348B9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0" w:hRule="exact"/>
          <w:jc w:val="center"/>
        </w:trPr>
        <w:tc>
          <w:tcPr>
            <w:tcW w:w="3099" w:type="dxa"/>
            <w:noWrap w:val="0"/>
            <w:vAlign w:val="center"/>
          </w:tcPr>
          <w:p w14:paraId="10B89E61">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供应商单位</w:t>
            </w:r>
            <w:r>
              <w:rPr>
                <w:rFonts w:hint="eastAsia" w:ascii="宋体" w:hAnsi="宋体" w:cs="宋体"/>
                <w:color w:val="auto"/>
                <w:sz w:val="24"/>
                <w:szCs w:val="24"/>
                <w:highlight w:val="none"/>
              </w:rPr>
              <w:t>名称</w:t>
            </w:r>
          </w:p>
        </w:tc>
        <w:tc>
          <w:tcPr>
            <w:tcW w:w="5728" w:type="dxa"/>
            <w:tcBorders>
              <w:right w:val="single" w:color="auto" w:sz="4" w:space="0"/>
            </w:tcBorders>
            <w:noWrap w:val="0"/>
            <w:vAlign w:val="center"/>
          </w:tcPr>
          <w:p w14:paraId="59D846A5">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二次</w:t>
            </w:r>
            <w:r>
              <w:rPr>
                <w:rFonts w:hint="eastAsia" w:ascii="宋体" w:hAnsi="宋体" w:cs="宋体"/>
                <w:color w:val="auto"/>
                <w:sz w:val="24"/>
                <w:szCs w:val="24"/>
                <w:highlight w:val="none"/>
              </w:rPr>
              <w:t xml:space="preserve">报价  </w:t>
            </w:r>
          </w:p>
          <w:p w14:paraId="440994B3">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元</w:t>
            </w:r>
            <w:r>
              <w:rPr>
                <w:rFonts w:hint="eastAsia" w:ascii="宋体" w:hAnsi="宋体" w:cs="宋体"/>
                <w:color w:val="auto"/>
                <w:sz w:val="24"/>
                <w:szCs w:val="24"/>
                <w:highlight w:val="none"/>
              </w:rPr>
              <w:t>）</w:t>
            </w:r>
          </w:p>
        </w:tc>
      </w:tr>
      <w:tr w14:paraId="56126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2" w:hRule="exact"/>
          <w:jc w:val="center"/>
        </w:trPr>
        <w:tc>
          <w:tcPr>
            <w:tcW w:w="3099" w:type="dxa"/>
            <w:noWrap w:val="0"/>
            <w:vAlign w:val="center"/>
          </w:tcPr>
          <w:p w14:paraId="5F716C61">
            <w:pPr>
              <w:spacing w:line="360" w:lineRule="auto"/>
              <w:rPr>
                <w:rFonts w:hint="eastAsia" w:ascii="宋体" w:hAnsi="宋体" w:cs="宋体"/>
                <w:color w:val="auto"/>
                <w:sz w:val="24"/>
                <w:szCs w:val="24"/>
                <w:highlight w:val="none"/>
              </w:rPr>
            </w:pPr>
          </w:p>
        </w:tc>
        <w:tc>
          <w:tcPr>
            <w:tcW w:w="5728" w:type="dxa"/>
            <w:tcBorders>
              <w:right w:val="single" w:color="auto" w:sz="4" w:space="0"/>
            </w:tcBorders>
            <w:noWrap w:val="0"/>
            <w:vAlign w:val="center"/>
          </w:tcPr>
          <w:p w14:paraId="1D7D06D9">
            <w:pPr>
              <w:spacing w:line="360" w:lineRule="auto"/>
              <w:jc w:val="center"/>
              <w:rPr>
                <w:rFonts w:hint="eastAsia" w:ascii="宋体" w:hAnsi="宋体" w:cs="宋体"/>
                <w:color w:val="auto"/>
                <w:sz w:val="24"/>
                <w:szCs w:val="24"/>
                <w:highlight w:val="none"/>
              </w:rPr>
            </w:pPr>
          </w:p>
        </w:tc>
      </w:tr>
    </w:tbl>
    <w:p w14:paraId="16B15770">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备注：1、此表不需填写，不需放入响应文件格式内。</w:t>
      </w:r>
    </w:p>
    <w:p w14:paraId="28EA6A1C">
      <w:pPr>
        <w:spacing w:line="360" w:lineRule="auto"/>
        <w:ind w:firstLine="705" w:firstLineChars="294"/>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2、此表为通过初步审查合格的投标供应商按照磋商要求，现场填写。</w:t>
      </w:r>
    </w:p>
    <w:p w14:paraId="4603C6D4">
      <w:pPr>
        <w:pStyle w:val="120"/>
        <w:ind w:firstLine="720" w:firstLineChars="3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3、参加磋商的供应商最终报价不得高于其首轮报价。</w:t>
      </w:r>
    </w:p>
    <w:p w14:paraId="3A88E3B5">
      <w:pPr>
        <w:spacing w:line="315" w:lineRule="auto"/>
        <w:ind w:firstLine="480" w:firstLineChars="200"/>
        <w:rPr>
          <w:rFonts w:hint="eastAsia" w:ascii="宋体" w:hAnsi="宋体" w:cs="宋体"/>
          <w:color w:val="auto"/>
          <w:sz w:val="24"/>
          <w:szCs w:val="24"/>
          <w:highlight w:val="none"/>
        </w:rPr>
      </w:pPr>
    </w:p>
    <w:p w14:paraId="1C217202">
      <w:pPr>
        <w:spacing w:line="48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w:t>
      </w:r>
    </w:p>
    <w:p w14:paraId="3F5EEB0B">
      <w:pPr>
        <w:spacing w:line="480" w:lineRule="auto"/>
        <w:ind w:firstLine="480" w:firstLineChars="200"/>
        <w:rPr>
          <w:rFonts w:hint="eastAsia" w:ascii="宋体" w:hAnsi="宋体" w:cs="宋体"/>
          <w:color w:val="auto"/>
          <w:sz w:val="24"/>
          <w:szCs w:val="24"/>
          <w:highlight w:val="none"/>
        </w:rPr>
      </w:pPr>
    </w:p>
    <w:p w14:paraId="0777774B">
      <w:pPr>
        <w:spacing w:line="480" w:lineRule="auto"/>
        <w:ind w:firstLine="2880" w:firstLineChars="1200"/>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授权代表签字：</w:t>
      </w:r>
      <w:r>
        <w:rPr>
          <w:rFonts w:hint="eastAsia" w:ascii="宋体" w:hAnsi="宋体" w:cs="宋体"/>
          <w:color w:val="auto"/>
          <w:sz w:val="24"/>
          <w:szCs w:val="24"/>
          <w:highlight w:val="none"/>
          <w:u w:val="single"/>
        </w:rPr>
        <w:t>　　　　　　　　　　　　</w:t>
      </w:r>
    </w:p>
    <w:p w14:paraId="5BE35E4B">
      <w:pPr>
        <w:pStyle w:val="16"/>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60" w:afterAutospacing="0" w:line="480" w:lineRule="auto"/>
        <w:ind w:right="63" w:rightChars="30"/>
        <w:jc w:val="both"/>
        <w:textAlignment w:val="baseline"/>
        <w:outlineLvl w:val="9"/>
        <w:rPr>
          <w:rFonts w:hint="eastAsia" w:ascii="宋体" w:hAnsi="宋体" w:eastAsia="宋体" w:cs="宋体"/>
          <w:b/>
          <w:i w:val="0"/>
          <w:caps w:val="0"/>
          <w:color w:val="000000" w:themeColor="text1"/>
          <w:spacing w:val="0"/>
          <w:w w:val="100"/>
          <w:sz w:val="21"/>
          <w:szCs w:val="21"/>
          <w:highlight w:val="none"/>
          <w:lang w:val="en-US" w:eastAsia="zh-CN"/>
          <w14:textFill>
            <w14:solidFill>
              <w14:schemeClr w14:val="tx1"/>
            </w14:solidFill>
          </w14:textFill>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 xml:space="preserve"> 日       期：</w:t>
      </w:r>
      <w:r>
        <w:rPr>
          <w:rFonts w:hint="eastAsia" w:ascii="宋体" w:hAnsi="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p>
    <w:sectPr>
      <w:pgSz w:w="11906" w:h="16838"/>
      <w:pgMar w:top="1134" w:right="1418" w:bottom="1134" w:left="1418" w:header="851" w:footer="851"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24C3727-C07D-4907-9636-501BE8A2765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DE47C140-9069-4079-B6E8-D0A47DBF2296}"/>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NewRomanPSMT">
    <w:altName w:val="宋体"/>
    <w:panose1 w:val="00000000000000000000"/>
    <w:charset w:val="00"/>
    <w:family w:val="roman"/>
    <w:pitch w:val="default"/>
    <w:sig w:usb0="00000000" w:usb1="00000000" w:usb2="0000001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roman"/>
    <w:pitch w:val="default"/>
    <w:sig w:usb0="00000000" w:usb1="00000000" w:usb2="0000003F" w:usb3="00000000" w:csb0="603F01FF" w:csb1="FFFF0000"/>
  </w:font>
  <w:font w:name="微软雅黑">
    <w:panose1 w:val="020B0503020204020204"/>
    <w:charset w:val="86"/>
    <w:family w:val="swiss"/>
    <w:pitch w:val="default"/>
    <w:sig w:usb0="80000287" w:usb1="2ACF3C50" w:usb2="00000016" w:usb3="00000000" w:csb0="0004001F" w:csb1="00000000"/>
    <w:embedRegular r:id="rId3" w:fontKey="{D17D7C87-B386-4204-9D37-4B98BD0FFAA9}"/>
  </w:font>
  <w:font w:name="Wingdings 2">
    <w:panose1 w:val="05020102010507070707"/>
    <w:charset w:val="02"/>
    <w:family w:val="auto"/>
    <w:pitch w:val="default"/>
    <w:sig w:usb0="00000000" w:usb1="00000000" w:usb2="00000000" w:usb3="00000000" w:csb0="80000000" w:csb1="00000000"/>
    <w:embedRegular r:id="rId4" w:fontKey="{31A939BD-6B0C-4A39-A4C8-5C80B7EF2D8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CA548">
    <w:pPr>
      <w:pStyle w:val="25"/>
      <w:framePr w:wrap="around" w:vAnchor="text" w:hAnchor="margin" w:xAlign="center" w:y="1"/>
      <w:rPr>
        <w:rStyle w:val="42"/>
      </w:rPr>
    </w:pPr>
    <w:r>
      <w:fldChar w:fldCharType="begin"/>
    </w:r>
    <w:r>
      <w:rPr>
        <w:rStyle w:val="42"/>
      </w:rPr>
      <w:instrText xml:space="preserve">PAGE  </w:instrText>
    </w:r>
    <w:r>
      <w:fldChar w:fldCharType="separate"/>
    </w:r>
    <w:r>
      <w:rPr>
        <w:rStyle w:val="42"/>
      </w:rPr>
      <w:t>78</w:t>
    </w:r>
    <w:r>
      <w:fldChar w:fldCharType="end"/>
    </w:r>
  </w:p>
  <w:p w14:paraId="5A25040F">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DFFC3">
    <w:pPr>
      <w:pStyle w:val="25"/>
      <w:tabs>
        <w:tab w:val="left" w:pos="6795"/>
        <w:tab w:val="center" w:pos="6979"/>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E4C6D">
    <w:pPr>
      <w:pStyle w:val="2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12A7E1">
    <w:pPr>
      <w:pStyle w:val="2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64A3E7">
                          <w:pPr>
                            <w:pStyle w:val="2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864A3E7">
                    <w:pPr>
                      <w:pStyle w:val="2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28093">
    <w:pPr>
      <w:pStyle w:val="2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F625C9">
                          <w:pPr>
                            <w:pStyle w:val="2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1F625C9">
                    <w:pPr>
                      <w:pStyle w:val="2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E3E5B">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73285">
    <w:pPr>
      <w:pStyle w:val="2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42CF4">
    <w:pPr>
      <w:pStyle w:val="2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19E3ED"/>
    <w:multiLevelType w:val="multilevel"/>
    <w:tmpl w:val="AD19E3ED"/>
    <w:lvl w:ilvl="0" w:tentative="0">
      <w:start w:val="1"/>
      <w:numFmt w:val="chineseCounting"/>
      <w:pStyle w:val="2"/>
      <w:suff w:val="nothing"/>
      <w:lvlText w:val="第%1章 "/>
      <w:lvlJc w:val="left"/>
      <w:pPr>
        <w:ind w:left="0" w:firstLine="402"/>
      </w:pPr>
      <w:rPr>
        <w:rFonts w:hint="eastAsia"/>
        <w:sz w:val="44"/>
        <w:szCs w:val="44"/>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0000000E"/>
    <w:multiLevelType w:val="multilevel"/>
    <w:tmpl w:val="0000000E"/>
    <w:lvl w:ilvl="0" w:tentative="0">
      <w:start w:val="1"/>
      <w:numFmt w:val="bullet"/>
      <w:pStyle w:val="11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2">
    <w:nsid w:val="15099E39"/>
    <w:multiLevelType w:val="singleLevel"/>
    <w:tmpl w:val="15099E39"/>
    <w:lvl w:ilvl="0" w:tentative="0">
      <w:start w:val="7"/>
      <w:numFmt w:val="chineseCounting"/>
      <w:suff w:val="nothing"/>
      <w:lvlText w:val="%1、"/>
      <w:lvlJc w:val="left"/>
      <w:rPr>
        <w:rFonts w:hint="eastAsia"/>
      </w:rPr>
    </w:lvl>
  </w:abstractNum>
  <w:abstractNum w:abstractNumId="3">
    <w:nsid w:val="19D5E081"/>
    <w:multiLevelType w:val="singleLevel"/>
    <w:tmpl w:val="19D5E081"/>
    <w:lvl w:ilvl="0" w:tentative="0">
      <w:start w:val="4"/>
      <w:numFmt w:val="chineseCounting"/>
      <w:suff w:val="space"/>
      <w:lvlText w:val="第%1章"/>
      <w:lvlJc w:val="left"/>
      <w:rPr>
        <w:rFonts w:hint="eastAsia"/>
      </w:rPr>
    </w:lvl>
  </w:abstractNum>
  <w:abstractNum w:abstractNumId="4">
    <w:nsid w:val="4EEB5ED9"/>
    <w:multiLevelType w:val="singleLevel"/>
    <w:tmpl w:val="4EEB5ED9"/>
    <w:lvl w:ilvl="0" w:tentative="0">
      <w:start w:val="1"/>
      <w:numFmt w:val="decimal"/>
      <w:lvlText w:val="%1."/>
      <w:lvlJc w:val="left"/>
      <w:pPr>
        <w:tabs>
          <w:tab w:val="left" w:pos="312"/>
        </w:tabs>
      </w:pPr>
    </w:lvl>
  </w:abstractNum>
  <w:abstractNum w:abstractNumId="5">
    <w:nsid w:val="77921E00"/>
    <w:multiLevelType w:val="singleLevel"/>
    <w:tmpl w:val="77921E00"/>
    <w:lvl w:ilvl="0" w:tentative="0">
      <w:start w:val="1"/>
      <w:numFmt w:val="decimal"/>
      <w:suff w:val="nothing"/>
      <w:lvlText w:val="（%1）"/>
      <w:lvlJc w:val="left"/>
    </w:lvl>
  </w:abstractNum>
  <w:abstractNum w:abstractNumId="6">
    <w:nsid w:val="7A55EF4A"/>
    <w:multiLevelType w:val="singleLevel"/>
    <w:tmpl w:val="7A55EF4A"/>
    <w:lvl w:ilvl="0" w:tentative="0">
      <w:start w:val="1"/>
      <w:numFmt w:val="decimal"/>
      <w:suff w:val="nothing"/>
      <w:lvlText w:val="%1、"/>
      <w:lvlJc w:val="left"/>
    </w:lvl>
  </w:abstractNum>
  <w:num w:numId="1">
    <w:abstractNumId w:val="0"/>
  </w:num>
  <w:num w:numId="2">
    <w:abstractNumId w:val="1"/>
  </w:num>
  <w:num w:numId="3">
    <w:abstractNumId w:val="6"/>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1NmJjMjFiNTQ1OTkyZmQxZWRhNmFjMmJmZjRlMDYifQ=="/>
  </w:docVars>
  <w:rsids>
    <w:rsidRoot w:val="00172A27"/>
    <w:rsid w:val="0000127A"/>
    <w:rsid w:val="000046E4"/>
    <w:rsid w:val="0000600D"/>
    <w:rsid w:val="00010974"/>
    <w:rsid w:val="00010D74"/>
    <w:rsid w:val="00011097"/>
    <w:rsid w:val="000125FF"/>
    <w:rsid w:val="00014BD2"/>
    <w:rsid w:val="000151D0"/>
    <w:rsid w:val="0002006B"/>
    <w:rsid w:val="000200E6"/>
    <w:rsid w:val="000219C1"/>
    <w:rsid w:val="000222C3"/>
    <w:rsid w:val="0003050C"/>
    <w:rsid w:val="00032252"/>
    <w:rsid w:val="00032C03"/>
    <w:rsid w:val="00032CE7"/>
    <w:rsid w:val="00033098"/>
    <w:rsid w:val="0003309A"/>
    <w:rsid w:val="000344EB"/>
    <w:rsid w:val="00037005"/>
    <w:rsid w:val="00037FA1"/>
    <w:rsid w:val="00040207"/>
    <w:rsid w:val="00040C2A"/>
    <w:rsid w:val="000415BC"/>
    <w:rsid w:val="00041A17"/>
    <w:rsid w:val="0004360F"/>
    <w:rsid w:val="000436B4"/>
    <w:rsid w:val="00044E26"/>
    <w:rsid w:val="00045457"/>
    <w:rsid w:val="00046B26"/>
    <w:rsid w:val="0005142E"/>
    <w:rsid w:val="00053CE3"/>
    <w:rsid w:val="00053D32"/>
    <w:rsid w:val="000564DD"/>
    <w:rsid w:val="000571DB"/>
    <w:rsid w:val="00060D3F"/>
    <w:rsid w:val="00061102"/>
    <w:rsid w:val="00062204"/>
    <w:rsid w:val="00062361"/>
    <w:rsid w:val="00062603"/>
    <w:rsid w:val="000640F9"/>
    <w:rsid w:val="000646A3"/>
    <w:rsid w:val="00066E42"/>
    <w:rsid w:val="00072E30"/>
    <w:rsid w:val="000749B0"/>
    <w:rsid w:val="00083EEE"/>
    <w:rsid w:val="00084F26"/>
    <w:rsid w:val="000861E8"/>
    <w:rsid w:val="00086E4F"/>
    <w:rsid w:val="00086FA6"/>
    <w:rsid w:val="0009068A"/>
    <w:rsid w:val="00092B68"/>
    <w:rsid w:val="00095698"/>
    <w:rsid w:val="00095CE3"/>
    <w:rsid w:val="000966F1"/>
    <w:rsid w:val="000A06E4"/>
    <w:rsid w:val="000A0823"/>
    <w:rsid w:val="000A229C"/>
    <w:rsid w:val="000A4704"/>
    <w:rsid w:val="000A610B"/>
    <w:rsid w:val="000A7E4A"/>
    <w:rsid w:val="000B00B7"/>
    <w:rsid w:val="000B07E4"/>
    <w:rsid w:val="000B19CA"/>
    <w:rsid w:val="000B552C"/>
    <w:rsid w:val="000C4DBE"/>
    <w:rsid w:val="000C5BCA"/>
    <w:rsid w:val="000D1CD0"/>
    <w:rsid w:val="000D78B7"/>
    <w:rsid w:val="000E0C7D"/>
    <w:rsid w:val="000E110B"/>
    <w:rsid w:val="000E15BE"/>
    <w:rsid w:val="000E1BA4"/>
    <w:rsid w:val="000E1D72"/>
    <w:rsid w:val="000E2328"/>
    <w:rsid w:val="000E344B"/>
    <w:rsid w:val="000E5FEC"/>
    <w:rsid w:val="000F25C5"/>
    <w:rsid w:val="000F298B"/>
    <w:rsid w:val="000F356D"/>
    <w:rsid w:val="000F3915"/>
    <w:rsid w:val="000F3A51"/>
    <w:rsid w:val="000F6D32"/>
    <w:rsid w:val="000F71F0"/>
    <w:rsid w:val="000F72C9"/>
    <w:rsid w:val="000F78AE"/>
    <w:rsid w:val="000F7D3F"/>
    <w:rsid w:val="00100761"/>
    <w:rsid w:val="00101FFF"/>
    <w:rsid w:val="0010598A"/>
    <w:rsid w:val="00111685"/>
    <w:rsid w:val="00120AAE"/>
    <w:rsid w:val="00121240"/>
    <w:rsid w:val="00122ED0"/>
    <w:rsid w:val="00123224"/>
    <w:rsid w:val="0012586A"/>
    <w:rsid w:val="00130B36"/>
    <w:rsid w:val="00133DC7"/>
    <w:rsid w:val="001347DE"/>
    <w:rsid w:val="00136E66"/>
    <w:rsid w:val="00140E32"/>
    <w:rsid w:val="00142E14"/>
    <w:rsid w:val="001438F5"/>
    <w:rsid w:val="00146C4A"/>
    <w:rsid w:val="00147B57"/>
    <w:rsid w:val="001512A3"/>
    <w:rsid w:val="00152F88"/>
    <w:rsid w:val="00154C6F"/>
    <w:rsid w:val="00156533"/>
    <w:rsid w:val="00164525"/>
    <w:rsid w:val="001658AF"/>
    <w:rsid w:val="0016618E"/>
    <w:rsid w:val="00166ED5"/>
    <w:rsid w:val="00171BE9"/>
    <w:rsid w:val="00172280"/>
    <w:rsid w:val="00172A27"/>
    <w:rsid w:val="00172BD7"/>
    <w:rsid w:val="001744F6"/>
    <w:rsid w:val="001750C6"/>
    <w:rsid w:val="001757BF"/>
    <w:rsid w:val="001773FD"/>
    <w:rsid w:val="00180575"/>
    <w:rsid w:val="001814BE"/>
    <w:rsid w:val="0018334D"/>
    <w:rsid w:val="00187B23"/>
    <w:rsid w:val="001911C0"/>
    <w:rsid w:val="001917B7"/>
    <w:rsid w:val="0019241A"/>
    <w:rsid w:val="001938E2"/>
    <w:rsid w:val="00194F75"/>
    <w:rsid w:val="001954E3"/>
    <w:rsid w:val="001956F2"/>
    <w:rsid w:val="001973FE"/>
    <w:rsid w:val="001978B0"/>
    <w:rsid w:val="001A2289"/>
    <w:rsid w:val="001A38B0"/>
    <w:rsid w:val="001A79FC"/>
    <w:rsid w:val="001B0C35"/>
    <w:rsid w:val="001C0CD6"/>
    <w:rsid w:val="001C3EB4"/>
    <w:rsid w:val="001C3FBD"/>
    <w:rsid w:val="001C637E"/>
    <w:rsid w:val="001C6389"/>
    <w:rsid w:val="001C63E2"/>
    <w:rsid w:val="001C6661"/>
    <w:rsid w:val="001C6A8E"/>
    <w:rsid w:val="001C79CF"/>
    <w:rsid w:val="001C7D41"/>
    <w:rsid w:val="001D0872"/>
    <w:rsid w:val="001E0039"/>
    <w:rsid w:val="001F17CC"/>
    <w:rsid w:val="001F6242"/>
    <w:rsid w:val="001F730E"/>
    <w:rsid w:val="00200766"/>
    <w:rsid w:val="00201459"/>
    <w:rsid w:val="0020305C"/>
    <w:rsid w:val="00205EF2"/>
    <w:rsid w:val="002063A9"/>
    <w:rsid w:val="00207973"/>
    <w:rsid w:val="00210F33"/>
    <w:rsid w:val="00214CEF"/>
    <w:rsid w:val="0021505B"/>
    <w:rsid w:val="002161A6"/>
    <w:rsid w:val="00223FFF"/>
    <w:rsid w:val="00230623"/>
    <w:rsid w:val="00232D94"/>
    <w:rsid w:val="00234676"/>
    <w:rsid w:val="0023649E"/>
    <w:rsid w:val="00236C97"/>
    <w:rsid w:val="00240005"/>
    <w:rsid w:val="002408AE"/>
    <w:rsid w:val="00241875"/>
    <w:rsid w:val="00242A12"/>
    <w:rsid w:val="00243E6F"/>
    <w:rsid w:val="00243ECD"/>
    <w:rsid w:val="0024446A"/>
    <w:rsid w:val="00244E2B"/>
    <w:rsid w:val="002463D2"/>
    <w:rsid w:val="002463EA"/>
    <w:rsid w:val="0025010E"/>
    <w:rsid w:val="002525C0"/>
    <w:rsid w:val="00254358"/>
    <w:rsid w:val="00256EA4"/>
    <w:rsid w:val="00257000"/>
    <w:rsid w:val="0025786E"/>
    <w:rsid w:val="00257AB2"/>
    <w:rsid w:val="00262786"/>
    <w:rsid w:val="00264C27"/>
    <w:rsid w:val="00264D2F"/>
    <w:rsid w:val="0026522F"/>
    <w:rsid w:val="002655ED"/>
    <w:rsid w:val="00271B79"/>
    <w:rsid w:val="00272443"/>
    <w:rsid w:val="002743CF"/>
    <w:rsid w:val="0028075C"/>
    <w:rsid w:val="00280E35"/>
    <w:rsid w:val="002811A6"/>
    <w:rsid w:val="00281AB3"/>
    <w:rsid w:val="00281EE0"/>
    <w:rsid w:val="00282923"/>
    <w:rsid w:val="00284F56"/>
    <w:rsid w:val="00285842"/>
    <w:rsid w:val="0029040E"/>
    <w:rsid w:val="002917A1"/>
    <w:rsid w:val="0029530E"/>
    <w:rsid w:val="002957B4"/>
    <w:rsid w:val="00297BE1"/>
    <w:rsid w:val="002A1243"/>
    <w:rsid w:val="002A1919"/>
    <w:rsid w:val="002A20B3"/>
    <w:rsid w:val="002A4FB2"/>
    <w:rsid w:val="002A5282"/>
    <w:rsid w:val="002B1B49"/>
    <w:rsid w:val="002B287F"/>
    <w:rsid w:val="002B7F6A"/>
    <w:rsid w:val="002C2564"/>
    <w:rsid w:val="002C3178"/>
    <w:rsid w:val="002C475E"/>
    <w:rsid w:val="002C498C"/>
    <w:rsid w:val="002C5518"/>
    <w:rsid w:val="002C5B9D"/>
    <w:rsid w:val="002C5EC5"/>
    <w:rsid w:val="002C683F"/>
    <w:rsid w:val="002C6F70"/>
    <w:rsid w:val="002C79EA"/>
    <w:rsid w:val="002D111D"/>
    <w:rsid w:val="002D42EE"/>
    <w:rsid w:val="002D44D5"/>
    <w:rsid w:val="002D4F24"/>
    <w:rsid w:val="002D4FCA"/>
    <w:rsid w:val="002D753F"/>
    <w:rsid w:val="002E0E2F"/>
    <w:rsid w:val="002E0FBF"/>
    <w:rsid w:val="002E28C1"/>
    <w:rsid w:val="002E5716"/>
    <w:rsid w:val="002E66D1"/>
    <w:rsid w:val="002E6F98"/>
    <w:rsid w:val="002E7AB6"/>
    <w:rsid w:val="002F01D8"/>
    <w:rsid w:val="002F1666"/>
    <w:rsid w:val="002F1BEE"/>
    <w:rsid w:val="002F24F3"/>
    <w:rsid w:val="002F31EE"/>
    <w:rsid w:val="002F5131"/>
    <w:rsid w:val="003002CF"/>
    <w:rsid w:val="00303816"/>
    <w:rsid w:val="00310DC8"/>
    <w:rsid w:val="00312F84"/>
    <w:rsid w:val="003140DB"/>
    <w:rsid w:val="00314317"/>
    <w:rsid w:val="00314675"/>
    <w:rsid w:val="003222A6"/>
    <w:rsid w:val="0032292E"/>
    <w:rsid w:val="00322954"/>
    <w:rsid w:val="003240E9"/>
    <w:rsid w:val="003241E0"/>
    <w:rsid w:val="00324FEC"/>
    <w:rsid w:val="00326E0F"/>
    <w:rsid w:val="00327DE2"/>
    <w:rsid w:val="003314F2"/>
    <w:rsid w:val="00331D2C"/>
    <w:rsid w:val="00331E05"/>
    <w:rsid w:val="003347D4"/>
    <w:rsid w:val="00334C25"/>
    <w:rsid w:val="00336574"/>
    <w:rsid w:val="00336F09"/>
    <w:rsid w:val="00336F44"/>
    <w:rsid w:val="003376E8"/>
    <w:rsid w:val="00337E81"/>
    <w:rsid w:val="00340DC7"/>
    <w:rsid w:val="003413E9"/>
    <w:rsid w:val="00341F1C"/>
    <w:rsid w:val="00342B02"/>
    <w:rsid w:val="00344971"/>
    <w:rsid w:val="003458D6"/>
    <w:rsid w:val="00346898"/>
    <w:rsid w:val="00347869"/>
    <w:rsid w:val="00353706"/>
    <w:rsid w:val="00355EF8"/>
    <w:rsid w:val="0036070C"/>
    <w:rsid w:val="00361FD0"/>
    <w:rsid w:val="00362424"/>
    <w:rsid w:val="0036346B"/>
    <w:rsid w:val="0036418B"/>
    <w:rsid w:val="00367CD5"/>
    <w:rsid w:val="00370680"/>
    <w:rsid w:val="00370E65"/>
    <w:rsid w:val="0037143C"/>
    <w:rsid w:val="003724EA"/>
    <w:rsid w:val="00372C9F"/>
    <w:rsid w:val="00380A6E"/>
    <w:rsid w:val="00385443"/>
    <w:rsid w:val="003924D0"/>
    <w:rsid w:val="00394DBB"/>
    <w:rsid w:val="0039595B"/>
    <w:rsid w:val="003959BD"/>
    <w:rsid w:val="00395CE3"/>
    <w:rsid w:val="003973A5"/>
    <w:rsid w:val="003A19F7"/>
    <w:rsid w:val="003A4871"/>
    <w:rsid w:val="003A641E"/>
    <w:rsid w:val="003A70B4"/>
    <w:rsid w:val="003A716A"/>
    <w:rsid w:val="003A7351"/>
    <w:rsid w:val="003B0D5F"/>
    <w:rsid w:val="003B1CB2"/>
    <w:rsid w:val="003B5F2C"/>
    <w:rsid w:val="003B62CB"/>
    <w:rsid w:val="003B6338"/>
    <w:rsid w:val="003C0736"/>
    <w:rsid w:val="003C0B59"/>
    <w:rsid w:val="003C0EF7"/>
    <w:rsid w:val="003C3A4F"/>
    <w:rsid w:val="003D0F5E"/>
    <w:rsid w:val="003D1E87"/>
    <w:rsid w:val="003D2A8A"/>
    <w:rsid w:val="003D3D8D"/>
    <w:rsid w:val="003D5C8D"/>
    <w:rsid w:val="003D60CD"/>
    <w:rsid w:val="003D6932"/>
    <w:rsid w:val="003E6E6E"/>
    <w:rsid w:val="003F1678"/>
    <w:rsid w:val="003F2733"/>
    <w:rsid w:val="003F5AFB"/>
    <w:rsid w:val="003F5F4E"/>
    <w:rsid w:val="003F6DBE"/>
    <w:rsid w:val="003F7741"/>
    <w:rsid w:val="003F7C23"/>
    <w:rsid w:val="0040153E"/>
    <w:rsid w:val="004021B2"/>
    <w:rsid w:val="00402E72"/>
    <w:rsid w:val="00403E3E"/>
    <w:rsid w:val="0041110E"/>
    <w:rsid w:val="00415A68"/>
    <w:rsid w:val="00415D1F"/>
    <w:rsid w:val="004170BB"/>
    <w:rsid w:val="0042161D"/>
    <w:rsid w:val="00423BD6"/>
    <w:rsid w:val="00425789"/>
    <w:rsid w:val="0042746A"/>
    <w:rsid w:val="0043473E"/>
    <w:rsid w:val="00434D03"/>
    <w:rsid w:val="00444F0E"/>
    <w:rsid w:val="00445DE0"/>
    <w:rsid w:val="00446170"/>
    <w:rsid w:val="00447102"/>
    <w:rsid w:val="00447C5D"/>
    <w:rsid w:val="00451945"/>
    <w:rsid w:val="00452707"/>
    <w:rsid w:val="00452DE7"/>
    <w:rsid w:val="00452E1D"/>
    <w:rsid w:val="004534E6"/>
    <w:rsid w:val="00454A50"/>
    <w:rsid w:val="00454ED7"/>
    <w:rsid w:val="004563EE"/>
    <w:rsid w:val="00456700"/>
    <w:rsid w:val="0046176F"/>
    <w:rsid w:val="00461B11"/>
    <w:rsid w:val="00461B7E"/>
    <w:rsid w:val="00464AC0"/>
    <w:rsid w:val="00464F95"/>
    <w:rsid w:val="00465F61"/>
    <w:rsid w:val="00467FB4"/>
    <w:rsid w:val="00472D21"/>
    <w:rsid w:val="00473E3D"/>
    <w:rsid w:val="00473E4C"/>
    <w:rsid w:val="00480632"/>
    <w:rsid w:val="00481882"/>
    <w:rsid w:val="00483C7D"/>
    <w:rsid w:val="00484827"/>
    <w:rsid w:val="0049052E"/>
    <w:rsid w:val="0049531E"/>
    <w:rsid w:val="004967B7"/>
    <w:rsid w:val="00496F27"/>
    <w:rsid w:val="004975DD"/>
    <w:rsid w:val="004A0005"/>
    <w:rsid w:val="004A312F"/>
    <w:rsid w:val="004A31A2"/>
    <w:rsid w:val="004A345A"/>
    <w:rsid w:val="004A6C98"/>
    <w:rsid w:val="004B0339"/>
    <w:rsid w:val="004B0348"/>
    <w:rsid w:val="004B156D"/>
    <w:rsid w:val="004B38DC"/>
    <w:rsid w:val="004B54F7"/>
    <w:rsid w:val="004B5AF8"/>
    <w:rsid w:val="004C30B9"/>
    <w:rsid w:val="004D09E0"/>
    <w:rsid w:val="004D4C79"/>
    <w:rsid w:val="004D59BD"/>
    <w:rsid w:val="004D5ADB"/>
    <w:rsid w:val="004E3942"/>
    <w:rsid w:val="004E44D2"/>
    <w:rsid w:val="004E59C6"/>
    <w:rsid w:val="004E5DC7"/>
    <w:rsid w:val="004F21C9"/>
    <w:rsid w:val="004F60B2"/>
    <w:rsid w:val="004F7EC7"/>
    <w:rsid w:val="00505D12"/>
    <w:rsid w:val="00510425"/>
    <w:rsid w:val="00510663"/>
    <w:rsid w:val="00511016"/>
    <w:rsid w:val="0051316F"/>
    <w:rsid w:val="00520007"/>
    <w:rsid w:val="00520999"/>
    <w:rsid w:val="00520B7E"/>
    <w:rsid w:val="00521380"/>
    <w:rsid w:val="00525007"/>
    <w:rsid w:val="00530EB2"/>
    <w:rsid w:val="005334CE"/>
    <w:rsid w:val="0053564B"/>
    <w:rsid w:val="005363BC"/>
    <w:rsid w:val="0053721E"/>
    <w:rsid w:val="0053728E"/>
    <w:rsid w:val="0053732E"/>
    <w:rsid w:val="0053785D"/>
    <w:rsid w:val="00540C7E"/>
    <w:rsid w:val="005419BD"/>
    <w:rsid w:val="00542B73"/>
    <w:rsid w:val="005435D2"/>
    <w:rsid w:val="00544E6C"/>
    <w:rsid w:val="00547AF6"/>
    <w:rsid w:val="00552127"/>
    <w:rsid w:val="00553434"/>
    <w:rsid w:val="00556C93"/>
    <w:rsid w:val="00557E3D"/>
    <w:rsid w:val="00560A95"/>
    <w:rsid w:val="00562CC7"/>
    <w:rsid w:val="005633AA"/>
    <w:rsid w:val="00565E79"/>
    <w:rsid w:val="00566101"/>
    <w:rsid w:val="00566D3D"/>
    <w:rsid w:val="00571145"/>
    <w:rsid w:val="00573200"/>
    <w:rsid w:val="0057386B"/>
    <w:rsid w:val="00574BAE"/>
    <w:rsid w:val="00575F89"/>
    <w:rsid w:val="00576290"/>
    <w:rsid w:val="005770EC"/>
    <w:rsid w:val="005776DC"/>
    <w:rsid w:val="005805C7"/>
    <w:rsid w:val="005845EA"/>
    <w:rsid w:val="005950BE"/>
    <w:rsid w:val="00595675"/>
    <w:rsid w:val="00595FC1"/>
    <w:rsid w:val="005A0060"/>
    <w:rsid w:val="005A3FC1"/>
    <w:rsid w:val="005B05D4"/>
    <w:rsid w:val="005B1161"/>
    <w:rsid w:val="005B2960"/>
    <w:rsid w:val="005B48BD"/>
    <w:rsid w:val="005B4D7D"/>
    <w:rsid w:val="005B5AA7"/>
    <w:rsid w:val="005B5D27"/>
    <w:rsid w:val="005C0B67"/>
    <w:rsid w:val="005C0C44"/>
    <w:rsid w:val="005C0CC4"/>
    <w:rsid w:val="005C1192"/>
    <w:rsid w:val="005C1441"/>
    <w:rsid w:val="005C51D2"/>
    <w:rsid w:val="005C5FA8"/>
    <w:rsid w:val="005D1DE0"/>
    <w:rsid w:val="005D664F"/>
    <w:rsid w:val="005D7472"/>
    <w:rsid w:val="005E1BA1"/>
    <w:rsid w:val="005E2B57"/>
    <w:rsid w:val="005E7453"/>
    <w:rsid w:val="005E7A30"/>
    <w:rsid w:val="005F488B"/>
    <w:rsid w:val="005F5E5A"/>
    <w:rsid w:val="00602673"/>
    <w:rsid w:val="006029B0"/>
    <w:rsid w:val="00602CCE"/>
    <w:rsid w:val="006047E6"/>
    <w:rsid w:val="006061A0"/>
    <w:rsid w:val="006104BC"/>
    <w:rsid w:val="0061446A"/>
    <w:rsid w:val="0061632D"/>
    <w:rsid w:val="0062056D"/>
    <w:rsid w:val="00620996"/>
    <w:rsid w:val="0062106A"/>
    <w:rsid w:val="00625060"/>
    <w:rsid w:val="00631A85"/>
    <w:rsid w:val="0063502A"/>
    <w:rsid w:val="0063572B"/>
    <w:rsid w:val="00640427"/>
    <w:rsid w:val="006424B9"/>
    <w:rsid w:val="00644077"/>
    <w:rsid w:val="00647514"/>
    <w:rsid w:val="00651C95"/>
    <w:rsid w:val="00652185"/>
    <w:rsid w:val="00653C1B"/>
    <w:rsid w:val="00654977"/>
    <w:rsid w:val="00660D36"/>
    <w:rsid w:val="00663A43"/>
    <w:rsid w:val="00667818"/>
    <w:rsid w:val="00667BB8"/>
    <w:rsid w:val="00673ACF"/>
    <w:rsid w:val="00673BB9"/>
    <w:rsid w:val="0067516A"/>
    <w:rsid w:val="00675A3F"/>
    <w:rsid w:val="00676039"/>
    <w:rsid w:val="006952DB"/>
    <w:rsid w:val="00696688"/>
    <w:rsid w:val="006A04D6"/>
    <w:rsid w:val="006A0E43"/>
    <w:rsid w:val="006A430A"/>
    <w:rsid w:val="006A4760"/>
    <w:rsid w:val="006A4D72"/>
    <w:rsid w:val="006A6D80"/>
    <w:rsid w:val="006B0604"/>
    <w:rsid w:val="006B1C14"/>
    <w:rsid w:val="006B1D53"/>
    <w:rsid w:val="006B26D0"/>
    <w:rsid w:val="006B4B65"/>
    <w:rsid w:val="006C200B"/>
    <w:rsid w:val="006C6228"/>
    <w:rsid w:val="006D047A"/>
    <w:rsid w:val="006D2B07"/>
    <w:rsid w:val="006D388F"/>
    <w:rsid w:val="006D6F27"/>
    <w:rsid w:val="006E1A93"/>
    <w:rsid w:val="006E2DFF"/>
    <w:rsid w:val="006E363E"/>
    <w:rsid w:val="006E389F"/>
    <w:rsid w:val="006E73DC"/>
    <w:rsid w:val="006E74AD"/>
    <w:rsid w:val="006F0B27"/>
    <w:rsid w:val="006F12FE"/>
    <w:rsid w:val="006F33AC"/>
    <w:rsid w:val="006F415F"/>
    <w:rsid w:val="006F41ED"/>
    <w:rsid w:val="006F4A3A"/>
    <w:rsid w:val="006F4D08"/>
    <w:rsid w:val="006F4EF7"/>
    <w:rsid w:val="006F4FC6"/>
    <w:rsid w:val="00700AC4"/>
    <w:rsid w:val="0070226B"/>
    <w:rsid w:val="00703987"/>
    <w:rsid w:val="00705DE9"/>
    <w:rsid w:val="007073DD"/>
    <w:rsid w:val="00707815"/>
    <w:rsid w:val="00712848"/>
    <w:rsid w:val="007140CB"/>
    <w:rsid w:val="00714BD3"/>
    <w:rsid w:val="007163BB"/>
    <w:rsid w:val="007203AE"/>
    <w:rsid w:val="00724326"/>
    <w:rsid w:val="00730F37"/>
    <w:rsid w:val="00732238"/>
    <w:rsid w:val="007346EF"/>
    <w:rsid w:val="00734724"/>
    <w:rsid w:val="00736D1C"/>
    <w:rsid w:val="007404F7"/>
    <w:rsid w:val="00740C29"/>
    <w:rsid w:val="007426A7"/>
    <w:rsid w:val="00742AEF"/>
    <w:rsid w:val="00742F53"/>
    <w:rsid w:val="00744D03"/>
    <w:rsid w:val="0074541E"/>
    <w:rsid w:val="007465C3"/>
    <w:rsid w:val="00746A82"/>
    <w:rsid w:val="00746C36"/>
    <w:rsid w:val="00747644"/>
    <w:rsid w:val="00752BD1"/>
    <w:rsid w:val="00753235"/>
    <w:rsid w:val="00757508"/>
    <w:rsid w:val="0076018B"/>
    <w:rsid w:val="00762605"/>
    <w:rsid w:val="007627FF"/>
    <w:rsid w:val="007649EA"/>
    <w:rsid w:val="00764A13"/>
    <w:rsid w:val="00764E62"/>
    <w:rsid w:val="00765277"/>
    <w:rsid w:val="007665A0"/>
    <w:rsid w:val="00767B18"/>
    <w:rsid w:val="007708FA"/>
    <w:rsid w:val="00771C9B"/>
    <w:rsid w:val="00771F3A"/>
    <w:rsid w:val="00771FD8"/>
    <w:rsid w:val="00776161"/>
    <w:rsid w:val="0077723D"/>
    <w:rsid w:val="0077737A"/>
    <w:rsid w:val="00785625"/>
    <w:rsid w:val="00785F2C"/>
    <w:rsid w:val="00787F11"/>
    <w:rsid w:val="00793B30"/>
    <w:rsid w:val="007976C2"/>
    <w:rsid w:val="007A1955"/>
    <w:rsid w:val="007A1EC3"/>
    <w:rsid w:val="007A30A1"/>
    <w:rsid w:val="007A3521"/>
    <w:rsid w:val="007A5E83"/>
    <w:rsid w:val="007A735C"/>
    <w:rsid w:val="007A7DC7"/>
    <w:rsid w:val="007B0DF2"/>
    <w:rsid w:val="007B2946"/>
    <w:rsid w:val="007B30BA"/>
    <w:rsid w:val="007B38A8"/>
    <w:rsid w:val="007B3C5B"/>
    <w:rsid w:val="007B4F46"/>
    <w:rsid w:val="007B5345"/>
    <w:rsid w:val="007B6253"/>
    <w:rsid w:val="007B7A7E"/>
    <w:rsid w:val="007C061A"/>
    <w:rsid w:val="007C0951"/>
    <w:rsid w:val="007C0A72"/>
    <w:rsid w:val="007C3467"/>
    <w:rsid w:val="007C5197"/>
    <w:rsid w:val="007C5AF8"/>
    <w:rsid w:val="007C7807"/>
    <w:rsid w:val="007D6A56"/>
    <w:rsid w:val="007D762A"/>
    <w:rsid w:val="007E143A"/>
    <w:rsid w:val="007E2A71"/>
    <w:rsid w:val="007E3F53"/>
    <w:rsid w:val="007E621D"/>
    <w:rsid w:val="007E6E8B"/>
    <w:rsid w:val="007F1091"/>
    <w:rsid w:val="007F4157"/>
    <w:rsid w:val="007F4B9A"/>
    <w:rsid w:val="007F625E"/>
    <w:rsid w:val="007F7ADC"/>
    <w:rsid w:val="00804273"/>
    <w:rsid w:val="00804350"/>
    <w:rsid w:val="00805746"/>
    <w:rsid w:val="00807B92"/>
    <w:rsid w:val="008120CA"/>
    <w:rsid w:val="00815EB1"/>
    <w:rsid w:val="00815FE5"/>
    <w:rsid w:val="00821210"/>
    <w:rsid w:val="00821E08"/>
    <w:rsid w:val="0082520D"/>
    <w:rsid w:val="00825B2C"/>
    <w:rsid w:val="00826945"/>
    <w:rsid w:val="008327B7"/>
    <w:rsid w:val="00832F8D"/>
    <w:rsid w:val="008336F1"/>
    <w:rsid w:val="00834C59"/>
    <w:rsid w:val="008351E3"/>
    <w:rsid w:val="0083645A"/>
    <w:rsid w:val="008438E2"/>
    <w:rsid w:val="00847219"/>
    <w:rsid w:val="00850C3E"/>
    <w:rsid w:val="008520B7"/>
    <w:rsid w:val="00852EDB"/>
    <w:rsid w:val="008530B1"/>
    <w:rsid w:val="00860261"/>
    <w:rsid w:val="0086044D"/>
    <w:rsid w:val="00861DC5"/>
    <w:rsid w:val="00862BDF"/>
    <w:rsid w:val="008630B1"/>
    <w:rsid w:val="008631BC"/>
    <w:rsid w:val="00864703"/>
    <w:rsid w:val="00866AD7"/>
    <w:rsid w:val="00873FA1"/>
    <w:rsid w:val="0087483B"/>
    <w:rsid w:val="00876568"/>
    <w:rsid w:val="008804BF"/>
    <w:rsid w:val="0088162D"/>
    <w:rsid w:val="008843F8"/>
    <w:rsid w:val="008850FB"/>
    <w:rsid w:val="00891F1E"/>
    <w:rsid w:val="00893E68"/>
    <w:rsid w:val="00894AE7"/>
    <w:rsid w:val="00897565"/>
    <w:rsid w:val="008978A7"/>
    <w:rsid w:val="008A1CE2"/>
    <w:rsid w:val="008A49DD"/>
    <w:rsid w:val="008A536B"/>
    <w:rsid w:val="008B0B9D"/>
    <w:rsid w:val="008B3ADB"/>
    <w:rsid w:val="008B46B0"/>
    <w:rsid w:val="008B50D4"/>
    <w:rsid w:val="008B564C"/>
    <w:rsid w:val="008B6AE9"/>
    <w:rsid w:val="008C050F"/>
    <w:rsid w:val="008C06D2"/>
    <w:rsid w:val="008C2D53"/>
    <w:rsid w:val="008C4CC7"/>
    <w:rsid w:val="008D2B44"/>
    <w:rsid w:val="008D318B"/>
    <w:rsid w:val="008D36CB"/>
    <w:rsid w:val="008D7919"/>
    <w:rsid w:val="008D7C00"/>
    <w:rsid w:val="008E03F8"/>
    <w:rsid w:val="008E0793"/>
    <w:rsid w:val="008E1158"/>
    <w:rsid w:val="008E4F42"/>
    <w:rsid w:val="008E56F9"/>
    <w:rsid w:val="008E57C9"/>
    <w:rsid w:val="008E5D9C"/>
    <w:rsid w:val="008E68A0"/>
    <w:rsid w:val="008F05A1"/>
    <w:rsid w:val="008F0CF4"/>
    <w:rsid w:val="008F1D34"/>
    <w:rsid w:val="008F5FEA"/>
    <w:rsid w:val="008F6539"/>
    <w:rsid w:val="008F6FC6"/>
    <w:rsid w:val="0090131C"/>
    <w:rsid w:val="00902206"/>
    <w:rsid w:val="00902904"/>
    <w:rsid w:val="00903AAF"/>
    <w:rsid w:val="00903FC9"/>
    <w:rsid w:val="00906EB6"/>
    <w:rsid w:val="00907215"/>
    <w:rsid w:val="00907371"/>
    <w:rsid w:val="00907AF1"/>
    <w:rsid w:val="00907E25"/>
    <w:rsid w:val="00910EF4"/>
    <w:rsid w:val="009126C5"/>
    <w:rsid w:val="00912873"/>
    <w:rsid w:val="00912B2A"/>
    <w:rsid w:val="00915121"/>
    <w:rsid w:val="0091653E"/>
    <w:rsid w:val="009177A7"/>
    <w:rsid w:val="00917E16"/>
    <w:rsid w:val="009205C8"/>
    <w:rsid w:val="00921EDE"/>
    <w:rsid w:val="00922BE7"/>
    <w:rsid w:val="00923FFC"/>
    <w:rsid w:val="00924EC9"/>
    <w:rsid w:val="0092572F"/>
    <w:rsid w:val="009258BB"/>
    <w:rsid w:val="00930335"/>
    <w:rsid w:val="0093141F"/>
    <w:rsid w:val="009346D7"/>
    <w:rsid w:val="00940704"/>
    <w:rsid w:val="00942BF8"/>
    <w:rsid w:val="009435E7"/>
    <w:rsid w:val="009468AD"/>
    <w:rsid w:val="009505E3"/>
    <w:rsid w:val="009516E4"/>
    <w:rsid w:val="00953C51"/>
    <w:rsid w:val="009554BA"/>
    <w:rsid w:val="00955BF6"/>
    <w:rsid w:val="00955CF3"/>
    <w:rsid w:val="00956580"/>
    <w:rsid w:val="0096100F"/>
    <w:rsid w:val="00961423"/>
    <w:rsid w:val="00963144"/>
    <w:rsid w:val="00963675"/>
    <w:rsid w:val="00963A93"/>
    <w:rsid w:val="00970F2D"/>
    <w:rsid w:val="00971A88"/>
    <w:rsid w:val="009725B3"/>
    <w:rsid w:val="0097276B"/>
    <w:rsid w:val="00972FD2"/>
    <w:rsid w:val="00973249"/>
    <w:rsid w:val="009777D7"/>
    <w:rsid w:val="0098088F"/>
    <w:rsid w:val="009809A6"/>
    <w:rsid w:val="0098250F"/>
    <w:rsid w:val="00982786"/>
    <w:rsid w:val="00983F15"/>
    <w:rsid w:val="00985E20"/>
    <w:rsid w:val="00986022"/>
    <w:rsid w:val="009860C8"/>
    <w:rsid w:val="00987992"/>
    <w:rsid w:val="00992E59"/>
    <w:rsid w:val="00992E7D"/>
    <w:rsid w:val="00993ECF"/>
    <w:rsid w:val="00995996"/>
    <w:rsid w:val="00996520"/>
    <w:rsid w:val="00996957"/>
    <w:rsid w:val="00997399"/>
    <w:rsid w:val="009A1B14"/>
    <w:rsid w:val="009A7A2C"/>
    <w:rsid w:val="009B0197"/>
    <w:rsid w:val="009B0B48"/>
    <w:rsid w:val="009B192F"/>
    <w:rsid w:val="009B200E"/>
    <w:rsid w:val="009B2E25"/>
    <w:rsid w:val="009B2E8F"/>
    <w:rsid w:val="009B3907"/>
    <w:rsid w:val="009B3CB1"/>
    <w:rsid w:val="009B4254"/>
    <w:rsid w:val="009B58B8"/>
    <w:rsid w:val="009B61F7"/>
    <w:rsid w:val="009B66D5"/>
    <w:rsid w:val="009B6934"/>
    <w:rsid w:val="009C0B2E"/>
    <w:rsid w:val="009C1217"/>
    <w:rsid w:val="009C298D"/>
    <w:rsid w:val="009C3F41"/>
    <w:rsid w:val="009C470A"/>
    <w:rsid w:val="009C4868"/>
    <w:rsid w:val="009C57D5"/>
    <w:rsid w:val="009C59BE"/>
    <w:rsid w:val="009C6AE2"/>
    <w:rsid w:val="009D0288"/>
    <w:rsid w:val="009D0B23"/>
    <w:rsid w:val="009D16B5"/>
    <w:rsid w:val="009D75C0"/>
    <w:rsid w:val="009E03DB"/>
    <w:rsid w:val="009E0F96"/>
    <w:rsid w:val="009E2CD5"/>
    <w:rsid w:val="009E4681"/>
    <w:rsid w:val="009E7A9E"/>
    <w:rsid w:val="009F01CD"/>
    <w:rsid w:val="009F18A2"/>
    <w:rsid w:val="009F32E8"/>
    <w:rsid w:val="009F392D"/>
    <w:rsid w:val="009F3A14"/>
    <w:rsid w:val="009F4B28"/>
    <w:rsid w:val="009F7104"/>
    <w:rsid w:val="00A024AD"/>
    <w:rsid w:val="00A02F15"/>
    <w:rsid w:val="00A043DC"/>
    <w:rsid w:val="00A05879"/>
    <w:rsid w:val="00A06763"/>
    <w:rsid w:val="00A07AED"/>
    <w:rsid w:val="00A11026"/>
    <w:rsid w:val="00A14157"/>
    <w:rsid w:val="00A15AC5"/>
    <w:rsid w:val="00A177AC"/>
    <w:rsid w:val="00A21B83"/>
    <w:rsid w:val="00A22829"/>
    <w:rsid w:val="00A228DB"/>
    <w:rsid w:val="00A22A54"/>
    <w:rsid w:val="00A23075"/>
    <w:rsid w:val="00A24893"/>
    <w:rsid w:val="00A24D82"/>
    <w:rsid w:val="00A331DB"/>
    <w:rsid w:val="00A3563D"/>
    <w:rsid w:val="00A37D57"/>
    <w:rsid w:val="00A409D0"/>
    <w:rsid w:val="00A40D55"/>
    <w:rsid w:val="00A440CE"/>
    <w:rsid w:val="00A44CA4"/>
    <w:rsid w:val="00A50026"/>
    <w:rsid w:val="00A5115F"/>
    <w:rsid w:val="00A51EA9"/>
    <w:rsid w:val="00A535B4"/>
    <w:rsid w:val="00A548CE"/>
    <w:rsid w:val="00A5497D"/>
    <w:rsid w:val="00A57F2A"/>
    <w:rsid w:val="00A60BA5"/>
    <w:rsid w:val="00A61A4B"/>
    <w:rsid w:val="00A64586"/>
    <w:rsid w:val="00A67703"/>
    <w:rsid w:val="00A709B4"/>
    <w:rsid w:val="00A7119C"/>
    <w:rsid w:val="00A75C53"/>
    <w:rsid w:val="00A76B1E"/>
    <w:rsid w:val="00A76BD4"/>
    <w:rsid w:val="00A76F0C"/>
    <w:rsid w:val="00A76F1E"/>
    <w:rsid w:val="00A778F1"/>
    <w:rsid w:val="00A77982"/>
    <w:rsid w:val="00A83C62"/>
    <w:rsid w:val="00A83D7D"/>
    <w:rsid w:val="00A8429E"/>
    <w:rsid w:val="00A86CFA"/>
    <w:rsid w:val="00A8775C"/>
    <w:rsid w:val="00A87EE8"/>
    <w:rsid w:val="00A939C6"/>
    <w:rsid w:val="00A94329"/>
    <w:rsid w:val="00A94D95"/>
    <w:rsid w:val="00A96269"/>
    <w:rsid w:val="00A963A8"/>
    <w:rsid w:val="00A96949"/>
    <w:rsid w:val="00AA1C0D"/>
    <w:rsid w:val="00AA2A16"/>
    <w:rsid w:val="00AA4133"/>
    <w:rsid w:val="00AA47DA"/>
    <w:rsid w:val="00AA5598"/>
    <w:rsid w:val="00AB15F6"/>
    <w:rsid w:val="00AB657A"/>
    <w:rsid w:val="00AC1224"/>
    <w:rsid w:val="00AC1A8A"/>
    <w:rsid w:val="00AC21DC"/>
    <w:rsid w:val="00AC3F01"/>
    <w:rsid w:val="00AC63AB"/>
    <w:rsid w:val="00AD3514"/>
    <w:rsid w:val="00AE1CE2"/>
    <w:rsid w:val="00AE2804"/>
    <w:rsid w:val="00AE3E39"/>
    <w:rsid w:val="00AE625E"/>
    <w:rsid w:val="00AE6806"/>
    <w:rsid w:val="00AF0513"/>
    <w:rsid w:val="00AF3017"/>
    <w:rsid w:val="00AF3A84"/>
    <w:rsid w:val="00B00E20"/>
    <w:rsid w:val="00B01811"/>
    <w:rsid w:val="00B03DA4"/>
    <w:rsid w:val="00B06FB8"/>
    <w:rsid w:val="00B07AB4"/>
    <w:rsid w:val="00B12537"/>
    <w:rsid w:val="00B128B2"/>
    <w:rsid w:val="00B15364"/>
    <w:rsid w:val="00B15666"/>
    <w:rsid w:val="00B15C63"/>
    <w:rsid w:val="00B16B70"/>
    <w:rsid w:val="00B20C98"/>
    <w:rsid w:val="00B243DE"/>
    <w:rsid w:val="00B245D0"/>
    <w:rsid w:val="00B247B9"/>
    <w:rsid w:val="00B26751"/>
    <w:rsid w:val="00B316A1"/>
    <w:rsid w:val="00B318F8"/>
    <w:rsid w:val="00B335EC"/>
    <w:rsid w:val="00B33986"/>
    <w:rsid w:val="00B33DF2"/>
    <w:rsid w:val="00B33E5E"/>
    <w:rsid w:val="00B35F3A"/>
    <w:rsid w:val="00B411E2"/>
    <w:rsid w:val="00B419CD"/>
    <w:rsid w:val="00B42A62"/>
    <w:rsid w:val="00B43FB8"/>
    <w:rsid w:val="00B45064"/>
    <w:rsid w:val="00B45737"/>
    <w:rsid w:val="00B45D79"/>
    <w:rsid w:val="00B46533"/>
    <w:rsid w:val="00B46B1C"/>
    <w:rsid w:val="00B47F96"/>
    <w:rsid w:val="00B50234"/>
    <w:rsid w:val="00B51FCA"/>
    <w:rsid w:val="00B55348"/>
    <w:rsid w:val="00B5561A"/>
    <w:rsid w:val="00B56A26"/>
    <w:rsid w:val="00B5714C"/>
    <w:rsid w:val="00B578C6"/>
    <w:rsid w:val="00B66ADE"/>
    <w:rsid w:val="00B742DC"/>
    <w:rsid w:val="00B76994"/>
    <w:rsid w:val="00B76B72"/>
    <w:rsid w:val="00B778ED"/>
    <w:rsid w:val="00B81629"/>
    <w:rsid w:val="00B82D27"/>
    <w:rsid w:val="00B8387B"/>
    <w:rsid w:val="00B9035B"/>
    <w:rsid w:val="00B913F8"/>
    <w:rsid w:val="00B923FA"/>
    <w:rsid w:val="00B93910"/>
    <w:rsid w:val="00B961CE"/>
    <w:rsid w:val="00B962D8"/>
    <w:rsid w:val="00BA0272"/>
    <w:rsid w:val="00BA0D4A"/>
    <w:rsid w:val="00BA0EE9"/>
    <w:rsid w:val="00BA10C9"/>
    <w:rsid w:val="00BA3180"/>
    <w:rsid w:val="00BA4231"/>
    <w:rsid w:val="00BA517A"/>
    <w:rsid w:val="00BB073D"/>
    <w:rsid w:val="00BB1027"/>
    <w:rsid w:val="00BB2F4A"/>
    <w:rsid w:val="00BB448D"/>
    <w:rsid w:val="00BB461C"/>
    <w:rsid w:val="00BB4CA9"/>
    <w:rsid w:val="00BB618E"/>
    <w:rsid w:val="00BB737B"/>
    <w:rsid w:val="00BC07DF"/>
    <w:rsid w:val="00BC3166"/>
    <w:rsid w:val="00BC31CF"/>
    <w:rsid w:val="00BC4AE6"/>
    <w:rsid w:val="00BC7092"/>
    <w:rsid w:val="00BC70CB"/>
    <w:rsid w:val="00BD11FF"/>
    <w:rsid w:val="00BD63D0"/>
    <w:rsid w:val="00BD659D"/>
    <w:rsid w:val="00BE1CB7"/>
    <w:rsid w:val="00BE2FD2"/>
    <w:rsid w:val="00BF10A9"/>
    <w:rsid w:val="00BF14F2"/>
    <w:rsid w:val="00BF2FE1"/>
    <w:rsid w:val="00BF4406"/>
    <w:rsid w:val="00C0042A"/>
    <w:rsid w:val="00C00E85"/>
    <w:rsid w:val="00C011FF"/>
    <w:rsid w:val="00C01363"/>
    <w:rsid w:val="00C03BD0"/>
    <w:rsid w:val="00C06C9C"/>
    <w:rsid w:val="00C10748"/>
    <w:rsid w:val="00C10E8C"/>
    <w:rsid w:val="00C12B9D"/>
    <w:rsid w:val="00C1614A"/>
    <w:rsid w:val="00C2092D"/>
    <w:rsid w:val="00C21CE6"/>
    <w:rsid w:val="00C234EE"/>
    <w:rsid w:val="00C27B69"/>
    <w:rsid w:val="00C301DB"/>
    <w:rsid w:val="00C306B2"/>
    <w:rsid w:val="00C3095E"/>
    <w:rsid w:val="00C30EE1"/>
    <w:rsid w:val="00C31217"/>
    <w:rsid w:val="00C3148B"/>
    <w:rsid w:val="00C316E8"/>
    <w:rsid w:val="00C31D5C"/>
    <w:rsid w:val="00C33003"/>
    <w:rsid w:val="00C3316F"/>
    <w:rsid w:val="00C33725"/>
    <w:rsid w:val="00C3403A"/>
    <w:rsid w:val="00C34CFC"/>
    <w:rsid w:val="00C36A07"/>
    <w:rsid w:val="00C36CBD"/>
    <w:rsid w:val="00C37790"/>
    <w:rsid w:val="00C379E8"/>
    <w:rsid w:val="00C41DC1"/>
    <w:rsid w:val="00C4627B"/>
    <w:rsid w:val="00C46D93"/>
    <w:rsid w:val="00C50641"/>
    <w:rsid w:val="00C515B7"/>
    <w:rsid w:val="00C51C12"/>
    <w:rsid w:val="00C52137"/>
    <w:rsid w:val="00C53CBE"/>
    <w:rsid w:val="00C54304"/>
    <w:rsid w:val="00C5458B"/>
    <w:rsid w:val="00C551AA"/>
    <w:rsid w:val="00C5543D"/>
    <w:rsid w:val="00C562C7"/>
    <w:rsid w:val="00C60068"/>
    <w:rsid w:val="00C632AA"/>
    <w:rsid w:val="00C64004"/>
    <w:rsid w:val="00C64CA6"/>
    <w:rsid w:val="00C71236"/>
    <w:rsid w:val="00C72CC7"/>
    <w:rsid w:val="00C73FCE"/>
    <w:rsid w:val="00C748A9"/>
    <w:rsid w:val="00C84C5B"/>
    <w:rsid w:val="00C84DE6"/>
    <w:rsid w:val="00C85E47"/>
    <w:rsid w:val="00C871D9"/>
    <w:rsid w:val="00C91105"/>
    <w:rsid w:val="00C914F2"/>
    <w:rsid w:val="00C92E14"/>
    <w:rsid w:val="00C94683"/>
    <w:rsid w:val="00CA022A"/>
    <w:rsid w:val="00CA13E9"/>
    <w:rsid w:val="00CA1FE2"/>
    <w:rsid w:val="00CA5D4C"/>
    <w:rsid w:val="00CA6CBF"/>
    <w:rsid w:val="00CA74B3"/>
    <w:rsid w:val="00CA7887"/>
    <w:rsid w:val="00CA79FD"/>
    <w:rsid w:val="00CB10AD"/>
    <w:rsid w:val="00CB4A5E"/>
    <w:rsid w:val="00CB4BAD"/>
    <w:rsid w:val="00CB57C9"/>
    <w:rsid w:val="00CC0659"/>
    <w:rsid w:val="00CC7161"/>
    <w:rsid w:val="00CD08D9"/>
    <w:rsid w:val="00CD2AD8"/>
    <w:rsid w:val="00CD2D3F"/>
    <w:rsid w:val="00CD327B"/>
    <w:rsid w:val="00CD4110"/>
    <w:rsid w:val="00CD4213"/>
    <w:rsid w:val="00CD7B16"/>
    <w:rsid w:val="00CE4804"/>
    <w:rsid w:val="00CE7144"/>
    <w:rsid w:val="00CF073E"/>
    <w:rsid w:val="00CF55E3"/>
    <w:rsid w:val="00CF71FD"/>
    <w:rsid w:val="00CF789F"/>
    <w:rsid w:val="00CF7B5B"/>
    <w:rsid w:val="00D02C1F"/>
    <w:rsid w:val="00D0342A"/>
    <w:rsid w:val="00D03C8C"/>
    <w:rsid w:val="00D0415F"/>
    <w:rsid w:val="00D070D0"/>
    <w:rsid w:val="00D07AE3"/>
    <w:rsid w:val="00D1441D"/>
    <w:rsid w:val="00D17FDF"/>
    <w:rsid w:val="00D216AC"/>
    <w:rsid w:val="00D21802"/>
    <w:rsid w:val="00D2197E"/>
    <w:rsid w:val="00D23FB1"/>
    <w:rsid w:val="00D24566"/>
    <w:rsid w:val="00D27647"/>
    <w:rsid w:val="00D27652"/>
    <w:rsid w:val="00D31347"/>
    <w:rsid w:val="00D31429"/>
    <w:rsid w:val="00D3273B"/>
    <w:rsid w:val="00D36A0C"/>
    <w:rsid w:val="00D45717"/>
    <w:rsid w:val="00D46E69"/>
    <w:rsid w:val="00D51ED8"/>
    <w:rsid w:val="00D53EEF"/>
    <w:rsid w:val="00D603CD"/>
    <w:rsid w:val="00D608D6"/>
    <w:rsid w:val="00D62272"/>
    <w:rsid w:val="00D6298D"/>
    <w:rsid w:val="00D650CE"/>
    <w:rsid w:val="00D67DAE"/>
    <w:rsid w:val="00D67F43"/>
    <w:rsid w:val="00D7334C"/>
    <w:rsid w:val="00D74A6B"/>
    <w:rsid w:val="00D74D4F"/>
    <w:rsid w:val="00D7560C"/>
    <w:rsid w:val="00D80319"/>
    <w:rsid w:val="00D83826"/>
    <w:rsid w:val="00D846B6"/>
    <w:rsid w:val="00D86EF4"/>
    <w:rsid w:val="00D9122A"/>
    <w:rsid w:val="00D92655"/>
    <w:rsid w:val="00D9284E"/>
    <w:rsid w:val="00D931FF"/>
    <w:rsid w:val="00D96DA8"/>
    <w:rsid w:val="00D97520"/>
    <w:rsid w:val="00DA0D44"/>
    <w:rsid w:val="00DA16DE"/>
    <w:rsid w:val="00DA179F"/>
    <w:rsid w:val="00DA1A15"/>
    <w:rsid w:val="00DA207C"/>
    <w:rsid w:val="00DA327F"/>
    <w:rsid w:val="00DA40FA"/>
    <w:rsid w:val="00DA44DB"/>
    <w:rsid w:val="00DA4DE7"/>
    <w:rsid w:val="00DA7BAE"/>
    <w:rsid w:val="00DA7DDA"/>
    <w:rsid w:val="00DA7F47"/>
    <w:rsid w:val="00DB039D"/>
    <w:rsid w:val="00DB1B89"/>
    <w:rsid w:val="00DB40D7"/>
    <w:rsid w:val="00DB7CC4"/>
    <w:rsid w:val="00DC007D"/>
    <w:rsid w:val="00DC264E"/>
    <w:rsid w:val="00DC3B06"/>
    <w:rsid w:val="00DD0AC2"/>
    <w:rsid w:val="00DD2191"/>
    <w:rsid w:val="00DD4AD1"/>
    <w:rsid w:val="00DD6882"/>
    <w:rsid w:val="00DD6E10"/>
    <w:rsid w:val="00DE199F"/>
    <w:rsid w:val="00DE4ACB"/>
    <w:rsid w:val="00DE73DC"/>
    <w:rsid w:val="00DF085E"/>
    <w:rsid w:val="00DF10E5"/>
    <w:rsid w:val="00DF1C8B"/>
    <w:rsid w:val="00DF6897"/>
    <w:rsid w:val="00DF7439"/>
    <w:rsid w:val="00E013A8"/>
    <w:rsid w:val="00E03D30"/>
    <w:rsid w:val="00E073A3"/>
    <w:rsid w:val="00E078B4"/>
    <w:rsid w:val="00E126EA"/>
    <w:rsid w:val="00E137FF"/>
    <w:rsid w:val="00E13C9F"/>
    <w:rsid w:val="00E14B4E"/>
    <w:rsid w:val="00E1746D"/>
    <w:rsid w:val="00E204E7"/>
    <w:rsid w:val="00E21BCA"/>
    <w:rsid w:val="00E26537"/>
    <w:rsid w:val="00E26DE7"/>
    <w:rsid w:val="00E26E98"/>
    <w:rsid w:val="00E26FDB"/>
    <w:rsid w:val="00E316C5"/>
    <w:rsid w:val="00E31F4D"/>
    <w:rsid w:val="00E33670"/>
    <w:rsid w:val="00E35434"/>
    <w:rsid w:val="00E37075"/>
    <w:rsid w:val="00E40734"/>
    <w:rsid w:val="00E42402"/>
    <w:rsid w:val="00E4337D"/>
    <w:rsid w:val="00E43DA8"/>
    <w:rsid w:val="00E448F8"/>
    <w:rsid w:val="00E473FC"/>
    <w:rsid w:val="00E47CEA"/>
    <w:rsid w:val="00E514E2"/>
    <w:rsid w:val="00E52CE7"/>
    <w:rsid w:val="00E54DC9"/>
    <w:rsid w:val="00E56C2F"/>
    <w:rsid w:val="00E57E57"/>
    <w:rsid w:val="00E60514"/>
    <w:rsid w:val="00E60909"/>
    <w:rsid w:val="00E63310"/>
    <w:rsid w:val="00E6644A"/>
    <w:rsid w:val="00E71B77"/>
    <w:rsid w:val="00E71FCE"/>
    <w:rsid w:val="00E725AD"/>
    <w:rsid w:val="00E81EB8"/>
    <w:rsid w:val="00E82425"/>
    <w:rsid w:val="00E825AC"/>
    <w:rsid w:val="00E85105"/>
    <w:rsid w:val="00E852AB"/>
    <w:rsid w:val="00E86878"/>
    <w:rsid w:val="00E868C6"/>
    <w:rsid w:val="00E873CD"/>
    <w:rsid w:val="00E874DC"/>
    <w:rsid w:val="00E90DD3"/>
    <w:rsid w:val="00E917F2"/>
    <w:rsid w:val="00E951D5"/>
    <w:rsid w:val="00EA1718"/>
    <w:rsid w:val="00EA2A82"/>
    <w:rsid w:val="00EA31CF"/>
    <w:rsid w:val="00EA4F20"/>
    <w:rsid w:val="00EA732C"/>
    <w:rsid w:val="00EB2990"/>
    <w:rsid w:val="00EB3686"/>
    <w:rsid w:val="00EC0F6F"/>
    <w:rsid w:val="00EC1E2B"/>
    <w:rsid w:val="00EC22F8"/>
    <w:rsid w:val="00EC31E7"/>
    <w:rsid w:val="00EC36EE"/>
    <w:rsid w:val="00EC4EB5"/>
    <w:rsid w:val="00EC5EF5"/>
    <w:rsid w:val="00ED096A"/>
    <w:rsid w:val="00ED26D4"/>
    <w:rsid w:val="00ED2F02"/>
    <w:rsid w:val="00ED58BF"/>
    <w:rsid w:val="00EE250D"/>
    <w:rsid w:val="00EE2F5B"/>
    <w:rsid w:val="00EE589A"/>
    <w:rsid w:val="00EE7084"/>
    <w:rsid w:val="00EE71EB"/>
    <w:rsid w:val="00EF028B"/>
    <w:rsid w:val="00EF19F0"/>
    <w:rsid w:val="00EF4260"/>
    <w:rsid w:val="00EF7EEC"/>
    <w:rsid w:val="00F02CCF"/>
    <w:rsid w:val="00F033E8"/>
    <w:rsid w:val="00F10C67"/>
    <w:rsid w:val="00F13D2A"/>
    <w:rsid w:val="00F14EF2"/>
    <w:rsid w:val="00F1664C"/>
    <w:rsid w:val="00F17363"/>
    <w:rsid w:val="00F175B0"/>
    <w:rsid w:val="00F17C17"/>
    <w:rsid w:val="00F2184B"/>
    <w:rsid w:val="00F2441D"/>
    <w:rsid w:val="00F27B77"/>
    <w:rsid w:val="00F30161"/>
    <w:rsid w:val="00F31AD5"/>
    <w:rsid w:val="00F33491"/>
    <w:rsid w:val="00F3381A"/>
    <w:rsid w:val="00F33E68"/>
    <w:rsid w:val="00F34317"/>
    <w:rsid w:val="00F35157"/>
    <w:rsid w:val="00F3649E"/>
    <w:rsid w:val="00F4111A"/>
    <w:rsid w:val="00F414C6"/>
    <w:rsid w:val="00F41CB0"/>
    <w:rsid w:val="00F425D3"/>
    <w:rsid w:val="00F50BB8"/>
    <w:rsid w:val="00F5131E"/>
    <w:rsid w:val="00F514CD"/>
    <w:rsid w:val="00F528AF"/>
    <w:rsid w:val="00F53183"/>
    <w:rsid w:val="00F53421"/>
    <w:rsid w:val="00F539B1"/>
    <w:rsid w:val="00F5463C"/>
    <w:rsid w:val="00F606DA"/>
    <w:rsid w:val="00F60C63"/>
    <w:rsid w:val="00F60F9A"/>
    <w:rsid w:val="00F62438"/>
    <w:rsid w:val="00F62573"/>
    <w:rsid w:val="00F63E00"/>
    <w:rsid w:val="00F64043"/>
    <w:rsid w:val="00F67449"/>
    <w:rsid w:val="00F71E45"/>
    <w:rsid w:val="00F72630"/>
    <w:rsid w:val="00F72F3A"/>
    <w:rsid w:val="00F731A3"/>
    <w:rsid w:val="00F73B3C"/>
    <w:rsid w:val="00F7471F"/>
    <w:rsid w:val="00F76223"/>
    <w:rsid w:val="00F77548"/>
    <w:rsid w:val="00F80DC0"/>
    <w:rsid w:val="00F852E2"/>
    <w:rsid w:val="00F86A31"/>
    <w:rsid w:val="00F879BD"/>
    <w:rsid w:val="00F87B10"/>
    <w:rsid w:val="00F87D77"/>
    <w:rsid w:val="00F923F2"/>
    <w:rsid w:val="00F937D0"/>
    <w:rsid w:val="00F940BE"/>
    <w:rsid w:val="00F94649"/>
    <w:rsid w:val="00FA0F7B"/>
    <w:rsid w:val="00FA22B1"/>
    <w:rsid w:val="00FA3A0C"/>
    <w:rsid w:val="00FA5C37"/>
    <w:rsid w:val="00FA7705"/>
    <w:rsid w:val="00FB11CA"/>
    <w:rsid w:val="00FB167F"/>
    <w:rsid w:val="00FB1DE5"/>
    <w:rsid w:val="00FB5DE2"/>
    <w:rsid w:val="00FB62B5"/>
    <w:rsid w:val="00FB6E4F"/>
    <w:rsid w:val="00FB72FE"/>
    <w:rsid w:val="00FC23C2"/>
    <w:rsid w:val="00FC4C36"/>
    <w:rsid w:val="00FC56FD"/>
    <w:rsid w:val="00FC5B83"/>
    <w:rsid w:val="00FC7A87"/>
    <w:rsid w:val="00FD16A1"/>
    <w:rsid w:val="00FD21F2"/>
    <w:rsid w:val="00FD3CBA"/>
    <w:rsid w:val="00FD6967"/>
    <w:rsid w:val="00FD6BF1"/>
    <w:rsid w:val="00FD6C6E"/>
    <w:rsid w:val="00FE016D"/>
    <w:rsid w:val="00FE5A40"/>
    <w:rsid w:val="00FE604D"/>
    <w:rsid w:val="00FF0186"/>
    <w:rsid w:val="00FF0D70"/>
    <w:rsid w:val="00FF3CC8"/>
    <w:rsid w:val="00FF3E51"/>
    <w:rsid w:val="00FF4566"/>
    <w:rsid w:val="00FF58C3"/>
    <w:rsid w:val="00FF6F22"/>
    <w:rsid w:val="019A6790"/>
    <w:rsid w:val="019F2D33"/>
    <w:rsid w:val="01EC2FA7"/>
    <w:rsid w:val="01EF572E"/>
    <w:rsid w:val="02230955"/>
    <w:rsid w:val="022B0E5C"/>
    <w:rsid w:val="02317214"/>
    <w:rsid w:val="027C37A3"/>
    <w:rsid w:val="02A1024F"/>
    <w:rsid w:val="02B349AE"/>
    <w:rsid w:val="02B96468"/>
    <w:rsid w:val="02D92666"/>
    <w:rsid w:val="02DC3F04"/>
    <w:rsid w:val="03232A32"/>
    <w:rsid w:val="03340C72"/>
    <w:rsid w:val="03D60954"/>
    <w:rsid w:val="03E034D9"/>
    <w:rsid w:val="042E0790"/>
    <w:rsid w:val="04455E19"/>
    <w:rsid w:val="04B35E34"/>
    <w:rsid w:val="04BB40EE"/>
    <w:rsid w:val="04D01847"/>
    <w:rsid w:val="055B3F73"/>
    <w:rsid w:val="0571302A"/>
    <w:rsid w:val="05E1124E"/>
    <w:rsid w:val="06466CB5"/>
    <w:rsid w:val="06693CB2"/>
    <w:rsid w:val="067C65CA"/>
    <w:rsid w:val="06A9757C"/>
    <w:rsid w:val="06C32529"/>
    <w:rsid w:val="076B521E"/>
    <w:rsid w:val="07C40FCD"/>
    <w:rsid w:val="08006F3A"/>
    <w:rsid w:val="081027DD"/>
    <w:rsid w:val="081D62BA"/>
    <w:rsid w:val="081F6F62"/>
    <w:rsid w:val="084762C4"/>
    <w:rsid w:val="087C5C4E"/>
    <w:rsid w:val="0885375D"/>
    <w:rsid w:val="08B75F87"/>
    <w:rsid w:val="08E104C7"/>
    <w:rsid w:val="08E853C6"/>
    <w:rsid w:val="097048DB"/>
    <w:rsid w:val="09774712"/>
    <w:rsid w:val="09872E32"/>
    <w:rsid w:val="09BE4364"/>
    <w:rsid w:val="09EE0493"/>
    <w:rsid w:val="09F62494"/>
    <w:rsid w:val="09F63D7D"/>
    <w:rsid w:val="0A60368D"/>
    <w:rsid w:val="0A99092D"/>
    <w:rsid w:val="0AAF7417"/>
    <w:rsid w:val="0ADE0ABC"/>
    <w:rsid w:val="0B3A1971"/>
    <w:rsid w:val="0B6B051B"/>
    <w:rsid w:val="0B882D7F"/>
    <w:rsid w:val="0BDB17D9"/>
    <w:rsid w:val="0BE739A0"/>
    <w:rsid w:val="0BF16C73"/>
    <w:rsid w:val="0C087B18"/>
    <w:rsid w:val="0C3703FE"/>
    <w:rsid w:val="0CEB1914"/>
    <w:rsid w:val="0CFD33F5"/>
    <w:rsid w:val="0D15610F"/>
    <w:rsid w:val="0D162709"/>
    <w:rsid w:val="0D9A52C8"/>
    <w:rsid w:val="0E007979"/>
    <w:rsid w:val="0E1704E7"/>
    <w:rsid w:val="0E71409B"/>
    <w:rsid w:val="0E76520D"/>
    <w:rsid w:val="0E833B53"/>
    <w:rsid w:val="0ED80C08"/>
    <w:rsid w:val="0F2B249C"/>
    <w:rsid w:val="0F5B0B5D"/>
    <w:rsid w:val="0FAE5604"/>
    <w:rsid w:val="0FAE57C5"/>
    <w:rsid w:val="100B2C10"/>
    <w:rsid w:val="102A51E9"/>
    <w:rsid w:val="10674138"/>
    <w:rsid w:val="107443D8"/>
    <w:rsid w:val="10883B86"/>
    <w:rsid w:val="10A46ADD"/>
    <w:rsid w:val="10B931DE"/>
    <w:rsid w:val="10E15034"/>
    <w:rsid w:val="10FF6CE8"/>
    <w:rsid w:val="111C78C7"/>
    <w:rsid w:val="11760352"/>
    <w:rsid w:val="12105979"/>
    <w:rsid w:val="1215424B"/>
    <w:rsid w:val="123C28D4"/>
    <w:rsid w:val="123F688A"/>
    <w:rsid w:val="12413D84"/>
    <w:rsid w:val="12940358"/>
    <w:rsid w:val="12AD7E5A"/>
    <w:rsid w:val="12B44556"/>
    <w:rsid w:val="12BC0EF8"/>
    <w:rsid w:val="131A4DA3"/>
    <w:rsid w:val="132311FD"/>
    <w:rsid w:val="133E59D2"/>
    <w:rsid w:val="13491142"/>
    <w:rsid w:val="13A670D4"/>
    <w:rsid w:val="14424A3B"/>
    <w:rsid w:val="14964FC5"/>
    <w:rsid w:val="14FA6062"/>
    <w:rsid w:val="15706BFC"/>
    <w:rsid w:val="159C3C03"/>
    <w:rsid w:val="15AB4BE4"/>
    <w:rsid w:val="15BB1E03"/>
    <w:rsid w:val="163D4862"/>
    <w:rsid w:val="168E3310"/>
    <w:rsid w:val="16930926"/>
    <w:rsid w:val="16DC051F"/>
    <w:rsid w:val="17145D71"/>
    <w:rsid w:val="17543053"/>
    <w:rsid w:val="177B7447"/>
    <w:rsid w:val="17985ABB"/>
    <w:rsid w:val="17BA27E5"/>
    <w:rsid w:val="17C2750F"/>
    <w:rsid w:val="17E32403"/>
    <w:rsid w:val="18046093"/>
    <w:rsid w:val="18047D2E"/>
    <w:rsid w:val="18890233"/>
    <w:rsid w:val="18A46E1B"/>
    <w:rsid w:val="18A60DE5"/>
    <w:rsid w:val="18C649AD"/>
    <w:rsid w:val="18E70E8B"/>
    <w:rsid w:val="191E2903"/>
    <w:rsid w:val="195A6DE8"/>
    <w:rsid w:val="197A466A"/>
    <w:rsid w:val="19CD692C"/>
    <w:rsid w:val="1AB06439"/>
    <w:rsid w:val="1ACA4C0E"/>
    <w:rsid w:val="1B6B3DF4"/>
    <w:rsid w:val="1B7C0790"/>
    <w:rsid w:val="1BE0460E"/>
    <w:rsid w:val="1C4104FA"/>
    <w:rsid w:val="1C827801"/>
    <w:rsid w:val="1D15529F"/>
    <w:rsid w:val="1D1912A7"/>
    <w:rsid w:val="1D3E0E44"/>
    <w:rsid w:val="1D77736C"/>
    <w:rsid w:val="1E416B22"/>
    <w:rsid w:val="1E6F19BB"/>
    <w:rsid w:val="1F4F31E9"/>
    <w:rsid w:val="1FAE04EA"/>
    <w:rsid w:val="20512D78"/>
    <w:rsid w:val="20606345"/>
    <w:rsid w:val="207440D1"/>
    <w:rsid w:val="2075087F"/>
    <w:rsid w:val="20DA7945"/>
    <w:rsid w:val="20E17A31"/>
    <w:rsid w:val="21456E7D"/>
    <w:rsid w:val="214B077B"/>
    <w:rsid w:val="214E74AD"/>
    <w:rsid w:val="218E2416"/>
    <w:rsid w:val="21A77C5D"/>
    <w:rsid w:val="2252529B"/>
    <w:rsid w:val="22773AF3"/>
    <w:rsid w:val="232A707C"/>
    <w:rsid w:val="23AE0B4E"/>
    <w:rsid w:val="23FB0842"/>
    <w:rsid w:val="24825984"/>
    <w:rsid w:val="24BE6141"/>
    <w:rsid w:val="25040824"/>
    <w:rsid w:val="25161C10"/>
    <w:rsid w:val="253D0E7A"/>
    <w:rsid w:val="25446DA5"/>
    <w:rsid w:val="25A02777"/>
    <w:rsid w:val="25A16BBC"/>
    <w:rsid w:val="25D0124F"/>
    <w:rsid w:val="266D3002"/>
    <w:rsid w:val="26F5369A"/>
    <w:rsid w:val="277850CE"/>
    <w:rsid w:val="277946F4"/>
    <w:rsid w:val="2785329C"/>
    <w:rsid w:val="281F6A91"/>
    <w:rsid w:val="287C689F"/>
    <w:rsid w:val="28A6668A"/>
    <w:rsid w:val="28ED298C"/>
    <w:rsid w:val="28FC49FE"/>
    <w:rsid w:val="294619D0"/>
    <w:rsid w:val="298C0F9C"/>
    <w:rsid w:val="2A176A9D"/>
    <w:rsid w:val="2A570191"/>
    <w:rsid w:val="2A6160BF"/>
    <w:rsid w:val="2A8F792B"/>
    <w:rsid w:val="2AFD4D22"/>
    <w:rsid w:val="2B1020EE"/>
    <w:rsid w:val="2B157704"/>
    <w:rsid w:val="2B22254D"/>
    <w:rsid w:val="2B900466"/>
    <w:rsid w:val="2BC2153F"/>
    <w:rsid w:val="2BF6205D"/>
    <w:rsid w:val="2BF85DDD"/>
    <w:rsid w:val="2C4A2A9F"/>
    <w:rsid w:val="2CEE4744"/>
    <w:rsid w:val="2D8C63A3"/>
    <w:rsid w:val="2DCC2C44"/>
    <w:rsid w:val="2E3329B8"/>
    <w:rsid w:val="2F2E25E2"/>
    <w:rsid w:val="2F9F6580"/>
    <w:rsid w:val="2FAA0AFC"/>
    <w:rsid w:val="302F0099"/>
    <w:rsid w:val="30E94F09"/>
    <w:rsid w:val="3116629E"/>
    <w:rsid w:val="31894E52"/>
    <w:rsid w:val="319A4973"/>
    <w:rsid w:val="31CE10C4"/>
    <w:rsid w:val="324167FF"/>
    <w:rsid w:val="324F7EF7"/>
    <w:rsid w:val="32D6426E"/>
    <w:rsid w:val="32EB00CB"/>
    <w:rsid w:val="33BF2903"/>
    <w:rsid w:val="343B642D"/>
    <w:rsid w:val="345D2848"/>
    <w:rsid w:val="34631A8B"/>
    <w:rsid w:val="349B585B"/>
    <w:rsid w:val="34E40873"/>
    <w:rsid w:val="35025F25"/>
    <w:rsid w:val="35337105"/>
    <w:rsid w:val="35397B62"/>
    <w:rsid w:val="35DB18E9"/>
    <w:rsid w:val="3664227A"/>
    <w:rsid w:val="36993EA6"/>
    <w:rsid w:val="36E65199"/>
    <w:rsid w:val="37023232"/>
    <w:rsid w:val="37197DF1"/>
    <w:rsid w:val="376261CE"/>
    <w:rsid w:val="37DC063C"/>
    <w:rsid w:val="38172653"/>
    <w:rsid w:val="38467A93"/>
    <w:rsid w:val="384C7622"/>
    <w:rsid w:val="389D76B7"/>
    <w:rsid w:val="389E280E"/>
    <w:rsid w:val="38A30A45"/>
    <w:rsid w:val="38BD5DB1"/>
    <w:rsid w:val="38FC32A6"/>
    <w:rsid w:val="39315375"/>
    <w:rsid w:val="395064D7"/>
    <w:rsid w:val="39916502"/>
    <w:rsid w:val="39AE7F8C"/>
    <w:rsid w:val="39CE564E"/>
    <w:rsid w:val="3A5848E7"/>
    <w:rsid w:val="3A716474"/>
    <w:rsid w:val="3A9B5E78"/>
    <w:rsid w:val="3AA80595"/>
    <w:rsid w:val="3AAE2D52"/>
    <w:rsid w:val="3ABE6C6C"/>
    <w:rsid w:val="3AFD61EB"/>
    <w:rsid w:val="3B605EC0"/>
    <w:rsid w:val="3B946BCC"/>
    <w:rsid w:val="3BD1628B"/>
    <w:rsid w:val="3C0713EC"/>
    <w:rsid w:val="3C235D62"/>
    <w:rsid w:val="3C574020"/>
    <w:rsid w:val="3D123B38"/>
    <w:rsid w:val="3D477F05"/>
    <w:rsid w:val="3D9F6B1D"/>
    <w:rsid w:val="3E0B6E71"/>
    <w:rsid w:val="3E55633E"/>
    <w:rsid w:val="3E671575"/>
    <w:rsid w:val="3EF70367"/>
    <w:rsid w:val="3F2B709E"/>
    <w:rsid w:val="3F3763DE"/>
    <w:rsid w:val="3F5B1501"/>
    <w:rsid w:val="3F8B693A"/>
    <w:rsid w:val="3FD730B5"/>
    <w:rsid w:val="3FFA17C6"/>
    <w:rsid w:val="40247A79"/>
    <w:rsid w:val="402856D7"/>
    <w:rsid w:val="403F1053"/>
    <w:rsid w:val="40907B01"/>
    <w:rsid w:val="40DF6392"/>
    <w:rsid w:val="41344930"/>
    <w:rsid w:val="41E40104"/>
    <w:rsid w:val="42497F67"/>
    <w:rsid w:val="425828A0"/>
    <w:rsid w:val="42CA75EF"/>
    <w:rsid w:val="43236A0A"/>
    <w:rsid w:val="434B7979"/>
    <w:rsid w:val="43543068"/>
    <w:rsid w:val="435B4AD2"/>
    <w:rsid w:val="43A74F98"/>
    <w:rsid w:val="43BD4D8B"/>
    <w:rsid w:val="43C426F3"/>
    <w:rsid w:val="44006D4C"/>
    <w:rsid w:val="44352E99"/>
    <w:rsid w:val="44A97FB6"/>
    <w:rsid w:val="45102FBE"/>
    <w:rsid w:val="45175EB5"/>
    <w:rsid w:val="45686D7A"/>
    <w:rsid w:val="462642D9"/>
    <w:rsid w:val="46EC04F8"/>
    <w:rsid w:val="46F60F4A"/>
    <w:rsid w:val="4727144B"/>
    <w:rsid w:val="476A23A3"/>
    <w:rsid w:val="484667E8"/>
    <w:rsid w:val="48CA72AA"/>
    <w:rsid w:val="49351245"/>
    <w:rsid w:val="494B0A69"/>
    <w:rsid w:val="49584CE1"/>
    <w:rsid w:val="49971F00"/>
    <w:rsid w:val="49F35B75"/>
    <w:rsid w:val="4A183041"/>
    <w:rsid w:val="4A1D4C50"/>
    <w:rsid w:val="4AA46319"/>
    <w:rsid w:val="4B014DF9"/>
    <w:rsid w:val="4B2D3436"/>
    <w:rsid w:val="4B6B71A0"/>
    <w:rsid w:val="4B7C0DDC"/>
    <w:rsid w:val="4B84756E"/>
    <w:rsid w:val="4BA674D4"/>
    <w:rsid w:val="4BE551A5"/>
    <w:rsid w:val="4BE807F1"/>
    <w:rsid w:val="4C3E6624"/>
    <w:rsid w:val="4C7977B1"/>
    <w:rsid w:val="4CAD479A"/>
    <w:rsid w:val="4CB9218D"/>
    <w:rsid w:val="4CC72AFC"/>
    <w:rsid w:val="4CD64F61"/>
    <w:rsid w:val="4D2F0520"/>
    <w:rsid w:val="4D587EFA"/>
    <w:rsid w:val="4D98140C"/>
    <w:rsid w:val="4DC360A2"/>
    <w:rsid w:val="4DE85206"/>
    <w:rsid w:val="4E524648"/>
    <w:rsid w:val="4EC56BC8"/>
    <w:rsid w:val="4EDD2163"/>
    <w:rsid w:val="4F132253"/>
    <w:rsid w:val="4F4E3061"/>
    <w:rsid w:val="4F5622C7"/>
    <w:rsid w:val="4F7769ED"/>
    <w:rsid w:val="4F7A20A8"/>
    <w:rsid w:val="4F8F72F9"/>
    <w:rsid w:val="4FBE4498"/>
    <w:rsid w:val="4FD514C7"/>
    <w:rsid w:val="4FF26A8A"/>
    <w:rsid w:val="4FFD3683"/>
    <w:rsid w:val="4FFE5E70"/>
    <w:rsid w:val="50260035"/>
    <w:rsid w:val="50436AA2"/>
    <w:rsid w:val="507D0B25"/>
    <w:rsid w:val="50B10C48"/>
    <w:rsid w:val="50B746F8"/>
    <w:rsid w:val="51045B07"/>
    <w:rsid w:val="51CB46D7"/>
    <w:rsid w:val="51CC4711"/>
    <w:rsid w:val="51EE4E78"/>
    <w:rsid w:val="5237602E"/>
    <w:rsid w:val="52495D62"/>
    <w:rsid w:val="52686CFA"/>
    <w:rsid w:val="536D62FF"/>
    <w:rsid w:val="53874D93"/>
    <w:rsid w:val="538E6B22"/>
    <w:rsid w:val="53B86B6C"/>
    <w:rsid w:val="53DF072C"/>
    <w:rsid w:val="540E2C58"/>
    <w:rsid w:val="54166797"/>
    <w:rsid w:val="543071D9"/>
    <w:rsid w:val="543750FF"/>
    <w:rsid w:val="54384DB4"/>
    <w:rsid w:val="543C792C"/>
    <w:rsid w:val="545C1D7C"/>
    <w:rsid w:val="54E65AEA"/>
    <w:rsid w:val="551408A9"/>
    <w:rsid w:val="5515395A"/>
    <w:rsid w:val="556D1D67"/>
    <w:rsid w:val="55F1544B"/>
    <w:rsid w:val="55FC63A8"/>
    <w:rsid w:val="56262642"/>
    <w:rsid w:val="56571A99"/>
    <w:rsid w:val="565B100F"/>
    <w:rsid w:val="566C7823"/>
    <w:rsid w:val="56A47A0A"/>
    <w:rsid w:val="57177127"/>
    <w:rsid w:val="57816951"/>
    <w:rsid w:val="57AB7462"/>
    <w:rsid w:val="57BA2E30"/>
    <w:rsid w:val="5806097D"/>
    <w:rsid w:val="58254B7B"/>
    <w:rsid w:val="589A319D"/>
    <w:rsid w:val="58F27A61"/>
    <w:rsid w:val="592A2449"/>
    <w:rsid w:val="59305585"/>
    <w:rsid w:val="59DE4FE1"/>
    <w:rsid w:val="59E015BE"/>
    <w:rsid w:val="5A5E3DFF"/>
    <w:rsid w:val="5ACF3183"/>
    <w:rsid w:val="5B61411C"/>
    <w:rsid w:val="5B8871E9"/>
    <w:rsid w:val="5B9F7F3B"/>
    <w:rsid w:val="5BA40BE5"/>
    <w:rsid w:val="5BA8278F"/>
    <w:rsid w:val="5BB751BD"/>
    <w:rsid w:val="5BE07737"/>
    <w:rsid w:val="5BF172E7"/>
    <w:rsid w:val="5BFB631F"/>
    <w:rsid w:val="5C183C23"/>
    <w:rsid w:val="5C390FE3"/>
    <w:rsid w:val="5C492169"/>
    <w:rsid w:val="5C516BF4"/>
    <w:rsid w:val="5CF93E8F"/>
    <w:rsid w:val="5D30277E"/>
    <w:rsid w:val="5D5B0A0B"/>
    <w:rsid w:val="5D8D5036"/>
    <w:rsid w:val="5D9805B3"/>
    <w:rsid w:val="5DD348AC"/>
    <w:rsid w:val="5DFB1693"/>
    <w:rsid w:val="5E4105E7"/>
    <w:rsid w:val="5E891EF8"/>
    <w:rsid w:val="5ED90C16"/>
    <w:rsid w:val="5F083FC2"/>
    <w:rsid w:val="5F0D47A6"/>
    <w:rsid w:val="5F1F5556"/>
    <w:rsid w:val="5F441788"/>
    <w:rsid w:val="5F51305B"/>
    <w:rsid w:val="5F607404"/>
    <w:rsid w:val="5F9674A7"/>
    <w:rsid w:val="5FAD6C7D"/>
    <w:rsid w:val="6022031E"/>
    <w:rsid w:val="602D0A71"/>
    <w:rsid w:val="6042451C"/>
    <w:rsid w:val="605455BD"/>
    <w:rsid w:val="609E0422"/>
    <w:rsid w:val="61665A4D"/>
    <w:rsid w:val="61C84EF5"/>
    <w:rsid w:val="6264713B"/>
    <w:rsid w:val="62AE1AC1"/>
    <w:rsid w:val="62B15989"/>
    <w:rsid w:val="62E25B42"/>
    <w:rsid w:val="62F67840"/>
    <w:rsid w:val="62FB2F72"/>
    <w:rsid w:val="633C08FC"/>
    <w:rsid w:val="63597017"/>
    <w:rsid w:val="63C67212"/>
    <w:rsid w:val="63F44A83"/>
    <w:rsid w:val="63FE16DD"/>
    <w:rsid w:val="64012005"/>
    <w:rsid w:val="64155AA4"/>
    <w:rsid w:val="642826DF"/>
    <w:rsid w:val="642C2FFF"/>
    <w:rsid w:val="64577284"/>
    <w:rsid w:val="648B72E7"/>
    <w:rsid w:val="64B74DAD"/>
    <w:rsid w:val="650E70C3"/>
    <w:rsid w:val="653528A1"/>
    <w:rsid w:val="659832B3"/>
    <w:rsid w:val="65B85280"/>
    <w:rsid w:val="65CE5344"/>
    <w:rsid w:val="65DA0385"/>
    <w:rsid w:val="66275276"/>
    <w:rsid w:val="6638413B"/>
    <w:rsid w:val="6674153C"/>
    <w:rsid w:val="66BE0674"/>
    <w:rsid w:val="66E31E89"/>
    <w:rsid w:val="671007F1"/>
    <w:rsid w:val="673320BA"/>
    <w:rsid w:val="675C73F2"/>
    <w:rsid w:val="676F0F89"/>
    <w:rsid w:val="67855BF4"/>
    <w:rsid w:val="67AD6DE0"/>
    <w:rsid w:val="67C718D1"/>
    <w:rsid w:val="67F7525A"/>
    <w:rsid w:val="682C46C7"/>
    <w:rsid w:val="682C7077"/>
    <w:rsid w:val="685731D2"/>
    <w:rsid w:val="68643573"/>
    <w:rsid w:val="68B97ED7"/>
    <w:rsid w:val="68EC14C9"/>
    <w:rsid w:val="68F2342A"/>
    <w:rsid w:val="69135A28"/>
    <w:rsid w:val="69261FE1"/>
    <w:rsid w:val="696E592C"/>
    <w:rsid w:val="69B018C1"/>
    <w:rsid w:val="69B15C14"/>
    <w:rsid w:val="69BC6CFF"/>
    <w:rsid w:val="69EB6102"/>
    <w:rsid w:val="6A0E0D52"/>
    <w:rsid w:val="6A8111ED"/>
    <w:rsid w:val="6AD71D05"/>
    <w:rsid w:val="6B0625F5"/>
    <w:rsid w:val="6B1116BB"/>
    <w:rsid w:val="6B401666"/>
    <w:rsid w:val="6B75365C"/>
    <w:rsid w:val="6B7B5D96"/>
    <w:rsid w:val="6BA17C54"/>
    <w:rsid w:val="6BC24763"/>
    <w:rsid w:val="6BD548F4"/>
    <w:rsid w:val="6BDD77EF"/>
    <w:rsid w:val="6BDF4B7D"/>
    <w:rsid w:val="6BE20233"/>
    <w:rsid w:val="6BF63529"/>
    <w:rsid w:val="6C2B48B6"/>
    <w:rsid w:val="6C376686"/>
    <w:rsid w:val="6C3968C7"/>
    <w:rsid w:val="6C5D740D"/>
    <w:rsid w:val="6C7A646F"/>
    <w:rsid w:val="6C7F3CDD"/>
    <w:rsid w:val="6CB43BD9"/>
    <w:rsid w:val="6CEC03EE"/>
    <w:rsid w:val="6CED5810"/>
    <w:rsid w:val="6D033285"/>
    <w:rsid w:val="6D312C6E"/>
    <w:rsid w:val="6D5744EA"/>
    <w:rsid w:val="6D7E0B27"/>
    <w:rsid w:val="6DB05CB4"/>
    <w:rsid w:val="6DB94F60"/>
    <w:rsid w:val="6DD644F6"/>
    <w:rsid w:val="6DFF1C9E"/>
    <w:rsid w:val="6E144C91"/>
    <w:rsid w:val="6E564D49"/>
    <w:rsid w:val="6E5A0AA4"/>
    <w:rsid w:val="6E774F4B"/>
    <w:rsid w:val="6E95022C"/>
    <w:rsid w:val="6F6A79F5"/>
    <w:rsid w:val="6F9B1553"/>
    <w:rsid w:val="6FAA5C3A"/>
    <w:rsid w:val="6FBB7993"/>
    <w:rsid w:val="6FD9651F"/>
    <w:rsid w:val="70132790"/>
    <w:rsid w:val="7053087D"/>
    <w:rsid w:val="70641996"/>
    <w:rsid w:val="70E60810"/>
    <w:rsid w:val="71182072"/>
    <w:rsid w:val="71C50B09"/>
    <w:rsid w:val="723433DE"/>
    <w:rsid w:val="72A02D9E"/>
    <w:rsid w:val="72A66B8C"/>
    <w:rsid w:val="731B5CA7"/>
    <w:rsid w:val="73243F55"/>
    <w:rsid w:val="7329156C"/>
    <w:rsid w:val="735859AD"/>
    <w:rsid w:val="737E1F98"/>
    <w:rsid w:val="738B5D82"/>
    <w:rsid w:val="73CE57CC"/>
    <w:rsid w:val="743C45B0"/>
    <w:rsid w:val="74AE5885"/>
    <w:rsid w:val="74AF72A0"/>
    <w:rsid w:val="74EA7D17"/>
    <w:rsid w:val="75104791"/>
    <w:rsid w:val="754104C0"/>
    <w:rsid w:val="75546277"/>
    <w:rsid w:val="755F2C22"/>
    <w:rsid w:val="759F04BE"/>
    <w:rsid w:val="75A634FC"/>
    <w:rsid w:val="75BB607F"/>
    <w:rsid w:val="75E11C91"/>
    <w:rsid w:val="7611783C"/>
    <w:rsid w:val="76AC2E78"/>
    <w:rsid w:val="76C26ECB"/>
    <w:rsid w:val="76D27AF8"/>
    <w:rsid w:val="76FD2F00"/>
    <w:rsid w:val="77216B8B"/>
    <w:rsid w:val="7727446A"/>
    <w:rsid w:val="77383246"/>
    <w:rsid w:val="780768A2"/>
    <w:rsid w:val="78DD1E86"/>
    <w:rsid w:val="79144124"/>
    <w:rsid w:val="79707849"/>
    <w:rsid w:val="797A07C3"/>
    <w:rsid w:val="799E680F"/>
    <w:rsid w:val="79BC4EE7"/>
    <w:rsid w:val="79DC0916"/>
    <w:rsid w:val="79F3642F"/>
    <w:rsid w:val="7A0635C0"/>
    <w:rsid w:val="7A0D74F1"/>
    <w:rsid w:val="7A1C6AC0"/>
    <w:rsid w:val="7A2715CF"/>
    <w:rsid w:val="7AE77D42"/>
    <w:rsid w:val="7B2F4F94"/>
    <w:rsid w:val="7B33614A"/>
    <w:rsid w:val="7B5971BC"/>
    <w:rsid w:val="7B75534E"/>
    <w:rsid w:val="7C0E5EFB"/>
    <w:rsid w:val="7C5E3E59"/>
    <w:rsid w:val="7C852194"/>
    <w:rsid w:val="7CA26617"/>
    <w:rsid w:val="7CC75E49"/>
    <w:rsid w:val="7CDE5E54"/>
    <w:rsid w:val="7CF76237"/>
    <w:rsid w:val="7D2E7EC7"/>
    <w:rsid w:val="7D562013"/>
    <w:rsid w:val="7D7004C3"/>
    <w:rsid w:val="7D83519D"/>
    <w:rsid w:val="7D987C19"/>
    <w:rsid w:val="7DCD2671"/>
    <w:rsid w:val="7DEA4DB5"/>
    <w:rsid w:val="7E375583"/>
    <w:rsid w:val="7E391CF7"/>
    <w:rsid w:val="7E7B0DF9"/>
    <w:rsid w:val="7E9A7436"/>
    <w:rsid w:val="7EAA17B2"/>
    <w:rsid w:val="7EB16E12"/>
    <w:rsid w:val="7ED06D3F"/>
    <w:rsid w:val="7EE822DB"/>
    <w:rsid w:val="7F1015D2"/>
    <w:rsid w:val="7F1C3412"/>
    <w:rsid w:val="7F2D1560"/>
    <w:rsid w:val="7F346B96"/>
    <w:rsid w:val="7F3B065C"/>
    <w:rsid w:val="7F806956"/>
    <w:rsid w:val="7FB775F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2"/>
    <w:autoRedefine/>
    <w:qFormat/>
    <w:uiPriority w:val="0"/>
    <w:pPr>
      <w:keepNext/>
      <w:keepLines/>
      <w:numPr>
        <w:ilvl w:val="0"/>
        <w:numId w:val="1"/>
      </w:numPr>
      <w:spacing w:line="360" w:lineRule="auto"/>
      <w:jc w:val="center"/>
      <w:outlineLvl w:val="0"/>
    </w:pPr>
    <w:rPr>
      <w:rFonts w:ascii="Calibri" w:hAnsi="Calibri" w:eastAsia="宋体"/>
      <w:b/>
      <w:bCs/>
      <w:kern w:val="44"/>
      <w:sz w:val="44"/>
      <w:szCs w:val="44"/>
    </w:rPr>
  </w:style>
  <w:style w:type="paragraph" w:styleId="3">
    <w:name w:val="heading 2"/>
    <w:basedOn w:val="1"/>
    <w:next w:val="1"/>
    <w:link w:val="107"/>
    <w:autoRedefine/>
    <w:qFormat/>
    <w:uiPriority w:val="0"/>
    <w:pPr>
      <w:keepNext/>
      <w:keepLines/>
      <w:spacing w:before="260" w:after="260" w:line="413" w:lineRule="auto"/>
      <w:outlineLvl w:val="1"/>
    </w:pPr>
    <w:rPr>
      <w:rFonts w:ascii="Cambria" w:hAnsi="Cambria"/>
      <w:b/>
      <w:bCs/>
      <w:sz w:val="32"/>
      <w:szCs w:val="32"/>
    </w:rPr>
  </w:style>
  <w:style w:type="paragraph" w:styleId="4">
    <w:name w:val="heading 3"/>
    <w:basedOn w:val="1"/>
    <w:next w:val="1"/>
    <w:link w:val="65"/>
    <w:autoRedefine/>
    <w:qFormat/>
    <w:uiPriority w:val="0"/>
    <w:pPr>
      <w:keepNext/>
      <w:keepLines/>
      <w:spacing w:before="260" w:after="260" w:line="415" w:lineRule="auto"/>
      <w:outlineLvl w:val="2"/>
    </w:pPr>
    <w:rPr>
      <w:b/>
      <w:bCs/>
      <w:sz w:val="32"/>
      <w:szCs w:val="32"/>
    </w:rPr>
  </w:style>
  <w:style w:type="paragraph" w:styleId="5">
    <w:name w:val="heading 4"/>
    <w:basedOn w:val="1"/>
    <w:next w:val="1"/>
    <w:link w:val="54"/>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62"/>
    <w:autoRedefine/>
    <w:qFormat/>
    <w:uiPriority w:val="0"/>
    <w:pPr>
      <w:keepNext/>
      <w:keepLines/>
      <w:spacing w:before="280" w:after="290" w:line="372" w:lineRule="auto"/>
      <w:outlineLvl w:val="4"/>
    </w:pPr>
    <w:rPr>
      <w:rFonts w:ascii="Calibri" w:hAnsi="Calibri"/>
      <w:b/>
      <w:bCs/>
      <w:sz w:val="28"/>
      <w:szCs w:val="28"/>
    </w:rPr>
  </w:style>
  <w:style w:type="paragraph" w:styleId="7">
    <w:name w:val="heading 6"/>
    <w:basedOn w:val="1"/>
    <w:next w:val="1"/>
    <w:link w:val="68"/>
    <w:autoRedefine/>
    <w:qFormat/>
    <w:uiPriority w:val="0"/>
    <w:pPr>
      <w:keepNext/>
      <w:keepLines/>
      <w:spacing w:before="240" w:after="64" w:line="317" w:lineRule="auto"/>
      <w:outlineLvl w:val="5"/>
    </w:pPr>
    <w:rPr>
      <w:rFonts w:ascii="Cambria" w:hAnsi="Cambria"/>
      <w:b/>
      <w:bCs/>
      <w:sz w:val="24"/>
    </w:rPr>
  </w:style>
  <w:style w:type="paragraph" w:styleId="8">
    <w:name w:val="heading 7"/>
    <w:basedOn w:val="1"/>
    <w:next w:val="1"/>
    <w:link w:val="60"/>
    <w:autoRedefine/>
    <w:qFormat/>
    <w:uiPriority w:val="0"/>
    <w:pPr>
      <w:keepNext/>
      <w:keepLines/>
      <w:spacing w:before="240" w:after="64" w:line="317" w:lineRule="auto"/>
      <w:outlineLvl w:val="6"/>
    </w:pPr>
    <w:rPr>
      <w:rFonts w:ascii="Calibri" w:hAnsi="Calibri"/>
      <w:b/>
      <w:bCs/>
      <w:sz w:val="24"/>
    </w:rPr>
  </w:style>
  <w:style w:type="paragraph" w:styleId="9">
    <w:name w:val="heading 8"/>
    <w:basedOn w:val="1"/>
    <w:next w:val="1"/>
    <w:link w:val="87"/>
    <w:autoRedefine/>
    <w:qFormat/>
    <w:uiPriority w:val="0"/>
    <w:pPr>
      <w:keepNext/>
      <w:keepLines/>
      <w:spacing w:before="240" w:after="64" w:line="317" w:lineRule="auto"/>
      <w:outlineLvl w:val="7"/>
    </w:pPr>
    <w:rPr>
      <w:rFonts w:ascii="Cambria" w:hAnsi="Cambria"/>
      <w:sz w:val="24"/>
    </w:rPr>
  </w:style>
  <w:style w:type="paragraph" w:styleId="10">
    <w:name w:val="heading 9"/>
    <w:basedOn w:val="1"/>
    <w:next w:val="1"/>
    <w:link w:val="51"/>
    <w:autoRedefine/>
    <w:qFormat/>
    <w:uiPriority w:val="0"/>
    <w:pPr>
      <w:keepNext/>
      <w:keepLines/>
      <w:spacing w:before="240" w:after="64" w:line="317" w:lineRule="auto"/>
      <w:outlineLvl w:val="8"/>
    </w:pPr>
    <w:rPr>
      <w:rFonts w:ascii="Cambria" w:hAnsi="Cambria"/>
      <w:szCs w:val="21"/>
    </w:rPr>
  </w:style>
  <w:style w:type="character" w:default="1" w:styleId="40">
    <w:name w:val="Default Paragraph Font"/>
    <w:autoRedefine/>
    <w:semiHidden/>
    <w:unhideWhenUsed/>
    <w:qFormat/>
    <w:uiPriority w:val="1"/>
  </w:style>
  <w:style w:type="table" w:default="1" w:styleId="38">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rPr>
      <w:rFonts w:ascii="Calibri" w:hAnsi="Calibri"/>
      <w:szCs w:val="22"/>
    </w:rPr>
  </w:style>
  <w:style w:type="paragraph" w:styleId="12">
    <w:name w:val="Normal Indent"/>
    <w:basedOn w:val="1"/>
    <w:autoRedefine/>
    <w:qFormat/>
    <w:uiPriority w:val="0"/>
    <w:pPr>
      <w:adjustRightInd w:val="0"/>
      <w:spacing w:line="360" w:lineRule="atLeast"/>
      <w:ind w:firstLine="482"/>
      <w:textAlignment w:val="baseline"/>
    </w:pPr>
    <w:rPr>
      <w:kern w:val="0"/>
      <w:sz w:val="24"/>
      <w:szCs w:val="20"/>
    </w:rPr>
  </w:style>
  <w:style w:type="paragraph" w:styleId="13">
    <w:name w:val="caption"/>
    <w:basedOn w:val="1"/>
    <w:next w:val="1"/>
    <w:autoRedefine/>
    <w:qFormat/>
    <w:uiPriority w:val="0"/>
    <w:rPr>
      <w:rFonts w:ascii="Cambria" w:hAnsi="Cambria" w:eastAsia="黑体"/>
      <w:sz w:val="20"/>
      <w:szCs w:val="20"/>
    </w:rPr>
  </w:style>
  <w:style w:type="paragraph" w:styleId="14">
    <w:name w:val="Document Map"/>
    <w:basedOn w:val="1"/>
    <w:link w:val="78"/>
    <w:autoRedefine/>
    <w:qFormat/>
    <w:uiPriority w:val="0"/>
    <w:pPr>
      <w:shd w:val="clear" w:color="auto" w:fill="000080"/>
    </w:pPr>
    <w:rPr>
      <w:kern w:val="0"/>
      <w:sz w:val="20"/>
      <w:shd w:val="clear" w:color="auto" w:fill="000080"/>
    </w:rPr>
  </w:style>
  <w:style w:type="paragraph" w:styleId="15">
    <w:name w:val="annotation text"/>
    <w:basedOn w:val="1"/>
    <w:link w:val="73"/>
    <w:autoRedefine/>
    <w:qFormat/>
    <w:uiPriority w:val="0"/>
    <w:pPr>
      <w:jc w:val="left"/>
    </w:pPr>
  </w:style>
  <w:style w:type="paragraph" w:styleId="16">
    <w:name w:val="Body Text"/>
    <w:basedOn w:val="1"/>
    <w:link w:val="80"/>
    <w:autoRedefine/>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7">
    <w:name w:val="Body Text Indent"/>
    <w:basedOn w:val="1"/>
    <w:autoRedefine/>
    <w:qFormat/>
    <w:uiPriority w:val="0"/>
    <w:pPr>
      <w:ind w:firstLine="830" w:firstLineChars="352"/>
    </w:pPr>
    <w:rPr>
      <w:rFonts w:ascii="仿宋_GB2312" w:eastAsia="仿宋_GB2312"/>
      <w:kern w:val="0"/>
      <w:sz w:val="32"/>
      <w:szCs w:val="20"/>
    </w:rPr>
  </w:style>
  <w:style w:type="paragraph" w:styleId="18">
    <w:name w:val="index 4"/>
    <w:basedOn w:val="1"/>
    <w:next w:val="1"/>
    <w:autoRedefine/>
    <w:qFormat/>
    <w:uiPriority w:val="0"/>
    <w:pPr>
      <w:ind w:left="600" w:leftChars="600"/>
    </w:pPr>
  </w:style>
  <w:style w:type="paragraph" w:styleId="19">
    <w:name w:val="toc 5"/>
    <w:basedOn w:val="1"/>
    <w:next w:val="1"/>
    <w:autoRedefine/>
    <w:qFormat/>
    <w:uiPriority w:val="0"/>
    <w:pPr>
      <w:tabs>
        <w:tab w:val="right" w:leader="dot" w:pos="8296"/>
      </w:tabs>
      <w:ind w:left="1050" w:leftChars="500"/>
    </w:pPr>
    <w:rPr>
      <w:rFonts w:ascii="Calibri" w:hAnsi="Calibri"/>
      <w:szCs w:val="22"/>
    </w:rPr>
  </w:style>
  <w:style w:type="paragraph" w:styleId="20">
    <w:name w:val="toc 3"/>
    <w:basedOn w:val="1"/>
    <w:next w:val="1"/>
    <w:autoRedefine/>
    <w:qFormat/>
    <w:uiPriority w:val="0"/>
    <w:pPr>
      <w:ind w:left="840" w:leftChars="400"/>
    </w:pPr>
    <w:rPr>
      <w:rFonts w:ascii="Calibri" w:hAnsi="Calibri"/>
      <w:szCs w:val="22"/>
    </w:rPr>
  </w:style>
  <w:style w:type="paragraph" w:styleId="21">
    <w:name w:val="Plain Text"/>
    <w:basedOn w:val="1"/>
    <w:autoRedefine/>
    <w:qFormat/>
    <w:uiPriority w:val="0"/>
    <w:pPr>
      <w:spacing w:beforeLines="50" w:line="360" w:lineRule="auto"/>
    </w:pPr>
    <w:rPr>
      <w:rFonts w:ascii="宋体" w:hAnsi="Courier New" w:eastAsia="Times New Roman"/>
      <w:kern w:val="0"/>
    </w:rPr>
  </w:style>
  <w:style w:type="paragraph" w:styleId="22">
    <w:name w:val="toc 8"/>
    <w:basedOn w:val="1"/>
    <w:next w:val="1"/>
    <w:autoRedefine/>
    <w:qFormat/>
    <w:uiPriority w:val="0"/>
    <w:pPr>
      <w:ind w:left="2940" w:leftChars="1400"/>
    </w:pPr>
    <w:rPr>
      <w:rFonts w:ascii="Calibri" w:hAnsi="Calibri"/>
      <w:szCs w:val="22"/>
    </w:rPr>
  </w:style>
  <w:style w:type="paragraph" w:styleId="23">
    <w:name w:val="Date"/>
    <w:basedOn w:val="1"/>
    <w:next w:val="1"/>
    <w:link w:val="88"/>
    <w:autoRedefine/>
    <w:qFormat/>
    <w:uiPriority w:val="0"/>
    <w:pPr>
      <w:ind w:left="100" w:leftChars="2500"/>
    </w:pPr>
    <w:rPr>
      <w:rFonts w:ascii="宋体"/>
      <w:kern w:val="0"/>
      <w:sz w:val="28"/>
      <w:szCs w:val="20"/>
    </w:rPr>
  </w:style>
  <w:style w:type="paragraph" w:styleId="24">
    <w:name w:val="Balloon Text"/>
    <w:basedOn w:val="1"/>
    <w:link w:val="81"/>
    <w:autoRedefine/>
    <w:qFormat/>
    <w:uiPriority w:val="0"/>
    <w:rPr>
      <w:rFonts w:ascii="宋体"/>
      <w:kern w:val="0"/>
      <w:sz w:val="18"/>
      <w:szCs w:val="18"/>
    </w:rPr>
  </w:style>
  <w:style w:type="paragraph" w:styleId="25">
    <w:name w:val="footer"/>
    <w:basedOn w:val="1"/>
    <w:link w:val="74"/>
    <w:autoRedefine/>
    <w:qFormat/>
    <w:uiPriority w:val="0"/>
    <w:pPr>
      <w:tabs>
        <w:tab w:val="center" w:pos="4153"/>
        <w:tab w:val="right" w:pos="8306"/>
      </w:tabs>
      <w:snapToGrid w:val="0"/>
      <w:jc w:val="left"/>
    </w:pPr>
    <w:rPr>
      <w:sz w:val="18"/>
      <w:szCs w:val="18"/>
    </w:rPr>
  </w:style>
  <w:style w:type="paragraph" w:styleId="2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7">
    <w:name w:val="toc 1"/>
    <w:basedOn w:val="1"/>
    <w:next w:val="1"/>
    <w:autoRedefine/>
    <w:qFormat/>
    <w:uiPriority w:val="0"/>
    <w:pPr>
      <w:tabs>
        <w:tab w:val="right" w:leader="dot" w:pos="8296"/>
      </w:tabs>
    </w:pPr>
    <w:rPr>
      <w:rFonts w:ascii="宋体" w:eastAsia="楷体_GB2312" w:cs="TimesNewRomanPSMT"/>
      <w:b/>
      <w:kern w:val="0"/>
      <w:sz w:val="28"/>
      <w:szCs w:val="20"/>
    </w:rPr>
  </w:style>
  <w:style w:type="paragraph" w:styleId="28">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29">
    <w:name w:val="Subtitle"/>
    <w:basedOn w:val="1"/>
    <w:next w:val="1"/>
    <w:link w:val="85"/>
    <w:autoRedefine/>
    <w:qFormat/>
    <w:uiPriority w:val="0"/>
    <w:pPr>
      <w:spacing w:before="240" w:after="60" w:line="312" w:lineRule="auto"/>
      <w:jc w:val="center"/>
      <w:outlineLvl w:val="1"/>
    </w:pPr>
    <w:rPr>
      <w:rFonts w:ascii="Cambria" w:hAnsi="Cambria"/>
      <w:b/>
      <w:bCs/>
      <w:kern w:val="28"/>
      <w:sz w:val="32"/>
      <w:szCs w:val="32"/>
    </w:rPr>
  </w:style>
  <w:style w:type="paragraph" w:styleId="30">
    <w:name w:val="toc 6"/>
    <w:basedOn w:val="1"/>
    <w:next w:val="1"/>
    <w:autoRedefine/>
    <w:qFormat/>
    <w:uiPriority w:val="0"/>
    <w:pPr>
      <w:ind w:left="2100" w:leftChars="1000"/>
    </w:pPr>
    <w:rPr>
      <w:rFonts w:ascii="Calibri" w:hAnsi="Calibri"/>
      <w:szCs w:val="22"/>
    </w:rPr>
  </w:style>
  <w:style w:type="paragraph" w:styleId="31">
    <w:name w:val="Body Text Indent 3"/>
    <w:basedOn w:val="1"/>
    <w:link w:val="102"/>
    <w:autoRedefine/>
    <w:qFormat/>
    <w:uiPriority w:val="0"/>
    <w:pPr>
      <w:spacing w:after="120"/>
      <w:ind w:left="420" w:leftChars="200"/>
    </w:pPr>
    <w:rPr>
      <w:sz w:val="16"/>
      <w:szCs w:val="16"/>
    </w:rPr>
  </w:style>
  <w:style w:type="paragraph" w:styleId="32">
    <w:name w:val="toc 2"/>
    <w:basedOn w:val="1"/>
    <w:next w:val="1"/>
    <w:autoRedefine/>
    <w:qFormat/>
    <w:uiPriority w:val="0"/>
    <w:pPr>
      <w:ind w:left="420" w:leftChars="200"/>
    </w:pPr>
    <w:rPr>
      <w:rFonts w:ascii="宋体"/>
      <w:b/>
      <w:sz w:val="28"/>
      <w:szCs w:val="20"/>
    </w:rPr>
  </w:style>
  <w:style w:type="paragraph" w:styleId="33">
    <w:name w:val="toc 9"/>
    <w:basedOn w:val="1"/>
    <w:next w:val="1"/>
    <w:autoRedefine/>
    <w:qFormat/>
    <w:uiPriority w:val="0"/>
    <w:pPr>
      <w:ind w:left="3360" w:leftChars="1600"/>
    </w:pPr>
    <w:rPr>
      <w:rFonts w:ascii="Calibri" w:hAnsi="Calibri"/>
      <w:szCs w:val="22"/>
    </w:rPr>
  </w:style>
  <w:style w:type="paragraph" w:styleId="34">
    <w:name w:val="Normal (Web)"/>
    <w:basedOn w:val="1"/>
    <w:autoRedefine/>
    <w:qFormat/>
    <w:uiPriority w:val="0"/>
    <w:pPr>
      <w:widowControl/>
      <w:spacing w:before="100" w:beforeAutospacing="1" w:after="100" w:afterAutospacing="1" w:line="320" w:lineRule="atLeast"/>
      <w:jc w:val="left"/>
    </w:pPr>
    <w:rPr>
      <w:rFonts w:ascii="宋体" w:hAnsi="宋体"/>
      <w:kern w:val="0"/>
      <w:sz w:val="18"/>
      <w:szCs w:val="18"/>
    </w:rPr>
  </w:style>
  <w:style w:type="paragraph" w:styleId="35">
    <w:name w:val="Title"/>
    <w:basedOn w:val="1"/>
    <w:next w:val="1"/>
    <w:link w:val="67"/>
    <w:autoRedefine/>
    <w:qFormat/>
    <w:uiPriority w:val="0"/>
    <w:pPr>
      <w:spacing w:before="240" w:after="60"/>
      <w:jc w:val="center"/>
      <w:outlineLvl w:val="0"/>
    </w:pPr>
    <w:rPr>
      <w:rFonts w:ascii="Cambria" w:hAnsi="Cambria"/>
      <w:b/>
      <w:bCs/>
      <w:sz w:val="32"/>
      <w:szCs w:val="32"/>
    </w:rPr>
  </w:style>
  <w:style w:type="paragraph" w:styleId="36">
    <w:name w:val="annotation subject"/>
    <w:basedOn w:val="15"/>
    <w:next w:val="15"/>
    <w:link w:val="59"/>
    <w:autoRedefine/>
    <w:qFormat/>
    <w:uiPriority w:val="0"/>
    <w:rPr>
      <w:rFonts w:ascii="宋体"/>
      <w:b/>
      <w:bCs/>
      <w:kern w:val="0"/>
      <w:sz w:val="28"/>
      <w:szCs w:val="20"/>
    </w:rPr>
  </w:style>
  <w:style w:type="paragraph" w:styleId="37">
    <w:name w:val="Body Text First Indent 2"/>
    <w:basedOn w:val="17"/>
    <w:next w:val="1"/>
    <w:autoRedefine/>
    <w:qFormat/>
    <w:uiPriority w:val="0"/>
    <w:pPr>
      <w:ind w:firstLine="420" w:firstLineChars="200"/>
    </w:pPr>
  </w:style>
  <w:style w:type="table" w:styleId="39">
    <w:name w:val="Table Grid"/>
    <w:basedOn w:val="3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autoRedefine/>
    <w:qFormat/>
    <w:uiPriority w:val="0"/>
    <w:rPr>
      <w:b/>
      <w:bCs/>
    </w:rPr>
  </w:style>
  <w:style w:type="character" w:styleId="42">
    <w:name w:val="page number"/>
    <w:basedOn w:val="40"/>
    <w:autoRedefine/>
    <w:qFormat/>
    <w:uiPriority w:val="0"/>
  </w:style>
  <w:style w:type="character" w:styleId="43">
    <w:name w:val="FollowedHyperlink"/>
    <w:basedOn w:val="40"/>
    <w:autoRedefine/>
    <w:qFormat/>
    <w:uiPriority w:val="0"/>
    <w:rPr>
      <w:color w:val="333333"/>
      <w:u w:val="none"/>
    </w:rPr>
  </w:style>
  <w:style w:type="character" w:styleId="44">
    <w:name w:val="Emphasis"/>
    <w:autoRedefine/>
    <w:qFormat/>
    <w:uiPriority w:val="0"/>
    <w:rPr>
      <w:i/>
      <w:iCs/>
    </w:rPr>
  </w:style>
  <w:style w:type="character" w:styleId="45">
    <w:name w:val="Hyperlink"/>
    <w:basedOn w:val="40"/>
    <w:autoRedefine/>
    <w:qFormat/>
    <w:uiPriority w:val="0"/>
    <w:rPr>
      <w:color w:val="333333"/>
      <w:u w:val="none"/>
    </w:rPr>
  </w:style>
  <w:style w:type="character" w:styleId="46">
    <w:name w:val="annotation reference"/>
    <w:autoRedefine/>
    <w:qFormat/>
    <w:uiPriority w:val="0"/>
    <w:rPr>
      <w:rFonts w:cs="Times New Roman"/>
      <w:sz w:val="21"/>
      <w:szCs w:val="21"/>
    </w:rPr>
  </w:style>
  <w:style w:type="paragraph" w:styleId="47">
    <w:name w:val="List Paragraph"/>
    <w:basedOn w:val="1"/>
    <w:autoRedefine/>
    <w:qFormat/>
    <w:uiPriority w:val="34"/>
    <w:pPr>
      <w:ind w:firstLine="420" w:firstLineChars="200"/>
    </w:pPr>
    <w:rPr>
      <w:rFonts w:ascii="Calibri" w:hAnsi="Calibri"/>
      <w:szCs w:val="22"/>
    </w:rPr>
  </w:style>
  <w:style w:type="paragraph" w:customStyle="1" w:styleId="48">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49">
    <w:name w:val="列出段落1"/>
    <w:basedOn w:val="1"/>
    <w:autoRedefine/>
    <w:qFormat/>
    <w:uiPriority w:val="0"/>
    <w:pPr>
      <w:ind w:firstLine="420"/>
    </w:pPr>
    <w:rPr>
      <w:szCs w:val="20"/>
    </w:rPr>
  </w:style>
  <w:style w:type="paragraph" w:customStyle="1" w:styleId="50">
    <w:name w:val="正文正"/>
    <w:basedOn w:val="1"/>
    <w:autoRedefine/>
    <w:qFormat/>
    <w:uiPriority w:val="0"/>
    <w:pPr>
      <w:spacing w:line="560" w:lineRule="exact"/>
      <w:ind w:firstLine="561"/>
    </w:pPr>
    <w:rPr>
      <w:rFonts w:eastAsia="仿宋_GB2312"/>
      <w:sz w:val="28"/>
      <w:szCs w:val="24"/>
    </w:rPr>
  </w:style>
  <w:style w:type="character" w:customStyle="1" w:styleId="51">
    <w:name w:val="标题 9 Char"/>
    <w:link w:val="10"/>
    <w:autoRedefine/>
    <w:qFormat/>
    <w:uiPriority w:val="0"/>
    <w:rPr>
      <w:rFonts w:ascii="Cambria" w:hAnsi="Cambria" w:eastAsia="宋体"/>
      <w:kern w:val="2"/>
      <w:sz w:val="21"/>
      <w:szCs w:val="21"/>
      <w:lang w:val="en-US" w:eastAsia="zh-CN" w:bidi="ar-SA"/>
    </w:rPr>
  </w:style>
  <w:style w:type="character" w:customStyle="1" w:styleId="52">
    <w:name w:val="textcontents"/>
    <w:autoRedefine/>
    <w:qFormat/>
    <w:uiPriority w:val="0"/>
    <w:rPr>
      <w:rFonts w:cs="Times New Roman"/>
    </w:rPr>
  </w:style>
  <w:style w:type="character" w:customStyle="1" w:styleId="53">
    <w:name w:val="标题 2 Char"/>
    <w:link w:val="3"/>
    <w:autoRedefine/>
    <w:qFormat/>
    <w:uiPriority w:val="0"/>
    <w:rPr>
      <w:rFonts w:ascii="Cambria" w:hAnsi="Cambria" w:eastAsia="宋体"/>
      <w:b/>
      <w:bCs/>
      <w:kern w:val="2"/>
      <w:sz w:val="32"/>
      <w:szCs w:val="32"/>
      <w:lang w:val="en-US" w:eastAsia="zh-CN" w:bidi="ar-SA"/>
    </w:rPr>
  </w:style>
  <w:style w:type="character" w:customStyle="1" w:styleId="54">
    <w:name w:val="标题 4 Char"/>
    <w:link w:val="5"/>
    <w:autoRedefine/>
    <w:qFormat/>
    <w:uiPriority w:val="0"/>
    <w:rPr>
      <w:rFonts w:ascii="Arial" w:hAnsi="Arial" w:eastAsia="黑体"/>
      <w:b/>
      <w:bCs/>
      <w:kern w:val="2"/>
      <w:sz w:val="28"/>
      <w:szCs w:val="28"/>
      <w:lang w:val="en-US" w:eastAsia="zh-CN" w:bidi="ar-SA"/>
    </w:rPr>
  </w:style>
  <w:style w:type="character" w:customStyle="1" w:styleId="55">
    <w:name w:val="引用 Char"/>
    <w:link w:val="56"/>
    <w:autoRedefine/>
    <w:qFormat/>
    <w:uiPriority w:val="0"/>
    <w:rPr>
      <w:i/>
      <w:iCs/>
      <w:color w:val="000000"/>
      <w:kern w:val="2"/>
      <w:sz w:val="21"/>
      <w:szCs w:val="22"/>
      <w:lang w:bidi="ar-SA"/>
    </w:rPr>
  </w:style>
  <w:style w:type="paragraph" w:styleId="56">
    <w:name w:val="Quote"/>
    <w:basedOn w:val="1"/>
    <w:next w:val="1"/>
    <w:link w:val="55"/>
    <w:autoRedefine/>
    <w:qFormat/>
    <w:uiPriority w:val="0"/>
    <w:rPr>
      <w:i/>
      <w:iCs/>
      <w:color w:val="000000"/>
      <w:szCs w:val="22"/>
    </w:rPr>
  </w:style>
  <w:style w:type="character" w:customStyle="1" w:styleId="57">
    <w:name w:val="标题5 Char Char"/>
    <w:link w:val="58"/>
    <w:autoRedefine/>
    <w:qFormat/>
    <w:uiPriority w:val="0"/>
    <w:rPr>
      <w:rFonts w:ascii="Arial" w:hAnsi="Arial"/>
      <w:b/>
      <w:bCs/>
      <w:sz w:val="24"/>
      <w:szCs w:val="32"/>
      <w:lang w:bidi="ar-SA"/>
    </w:rPr>
  </w:style>
  <w:style w:type="paragraph" w:customStyle="1" w:styleId="58">
    <w:name w:val="标题5"/>
    <w:basedOn w:val="4"/>
    <w:link w:val="57"/>
    <w:autoRedefine/>
    <w:qFormat/>
    <w:uiPriority w:val="0"/>
    <w:pPr>
      <w:spacing w:line="413" w:lineRule="auto"/>
    </w:pPr>
    <w:rPr>
      <w:rFonts w:ascii="Arial" w:hAnsi="Arial"/>
      <w:kern w:val="0"/>
      <w:sz w:val="24"/>
    </w:rPr>
  </w:style>
  <w:style w:type="character" w:customStyle="1" w:styleId="59">
    <w:name w:val="批注主题 Char"/>
    <w:link w:val="36"/>
    <w:autoRedefine/>
    <w:qFormat/>
    <w:uiPriority w:val="0"/>
    <w:rPr>
      <w:rFonts w:ascii="宋体"/>
      <w:b/>
      <w:bCs/>
      <w:sz w:val="28"/>
      <w:lang w:bidi="ar-SA"/>
    </w:rPr>
  </w:style>
  <w:style w:type="character" w:customStyle="1" w:styleId="60">
    <w:name w:val="标题 7 Char"/>
    <w:link w:val="8"/>
    <w:autoRedefine/>
    <w:qFormat/>
    <w:uiPriority w:val="0"/>
    <w:rPr>
      <w:rFonts w:ascii="Calibri" w:hAnsi="Calibri" w:eastAsia="宋体"/>
      <w:b/>
      <w:bCs/>
      <w:kern w:val="2"/>
      <w:sz w:val="24"/>
      <w:szCs w:val="24"/>
      <w:lang w:val="en-US" w:eastAsia="zh-CN" w:bidi="ar-SA"/>
    </w:rPr>
  </w:style>
  <w:style w:type="character" w:customStyle="1" w:styleId="61">
    <w:name w:val="文档结构图 Char1"/>
    <w:autoRedefine/>
    <w:qFormat/>
    <w:uiPriority w:val="0"/>
    <w:rPr>
      <w:rFonts w:ascii="宋体"/>
      <w:kern w:val="2"/>
      <w:sz w:val="18"/>
      <w:szCs w:val="18"/>
    </w:rPr>
  </w:style>
  <w:style w:type="character" w:customStyle="1" w:styleId="62">
    <w:name w:val="标题 5 Char"/>
    <w:link w:val="6"/>
    <w:autoRedefine/>
    <w:qFormat/>
    <w:uiPriority w:val="0"/>
    <w:rPr>
      <w:rFonts w:ascii="Calibri" w:hAnsi="Calibri" w:eastAsia="宋体"/>
      <w:b/>
      <w:bCs/>
      <w:kern w:val="2"/>
      <w:sz w:val="28"/>
      <w:szCs w:val="28"/>
      <w:lang w:val="en-US" w:eastAsia="zh-CN" w:bidi="ar-SA"/>
    </w:rPr>
  </w:style>
  <w:style w:type="character" w:customStyle="1" w:styleId="63">
    <w:name w:val="正文文本 Char1"/>
    <w:autoRedefine/>
    <w:qFormat/>
    <w:uiPriority w:val="0"/>
    <w:rPr>
      <w:kern w:val="2"/>
      <w:sz w:val="21"/>
      <w:szCs w:val="22"/>
    </w:rPr>
  </w:style>
  <w:style w:type="character" w:customStyle="1" w:styleId="64">
    <w:name w:val="日期 Char1"/>
    <w:autoRedefine/>
    <w:qFormat/>
    <w:uiPriority w:val="0"/>
    <w:rPr>
      <w:kern w:val="2"/>
      <w:sz w:val="21"/>
      <w:szCs w:val="22"/>
    </w:rPr>
  </w:style>
  <w:style w:type="character" w:customStyle="1" w:styleId="65">
    <w:name w:val="标题 3 Char"/>
    <w:basedOn w:val="40"/>
    <w:link w:val="4"/>
    <w:autoRedefine/>
    <w:qFormat/>
    <w:uiPriority w:val="0"/>
    <w:rPr>
      <w:rFonts w:eastAsia="宋体"/>
      <w:b/>
      <w:bCs/>
      <w:kern w:val="2"/>
      <w:sz w:val="32"/>
      <w:szCs w:val="32"/>
      <w:lang w:val="en-US" w:eastAsia="zh-CN" w:bidi="ar-SA"/>
    </w:rPr>
  </w:style>
  <w:style w:type="character" w:customStyle="1" w:styleId="66">
    <w:name w:val="不明显参考1"/>
    <w:autoRedefine/>
    <w:qFormat/>
    <w:uiPriority w:val="0"/>
    <w:rPr>
      <w:smallCaps/>
      <w:color w:val="C0504D"/>
      <w:u w:val="single"/>
    </w:rPr>
  </w:style>
  <w:style w:type="character" w:customStyle="1" w:styleId="67">
    <w:name w:val="标题 Char"/>
    <w:link w:val="35"/>
    <w:autoRedefine/>
    <w:qFormat/>
    <w:uiPriority w:val="0"/>
    <w:rPr>
      <w:rFonts w:ascii="Cambria" w:hAnsi="Cambria"/>
      <w:b/>
      <w:bCs/>
      <w:kern w:val="2"/>
      <w:sz w:val="32"/>
      <w:szCs w:val="32"/>
      <w:lang w:bidi="ar-SA"/>
    </w:rPr>
  </w:style>
  <w:style w:type="character" w:customStyle="1" w:styleId="68">
    <w:name w:val="标题 6 Char"/>
    <w:link w:val="7"/>
    <w:autoRedefine/>
    <w:qFormat/>
    <w:uiPriority w:val="0"/>
    <w:rPr>
      <w:rFonts w:ascii="Cambria" w:hAnsi="Cambria" w:eastAsia="宋体"/>
      <w:b/>
      <w:bCs/>
      <w:kern w:val="2"/>
      <w:sz w:val="24"/>
      <w:szCs w:val="24"/>
      <w:lang w:val="en-US" w:eastAsia="zh-CN" w:bidi="ar-SA"/>
    </w:rPr>
  </w:style>
  <w:style w:type="character" w:customStyle="1" w:styleId="69">
    <w:name w:val="明显参考1"/>
    <w:autoRedefine/>
    <w:qFormat/>
    <w:uiPriority w:val="0"/>
    <w:rPr>
      <w:b/>
      <w:bCs/>
      <w:smallCaps/>
      <w:color w:val="C0504D"/>
      <w:spacing w:val="5"/>
      <w:u w:val="single"/>
    </w:rPr>
  </w:style>
  <w:style w:type="character" w:customStyle="1" w:styleId="70">
    <w:name w:val="批注文字 Char Char"/>
    <w:autoRedefine/>
    <w:qFormat/>
    <w:uiPriority w:val="0"/>
    <w:rPr>
      <w:rFonts w:ascii="宋体" w:hAnsi="Times New Roman" w:eastAsia="宋体" w:cs="Times New Roman"/>
      <w:sz w:val="28"/>
      <w:szCs w:val="20"/>
    </w:rPr>
  </w:style>
  <w:style w:type="character" w:customStyle="1" w:styleId="71">
    <w:name w:val="标题4 Char Char"/>
    <w:link w:val="72"/>
    <w:autoRedefine/>
    <w:qFormat/>
    <w:uiPriority w:val="0"/>
    <w:rPr>
      <w:rFonts w:ascii="Arial" w:hAnsi="Arial"/>
      <w:b/>
      <w:bCs/>
      <w:sz w:val="24"/>
      <w:szCs w:val="32"/>
      <w:lang w:bidi="ar-SA"/>
    </w:rPr>
  </w:style>
  <w:style w:type="paragraph" w:customStyle="1" w:styleId="72">
    <w:name w:val="标题4"/>
    <w:basedOn w:val="3"/>
    <w:next w:val="18"/>
    <w:link w:val="71"/>
    <w:autoRedefine/>
    <w:qFormat/>
    <w:uiPriority w:val="0"/>
    <w:rPr>
      <w:rFonts w:ascii="Arial" w:hAnsi="Arial"/>
      <w:kern w:val="0"/>
      <w:sz w:val="24"/>
    </w:rPr>
  </w:style>
  <w:style w:type="character" w:customStyle="1" w:styleId="73">
    <w:name w:val="批注文字 Char"/>
    <w:basedOn w:val="40"/>
    <w:link w:val="15"/>
    <w:autoRedefine/>
    <w:qFormat/>
    <w:uiPriority w:val="0"/>
    <w:rPr>
      <w:rFonts w:eastAsia="宋体"/>
      <w:kern w:val="2"/>
      <w:sz w:val="21"/>
      <w:szCs w:val="24"/>
      <w:lang w:val="en-US" w:eastAsia="zh-CN" w:bidi="ar-SA"/>
    </w:rPr>
  </w:style>
  <w:style w:type="character" w:customStyle="1" w:styleId="74">
    <w:name w:val="页脚 Char"/>
    <w:link w:val="25"/>
    <w:autoRedefine/>
    <w:qFormat/>
    <w:uiPriority w:val="0"/>
    <w:rPr>
      <w:rFonts w:eastAsia="宋体"/>
      <w:kern w:val="2"/>
      <w:sz w:val="18"/>
      <w:szCs w:val="18"/>
      <w:lang w:val="en-US" w:eastAsia="zh-CN" w:bidi="ar-SA"/>
    </w:rPr>
  </w:style>
  <w:style w:type="character" w:customStyle="1" w:styleId="75">
    <w:name w:val="批注主题 Char1"/>
    <w:autoRedefine/>
    <w:qFormat/>
    <w:uiPriority w:val="0"/>
    <w:rPr>
      <w:b/>
      <w:bCs/>
      <w:kern w:val="2"/>
      <w:sz w:val="21"/>
      <w:szCs w:val="22"/>
    </w:rPr>
  </w:style>
  <w:style w:type="character" w:customStyle="1" w:styleId="76">
    <w:name w:val="不明显强调1"/>
    <w:autoRedefine/>
    <w:qFormat/>
    <w:uiPriority w:val="0"/>
    <w:rPr>
      <w:i/>
      <w:iCs/>
      <w:color w:val="808080"/>
    </w:rPr>
  </w:style>
  <w:style w:type="character" w:customStyle="1" w:styleId="77">
    <w:name w:val="书籍标题1"/>
    <w:autoRedefine/>
    <w:qFormat/>
    <w:uiPriority w:val="0"/>
    <w:rPr>
      <w:b/>
      <w:bCs/>
      <w:smallCaps/>
      <w:spacing w:val="5"/>
    </w:rPr>
  </w:style>
  <w:style w:type="character" w:customStyle="1" w:styleId="78">
    <w:name w:val="文档结构图 Char"/>
    <w:link w:val="14"/>
    <w:autoRedefine/>
    <w:qFormat/>
    <w:uiPriority w:val="0"/>
    <w:rPr>
      <w:szCs w:val="24"/>
      <w:shd w:val="clear" w:color="auto" w:fill="000080"/>
      <w:lang w:bidi="ar-SA"/>
    </w:rPr>
  </w:style>
  <w:style w:type="character" w:customStyle="1" w:styleId="79">
    <w:name w:val="批注框文本 Char1"/>
    <w:autoRedefine/>
    <w:qFormat/>
    <w:uiPriority w:val="0"/>
    <w:rPr>
      <w:kern w:val="2"/>
      <w:sz w:val="18"/>
      <w:szCs w:val="18"/>
    </w:rPr>
  </w:style>
  <w:style w:type="character" w:customStyle="1" w:styleId="80">
    <w:name w:val="正文文本 Char"/>
    <w:link w:val="16"/>
    <w:autoRedefine/>
    <w:qFormat/>
    <w:uiPriority w:val="0"/>
    <w:rPr>
      <w:lang w:bidi="ar-SA"/>
    </w:rPr>
  </w:style>
  <w:style w:type="character" w:customStyle="1" w:styleId="81">
    <w:name w:val="批注框文本 Char"/>
    <w:link w:val="24"/>
    <w:autoRedefine/>
    <w:qFormat/>
    <w:uiPriority w:val="0"/>
    <w:rPr>
      <w:rFonts w:ascii="宋体"/>
      <w:sz w:val="18"/>
      <w:szCs w:val="18"/>
      <w:lang w:bidi="ar-SA"/>
    </w:rPr>
  </w:style>
  <w:style w:type="character" w:customStyle="1" w:styleId="82">
    <w:name w:val="标题 1 Char"/>
    <w:link w:val="2"/>
    <w:autoRedefine/>
    <w:qFormat/>
    <w:uiPriority w:val="0"/>
    <w:rPr>
      <w:rFonts w:ascii="Calibri" w:hAnsi="Calibri" w:eastAsia="宋体"/>
      <w:b/>
      <w:bCs/>
      <w:kern w:val="44"/>
      <w:sz w:val="44"/>
      <w:szCs w:val="44"/>
      <w:lang w:val="en-US" w:eastAsia="zh-CN" w:bidi="ar-SA"/>
    </w:rPr>
  </w:style>
  <w:style w:type="character" w:customStyle="1" w:styleId="83">
    <w:name w:val="明显强调1"/>
    <w:autoRedefine/>
    <w:qFormat/>
    <w:uiPriority w:val="0"/>
    <w:rPr>
      <w:b/>
      <w:bCs/>
      <w:i/>
      <w:iCs/>
      <w:color w:val="4F81BD"/>
    </w:rPr>
  </w:style>
  <w:style w:type="character" w:customStyle="1" w:styleId="84">
    <w:name w:val="Char Char9"/>
    <w:autoRedefine/>
    <w:qFormat/>
    <w:uiPriority w:val="0"/>
    <w:rPr>
      <w:kern w:val="2"/>
      <w:sz w:val="21"/>
      <w:szCs w:val="22"/>
    </w:rPr>
  </w:style>
  <w:style w:type="character" w:customStyle="1" w:styleId="85">
    <w:name w:val="副标题 Char"/>
    <w:link w:val="29"/>
    <w:autoRedefine/>
    <w:qFormat/>
    <w:uiPriority w:val="0"/>
    <w:rPr>
      <w:rFonts w:ascii="Cambria" w:hAnsi="Cambria"/>
      <w:b/>
      <w:bCs/>
      <w:kern w:val="28"/>
      <w:sz w:val="32"/>
      <w:szCs w:val="32"/>
      <w:lang w:bidi="ar-SA"/>
    </w:rPr>
  </w:style>
  <w:style w:type="character" w:customStyle="1" w:styleId="86">
    <w:name w:val="Char Char16"/>
    <w:autoRedefine/>
    <w:qFormat/>
    <w:uiPriority w:val="0"/>
    <w:rPr>
      <w:b/>
      <w:bCs/>
      <w:kern w:val="2"/>
      <w:sz w:val="32"/>
      <w:szCs w:val="32"/>
    </w:rPr>
  </w:style>
  <w:style w:type="character" w:customStyle="1" w:styleId="87">
    <w:name w:val="标题 8 Char"/>
    <w:link w:val="9"/>
    <w:autoRedefine/>
    <w:qFormat/>
    <w:uiPriority w:val="0"/>
    <w:rPr>
      <w:rFonts w:ascii="Cambria" w:hAnsi="Cambria" w:eastAsia="宋体"/>
      <w:kern w:val="2"/>
      <w:sz w:val="24"/>
      <w:szCs w:val="24"/>
      <w:lang w:val="en-US" w:eastAsia="zh-CN" w:bidi="ar-SA"/>
    </w:rPr>
  </w:style>
  <w:style w:type="character" w:customStyle="1" w:styleId="88">
    <w:name w:val="日期 Char"/>
    <w:link w:val="23"/>
    <w:autoRedefine/>
    <w:qFormat/>
    <w:uiPriority w:val="0"/>
    <w:rPr>
      <w:rFonts w:ascii="宋体"/>
      <w:sz w:val="28"/>
      <w:lang w:bidi="ar-SA"/>
    </w:rPr>
  </w:style>
  <w:style w:type="character" w:customStyle="1" w:styleId="89">
    <w:name w:val="明显引用 Char"/>
    <w:link w:val="90"/>
    <w:autoRedefine/>
    <w:qFormat/>
    <w:uiPriority w:val="0"/>
    <w:rPr>
      <w:b/>
      <w:bCs/>
      <w:i/>
      <w:iCs/>
      <w:color w:val="4F81BD"/>
      <w:kern w:val="2"/>
      <w:sz w:val="21"/>
      <w:szCs w:val="22"/>
      <w:lang w:bidi="ar-SA"/>
    </w:rPr>
  </w:style>
  <w:style w:type="paragraph" w:styleId="90">
    <w:name w:val="Intense Quote"/>
    <w:basedOn w:val="1"/>
    <w:next w:val="1"/>
    <w:link w:val="89"/>
    <w:autoRedefine/>
    <w:qFormat/>
    <w:uiPriority w:val="0"/>
    <w:pPr>
      <w:pBdr>
        <w:bottom w:val="single" w:color="4F81BD" w:sz="4" w:space="4"/>
      </w:pBdr>
      <w:spacing w:before="200" w:after="280"/>
      <w:ind w:left="936" w:right="936"/>
    </w:pPr>
    <w:rPr>
      <w:b/>
      <w:bCs/>
      <w:i/>
      <w:iCs/>
      <w:color w:val="4F81BD"/>
      <w:szCs w:val="22"/>
    </w:rPr>
  </w:style>
  <w:style w:type="paragraph" w:customStyle="1" w:styleId="91">
    <w:name w:val="默认段落字体 Para Char Char Char Char Char Char Char Char Char1 Char Char Char Char Char Char Char"/>
    <w:basedOn w:val="14"/>
    <w:autoRedefine/>
    <w:qFormat/>
    <w:uiPriority w:val="0"/>
    <w:rPr>
      <w:rFonts w:ascii="Tahoma" w:hAnsi="Tahoma" w:cs="Tahoma"/>
      <w:kern w:val="2"/>
      <w:sz w:val="24"/>
      <w:shd w:val="clear" w:color="auto" w:fill="auto"/>
    </w:rPr>
  </w:style>
  <w:style w:type="paragraph" w:customStyle="1" w:styleId="92">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93">
    <w:name w:val="样式 标题 3 + (中文) 黑体 小四 非加粗 段前: 7.8 磅 段后: 0 磅 行距: 固定值 20 磅"/>
    <w:basedOn w:val="4"/>
    <w:autoRedefine/>
    <w:qFormat/>
    <w:uiPriority w:val="0"/>
    <w:pPr>
      <w:spacing w:before="0" w:after="0" w:line="400" w:lineRule="exact"/>
    </w:pPr>
    <w:rPr>
      <w:rFonts w:eastAsia="黑体" w:cs="宋体"/>
      <w:b w:val="0"/>
      <w:bCs w:val="0"/>
      <w:sz w:val="24"/>
      <w:szCs w:val="20"/>
    </w:rPr>
  </w:style>
  <w:style w:type="paragraph" w:customStyle="1" w:styleId="94">
    <w:name w:val="TOC 标题1"/>
    <w:basedOn w:val="2"/>
    <w:next w:val="1"/>
    <w:autoRedefine/>
    <w:qFormat/>
    <w:uiPriority w:val="0"/>
    <w:pPr>
      <w:outlineLvl w:val="9"/>
    </w:pPr>
  </w:style>
  <w:style w:type="paragraph" w:customStyle="1" w:styleId="95">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eastAsia="黑体" w:cs="宋体"/>
      <w:b w:val="0"/>
      <w:bCs w:val="0"/>
      <w:kern w:val="0"/>
      <w:sz w:val="28"/>
      <w:szCs w:val="20"/>
    </w:rPr>
  </w:style>
  <w:style w:type="paragraph" w:styleId="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98">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9">
    <w:name w:val="xl25"/>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00">
    <w:name w:val="列出段落2"/>
    <w:basedOn w:val="1"/>
    <w:autoRedefine/>
    <w:qFormat/>
    <w:uiPriority w:val="0"/>
    <w:pPr>
      <w:ind w:firstLine="420"/>
    </w:pPr>
    <w:rPr>
      <w:szCs w:val="20"/>
    </w:rPr>
  </w:style>
  <w:style w:type="paragraph" w:customStyle="1" w:styleId="101">
    <w:name w:val="列出段落3"/>
    <w:basedOn w:val="1"/>
    <w:autoRedefine/>
    <w:qFormat/>
    <w:uiPriority w:val="0"/>
    <w:pPr>
      <w:ind w:firstLine="420"/>
    </w:pPr>
    <w:rPr>
      <w:szCs w:val="20"/>
    </w:rPr>
  </w:style>
  <w:style w:type="character" w:customStyle="1" w:styleId="102">
    <w:name w:val="正文文本缩进 3 Char"/>
    <w:basedOn w:val="40"/>
    <w:link w:val="31"/>
    <w:autoRedefine/>
    <w:qFormat/>
    <w:uiPriority w:val="0"/>
    <w:rPr>
      <w:kern w:val="2"/>
      <w:sz w:val="16"/>
      <w:szCs w:val="16"/>
    </w:rPr>
  </w:style>
  <w:style w:type="character" w:customStyle="1" w:styleId="103">
    <w:name w:val="layui-laypage-curr"/>
    <w:basedOn w:val="40"/>
    <w:autoRedefine/>
    <w:qFormat/>
    <w:uiPriority w:val="0"/>
  </w:style>
  <w:style w:type="character" w:customStyle="1" w:styleId="104">
    <w:name w:val="bsharetext"/>
    <w:basedOn w:val="40"/>
    <w:autoRedefine/>
    <w:qFormat/>
    <w:uiPriority w:val="0"/>
  </w:style>
  <w:style w:type="paragraph" w:customStyle="1" w:styleId="105">
    <w:name w:val="_Style 3"/>
    <w:basedOn w:val="1"/>
    <w:next w:val="1"/>
    <w:autoRedefine/>
    <w:qFormat/>
    <w:uiPriority w:val="0"/>
    <w:pPr>
      <w:pBdr>
        <w:top w:val="single" w:color="auto" w:sz="6" w:space="1"/>
      </w:pBdr>
      <w:jc w:val="center"/>
    </w:pPr>
    <w:rPr>
      <w:rFonts w:ascii="Arial" w:eastAsia="宋体"/>
      <w:vanish/>
      <w:sz w:val="16"/>
    </w:rPr>
  </w:style>
  <w:style w:type="paragraph" w:customStyle="1" w:styleId="106">
    <w:name w:val="Table Paragraph"/>
    <w:basedOn w:val="1"/>
    <w:autoRedefine/>
    <w:qFormat/>
    <w:uiPriority w:val="1"/>
    <w:rPr>
      <w:rFonts w:ascii="宋体" w:hAnsi="宋体" w:eastAsia="宋体" w:cs="宋体"/>
    </w:rPr>
  </w:style>
  <w:style w:type="character" w:customStyle="1" w:styleId="107">
    <w:name w:val="标题 2 字符1"/>
    <w:link w:val="3"/>
    <w:autoRedefine/>
    <w:qFormat/>
    <w:locked/>
    <w:uiPriority w:val="0"/>
    <w:rPr>
      <w:rFonts w:ascii="Arial" w:hAnsi="Arial" w:eastAsia="黑体" w:cs="Times New Roman"/>
      <w:b/>
      <w:bCs/>
      <w:kern w:val="2"/>
      <w:sz w:val="32"/>
      <w:szCs w:val="32"/>
      <w:lang w:val="en-US" w:eastAsia="zh-CN" w:bidi="ar-SA"/>
    </w:rPr>
  </w:style>
  <w:style w:type="character" w:customStyle="1" w:styleId="108">
    <w:name w:val="font61"/>
    <w:basedOn w:val="40"/>
    <w:autoRedefine/>
    <w:qFormat/>
    <w:uiPriority w:val="0"/>
    <w:rPr>
      <w:rFonts w:ascii="宋体" w:hAnsi="宋体" w:eastAsia="宋体" w:cs="宋体"/>
      <w:b/>
      <w:bCs/>
      <w:color w:val="000000"/>
      <w:sz w:val="30"/>
      <w:szCs w:val="30"/>
      <w:u w:val="none"/>
    </w:rPr>
  </w:style>
  <w:style w:type="character" w:customStyle="1" w:styleId="109">
    <w:name w:val="font71"/>
    <w:basedOn w:val="40"/>
    <w:autoRedefine/>
    <w:qFormat/>
    <w:uiPriority w:val="0"/>
    <w:rPr>
      <w:rFonts w:ascii="宋体" w:hAnsi="宋体" w:eastAsia="宋体" w:cs="宋体"/>
      <w:color w:val="000000"/>
      <w:sz w:val="22"/>
      <w:szCs w:val="22"/>
      <w:u w:val="none"/>
    </w:rPr>
  </w:style>
  <w:style w:type="paragraph" w:customStyle="1" w:styleId="110">
    <w:name w:val="正文_3_0"/>
    <w:next w:val="11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1">
    <w:name w:val="正文首行缩进 22"/>
    <w:basedOn w:val="112"/>
    <w:qFormat/>
    <w:uiPriority w:val="0"/>
    <w:pPr>
      <w:ind w:firstLine="420" w:firstLineChars="200"/>
    </w:pPr>
  </w:style>
  <w:style w:type="paragraph" w:customStyle="1" w:styleId="112">
    <w:name w:val="正文文本缩进2"/>
    <w:basedOn w:val="113"/>
    <w:qFormat/>
    <w:uiPriority w:val="0"/>
    <w:pPr>
      <w:spacing w:after="120"/>
      <w:ind w:left="420" w:leftChars="200"/>
    </w:pPr>
  </w:style>
  <w:style w:type="paragraph" w:customStyle="1" w:styleId="113">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14">
    <w:name w:val="NormalCharacter"/>
    <w:qFormat/>
    <w:uiPriority w:val="0"/>
    <w:rPr>
      <w:rFonts w:ascii="Calibri" w:hAnsi="Calibri" w:eastAsia="宋体" w:cs="Times New Roman"/>
      <w:sz w:val="21"/>
      <w:szCs w:val="21"/>
      <w:lang w:val="en-US" w:eastAsia="zh-CN" w:bidi="ar-SA"/>
    </w:rPr>
  </w:style>
  <w:style w:type="paragraph" w:customStyle="1" w:styleId="115">
    <w:name w:val="WPSOffice手动目录 1"/>
    <w:qFormat/>
    <w:uiPriority w:val="0"/>
    <w:pPr>
      <w:ind w:leftChars="0"/>
    </w:pPr>
    <w:rPr>
      <w:rFonts w:ascii="Times New Roman" w:hAnsi="Times New Roman" w:eastAsia="宋体" w:cs="Times New Roman"/>
      <w:sz w:val="20"/>
      <w:szCs w:val="20"/>
    </w:rPr>
  </w:style>
  <w:style w:type="character" w:customStyle="1" w:styleId="116">
    <w:name w:val="样式 (西文) 宋体"/>
    <w:basedOn w:val="40"/>
    <w:qFormat/>
    <w:uiPriority w:val="0"/>
    <w:rPr>
      <w:rFonts w:ascii="宋体" w:hAnsi="宋体"/>
      <w:shd w:val="clear" w:color="auto" w:fill="auto"/>
    </w:rPr>
  </w:style>
  <w:style w:type="paragraph" w:customStyle="1" w:styleId="117">
    <w:name w:val="样式 宋体 黑色 左"/>
    <w:basedOn w:val="1"/>
    <w:qFormat/>
    <w:uiPriority w:val="0"/>
    <w:pPr>
      <w:jc w:val="left"/>
    </w:pPr>
    <w:rPr>
      <w:rFonts w:ascii="宋体" w:hAnsi="宋体" w:cs="宋体"/>
      <w:color w:val="000000"/>
      <w:szCs w:val="20"/>
    </w:rPr>
  </w:style>
  <w:style w:type="character" w:customStyle="1" w:styleId="118">
    <w:name w:val="15"/>
    <w:basedOn w:val="40"/>
    <w:qFormat/>
    <w:uiPriority w:val="0"/>
    <w:rPr>
      <w:rFonts w:hint="eastAsia" w:ascii="宋体" w:hAnsi="宋体" w:eastAsia="宋体"/>
      <w:color w:val="000000"/>
      <w:sz w:val="21"/>
      <w:szCs w:val="21"/>
    </w:rPr>
  </w:style>
  <w:style w:type="paragraph" w:customStyle="1" w:styleId="119">
    <w:name w:val="首行缩进"/>
    <w:basedOn w:val="1"/>
    <w:next w:val="1"/>
    <w:qFormat/>
    <w:uiPriority w:val="0"/>
    <w:pPr>
      <w:numPr>
        <w:ilvl w:val="0"/>
        <w:numId w:val="2"/>
      </w:numPr>
      <w:spacing w:line="360" w:lineRule="auto"/>
    </w:pPr>
    <w:rPr>
      <w:rFonts w:eastAsia="仿宋_GB2312"/>
    </w:rPr>
  </w:style>
  <w:style w:type="paragraph" w:customStyle="1" w:styleId="120">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1">
    <w:name w:val="font41"/>
    <w:basedOn w:val="40"/>
    <w:qFormat/>
    <w:uiPriority w:val="0"/>
    <w:rPr>
      <w:rFonts w:hint="eastAsia" w:ascii="宋体" w:hAnsi="宋体" w:eastAsia="宋体" w:cs="宋体"/>
      <w:color w:val="000000"/>
      <w:sz w:val="20"/>
      <w:szCs w:val="20"/>
      <w:u w:val="none"/>
    </w:rPr>
  </w:style>
  <w:style w:type="character" w:customStyle="1" w:styleId="122">
    <w:name w:val="font91"/>
    <w:basedOn w:val="40"/>
    <w:qFormat/>
    <w:uiPriority w:val="0"/>
    <w:rPr>
      <w:rFonts w:ascii="Calibri" w:hAnsi="Calibri" w:cs="Calibri"/>
      <w:color w:val="000000"/>
      <w:sz w:val="20"/>
      <w:szCs w:val="20"/>
      <w:u w:val="none"/>
    </w:rPr>
  </w:style>
  <w:style w:type="character" w:customStyle="1" w:styleId="123">
    <w:name w:val="font51"/>
    <w:basedOn w:val="40"/>
    <w:qFormat/>
    <w:uiPriority w:val="0"/>
    <w:rPr>
      <w:rFonts w:hint="eastAsia" w:ascii="宋体" w:hAnsi="宋体" w:eastAsia="宋体" w:cs="宋体"/>
      <w:color w:val="000000"/>
      <w:sz w:val="20"/>
      <w:szCs w:val="20"/>
      <w:u w:val="none"/>
    </w:rPr>
  </w:style>
  <w:style w:type="character" w:customStyle="1" w:styleId="124">
    <w:name w:val="font101"/>
    <w:basedOn w:val="40"/>
    <w:qFormat/>
    <w:uiPriority w:val="0"/>
    <w:rPr>
      <w:rFonts w:ascii="Calibri" w:hAnsi="Calibri" w:cs="Calibri"/>
      <w:color w:val="000000"/>
      <w:sz w:val="20"/>
      <w:szCs w:val="20"/>
      <w:u w:val="none"/>
    </w:rPr>
  </w:style>
  <w:style w:type="character" w:customStyle="1" w:styleId="125">
    <w:name w:val="font111"/>
    <w:basedOn w:val="40"/>
    <w:qFormat/>
    <w:uiPriority w:val="0"/>
    <w:rPr>
      <w:rFonts w:hint="eastAsia" w:ascii="宋体" w:hAnsi="宋体" w:eastAsia="宋体" w:cs="宋体"/>
      <w:color w:val="000000"/>
      <w:sz w:val="20"/>
      <w:szCs w:val="20"/>
      <w:u w:val="none"/>
      <w:vertAlign w:val="superscript"/>
    </w:rPr>
  </w:style>
  <w:style w:type="character" w:customStyle="1" w:styleId="126">
    <w:name w:val="font122"/>
    <w:basedOn w:val="40"/>
    <w:qFormat/>
    <w:uiPriority w:val="0"/>
    <w:rPr>
      <w:rFonts w:hint="eastAsia" w:ascii="宋体" w:hAnsi="宋体" w:eastAsia="宋体" w:cs="宋体"/>
      <w:color w:val="000000"/>
      <w:sz w:val="20"/>
      <w:szCs w:val="20"/>
      <w:u w:val="none"/>
      <w:vertAlign w:val="subscript"/>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C63C7BE-29A4-4D84-95D6-7181FC6B269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67</Pages>
  <Words>128</Words>
  <Characters>148</Characters>
  <Lines>286</Lines>
  <Paragraphs>80</Paragraphs>
  <TotalTime>137</TotalTime>
  <ScaleCrop>false</ScaleCrop>
  <LinksUpToDate>false</LinksUpToDate>
  <CharactersWithSpaces>167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2020-11-13T14:00:00Z</dcterms:created>
  <dc:creator>Administrator</dc:creator>
  <cp:lastModifiedBy>pc</cp:lastModifiedBy>
  <cp:lastPrinted>2024-09-29T06:34:00Z</cp:lastPrinted>
  <dcterms:modified xsi:type="dcterms:W3CDTF">2025-04-16T07:51:37Z</dcterms:modified>
  <dc:title>第二章  投标人须知</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AAE42B5143DA418883100BDFA5348838_13</vt:lpwstr>
  </property>
  <property fmtid="{D5CDD505-2E9C-101B-9397-08002B2CF9AE}" pid="4" name="KSOTemplateDocerSaveRecord">
    <vt:lpwstr>eyJoZGlkIjoiMjM5MzBjNmNjNmQxMTRkZTAyNTcwOGFkMmQ3N2FkODQifQ==</vt:lpwstr>
  </property>
</Properties>
</file>